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55B13" w14:textId="77777777" w:rsidR="00AF1EA0" w:rsidRDefault="00AF1EA0" w:rsidP="00927413">
      <w:pPr>
        <w:spacing w:line="480" w:lineRule="auto"/>
        <w:jc w:val="both"/>
        <w:rPr>
          <w:rFonts w:ascii="Times New Roman" w:hAnsi="Times New Roman" w:cs="Times New Roman"/>
          <w:sz w:val="24"/>
          <w:szCs w:val="24"/>
          <w:lang w:val="en-CA"/>
        </w:rPr>
      </w:pPr>
    </w:p>
    <w:p w14:paraId="2507C677" w14:textId="77777777" w:rsidR="00F50823" w:rsidRDefault="00F50823" w:rsidP="00721E31">
      <w:pPr>
        <w:jc w:val="both"/>
        <w:rPr>
          <w:rFonts w:ascii="Times New Roman" w:hAnsi="Times New Roman" w:cs="Times New Roman"/>
          <w:sz w:val="24"/>
          <w:szCs w:val="24"/>
          <w:lang w:val="en-CA"/>
        </w:rPr>
      </w:pPr>
    </w:p>
    <w:p w14:paraId="095E6195" w14:textId="05B5E60C" w:rsidR="006E1C09" w:rsidRDefault="006E1C09">
      <w:pPr>
        <w:rPr>
          <w:rFonts w:ascii="Times New Roman" w:hAnsi="Times New Roman" w:cs="Times New Roman"/>
          <w:sz w:val="24"/>
          <w:szCs w:val="24"/>
          <w:lang w:val="en-CA"/>
        </w:rPr>
      </w:pPr>
    </w:p>
    <w:p w14:paraId="029DAFC9" w14:textId="77777777" w:rsidR="006E1C09" w:rsidRDefault="006E1C09" w:rsidP="004C42C4">
      <w:pPr>
        <w:spacing w:line="480" w:lineRule="auto"/>
        <w:jc w:val="both"/>
        <w:rPr>
          <w:rFonts w:ascii="Times New Roman" w:hAnsi="Times New Roman" w:cs="Times New Roman"/>
          <w:sz w:val="24"/>
          <w:szCs w:val="24"/>
          <w:lang w:val="en-CA"/>
        </w:rPr>
      </w:pPr>
      <w:r w:rsidRPr="006E1C09">
        <w:rPr>
          <w:rFonts w:ascii="Times New Roman" w:hAnsi="Times New Roman" w:cs="Times New Roman"/>
          <w:b/>
          <w:bCs/>
          <w:sz w:val="24"/>
          <w:szCs w:val="24"/>
          <w:lang w:val="en-CA"/>
        </w:rPr>
        <w:t>Table 1.</w:t>
      </w:r>
      <w:r>
        <w:rPr>
          <w:rFonts w:ascii="Times New Roman" w:hAnsi="Times New Roman" w:cs="Times New Roman"/>
          <w:sz w:val="24"/>
          <w:szCs w:val="24"/>
          <w:lang w:val="en-CA"/>
        </w:rPr>
        <w:t xml:space="preserve"> Extracted data from the analyzed studies</w:t>
      </w:r>
    </w:p>
    <w:tbl>
      <w:tblPr>
        <w:tblW w:w="5000" w:type="pct"/>
        <w:tblLook w:val="04A0" w:firstRow="1" w:lastRow="0" w:firstColumn="1" w:lastColumn="0" w:noHBand="0" w:noVBand="1"/>
      </w:tblPr>
      <w:tblGrid>
        <w:gridCol w:w="996"/>
        <w:gridCol w:w="552"/>
        <w:gridCol w:w="911"/>
        <w:gridCol w:w="795"/>
        <w:gridCol w:w="851"/>
        <w:gridCol w:w="600"/>
        <w:gridCol w:w="803"/>
        <w:gridCol w:w="622"/>
        <w:gridCol w:w="954"/>
        <w:gridCol w:w="699"/>
        <w:gridCol w:w="847"/>
      </w:tblGrid>
      <w:tr w:rsidR="006E1C09" w:rsidRPr="006E1C09" w14:paraId="79DC0157" w14:textId="77777777" w:rsidTr="006E1C09">
        <w:trPr>
          <w:trHeight w:val="300"/>
        </w:trPr>
        <w:tc>
          <w:tcPr>
            <w:tcW w:w="333" w:type="pct"/>
            <w:tcBorders>
              <w:top w:val="single" w:sz="4" w:space="0" w:color="auto"/>
              <w:left w:val="single" w:sz="4" w:space="0" w:color="auto"/>
              <w:bottom w:val="single" w:sz="4" w:space="0" w:color="auto"/>
              <w:right w:val="single" w:sz="4" w:space="0" w:color="auto"/>
            </w:tcBorders>
            <w:shd w:val="clear" w:color="000000" w:fill="FFFFFF"/>
            <w:vAlign w:val="center"/>
            <w:hideMark/>
          </w:tcPr>
          <w:p w14:paraId="738D0F70"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Authors, year</w:t>
            </w:r>
          </w:p>
        </w:tc>
        <w:tc>
          <w:tcPr>
            <w:tcW w:w="298" w:type="pct"/>
            <w:tcBorders>
              <w:top w:val="single" w:sz="4" w:space="0" w:color="auto"/>
              <w:left w:val="nil"/>
              <w:bottom w:val="single" w:sz="4" w:space="0" w:color="auto"/>
              <w:right w:val="single" w:sz="4" w:space="0" w:color="auto"/>
            </w:tcBorders>
            <w:shd w:val="clear" w:color="000000" w:fill="FFFFFF"/>
            <w:vAlign w:val="center"/>
            <w:hideMark/>
          </w:tcPr>
          <w:p w14:paraId="05963EE4"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Sample / Population</w:t>
            </w:r>
          </w:p>
        </w:tc>
        <w:tc>
          <w:tcPr>
            <w:tcW w:w="576" w:type="pct"/>
            <w:tcBorders>
              <w:top w:val="single" w:sz="4" w:space="0" w:color="auto"/>
              <w:left w:val="nil"/>
              <w:bottom w:val="single" w:sz="4" w:space="0" w:color="auto"/>
              <w:right w:val="single" w:sz="4" w:space="0" w:color="auto"/>
            </w:tcBorders>
            <w:shd w:val="clear" w:color="000000" w:fill="FFFFFF"/>
            <w:vAlign w:val="center"/>
            <w:hideMark/>
          </w:tcPr>
          <w:p w14:paraId="6FF76666"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Type of study</w:t>
            </w:r>
          </w:p>
        </w:tc>
        <w:tc>
          <w:tcPr>
            <w:tcW w:w="487" w:type="pct"/>
            <w:tcBorders>
              <w:top w:val="single" w:sz="4" w:space="0" w:color="auto"/>
              <w:left w:val="nil"/>
              <w:bottom w:val="single" w:sz="4" w:space="0" w:color="auto"/>
              <w:right w:val="single" w:sz="4" w:space="0" w:color="auto"/>
            </w:tcBorders>
            <w:shd w:val="clear" w:color="000000" w:fill="FFFFFF"/>
            <w:vAlign w:val="center"/>
            <w:hideMark/>
          </w:tcPr>
          <w:p w14:paraId="01205264"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Study's objectives</w:t>
            </w:r>
          </w:p>
        </w:tc>
        <w:tc>
          <w:tcPr>
            <w:tcW w:w="533" w:type="pct"/>
            <w:tcBorders>
              <w:top w:val="single" w:sz="4" w:space="0" w:color="auto"/>
              <w:left w:val="nil"/>
              <w:bottom w:val="single" w:sz="4" w:space="0" w:color="auto"/>
              <w:right w:val="single" w:sz="4" w:space="0" w:color="auto"/>
            </w:tcBorders>
            <w:shd w:val="clear" w:color="000000" w:fill="FFFFFF"/>
            <w:vAlign w:val="center"/>
            <w:hideMark/>
          </w:tcPr>
          <w:p w14:paraId="50057934"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Type of HC</w:t>
            </w:r>
          </w:p>
        </w:tc>
        <w:tc>
          <w:tcPr>
            <w:tcW w:w="346" w:type="pct"/>
            <w:tcBorders>
              <w:top w:val="single" w:sz="4" w:space="0" w:color="auto"/>
              <w:left w:val="nil"/>
              <w:bottom w:val="single" w:sz="4" w:space="0" w:color="auto"/>
              <w:right w:val="single" w:sz="4" w:space="0" w:color="auto"/>
            </w:tcBorders>
            <w:shd w:val="clear" w:color="000000" w:fill="FFFFFF"/>
            <w:vAlign w:val="center"/>
            <w:hideMark/>
          </w:tcPr>
          <w:p w14:paraId="7D07A68A"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Duration</w:t>
            </w:r>
          </w:p>
        </w:tc>
        <w:tc>
          <w:tcPr>
            <w:tcW w:w="484" w:type="pct"/>
            <w:tcBorders>
              <w:top w:val="single" w:sz="4" w:space="0" w:color="auto"/>
              <w:left w:val="nil"/>
              <w:bottom w:val="single" w:sz="4" w:space="0" w:color="auto"/>
              <w:right w:val="single" w:sz="4" w:space="0" w:color="auto"/>
            </w:tcBorders>
            <w:shd w:val="clear" w:color="000000" w:fill="FFFFFF"/>
            <w:vAlign w:val="center"/>
            <w:hideMark/>
          </w:tcPr>
          <w:p w14:paraId="298D01F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Development of psychiatric disorder</w:t>
            </w:r>
          </w:p>
        </w:tc>
        <w:tc>
          <w:tcPr>
            <w:tcW w:w="372" w:type="pct"/>
            <w:tcBorders>
              <w:top w:val="single" w:sz="4" w:space="0" w:color="auto"/>
              <w:left w:val="nil"/>
              <w:bottom w:val="single" w:sz="4" w:space="0" w:color="auto"/>
              <w:right w:val="single" w:sz="4" w:space="0" w:color="auto"/>
            </w:tcBorders>
            <w:shd w:val="clear" w:color="000000" w:fill="FFFFFF"/>
            <w:vAlign w:val="center"/>
            <w:hideMark/>
          </w:tcPr>
          <w:p w14:paraId="2190D75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Exacerbation of psychiatric disorder</w:t>
            </w:r>
          </w:p>
        </w:tc>
        <w:tc>
          <w:tcPr>
            <w:tcW w:w="611" w:type="pct"/>
            <w:tcBorders>
              <w:top w:val="single" w:sz="4" w:space="0" w:color="auto"/>
              <w:left w:val="nil"/>
              <w:bottom w:val="single" w:sz="4" w:space="0" w:color="auto"/>
              <w:right w:val="single" w:sz="4" w:space="0" w:color="auto"/>
            </w:tcBorders>
            <w:shd w:val="clear" w:color="000000" w:fill="FFFFFF"/>
            <w:vAlign w:val="center"/>
            <w:hideMark/>
          </w:tcPr>
          <w:p w14:paraId="4CA2EFF0"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Tool used to evaluate psychiatric disorder</w:t>
            </w:r>
          </w:p>
        </w:tc>
        <w:tc>
          <w:tcPr>
            <w:tcW w:w="423" w:type="pct"/>
            <w:tcBorders>
              <w:top w:val="single" w:sz="4" w:space="0" w:color="auto"/>
              <w:left w:val="nil"/>
              <w:bottom w:val="single" w:sz="4" w:space="0" w:color="auto"/>
              <w:right w:val="single" w:sz="4" w:space="0" w:color="auto"/>
            </w:tcBorders>
            <w:shd w:val="clear" w:color="000000" w:fill="FFFFFF"/>
            <w:vAlign w:val="center"/>
            <w:hideMark/>
          </w:tcPr>
          <w:p w14:paraId="21DBAC4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Psychiatric comorbidity</w:t>
            </w:r>
          </w:p>
        </w:tc>
        <w:tc>
          <w:tcPr>
            <w:tcW w:w="538" w:type="pct"/>
            <w:tcBorders>
              <w:top w:val="single" w:sz="4" w:space="0" w:color="auto"/>
              <w:left w:val="nil"/>
              <w:bottom w:val="single" w:sz="4" w:space="0" w:color="auto"/>
              <w:right w:val="single" w:sz="4" w:space="0" w:color="auto"/>
            </w:tcBorders>
            <w:shd w:val="clear" w:color="000000" w:fill="FFFFFF"/>
            <w:vAlign w:val="center"/>
            <w:hideMark/>
          </w:tcPr>
          <w:p w14:paraId="036CA3F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Main outcome</w:t>
            </w:r>
          </w:p>
        </w:tc>
      </w:tr>
      <w:tr w:rsidR="006E1C09" w:rsidRPr="00F87E76" w14:paraId="6FF9E6AD"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82C5E0B"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Shahnazi et al., 2014</w:t>
            </w:r>
          </w:p>
        </w:tc>
        <w:tc>
          <w:tcPr>
            <w:tcW w:w="298" w:type="pct"/>
            <w:tcBorders>
              <w:top w:val="nil"/>
              <w:left w:val="nil"/>
              <w:bottom w:val="single" w:sz="4" w:space="0" w:color="auto"/>
              <w:right w:val="single" w:sz="4" w:space="0" w:color="auto"/>
            </w:tcBorders>
            <w:shd w:val="clear" w:color="000000" w:fill="FFFFFF"/>
            <w:vAlign w:val="center"/>
            <w:hideMark/>
          </w:tcPr>
          <w:p w14:paraId="2920942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82 women ranging from 15-45 years old</w:t>
            </w:r>
          </w:p>
        </w:tc>
        <w:tc>
          <w:tcPr>
            <w:tcW w:w="576" w:type="pct"/>
            <w:tcBorders>
              <w:top w:val="nil"/>
              <w:left w:val="nil"/>
              <w:bottom w:val="single" w:sz="4" w:space="0" w:color="auto"/>
              <w:right w:val="single" w:sz="4" w:space="0" w:color="auto"/>
            </w:tcBorders>
            <w:shd w:val="clear" w:color="000000" w:fill="FFFFFF"/>
            <w:vAlign w:val="center"/>
            <w:hideMark/>
          </w:tcPr>
          <w:p w14:paraId="61E072E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Randomized clinical trial, double-blind</w:t>
            </w:r>
          </w:p>
        </w:tc>
        <w:tc>
          <w:tcPr>
            <w:tcW w:w="487" w:type="pct"/>
            <w:tcBorders>
              <w:top w:val="nil"/>
              <w:left w:val="nil"/>
              <w:bottom w:val="single" w:sz="4" w:space="0" w:color="auto"/>
              <w:right w:val="single" w:sz="4" w:space="0" w:color="auto"/>
            </w:tcBorders>
            <w:shd w:val="clear" w:color="000000" w:fill="FFFFFF"/>
            <w:vAlign w:val="center"/>
            <w:hideMark/>
          </w:tcPr>
          <w:p w14:paraId="7AA621B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investigate the effects of the second and third generation oral contraceptives on mood in women in reproductive ages</w:t>
            </w:r>
          </w:p>
        </w:tc>
        <w:tc>
          <w:tcPr>
            <w:tcW w:w="533" w:type="pct"/>
            <w:tcBorders>
              <w:top w:val="nil"/>
              <w:left w:val="nil"/>
              <w:bottom w:val="single" w:sz="4" w:space="0" w:color="auto"/>
              <w:right w:val="single" w:sz="4" w:space="0" w:color="auto"/>
            </w:tcBorders>
            <w:shd w:val="clear" w:color="000000" w:fill="FFFFFF"/>
            <w:vAlign w:val="center"/>
            <w:hideMark/>
          </w:tcPr>
          <w:p w14:paraId="5267B8E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Second generation contraceptive pills (low-dose estrogen, containing 0,15mg levonorgestrel and 0,03 mg ethinyl estradiol)</w:t>
            </w:r>
            <w:r w:rsidRPr="006E1C09">
              <w:rPr>
                <w:rFonts w:ascii="Times New Roman" w:eastAsia="Times New Roman" w:hAnsi="Times New Roman" w:cs="Times New Roman"/>
                <w:kern w:val="0"/>
                <w:sz w:val="24"/>
                <w:szCs w:val="24"/>
                <w:lang w:val="en-CA" w:eastAsia="en-CA"/>
                <w14:ligatures w14:val="none"/>
              </w:rPr>
              <w:br/>
            </w:r>
            <w:r w:rsidRPr="006E1C09">
              <w:rPr>
                <w:rFonts w:ascii="Times New Roman" w:eastAsia="Times New Roman" w:hAnsi="Times New Roman" w:cs="Times New Roman"/>
                <w:kern w:val="0"/>
                <w:sz w:val="24"/>
                <w:szCs w:val="24"/>
                <w:lang w:val="en-CA" w:eastAsia="en-CA"/>
                <w14:ligatures w14:val="none"/>
              </w:rPr>
              <w:lastRenderedPageBreak/>
              <w:t>• Third generation pills (Marvelon, containing 0,15 mg desogestrel and 0,03 ethinyl estradiol)</w:t>
            </w:r>
          </w:p>
        </w:tc>
        <w:tc>
          <w:tcPr>
            <w:tcW w:w="346" w:type="pct"/>
            <w:tcBorders>
              <w:top w:val="nil"/>
              <w:left w:val="nil"/>
              <w:bottom w:val="single" w:sz="4" w:space="0" w:color="auto"/>
              <w:right w:val="single" w:sz="4" w:space="0" w:color="auto"/>
            </w:tcBorders>
            <w:shd w:val="clear" w:color="000000" w:fill="FFFFFF"/>
            <w:vAlign w:val="center"/>
            <w:hideMark/>
          </w:tcPr>
          <w:p w14:paraId="702E415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One tablet per day for 21 days, during 4 months. Data collection was done during </w:t>
            </w:r>
            <w:r w:rsidRPr="006E1C09">
              <w:rPr>
                <w:rFonts w:ascii="Times New Roman" w:eastAsia="Times New Roman" w:hAnsi="Times New Roman" w:cs="Times New Roman"/>
                <w:kern w:val="0"/>
                <w:sz w:val="24"/>
                <w:szCs w:val="24"/>
                <w:lang w:val="en-CA" w:eastAsia="en-CA"/>
                <w14:ligatures w14:val="none"/>
              </w:rPr>
              <w:lastRenderedPageBreak/>
              <w:t>three stages (pre-intervention, and 2 and 4 months intervention).</w:t>
            </w:r>
          </w:p>
        </w:tc>
        <w:tc>
          <w:tcPr>
            <w:tcW w:w="484" w:type="pct"/>
            <w:tcBorders>
              <w:top w:val="nil"/>
              <w:left w:val="nil"/>
              <w:bottom w:val="single" w:sz="4" w:space="0" w:color="auto"/>
              <w:right w:val="single" w:sz="4" w:space="0" w:color="auto"/>
            </w:tcBorders>
            <w:shd w:val="clear" w:color="000000" w:fill="FFFFFF"/>
            <w:vAlign w:val="center"/>
            <w:hideMark/>
          </w:tcPr>
          <w:p w14:paraId="398CF63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Second-generation OCPs were associated with a decrease in positive mood and an increase in negative mood over time. Third-</w:t>
            </w:r>
            <w:r w:rsidRPr="006E1C09">
              <w:rPr>
                <w:rFonts w:ascii="Times New Roman" w:eastAsia="Times New Roman" w:hAnsi="Times New Roman" w:cs="Times New Roman"/>
                <w:kern w:val="0"/>
                <w:sz w:val="24"/>
                <w:szCs w:val="24"/>
                <w:lang w:val="en-CA" w:eastAsia="en-CA"/>
                <w14:ligatures w14:val="none"/>
              </w:rPr>
              <w:lastRenderedPageBreak/>
              <w:t>generation OCPs had a beneficial effect, increasing positive mood and reducing negative mood symptoms</w:t>
            </w:r>
          </w:p>
        </w:tc>
        <w:tc>
          <w:tcPr>
            <w:tcW w:w="372" w:type="pct"/>
            <w:tcBorders>
              <w:top w:val="nil"/>
              <w:left w:val="nil"/>
              <w:bottom w:val="single" w:sz="4" w:space="0" w:color="auto"/>
              <w:right w:val="single" w:sz="4" w:space="0" w:color="auto"/>
            </w:tcBorders>
            <w:shd w:val="clear" w:color="000000" w:fill="FFFFFF"/>
            <w:vAlign w:val="center"/>
            <w:hideMark/>
          </w:tcPr>
          <w:p w14:paraId="6FCDF5D7"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4B5D27D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Negative mood evaluated by the PANAS questionnaire </w:t>
            </w:r>
          </w:p>
        </w:tc>
        <w:tc>
          <w:tcPr>
            <w:tcW w:w="423" w:type="pct"/>
            <w:tcBorders>
              <w:top w:val="nil"/>
              <w:left w:val="nil"/>
              <w:bottom w:val="single" w:sz="4" w:space="0" w:color="auto"/>
              <w:right w:val="single" w:sz="4" w:space="0" w:color="auto"/>
            </w:tcBorders>
            <w:shd w:val="clear" w:color="000000" w:fill="FFFFFF"/>
            <w:vAlign w:val="center"/>
            <w:hideMark/>
          </w:tcPr>
          <w:p w14:paraId="4FCE9BA7"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44363E1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•The second generation oral contraceptive pills resulted in a decrease in positive mood (95% CI: 43.39 to 38.32 in second month </w:t>
            </w:r>
            <w:r w:rsidRPr="006E1C09">
              <w:rPr>
                <w:rFonts w:ascii="Times New Roman" w:eastAsia="Times New Roman" w:hAnsi="Times New Roman" w:cs="Times New Roman"/>
                <w:kern w:val="0"/>
                <w:sz w:val="24"/>
                <w:szCs w:val="24"/>
                <w:lang w:val="en-CA" w:eastAsia="en-CA"/>
                <w14:ligatures w14:val="none"/>
              </w:rPr>
              <w:lastRenderedPageBreak/>
              <w:t>and 43.39 to 26.05 in four month) and increase in negative mood (95% CI: 14.23 to 22.04 in second month and 14.23 to 32.26 in four month - P &lt; 0.001)</w:t>
            </w:r>
            <w:r w:rsidRPr="006E1C09">
              <w:rPr>
                <w:rFonts w:ascii="Times New Roman" w:eastAsia="Times New Roman" w:hAnsi="Times New Roman" w:cs="Times New Roman"/>
                <w:kern w:val="0"/>
                <w:sz w:val="24"/>
                <w:szCs w:val="24"/>
                <w:lang w:val="en-CA" w:eastAsia="en-CA"/>
                <w14:ligatures w14:val="none"/>
              </w:rPr>
              <w:br/>
              <w:t>•COC containing 0.15 mg desogestrel/0.03 mg ethinyl estradiol (EE) signifi</w:t>
            </w:r>
            <w:r w:rsidRPr="006E1C09">
              <w:rPr>
                <w:rFonts w:ascii="Times New Roman" w:eastAsia="Times New Roman" w:hAnsi="Times New Roman" w:cs="Times New Roman"/>
                <w:kern w:val="0"/>
                <w:sz w:val="24"/>
                <w:szCs w:val="24"/>
                <w:lang w:val="en-CA" w:eastAsia="en-CA"/>
                <w14:ligatures w14:val="none"/>
              </w:rPr>
              <w:lastRenderedPageBreak/>
              <w:t xml:space="preserve">cantly improved positive and negative mood symptoms, compared with COC containing 0.15 mg Ievonorgestrel/0.03 mg ethinyl estradiol (EE). </w:t>
            </w:r>
            <w:r w:rsidRPr="006E1C09">
              <w:rPr>
                <w:rFonts w:ascii="Times New Roman" w:eastAsia="Times New Roman" w:hAnsi="Times New Roman" w:cs="Times New Roman"/>
                <w:kern w:val="0"/>
                <w:sz w:val="24"/>
                <w:szCs w:val="24"/>
                <w:lang w:val="en-CA" w:eastAsia="en-CA"/>
                <w14:ligatures w14:val="none"/>
              </w:rPr>
              <w:br/>
              <w:t>• The third generation led to an increase in positive mood (95% CI: 22.42 to 25.60 in secon</w:t>
            </w:r>
            <w:r w:rsidRPr="006E1C09">
              <w:rPr>
                <w:rFonts w:ascii="Times New Roman" w:eastAsia="Times New Roman" w:hAnsi="Times New Roman" w:cs="Times New Roman"/>
                <w:kern w:val="0"/>
                <w:sz w:val="24"/>
                <w:szCs w:val="24"/>
                <w:lang w:val="en-CA" w:eastAsia="en-CA"/>
                <w14:ligatures w14:val="none"/>
              </w:rPr>
              <w:lastRenderedPageBreak/>
              <w:t>d month and 22.42 to 33.87 in four month) and decrease in negative mood (95% CI: 36.78 to 31.97 in second month and 36.78 to 22.65 in four month - P &lt; 0.001).</w:t>
            </w:r>
          </w:p>
        </w:tc>
      </w:tr>
      <w:tr w:rsidR="006E1C09" w:rsidRPr="00F87E76" w14:paraId="2A355DA2" w14:textId="77777777" w:rsidTr="006E1C09">
        <w:trPr>
          <w:trHeight w:val="3150"/>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61137C9F"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Cheslack-Postava et al., 2014</w:t>
            </w:r>
          </w:p>
        </w:tc>
        <w:tc>
          <w:tcPr>
            <w:tcW w:w="298" w:type="pct"/>
            <w:tcBorders>
              <w:top w:val="nil"/>
              <w:left w:val="nil"/>
              <w:bottom w:val="single" w:sz="4" w:space="0" w:color="auto"/>
              <w:right w:val="single" w:sz="4" w:space="0" w:color="auto"/>
            </w:tcBorders>
            <w:shd w:val="clear" w:color="000000" w:fill="FFFFFF"/>
            <w:vAlign w:val="center"/>
            <w:hideMark/>
          </w:tcPr>
          <w:p w14:paraId="43A0D0A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1 105 women ranging from </w:t>
            </w:r>
            <w:r w:rsidRPr="006E1C09">
              <w:rPr>
                <w:rFonts w:ascii="Times New Roman" w:eastAsia="Times New Roman" w:hAnsi="Times New Roman" w:cs="Times New Roman"/>
                <w:kern w:val="0"/>
                <w:sz w:val="24"/>
                <w:szCs w:val="24"/>
                <w:lang w:val="en-CA" w:eastAsia="en-CA"/>
                <w14:ligatures w14:val="none"/>
              </w:rPr>
              <w:lastRenderedPageBreak/>
              <w:t>20–39 years</w:t>
            </w:r>
          </w:p>
        </w:tc>
        <w:tc>
          <w:tcPr>
            <w:tcW w:w="576" w:type="pct"/>
            <w:tcBorders>
              <w:top w:val="nil"/>
              <w:left w:val="nil"/>
              <w:bottom w:val="single" w:sz="4" w:space="0" w:color="auto"/>
              <w:right w:val="single" w:sz="4" w:space="0" w:color="auto"/>
            </w:tcBorders>
            <w:shd w:val="clear" w:color="000000" w:fill="FFFFFF"/>
            <w:vAlign w:val="center"/>
            <w:hideMark/>
          </w:tcPr>
          <w:p w14:paraId="0B7272C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Data from the National Health and Nutrition Examination Survey </w:t>
            </w:r>
            <w:r w:rsidRPr="006E1C09">
              <w:rPr>
                <w:rFonts w:ascii="Times New Roman" w:eastAsia="Times New Roman" w:hAnsi="Times New Roman" w:cs="Times New Roman"/>
                <w:kern w:val="0"/>
                <w:sz w:val="24"/>
                <w:szCs w:val="24"/>
                <w:lang w:val="en-CA" w:eastAsia="en-CA"/>
                <w14:ligatures w14:val="none"/>
              </w:rPr>
              <w:lastRenderedPageBreak/>
              <w:t>(NHANES)</w:t>
            </w:r>
          </w:p>
        </w:tc>
        <w:tc>
          <w:tcPr>
            <w:tcW w:w="487" w:type="pct"/>
            <w:tcBorders>
              <w:top w:val="nil"/>
              <w:left w:val="nil"/>
              <w:bottom w:val="single" w:sz="4" w:space="0" w:color="auto"/>
              <w:right w:val="single" w:sz="4" w:space="0" w:color="auto"/>
            </w:tcBorders>
            <w:shd w:val="clear" w:color="000000" w:fill="FFFFFF"/>
            <w:vAlign w:val="center"/>
            <w:hideMark/>
          </w:tcPr>
          <w:p w14:paraId="40AA5F1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To determine the associations between OC use durin</w:t>
            </w:r>
            <w:r w:rsidRPr="006E1C09">
              <w:rPr>
                <w:rFonts w:ascii="Times New Roman" w:eastAsia="Times New Roman" w:hAnsi="Times New Roman" w:cs="Times New Roman"/>
                <w:kern w:val="0"/>
                <w:sz w:val="24"/>
                <w:szCs w:val="24"/>
                <w:lang w:val="en-CA" w:eastAsia="en-CA"/>
                <w14:ligatures w14:val="none"/>
              </w:rPr>
              <w:lastRenderedPageBreak/>
              <w:t xml:space="preserve">g the past year and full and subthreshold MDD, GAD, and PD during the past year; and determine whether these associations are confounded by history of OC use in the comparison group, or duration of former OC use, or </w:t>
            </w:r>
            <w:r w:rsidRPr="006E1C09">
              <w:rPr>
                <w:rFonts w:ascii="Times New Roman" w:eastAsia="Times New Roman" w:hAnsi="Times New Roman" w:cs="Times New Roman"/>
                <w:kern w:val="0"/>
                <w:sz w:val="24"/>
                <w:szCs w:val="24"/>
                <w:lang w:val="en-CA" w:eastAsia="en-CA"/>
                <w14:ligatures w14:val="none"/>
              </w:rPr>
              <w:lastRenderedPageBreak/>
              <w:t>vary by OC formulation</w:t>
            </w:r>
          </w:p>
        </w:tc>
        <w:tc>
          <w:tcPr>
            <w:tcW w:w="533" w:type="pct"/>
            <w:tcBorders>
              <w:top w:val="nil"/>
              <w:left w:val="nil"/>
              <w:bottom w:val="single" w:sz="4" w:space="0" w:color="auto"/>
              <w:right w:val="single" w:sz="4" w:space="0" w:color="auto"/>
            </w:tcBorders>
            <w:shd w:val="clear" w:color="000000" w:fill="FFFFFF"/>
            <w:vAlign w:val="center"/>
            <w:hideMark/>
          </w:tcPr>
          <w:p w14:paraId="630FAA0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Combined (estrogen and progestin) OCs (monophasic or multi </w:t>
            </w:r>
            <w:r w:rsidRPr="006E1C09">
              <w:rPr>
                <w:rFonts w:ascii="Times New Roman" w:eastAsia="Times New Roman" w:hAnsi="Times New Roman" w:cs="Times New Roman"/>
                <w:kern w:val="0"/>
                <w:sz w:val="24"/>
                <w:szCs w:val="24"/>
                <w:lang w:val="en-CA" w:eastAsia="en-CA"/>
                <w14:ligatures w14:val="none"/>
              </w:rPr>
              <w:t>(bi- or tri-)-phasic), injectable birth control, progestin-only OCs, non-contraceptive estrogen/progestin medications</w:t>
            </w:r>
          </w:p>
        </w:tc>
        <w:tc>
          <w:tcPr>
            <w:tcW w:w="346" w:type="pct"/>
            <w:tcBorders>
              <w:top w:val="nil"/>
              <w:left w:val="nil"/>
              <w:bottom w:val="single" w:sz="4" w:space="0" w:color="auto"/>
              <w:right w:val="single" w:sz="4" w:space="0" w:color="auto"/>
            </w:tcBorders>
            <w:shd w:val="clear" w:color="000000" w:fill="FFFFFF"/>
            <w:vAlign w:val="center"/>
            <w:hideMark/>
          </w:tcPr>
          <w:p w14:paraId="6AFBE91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Data from from 1999 to 2004. Contin</w:t>
            </w:r>
            <w:r w:rsidRPr="006E1C09">
              <w:rPr>
                <w:rFonts w:ascii="Times New Roman" w:eastAsia="Times New Roman" w:hAnsi="Times New Roman" w:cs="Times New Roman"/>
                <w:kern w:val="0"/>
                <w:sz w:val="24"/>
                <w:szCs w:val="24"/>
                <w:lang w:val="en-CA" w:eastAsia="en-CA"/>
                <w14:ligatures w14:val="none"/>
              </w:rPr>
              <w:lastRenderedPageBreak/>
              <w:t>uous use could not be distinguished from intermittent use.</w:t>
            </w:r>
          </w:p>
        </w:tc>
        <w:tc>
          <w:tcPr>
            <w:tcW w:w="484" w:type="pct"/>
            <w:tcBorders>
              <w:top w:val="nil"/>
              <w:left w:val="nil"/>
              <w:bottom w:val="single" w:sz="4" w:space="0" w:color="auto"/>
              <w:right w:val="single" w:sz="4" w:space="0" w:color="auto"/>
            </w:tcBorders>
            <w:shd w:val="clear" w:color="000000" w:fill="FFFFFF"/>
            <w:vAlign w:val="center"/>
            <w:hideMark/>
          </w:tcPr>
          <w:p w14:paraId="5D295FC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Oral contraceptive (OC) use is associated with a reduced </w:t>
            </w:r>
            <w:r w:rsidRPr="006E1C09">
              <w:rPr>
                <w:rFonts w:ascii="Times New Roman" w:eastAsia="Times New Roman" w:hAnsi="Times New Roman" w:cs="Times New Roman"/>
                <w:kern w:val="0"/>
                <w:sz w:val="24"/>
                <w:szCs w:val="24"/>
                <w:lang w:val="en-CA" w:eastAsia="en-CA"/>
                <w14:ligatures w14:val="none"/>
              </w:rPr>
              <w:lastRenderedPageBreak/>
              <w:t>occurrence of panic disorder (PD) diagnosis or symptoms. The association with major depressive disorder (MDD) and generalized anxiety disorder (GAD) was not statistically significant</w:t>
            </w:r>
          </w:p>
        </w:tc>
        <w:tc>
          <w:tcPr>
            <w:tcW w:w="372" w:type="pct"/>
            <w:tcBorders>
              <w:top w:val="nil"/>
              <w:left w:val="nil"/>
              <w:bottom w:val="single" w:sz="4" w:space="0" w:color="auto"/>
              <w:right w:val="single" w:sz="4" w:space="0" w:color="auto"/>
            </w:tcBorders>
            <w:shd w:val="clear" w:color="000000" w:fill="FFFFFF"/>
            <w:vAlign w:val="center"/>
            <w:hideMark/>
          </w:tcPr>
          <w:p w14:paraId="174B780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4547B91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Major depressive disorder (MDD), generalized anxiety disorder </w:t>
            </w:r>
            <w:r w:rsidRPr="006E1C09">
              <w:rPr>
                <w:rFonts w:ascii="Times New Roman" w:eastAsia="Times New Roman" w:hAnsi="Times New Roman" w:cs="Times New Roman"/>
                <w:kern w:val="0"/>
                <w:sz w:val="24"/>
                <w:szCs w:val="24"/>
                <w:lang w:val="en-CA" w:eastAsia="en-CA"/>
                <w14:ligatures w14:val="none"/>
              </w:rPr>
              <w:lastRenderedPageBreak/>
              <w:t>(GAD), and panic disorder (PD). Automated WHO Composite International Diagnostic Interview (CIDI) 2.1 for assessing mental disorders according to criteria of the ICD-10 and DSM-IV</w:t>
            </w:r>
          </w:p>
        </w:tc>
        <w:tc>
          <w:tcPr>
            <w:tcW w:w="423" w:type="pct"/>
            <w:tcBorders>
              <w:top w:val="nil"/>
              <w:left w:val="nil"/>
              <w:bottom w:val="single" w:sz="4" w:space="0" w:color="auto"/>
              <w:right w:val="single" w:sz="4" w:space="0" w:color="auto"/>
            </w:tcBorders>
            <w:shd w:val="clear" w:color="000000" w:fill="FFFFFF"/>
            <w:vAlign w:val="center"/>
            <w:hideMark/>
          </w:tcPr>
          <w:p w14:paraId="6B94BBC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43F507B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Association between OC use and reduced occurrence of PD </w:t>
            </w:r>
            <w:r w:rsidRPr="006E1C09">
              <w:rPr>
                <w:rFonts w:ascii="Times New Roman" w:eastAsia="Times New Roman" w:hAnsi="Times New Roman" w:cs="Times New Roman"/>
                <w:kern w:val="0"/>
                <w:sz w:val="24"/>
                <w:szCs w:val="24"/>
                <w:lang w:val="en-CA" w:eastAsia="en-CA"/>
                <w14:ligatures w14:val="none"/>
              </w:rPr>
              <w:lastRenderedPageBreak/>
              <w:t>diagnosis or symptoms. OC use was also associated with a non-significant trend toward reduced odds of MDD diagnosis and diagnostic/subthreshold GAD.</w:t>
            </w:r>
            <w:r w:rsidRPr="006E1C09">
              <w:rPr>
                <w:rFonts w:ascii="Times New Roman" w:eastAsia="Times New Roman" w:hAnsi="Times New Roman" w:cs="Times New Roman"/>
                <w:kern w:val="0"/>
                <w:sz w:val="24"/>
                <w:szCs w:val="24"/>
                <w:lang w:val="en-CA" w:eastAsia="en-CA"/>
                <w14:ligatures w14:val="none"/>
              </w:rPr>
              <w:br/>
              <w:t>• No significant associations between OC use and risk of MDD diagnosis or subthr</w:t>
            </w:r>
            <w:r w:rsidRPr="006E1C09">
              <w:rPr>
                <w:rFonts w:ascii="Times New Roman" w:eastAsia="Times New Roman" w:hAnsi="Times New Roman" w:cs="Times New Roman"/>
                <w:kern w:val="0"/>
                <w:sz w:val="24"/>
                <w:szCs w:val="24"/>
                <w:lang w:val="en-CA" w:eastAsia="en-CA"/>
                <w14:ligatures w14:val="none"/>
              </w:rPr>
              <w:lastRenderedPageBreak/>
              <w:t>eshold MDD or GAD. The adjusted OR estimates for each of these outcomes, and for all disorders combined, were in the protective direction when compared to former OC users.</w:t>
            </w:r>
            <w:r w:rsidRPr="006E1C09">
              <w:rPr>
                <w:rFonts w:ascii="Times New Roman" w:eastAsia="Times New Roman" w:hAnsi="Times New Roman" w:cs="Times New Roman"/>
                <w:kern w:val="0"/>
                <w:sz w:val="24"/>
                <w:szCs w:val="24"/>
                <w:lang w:val="en-CA" w:eastAsia="en-CA"/>
                <w14:ligatures w14:val="none"/>
              </w:rPr>
              <w:br/>
              <w:t xml:space="preserve">• Each psychiatric disorder was least common among never users of </w:t>
            </w:r>
            <w:r w:rsidRPr="006E1C09">
              <w:rPr>
                <w:rFonts w:ascii="Times New Roman" w:eastAsia="Times New Roman" w:hAnsi="Times New Roman" w:cs="Times New Roman"/>
                <w:kern w:val="0"/>
                <w:sz w:val="24"/>
                <w:szCs w:val="24"/>
                <w:lang w:val="en-CA" w:eastAsia="en-CA"/>
                <w14:ligatures w14:val="none"/>
              </w:rPr>
              <w:lastRenderedPageBreak/>
              <w:t xml:space="preserve">OCs and most common among former users, with past-year OC users showing intermediate prevalence. The exception was PD, which occurred at subthreshold or diagnostic levels among 2.6 % of both past-year and never OC users versus </w:t>
            </w:r>
            <w:r w:rsidRPr="006E1C09">
              <w:rPr>
                <w:rFonts w:ascii="Times New Roman" w:eastAsia="Times New Roman" w:hAnsi="Times New Roman" w:cs="Times New Roman"/>
                <w:kern w:val="0"/>
                <w:sz w:val="24"/>
                <w:szCs w:val="24"/>
                <w:lang w:val="en-CA" w:eastAsia="en-CA"/>
                <w14:ligatures w14:val="none"/>
              </w:rPr>
              <w:lastRenderedPageBreak/>
              <w:t>8.7 % of former users.</w:t>
            </w:r>
            <w:r w:rsidRPr="006E1C09">
              <w:rPr>
                <w:rFonts w:ascii="Times New Roman" w:eastAsia="Times New Roman" w:hAnsi="Times New Roman" w:cs="Times New Roman"/>
                <w:kern w:val="0"/>
                <w:sz w:val="24"/>
                <w:szCs w:val="24"/>
                <w:lang w:val="en-CA" w:eastAsia="en-CA"/>
                <w14:ligatures w14:val="none"/>
              </w:rPr>
              <w:br/>
              <w:t xml:space="preserve">• Comparing past-year OC users only to former users strengthened the association between OC use and diagnostic/subthreshold PD (OR=0.34; p&lt;0.05). Results were similar when controlled for duration of OC </w:t>
            </w:r>
            <w:r w:rsidRPr="006E1C09">
              <w:rPr>
                <w:rFonts w:ascii="Times New Roman" w:eastAsia="Times New Roman" w:hAnsi="Times New Roman" w:cs="Times New Roman"/>
                <w:kern w:val="0"/>
                <w:sz w:val="24"/>
                <w:szCs w:val="24"/>
                <w:lang w:val="en-CA" w:eastAsia="en-CA"/>
                <w14:ligatures w14:val="none"/>
              </w:rPr>
              <w:lastRenderedPageBreak/>
              <w:t>use.</w:t>
            </w:r>
            <w:r w:rsidRPr="006E1C09">
              <w:rPr>
                <w:rFonts w:ascii="Times New Roman" w:eastAsia="Times New Roman" w:hAnsi="Times New Roman" w:cs="Times New Roman"/>
                <w:kern w:val="0"/>
                <w:sz w:val="24"/>
                <w:szCs w:val="24"/>
                <w:lang w:val="en-CA" w:eastAsia="en-CA"/>
                <w14:ligatures w14:val="none"/>
              </w:rPr>
              <w:br/>
              <w:t xml:space="preserve">• GAD and MDD were not significantly associated with past-year OC use, regardless of comparison group. The OR for meeting criteria for any disorder diagnosis was 0.52 (95 % CI 0.29, 0.92) for past-year OC users relative to </w:t>
            </w:r>
            <w:r w:rsidRPr="006E1C09">
              <w:rPr>
                <w:rFonts w:ascii="Times New Roman" w:eastAsia="Times New Roman" w:hAnsi="Times New Roman" w:cs="Times New Roman"/>
                <w:kern w:val="0"/>
                <w:sz w:val="24"/>
                <w:szCs w:val="24"/>
                <w:lang w:val="en-CA" w:eastAsia="en-CA"/>
                <w14:ligatures w14:val="none"/>
              </w:rPr>
              <w:lastRenderedPageBreak/>
              <w:t>former OC users, and the association remained after adjusting for duration of OC use</w:t>
            </w:r>
            <w:r w:rsidRPr="006E1C09">
              <w:rPr>
                <w:rFonts w:ascii="Times New Roman" w:eastAsia="Times New Roman" w:hAnsi="Times New Roman" w:cs="Times New Roman"/>
                <w:kern w:val="0"/>
                <w:sz w:val="24"/>
                <w:szCs w:val="24"/>
                <w:lang w:val="en-CA" w:eastAsia="en-CA"/>
                <w14:ligatures w14:val="none"/>
              </w:rPr>
              <w:br/>
              <w:t xml:space="preserve">• Evidence for a difference between the association of monophasic versus multiphasic OCs with subthreshold and diagnostic MDD (p&lt;0.01). Specifically, the </w:t>
            </w:r>
            <w:r w:rsidRPr="006E1C09">
              <w:rPr>
                <w:rFonts w:ascii="Times New Roman" w:eastAsia="Times New Roman" w:hAnsi="Times New Roman" w:cs="Times New Roman"/>
                <w:kern w:val="0"/>
                <w:sz w:val="24"/>
                <w:szCs w:val="24"/>
                <w:lang w:val="en-CA" w:eastAsia="en-CA"/>
                <w14:ligatures w14:val="none"/>
              </w:rPr>
              <w:lastRenderedPageBreak/>
              <w:t>OR for MDD diagnosis was below 1.0 for monophasic OCs and above 1.0 for multiphasic OCs, with the situation reversed for subthreshold MDD (multiphasic OCs protective)</w:t>
            </w:r>
          </w:p>
        </w:tc>
      </w:tr>
      <w:tr w:rsidR="006E1C09" w:rsidRPr="00F87E76" w14:paraId="5E6186C0" w14:textId="77777777" w:rsidTr="006E1C09">
        <w:trPr>
          <w:trHeight w:val="3465"/>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5C55D023"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Cetin et al., 2015</w:t>
            </w:r>
          </w:p>
        </w:tc>
        <w:tc>
          <w:tcPr>
            <w:tcW w:w="298" w:type="pct"/>
            <w:tcBorders>
              <w:top w:val="nil"/>
              <w:left w:val="nil"/>
              <w:bottom w:val="single" w:sz="4" w:space="0" w:color="auto"/>
              <w:right w:val="single" w:sz="4" w:space="0" w:color="auto"/>
            </w:tcBorders>
            <w:shd w:val="clear" w:color="000000" w:fill="FFFFFF"/>
            <w:vAlign w:val="center"/>
            <w:hideMark/>
          </w:tcPr>
          <w:p w14:paraId="631EC91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215 women ranging from 18-35 </w:t>
            </w:r>
            <w:r w:rsidRPr="006E1C09">
              <w:rPr>
                <w:rFonts w:ascii="Times New Roman" w:eastAsia="Times New Roman" w:hAnsi="Times New Roman" w:cs="Times New Roman"/>
                <w:kern w:val="0"/>
                <w:sz w:val="24"/>
                <w:szCs w:val="24"/>
                <w:lang w:val="en-CA" w:eastAsia="en-CA"/>
                <w14:ligatures w14:val="none"/>
              </w:rPr>
              <w:lastRenderedPageBreak/>
              <w:t>years old</w:t>
            </w:r>
          </w:p>
        </w:tc>
        <w:tc>
          <w:tcPr>
            <w:tcW w:w="576" w:type="pct"/>
            <w:tcBorders>
              <w:top w:val="nil"/>
              <w:left w:val="nil"/>
              <w:bottom w:val="single" w:sz="4" w:space="0" w:color="auto"/>
              <w:right w:val="single" w:sz="4" w:space="0" w:color="auto"/>
            </w:tcBorders>
            <w:shd w:val="clear" w:color="000000" w:fill="FFFFFF"/>
            <w:vAlign w:val="center"/>
            <w:hideMark/>
          </w:tcPr>
          <w:p w14:paraId="2F14A922"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Prospective observational study</w:t>
            </w:r>
          </w:p>
        </w:tc>
        <w:tc>
          <w:tcPr>
            <w:tcW w:w="487" w:type="pct"/>
            <w:tcBorders>
              <w:top w:val="nil"/>
              <w:left w:val="nil"/>
              <w:bottom w:val="single" w:sz="4" w:space="0" w:color="auto"/>
              <w:right w:val="single" w:sz="4" w:space="0" w:color="auto"/>
            </w:tcBorders>
            <w:shd w:val="clear" w:color="000000" w:fill="FFFFFF"/>
            <w:vAlign w:val="center"/>
            <w:hideMark/>
          </w:tcPr>
          <w:p w14:paraId="46A93EE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study and compare the effects of COCs containing differ</w:t>
            </w:r>
            <w:r w:rsidRPr="006E1C09">
              <w:rPr>
                <w:rFonts w:ascii="Times New Roman" w:eastAsia="Times New Roman" w:hAnsi="Times New Roman" w:cs="Times New Roman"/>
                <w:kern w:val="0"/>
                <w:sz w:val="24"/>
                <w:szCs w:val="24"/>
                <w:lang w:val="en-CA" w:eastAsia="en-CA"/>
                <w14:ligatures w14:val="none"/>
              </w:rPr>
              <w:lastRenderedPageBreak/>
              <w:t>ent progestins (levonorgestrel, gestodene, drosperinone) on the sexual function and well-being of women</w:t>
            </w:r>
          </w:p>
        </w:tc>
        <w:tc>
          <w:tcPr>
            <w:tcW w:w="533" w:type="pct"/>
            <w:tcBorders>
              <w:top w:val="nil"/>
              <w:left w:val="nil"/>
              <w:bottom w:val="single" w:sz="4" w:space="0" w:color="auto"/>
              <w:right w:val="single" w:sz="4" w:space="0" w:color="auto"/>
            </w:tcBorders>
            <w:shd w:val="clear" w:color="000000" w:fill="FFFFFF"/>
            <w:vAlign w:val="bottom"/>
            <w:hideMark/>
          </w:tcPr>
          <w:p w14:paraId="65DF6E5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Drospirenone-containing COCs (30 mcg EE-3 mg drosperinon</w:t>
            </w:r>
            <w:r w:rsidRPr="006E1C09">
              <w:rPr>
                <w:rFonts w:ascii="Times New Roman" w:eastAsia="Times New Roman" w:hAnsi="Times New Roman" w:cs="Times New Roman"/>
                <w:kern w:val="0"/>
                <w:sz w:val="24"/>
                <w:szCs w:val="24"/>
                <w:lang w:val="en-CA" w:eastAsia="en-CA"/>
                <w14:ligatures w14:val="none"/>
              </w:rPr>
              <w:lastRenderedPageBreak/>
              <w:t>e) (n =52)</w:t>
            </w:r>
            <w:r w:rsidRPr="006E1C09">
              <w:rPr>
                <w:rFonts w:ascii="Times New Roman" w:eastAsia="Times New Roman" w:hAnsi="Times New Roman" w:cs="Times New Roman"/>
                <w:kern w:val="0"/>
                <w:sz w:val="24"/>
                <w:szCs w:val="24"/>
                <w:lang w:val="en-CA" w:eastAsia="en-CA"/>
                <w14:ligatures w14:val="none"/>
              </w:rPr>
              <w:br/>
              <w:t>• Gestodene-containing COCs (30mcg EE-75mcg gestodene) (n = 48)</w:t>
            </w:r>
            <w:r w:rsidRPr="006E1C09">
              <w:rPr>
                <w:rFonts w:ascii="Times New Roman" w:eastAsia="Times New Roman" w:hAnsi="Times New Roman" w:cs="Times New Roman"/>
                <w:kern w:val="0"/>
                <w:sz w:val="24"/>
                <w:szCs w:val="24"/>
                <w:lang w:val="en-CA" w:eastAsia="en-CA"/>
                <w14:ligatures w14:val="none"/>
              </w:rPr>
              <w:br/>
              <w:t>• Levonorgestrel-containing COCs (30mcg EE-150 mcg LNG) (n = 55)</w:t>
            </w:r>
            <w:r w:rsidRPr="006E1C09">
              <w:rPr>
                <w:rFonts w:ascii="Times New Roman" w:eastAsia="Times New Roman" w:hAnsi="Times New Roman" w:cs="Times New Roman"/>
                <w:kern w:val="0"/>
                <w:sz w:val="24"/>
                <w:szCs w:val="24"/>
                <w:lang w:val="en-CA" w:eastAsia="en-CA"/>
                <w14:ligatures w14:val="none"/>
              </w:rPr>
              <w:br/>
              <w:t>•Non-hormonal contraception methods (traditional and condom) (n = 60)</w:t>
            </w:r>
          </w:p>
        </w:tc>
        <w:tc>
          <w:tcPr>
            <w:tcW w:w="346" w:type="pct"/>
            <w:tcBorders>
              <w:top w:val="nil"/>
              <w:left w:val="nil"/>
              <w:bottom w:val="single" w:sz="4" w:space="0" w:color="auto"/>
              <w:right w:val="single" w:sz="4" w:space="0" w:color="auto"/>
            </w:tcBorders>
            <w:shd w:val="clear" w:color="000000" w:fill="FFFFFF"/>
            <w:vAlign w:val="center"/>
            <w:hideMark/>
          </w:tcPr>
          <w:p w14:paraId="479A2AC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Over 6 treatment cycles</w:t>
            </w:r>
          </w:p>
        </w:tc>
        <w:tc>
          <w:tcPr>
            <w:tcW w:w="484" w:type="pct"/>
            <w:tcBorders>
              <w:top w:val="nil"/>
              <w:left w:val="nil"/>
              <w:bottom w:val="single" w:sz="4" w:space="0" w:color="auto"/>
              <w:right w:val="single" w:sz="4" w:space="0" w:color="auto"/>
            </w:tcBorders>
            <w:shd w:val="clear" w:color="000000" w:fill="FFFFFF"/>
            <w:vAlign w:val="center"/>
            <w:hideMark/>
          </w:tcPr>
          <w:p w14:paraId="0067B5D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Hormonal contraceptive (HC) use was associated with increased </w:t>
            </w:r>
            <w:r w:rsidRPr="006E1C09">
              <w:rPr>
                <w:rFonts w:ascii="Times New Roman" w:eastAsia="Times New Roman" w:hAnsi="Times New Roman" w:cs="Times New Roman"/>
                <w:kern w:val="0"/>
                <w:sz w:val="24"/>
                <w:szCs w:val="24"/>
                <w:lang w:val="en-CA" w:eastAsia="en-CA"/>
                <w14:ligatures w14:val="none"/>
              </w:rPr>
              <w:lastRenderedPageBreak/>
              <w:t>depression scores (indicating a higher risk of clinical depression) and improved sexual function over six cycles of treatment.</w:t>
            </w:r>
          </w:p>
        </w:tc>
        <w:tc>
          <w:tcPr>
            <w:tcW w:w="372" w:type="pct"/>
            <w:tcBorders>
              <w:top w:val="nil"/>
              <w:left w:val="nil"/>
              <w:bottom w:val="single" w:sz="4" w:space="0" w:color="auto"/>
              <w:right w:val="single" w:sz="4" w:space="0" w:color="auto"/>
            </w:tcBorders>
            <w:shd w:val="clear" w:color="000000" w:fill="FFFFFF"/>
            <w:vAlign w:val="center"/>
            <w:hideMark/>
          </w:tcPr>
          <w:p w14:paraId="25B8A12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370AFBA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Depressive symptoms assessed by the Beck Depression Inventory (BDI). </w:t>
            </w:r>
            <w:r w:rsidRPr="006E1C09">
              <w:rPr>
                <w:rFonts w:ascii="Times New Roman" w:eastAsia="Times New Roman" w:hAnsi="Times New Roman" w:cs="Times New Roman"/>
                <w:kern w:val="0"/>
                <w:sz w:val="24"/>
                <w:szCs w:val="24"/>
                <w:lang w:val="en-CA" w:eastAsia="en-CA"/>
                <w14:ligatures w14:val="none"/>
              </w:rPr>
              <w:lastRenderedPageBreak/>
              <w:t>Sexual function assessed by Female Sexual Function Index (FSFI)</w:t>
            </w:r>
          </w:p>
        </w:tc>
        <w:tc>
          <w:tcPr>
            <w:tcW w:w="423" w:type="pct"/>
            <w:tcBorders>
              <w:top w:val="nil"/>
              <w:left w:val="nil"/>
              <w:bottom w:val="single" w:sz="4" w:space="0" w:color="auto"/>
              <w:right w:val="single" w:sz="4" w:space="0" w:color="auto"/>
            </w:tcBorders>
            <w:shd w:val="clear" w:color="000000" w:fill="FFFFFF"/>
            <w:vAlign w:val="center"/>
            <w:hideMark/>
          </w:tcPr>
          <w:p w14:paraId="3B66386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5B8D7F8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median total baseline score of BDI for the groups was 8.08. </w:t>
            </w:r>
            <w:r w:rsidRPr="006E1C09">
              <w:rPr>
                <w:rFonts w:ascii="Times New Roman" w:eastAsia="Times New Roman" w:hAnsi="Times New Roman" w:cs="Times New Roman"/>
                <w:kern w:val="0"/>
                <w:sz w:val="24"/>
                <w:szCs w:val="24"/>
                <w:lang w:val="en-CA" w:eastAsia="en-CA"/>
                <w14:ligatures w14:val="none"/>
              </w:rPr>
              <w:lastRenderedPageBreak/>
              <w:t>There was no significant differences between four groups (p=0.263). The median total score of BDI after treatment of six cycles was 11.15.</w:t>
            </w:r>
            <w:r w:rsidRPr="006E1C09">
              <w:rPr>
                <w:rFonts w:ascii="Times New Roman" w:eastAsia="Times New Roman" w:hAnsi="Times New Roman" w:cs="Times New Roman"/>
                <w:kern w:val="0"/>
                <w:sz w:val="24"/>
                <w:szCs w:val="24"/>
                <w:lang w:val="en-CA" w:eastAsia="en-CA"/>
                <w14:ligatures w14:val="none"/>
              </w:rPr>
              <w:br/>
              <w:t xml:space="preserve">• For drosperinone, gestodene and LNG groups; there were a significant increase between the </w:t>
            </w:r>
            <w:r w:rsidRPr="006E1C09">
              <w:rPr>
                <w:rFonts w:ascii="Times New Roman" w:eastAsia="Times New Roman" w:hAnsi="Times New Roman" w:cs="Times New Roman"/>
                <w:kern w:val="0"/>
                <w:sz w:val="24"/>
                <w:szCs w:val="24"/>
                <w:lang w:val="en-CA" w:eastAsia="en-CA"/>
                <w14:ligatures w14:val="none"/>
              </w:rPr>
              <w:lastRenderedPageBreak/>
              <w:t>scores at baseline and after six cycles of treatment (p: 0,000). This change was significant for clinical depression.</w:t>
            </w:r>
            <w:r w:rsidRPr="006E1C09">
              <w:rPr>
                <w:rFonts w:ascii="Times New Roman" w:eastAsia="Times New Roman" w:hAnsi="Times New Roman" w:cs="Times New Roman"/>
                <w:kern w:val="0"/>
                <w:sz w:val="24"/>
                <w:szCs w:val="24"/>
                <w:lang w:val="en-CA" w:eastAsia="en-CA"/>
                <w14:ligatures w14:val="none"/>
              </w:rPr>
              <w:br/>
              <w:t>• Hormonal contraception users had higher BDI scores than non- hormonal contraception users after six cycles of treatm</w:t>
            </w:r>
            <w:r w:rsidRPr="006E1C09">
              <w:rPr>
                <w:rFonts w:ascii="Times New Roman" w:eastAsia="Times New Roman" w:hAnsi="Times New Roman" w:cs="Times New Roman"/>
                <w:kern w:val="0"/>
                <w:sz w:val="24"/>
                <w:szCs w:val="24"/>
                <w:lang w:val="en-CA" w:eastAsia="en-CA"/>
                <w14:ligatures w14:val="none"/>
              </w:rPr>
              <w:lastRenderedPageBreak/>
              <w:t xml:space="preserve">ent. (p=0.004). </w:t>
            </w:r>
            <w:r w:rsidRPr="006E1C09">
              <w:rPr>
                <w:rFonts w:ascii="Times New Roman" w:eastAsia="Times New Roman" w:hAnsi="Times New Roman" w:cs="Times New Roman"/>
                <w:kern w:val="0"/>
                <w:sz w:val="24"/>
                <w:szCs w:val="24"/>
                <w:lang w:val="en-CA" w:eastAsia="en-CA"/>
                <w14:ligatures w14:val="none"/>
              </w:rPr>
              <w:br/>
              <w:t>• In hormonal contraception subgroup, there was no significant difference between three groups (drosperinone, gestoden, LNG) in BDI scores after six cycles of treatment.</w:t>
            </w:r>
            <w:r w:rsidRPr="006E1C09">
              <w:rPr>
                <w:rFonts w:ascii="Times New Roman" w:eastAsia="Times New Roman" w:hAnsi="Times New Roman" w:cs="Times New Roman"/>
                <w:kern w:val="0"/>
                <w:sz w:val="24"/>
                <w:szCs w:val="24"/>
                <w:lang w:val="en-CA" w:eastAsia="en-CA"/>
                <w14:ligatures w14:val="none"/>
              </w:rPr>
              <w:br/>
              <w:t xml:space="preserve">• The median baseline total score of </w:t>
            </w:r>
            <w:r w:rsidRPr="006E1C09">
              <w:rPr>
                <w:rFonts w:ascii="Times New Roman" w:eastAsia="Times New Roman" w:hAnsi="Times New Roman" w:cs="Times New Roman"/>
                <w:kern w:val="0"/>
                <w:sz w:val="24"/>
                <w:szCs w:val="24"/>
                <w:lang w:val="en-CA" w:eastAsia="en-CA"/>
                <w14:ligatures w14:val="none"/>
              </w:rPr>
              <w:lastRenderedPageBreak/>
              <w:t>FSFI for the groups was 30.69. There was no significant difference between four groups (p=0.378). The median total score of FSFI after treatment for six cycles was 33.18.</w:t>
            </w:r>
            <w:r w:rsidRPr="006E1C09">
              <w:rPr>
                <w:rFonts w:ascii="Times New Roman" w:eastAsia="Times New Roman" w:hAnsi="Times New Roman" w:cs="Times New Roman"/>
                <w:kern w:val="0"/>
                <w:sz w:val="24"/>
                <w:szCs w:val="24"/>
                <w:lang w:val="en-CA" w:eastAsia="en-CA"/>
                <w14:ligatures w14:val="none"/>
              </w:rPr>
              <w:br/>
              <w:t xml:space="preserve">• Hormonal contraception users (drosperinone, gestodene, LNG) </w:t>
            </w:r>
            <w:r w:rsidRPr="006E1C09">
              <w:rPr>
                <w:rFonts w:ascii="Times New Roman" w:eastAsia="Times New Roman" w:hAnsi="Times New Roman" w:cs="Times New Roman"/>
                <w:kern w:val="0"/>
                <w:sz w:val="24"/>
                <w:szCs w:val="24"/>
                <w:lang w:val="en-CA" w:eastAsia="en-CA"/>
                <w14:ligatures w14:val="none"/>
              </w:rPr>
              <w:lastRenderedPageBreak/>
              <w:t xml:space="preserve">had higher FSFI scores than non-hormonal contraception users after six cycles of treatment compared to non-hormonal contraception users (p=0.000). No significant differences between the three groups of hormonal contraception </w:t>
            </w:r>
            <w:r w:rsidRPr="006E1C09">
              <w:rPr>
                <w:rFonts w:ascii="Times New Roman" w:eastAsia="Times New Roman" w:hAnsi="Times New Roman" w:cs="Times New Roman"/>
                <w:kern w:val="0"/>
                <w:sz w:val="24"/>
                <w:szCs w:val="24"/>
                <w:lang w:val="en-CA" w:eastAsia="en-CA"/>
                <w14:ligatures w14:val="none"/>
              </w:rPr>
              <w:lastRenderedPageBreak/>
              <w:t>(p=0.905).</w:t>
            </w:r>
          </w:p>
        </w:tc>
      </w:tr>
      <w:tr w:rsidR="006E1C09" w:rsidRPr="00F87E76" w14:paraId="42FC9918"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5E7B5C80"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Lundin et al., 2017</w:t>
            </w:r>
          </w:p>
        </w:tc>
        <w:tc>
          <w:tcPr>
            <w:tcW w:w="298" w:type="pct"/>
            <w:tcBorders>
              <w:top w:val="nil"/>
              <w:left w:val="nil"/>
              <w:bottom w:val="single" w:sz="4" w:space="0" w:color="auto"/>
              <w:right w:val="single" w:sz="4" w:space="0" w:color="auto"/>
            </w:tcBorders>
            <w:shd w:val="clear" w:color="000000" w:fill="FFFFFF"/>
            <w:vAlign w:val="center"/>
            <w:hideMark/>
          </w:tcPr>
          <w:p w14:paraId="3D9871C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202 women ranging from 18-35 years</w:t>
            </w:r>
          </w:p>
        </w:tc>
        <w:tc>
          <w:tcPr>
            <w:tcW w:w="576" w:type="pct"/>
            <w:tcBorders>
              <w:top w:val="nil"/>
              <w:left w:val="nil"/>
              <w:bottom w:val="single" w:sz="4" w:space="0" w:color="auto"/>
              <w:right w:val="single" w:sz="4" w:space="0" w:color="auto"/>
            </w:tcBorders>
            <w:shd w:val="clear" w:color="000000" w:fill="FFFFFF"/>
            <w:vAlign w:val="center"/>
            <w:hideMark/>
          </w:tcPr>
          <w:p w14:paraId="1C5243A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Double-blind, placebo-controlled randomized trial</w:t>
            </w:r>
          </w:p>
        </w:tc>
        <w:tc>
          <w:tcPr>
            <w:tcW w:w="487" w:type="pct"/>
            <w:tcBorders>
              <w:top w:val="nil"/>
              <w:left w:val="nil"/>
              <w:bottom w:val="single" w:sz="4" w:space="0" w:color="auto"/>
              <w:right w:val="single" w:sz="4" w:space="0" w:color="auto"/>
            </w:tcBorders>
            <w:shd w:val="clear" w:color="000000" w:fill="FFFFFF"/>
            <w:vAlign w:val="center"/>
            <w:hideMark/>
          </w:tcPr>
          <w:p w14:paraId="1AFB0FE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prospectively estimate the severity of adverse mood in combined oral contraceptive (COC) users.</w:t>
            </w:r>
            <w:r w:rsidRPr="006E1C09">
              <w:rPr>
                <w:rFonts w:ascii="Times New Roman" w:eastAsia="Times New Roman" w:hAnsi="Times New Roman" w:cs="Times New Roman"/>
                <w:kern w:val="0"/>
                <w:sz w:val="24"/>
                <w:szCs w:val="24"/>
                <w:lang w:val="en-CA" w:eastAsia="en-CA"/>
                <w14:ligatures w14:val="none"/>
              </w:rPr>
              <w:br/>
              <w:t>To investigate whether COC use is associated with mood-</w:t>
            </w:r>
            <w:r w:rsidRPr="006E1C09">
              <w:rPr>
                <w:rFonts w:ascii="Times New Roman" w:eastAsia="Times New Roman" w:hAnsi="Times New Roman" w:cs="Times New Roman"/>
                <w:kern w:val="0"/>
                <w:sz w:val="24"/>
                <w:szCs w:val="24"/>
                <w:lang w:val="en-CA" w:eastAsia="en-CA"/>
                <w14:ligatures w14:val="none"/>
              </w:rPr>
              <w:lastRenderedPageBreak/>
              <w:t>related side effects.</w:t>
            </w:r>
          </w:p>
        </w:tc>
        <w:tc>
          <w:tcPr>
            <w:tcW w:w="533" w:type="pct"/>
            <w:tcBorders>
              <w:top w:val="nil"/>
              <w:left w:val="nil"/>
              <w:bottom w:val="single" w:sz="4" w:space="0" w:color="auto"/>
              <w:right w:val="single" w:sz="4" w:space="0" w:color="auto"/>
            </w:tcBorders>
            <w:shd w:val="clear" w:color="000000" w:fill="FFFFFF"/>
            <w:vAlign w:val="center"/>
            <w:hideMark/>
          </w:tcPr>
          <w:p w14:paraId="2C9DD26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Combined oral contraceptive (COC) containing 1.5 mg estradiol and 2.5 mg nomegestrol acetate</w:t>
            </w:r>
          </w:p>
        </w:tc>
        <w:tc>
          <w:tcPr>
            <w:tcW w:w="346" w:type="pct"/>
            <w:tcBorders>
              <w:top w:val="nil"/>
              <w:left w:val="nil"/>
              <w:bottom w:val="single" w:sz="4" w:space="0" w:color="auto"/>
              <w:right w:val="single" w:sz="4" w:space="0" w:color="auto"/>
            </w:tcBorders>
            <w:shd w:val="clear" w:color="000000" w:fill="FFFFFF"/>
            <w:vAlign w:val="center"/>
            <w:hideMark/>
          </w:tcPr>
          <w:p w14:paraId="3D9DB02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Three treatment cycles (24 days of active pills followed by 4 pill-free days).</w:t>
            </w:r>
          </w:p>
        </w:tc>
        <w:tc>
          <w:tcPr>
            <w:tcW w:w="484" w:type="pct"/>
            <w:tcBorders>
              <w:top w:val="nil"/>
              <w:left w:val="nil"/>
              <w:bottom w:val="single" w:sz="4" w:space="0" w:color="auto"/>
              <w:right w:val="single" w:sz="4" w:space="0" w:color="auto"/>
            </w:tcBorders>
            <w:shd w:val="clear" w:color="000000" w:fill="FFFFFF"/>
            <w:vAlign w:val="center"/>
            <w:hideMark/>
          </w:tcPr>
          <w:p w14:paraId="657CAAB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COC use was linked to higher levels of anxiety, mood swings, irritability, and decreased interest in usual activities particularly between cycle days 8-21, but not in the </w:t>
            </w:r>
            <w:r w:rsidRPr="006E1C09">
              <w:rPr>
                <w:rFonts w:ascii="Times New Roman" w:eastAsia="Times New Roman" w:hAnsi="Times New Roman" w:cs="Times New Roman"/>
                <w:kern w:val="0"/>
                <w:sz w:val="24"/>
                <w:szCs w:val="24"/>
                <w:lang w:val="en-CA" w:eastAsia="en-CA"/>
                <w14:ligatures w14:val="none"/>
              </w:rPr>
              <w:lastRenderedPageBreak/>
              <w:t>early cycle phase (days 5-7). The incidence of new-onset subclinical depression did not differ between groups</w:t>
            </w:r>
          </w:p>
        </w:tc>
        <w:tc>
          <w:tcPr>
            <w:tcW w:w="372" w:type="pct"/>
            <w:tcBorders>
              <w:top w:val="nil"/>
              <w:left w:val="nil"/>
              <w:bottom w:val="single" w:sz="4" w:space="0" w:color="auto"/>
              <w:right w:val="single" w:sz="4" w:space="0" w:color="auto"/>
            </w:tcBorders>
            <w:shd w:val="clear" w:color="000000" w:fill="FFFFFF"/>
            <w:vAlign w:val="center"/>
            <w:hideMark/>
          </w:tcPr>
          <w:p w14:paraId="7AAE8F7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15C39A2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Daily Record of Severity of Problems (DRSP) for mood and physical symptoms. Montgomery-Åsberg Depression Rating Scale (MADRS-S)</w:t>
            </w:r>
          </w:p>
        </w:tc>
        <w:tc>
          <w:tcPr>
            <w:tcW w:w="423" w:type="pct"/>
            <w:tcBorders>
              <w:top w:val="nil"/>
              <w:left w:val="nil"/>
              <w:bottom w:val="single" w:sz="4" w:space="0" w:color="auto"/>
              <w:right w:val="single" w:sz="4" w:space="0" w:color="auto"/>
            </w:tcBorders>
            <w:shd w:val="clear" w:color="000000" w:fill="FFFFFF"/>
            <w:hideMark/>
          </w:tcPr>
          <w:p w14:paraId="0BFDD22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Some participants had a history of premenstrual syndrome (PMS) or premenstrual dysphoric disorder (PMDD). Presence of ongo</w:t>
            </w:r>
            <w:r w:rsidRPr="006E1C09">
              <w:rPr>
                <w:rFonts w:ascii="Times New Roman" w:eastAsia="Times New Roman" w:hAnsi="Times New Roman" w:cs="Times New Roman"/>
                <w:kern w:val="0"/>
                <w:sz w:val="24"/>
                <w:szCs w:val="24"/>
                <w:lang w:val="en-CA" w:eastAsia="en-CA"/>
                <w14:ligatures w14:val="none"/>
              </w:rPr>
              <w:lastRenderedPageBreak/>
              <w:t>ing primary depressive and anxiety disorders was established by use of the Mini International Neuropsychiatric Interview.</w:t>
            </w:r>
          </w:p>
        </w:tc>
        <w:tc>
          <w:tcPr>
            <w:tcW w:w="538" w:type="pct"/>
            <w:tcBorders>
              <w:top w:val="single" w:sz="4" w:space="0" w:color="auto"/>
              <w:left w:val="nil"/>
              <w:bottom w:val="single" w:sz="4" w:space="0" w:color="auto"/>
              <w:right w:val="single" w:sz="4" w:space="0" w:color="auto"/>
            </w:tcBorders>
            <w:shd w:val="clear" w:color="000000" w:fill="FFFFFF"/>
            <w:hideMark/>
          </w:tcPr>
          <w:p w14:paraId="237462B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 COC use was associated with small but statistically significant increases in mean anxiety, irritability, and mood swings during the intermenstrual phase. It was associated with </w:t>
            </w:r>
            <w:r w:rsidRPr="006E1C09">
              <w:rPr>
                <w:rFonts w:ascii="Times New Roman" w:eastAsia="Times New Roman" w:hAnsi="Times New Roman" w:cs="Times New Roman"/>
                <w:kern w:val="0"/>
                <w:sz w:val="24"/>
                <w:szCs w:val="24"/>
                <w:lang w:val="en-CA" w:eastAsia="en-CA"/>
                <w14:ligatures w14:val="none"/>
              </w:rPr>
              <w:lastRenderedPageBreak/>
              <w:t>higher scores of anxiety, mood swings, and irritability, and decreased interest in usual activities during cycle days 8-14 and 15-21, but not on days 5-7.</w:t>
            </w:r>
            <w:r w:rsidRPr="006E1C09">
              <w:rPr>
                <w:rFonts w:ascii="Times New Roman" w:eastAsia="Times New Roman" w:hAnsi="Times New Roman" w:cs="Times New Roman"/>
                <w:kern w:val="0"/>
                <w:sz w:val="24"/>
                <w:szCs w:val="24"/>
                <w:lang w:val="en-CA" w:eastAsia="en-CA"/>
                <w14:ligatures w14:val="none"/>
              </w:rPr>
              <w:br/>
              <w:t>• COC use was associated with a significant premenstrual improvement in depression.</w:t>
            </w:r>
            <w:r w:rsidRPr="006E1C09">
              <w:rPr>
                <w:rFonts w:ascii="Times New Roman" w:eastAsia="Times New Roman" w:hAnsi="Times New Roman" w:cs="Times New Roman"/>
                <w:kern w:val="0"/>
                <w:sz w:val="24"/>
                <w:szCs w:val="24"/>
                <w:lang w:val="en-CA" w:eastAsia="en-CA"/>
                <w14:ligatures w14:val="none"/>
              </w:rPr>
              <w:br/>
              <w:t xml:space="preserve">• </w:t>
            </w:r>
            <w:r w:rsidRPr="006E1C09">
              <w:rPr>
                <w:rFonts w:ascii="Times New Roman" w:eastAsia="Times New Roman" w:hAnsi="Times New Roman" w:cs="Times New Roman"/>
                <w:kern w:val="0"/>
                <w:sz w:val="24"/>
                <w:szCs w:val="24"/>
                <w:lang w:val="en-CA" w:eastAsia="en-CA"/>
                <w14:ligatures w14:val="none"/>
              </w:rPr>
              <w:lastRenderedPageBreak/>
              <w:t xml:space="preserve">Placebo users more often reported mood improvement and COC users more often reported mood worsening (linear-by-linear association, p = 0.045). 19 (24.1%) COC users reported a clinically significant mood worsening in comparison with 15 </w:t>
            </w:r>
            <w:r w:rsidRPr="006E1C09">
              <w:rPr>
                <w:rFonts w:ascii="Times New Roman" w:eastAsia="Times New Roman" w:hAnsi="Times New Roman" w:cs="Times New Roman"/>
                <w:kern w:val="0"/>
                <w:sz w:val="24"/>
                <w:szCs w:val="24"/>
                <w:lang w:val="en-CA" w:eastAsia="en-CA"/>
                <w14:ligatures w14:val="none"/>
              </w:rPr>
              <w:lastRenderedPageBreak/>
              <w:t xml:space="preserve">(17.0%) placebo users (p = 0.262). </w:t>
            </w:r>
            <w:r w:rsidRPr="006E1C09">
              <w:rPr>
                <w:rFonts w:ascii="Times New Roman" w:eastAsia="Times New Roman" w:hAnsi="Times New Roman" w:cs="Times New Roman"/>
                <w:kern w:val="0"/>
                <w:sz w:val="24"/>
                <w:szCs w:val="24"/>
                <w:lang w:val="en-CA" w:eastAsia="en-CA"/>
                <w14:ligatures w14:val="none"/>
              </w:rPr>
              <w:br/>
              <w:t xml:space="preserve">• Number of women with new-onset subclinical depression during treatment did not differ between the oral contraceptive group and the placebo group (COC; 8(9.6%) vs. placebo; 6(6.4%), p = </w:t>
            </w:r>
            <w:r w:rsidRPr="006E1C09">
              <w:rPr>
                <w:rFonts w:ascii="Times New Roman" w:eastAsia="Times New Roman" w:hAnsi="Times New Roman" w:cs="Times New Roman"/>
                <w:kern w:val="0"/>
                <w:sz w:val="24"/>
                <w:szCs w:val="24"/>
                <w:lang w:val="en-CA" w:eastAsia="en-CA"/>
                <w14:ligatures w14:val="none"/>
              </w:rPr>
              <w:lastRenderedPageBreak/>
              <w:t>0.423).</w:t>
            </w:r>
            <w:r w:rsidRPr="006E1C09">
              <w:rPr>
                <w:rFonts w:ascii="Times New Roman" w:eastAsia="Times New Roman" w:hAnsi="Times New Roman" w:cs="Times New Roman"/>
                <w:kern w:val="0"/>
                <w:sz w:val="24"/>
                <w:szCs w:val="24"/>
                <w:lang w:val="en-CA" w:eastAsia="en-CA"/>
                <w14:ligatures w14:val="none"/>
              </w:rPr>
              <w:br/>
              <w:t>• Women with previous adverse experiences with COCs were more likely to experience mood worsening (p &lt; 0,05)</w:t>
            </w:r>
          </w:p>
        </w:tc>
      </w:tr>
      <w:tr w:rsidR="006E1C09" w:rsidRPr="006E1C09" w14:paraId="5DC63C67" w14:textId="77777777" w:rsidTr="006E1C09">
        <w:trPr>
          <w:trHeight w:val="346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F89FC8A"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Morotti et al., 2017</w:t>
            </w:r>
          </w:p>
        </w:tc>
        <w:tc>
          <w:tcPr>
            <w:tcW w:w="298" w:type="pct"/>
            <w:tcBorders>
              <w:top w:val="nil"/>
              <w:left w:val="nil"/>
              <w:bottom w:val="single" w:sz="4" w:space="0" w:color="auto"/>
              <w:right w:val="single" w:sz="4" w:space="0" w:color="auto"/>
            </w:tcBorders>
            <w:shd w:val="clear" w:color="000000" w:fill="FFFFFF"/>
            <w:vAlign w:val="center"/>
            <w:hideMark/>
          </w:tcPr>
          <w:p w14:paraId="1BAA3DA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21 women ranging from 18-35 years</w:t>
            </w:r>
          </w:p>
        </w:tc>
        <w:tc>
          <w:tcPr>
            <w:tcW w:w="576" w:type="pct"/>
            <w:tcBorders>
              <w:top w:val="nil"/>
              <w:left w:val="nil"/>
              <w:bottom w:val="single" w:sz="4" w:space="0" w:color="auto"/>
              <w:right w:val="single" w:sz="4" w:space="0" w:color="auto"/>
            </w:tcBorders>
            <w:shd w:val="clear" w:color="000000" w:fill="FFFFFF"/>
            <w:vAlign w:val="center"/>
            <w:hideMark/>
          </w:tcPr>
          <w:p w14:paraId="6D0B414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Prospective pilot study</w:t>
            </w:r>
          </w:p>
        </w:tc>
        <w:tc>
          <w:tcPr>
            <w:tcW w:w="487" w:type="pct"/>
            <w:tcBorders>
              <w:top w:val="nil"/>
              <w:left w:val="nil"/>
              <w:bottom w:val="single" w:sz="4" w:space="0" w:color="auto"/>
              <w:right w:val="single" w:sz="4" w:space="0" w:color="auto"/>
            </w:tcBorders>
            <w:shd w:val="clear" w:color="000000" w:fill="FFFFFF"/>
            <w:vAlign w:val="center"/>
            <w:hideMark/>
          </w:tcPr>
          <w:p w14:paraId="63D4EB7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evaluate the effects of intravaginal contraception on weight gain and perceived body image in </w:t>
            </w:r>
            <w:r w:rsidRPr="006E1C09">
              <w:rPr>
                <w:rFonts w:ascii="Times New Roman" w:eastAsia="Times New Roman" w:hAnsi="Times New Roman" w:cs="Times New Roman"/>
                <w:kern w:val="0"/>
                <w:sz w:val="24"/>
                <w:szCs w:val="24"/>
                <w:lang w:val="en-CA" w:eastAsia="en-CA"/>
                <w14:ligatures w14:val="none"/>
              </w:rPr>
              <w:lastRenderedPageBreak/>
              <w:t xml:space="preserve">young, lean and healthy women, and to study the relationship of the above parameters with the two-factor Italian McCoy Female Sexuality Questionnaire (MFSQ) and the Beck’s Depression Inventory </w:t>
            </w:r>
            <w:r w:rsidRPr="006E1C09">
              <w:rPr>
                <w:rFonts w:ascii="Times New Roman" w:eastAsia="Times New Roman" w:hAnsi="Times New Roman" w:cs="Times New Roman"/>
                <w:kern w:val="0"/>
                <w:sz w:val="24"/>
                <w:szCs w:val="24"/>
                <w:lang w:val="en-CA" w:eastAsia="en-CA"/>
                <w14:ligatures w14:val="none"/>
              </w:rPr>
              <w:lastRenderedPageBreak/>
              <w:t>questionnaire (BDI)</w:t>
            </w:r>
          </w:p>
        </w:tc>
        <w:tc>
          <w:tcPr>
            <w:tcW w:w="533" w:type="pct"/>
            <w:tcBorders>
              <w:top w:val="nil"/>
              <w:left w:val="nil"/>
              <w:bottom w:val="single" w:sz="4" w:space="0" w:color="auto"/>
              <w:right w:val="single" w:sz="4" w:space="0" w:color="auto"/>
            </w:tcBorders>
            <w:shd w:val="clear" w:color="000000" w:fill="FFFFFF"/>
            <w:vAlign w:val="center"/>
            <w:hideMark/>
          </w:tcPr>
          <w:p w14:paraId="7A59C23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Contraceptive vaginal ring (NuvaRing®) (releases 15 mcg ethinyl estradiol and 120 mcg etonogestre</w:t>
            </w:r>
            <w:r w:rsidRPr="006E1C09">
              <w:rPr>
                <w:rFonts w:ascii="Times New Roman" w:eastAsia="Times New Roman" w:hAnsi="Times New Roman" w:cs="Times New Roman"/>
                <w:kern w:val="0"/>
                <w:sz w:val="24"/>
                <w:szCs w:val="24"/>
                <w:lang w:val="en-CA" w:eastAsia="en-CA"/>
                <w14:ligatures w14:val="none"/>
              </w:rPr>
              <w:t>l per day)</w:t>
            </w:r>
          </w:p>
        </w:tc>
        <w:tc>
          <w:tcPr>
            <w:tcW w:w="346" w:type="pct"/>
            <w:tcBorders>
              <w:top w:val="nil"/>
              <w:left w:val="nil"/>
              <w:bottom w:val="single" w:sz="4" w:space="0" w:color="auto"/>
              <w:right w:val="single" w:sz="4" w:space="0" w:color="auto"/>
            </w:tcBorders>
            <w:shd w:val="clear" w:color="000000" w:fill="FFFFFF"/>
            <w:vAlign w:val="center"/>
            <w:hideMark/>
          </w:tcPr>
          <w:p w14:paraId="607D9D1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6 months</w:t>
            </w:r>
          </w:p>
        </w:tc>
        <w:tc>
          <w:tcPr>
            <w:tcW w:w="484" w:type="pct"/>
            <w:tcBorders>
              <w:top w:val="nil"/>
              <w:left w:val="nil"/>
              <w:bottom w:val="single" w:sz="4" w:space="0" w:color="auto"/>
              <w:right w:val="single" w:sz="4" w:space="0" w:color="auto"/>
            </w:tcBorders>
            <w:shd w:val="clear" w:color="000000" w:fill="FFFFFF"/>
            <w:vAlign w:val="center"/>
            <w:hideMark/>
          </w:tcPr>
          <w:p w14:paraId="4E0049C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BDI scores remained normal and unchanged before and after therapy. No significant changes regarding </w:t>
            </w:r>
            <w:r w:rsidRPr="006E1C09">
              <w:rPr>
                <w:rFonts w:ascii="Times New Roman" w:eastAsia="Times New Roman" w:hAnsi="Times New Roman" w:cs="Times New Roman"/>
                <w:kern w:val="0"/>
                <w:sz w:val="24"/>
                <w:szCs w:val="24"/>
                <w:lang w:val="en-CA" w:eastAsia="en-CA"/>
                <w14:ligatures w14:val="none"/>
              </w:rPr>
              <w:lastRenderedPageBreak/>
              <w:t>sexual function. Body image perception remained unchanged</w:t>
            </w:r>
          </w:p>
        </w:tc>
        <w:tc>
          <w:tcPr>
            <w:tcW w:w="372" w:type="pct"/>
            <w:tcBorders>
              <w:top w:val="nil"/>
              <w:left w:val="nil"/>
              <w:bottom w:val="single" w:sz="4" w:space="0" w:color="auto"/>
              <w:right w:val="single" w:sz="4" w:space="0" w:color="auto"/>
            </w:tcBorders>
            <w:shd w:val="clear" w:color="000000" w:fill="FFFFFF"/>
            <w:vAlign w:val="center"/>
            <w:hideMark/>
          </w:tcPr>
          <w:p w14:paraId="7C1C447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637C7BC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Mood assessed by the Beck Depression Inventory (BDI).</w:t>
            </w:r>
            <w:r w:rsidRPr="006E1C09">
              <w:rPr>
                <w:rFonts w:ascii="Times New Roman" w:eastAsia="Times New Roman" w:hAnsi="Times New Roman" w:cs="Times New Roman"/>
                <w:kern w:val="0"/>
                <w:sz w:val="24"/>
                <w:szCs w:val="24"/>
                <w:lang w:val="en-CA" w:eastAsia="en-CA"/>
                <w14:ligatures w14:val="none"/>
              </w:rPr>
              <w:br/>
              <w:t>Body image assessed by The Stunkard Figure Rating Scale.</w:t>
            </w:r>
            <w:r w:rsidRPr="006E1C09">
              <w:rPr>
                <w:rFonts w:ascii="Times New Roman" w:eastAsia="Times New Roman" w:hAnsi="Times New Roman" w:cs="Times New Roman"/>
                <w:kern w:val="0"/>
                <w:sz w:val="24"/>
                <w:szCs w:val="24"/>
                <w:lang w:val="en-CA" w:eastAsia="en-CA"/>
                <w14:ligatures w14:val="none"/>
              </w:rPr>
              <w:br/>
              <w:t>Sexuali</w:t>
            </w:r>
            <w:r w:rsidRPr="006E1C09">
              <w:rPr>
                <w:rFonts w:ascii="Times New Roman" w:eastAsia="Times New Roman" w:hAnsi="Times New Roman" w:cs="Times New Roman"/>
                <w:kern w:val="0"/>
                <w:sz w:val="24"/>
                <w:szCs w:val="24"/>
                <w:lang w:val="en-CA" w:eastAsia="en-CA"/>
                <w14:ligatures w14:val="none"/>
              </w:rPr>
              <w:lastRenderedPageBreak/>
              <w:t>ty assessed by The two-factor Italian McCoy Female Sexuality Questionnaire</w:t>
            </w:r>
          </w:p>
        </w:tc>
        <w:tc>
          <w:tcPr>
            <w:tcW w:w="423" w:type="pct"/>
            <w:tcBorders>
              <w:top w:val="nil"/>
              <w:left w:val="nil"/>
              <w:bottom w:val="single" w:sz="4" w:space="0" w:color="auto"/>
              <w:right w:val="single" w:sz="4" w:space="0" w:color="auto"/>
            </w:tcBorders>
            <w:shd w:val="clear" w:color="000000" w:fill="FFFFFF"/>
            <w:vAlign w:val="center"/>
            <w:hideMark/>
          </w:tcPr>
          <w:p w14:paraId="39A456D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(exclusion criteria)</w:t>
            </w:r>
          </w:p>
        </w:tc>
        <w:tc>
          <w:tcPr>
            <w:tcW w:w="538" w:type="pct"/>
            <w:tcBorders>
              <w:top w:val="single" w:sz="4" w:space="0" w:color="auto"/>
              <w:left w:val="nil"/>
              <w:bottom w:val="single" w:sz="4" w:space="0" w:color="auto"/>
              <w:right w:val="single" w:sz="4" w:space="0" w:color="auto"/>
            </w:tcBorders>
            <w:shd w:val="clear" w:color="000000" w:fill="FFFFFF"/>
            <w:hideMark/>
          </w:tcPr>
          <w:p w14:paraId="70A3FA4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mean BDI was normal in all women and unchanged before and after the therapy (7.7 ±5.0 versus 5.8±3.1). Only </w:t>
            </w:r>
            <w:r w:rsidRPr="006E1C09">
              <w:rPr>
                <w:rFonts w:ascii="Times New Roman" w:eastAsia="Times New Roman" w:hAnsi="Times New Roman" w:cs="Times New Roman"/>
                <w:kern w:val="0"/>
                <w:sz w:val="24"/>
                <w:szCs w:val="24"/>
                <w:lang w:val="en-CA" w:eastAsia="en-CA"/>
                <w14:ligatures w14:val="none"/>
              </w:rPr>
              <w:lastRenderedPageBreak/>
              <w:t xml:space="preserve">two subjects (10.5%) expressed a mild/moderate depression (score 10–18). </w:t>
            </w:r>
            <w:r w:rsidRPr="006E1C09">
              <w:rPr>
                <w:rFonts w:ascii="Times New Roman" w:eastAsia="Times New Roman" w:hAnsi="Times New Roman" w:cs="Times New Roman"/>
                <w:kern w:val="0"/>
                <w:sz w:val="24"/>
                <w:szCs w:val="24"/>
                <w:lang w:val="en-CA" w:eastAsia="en-CA"/>
                <w14:ligatures w14:val="none"/>
              </w:rPr>
              <w:br/>
              <w:t>• After 6 months of therapy with NuvaRing, both body weight (60.0±8.3; p=0.050) and BMI (22.1±3.1; p=0.028) slightly, but statistically, increased.</w:t>
            </w:r>
            <w:r w:rsidRPr="006E1C09">
              <w:rPr>
                <w:rFonts w:ascii="Times New Roman" w:eastAsia="Times New Roman" w:hAnsi="Times New Roman" w:cs="Times New Roman"/>
                <w:kern w:val="0"/>
                <w:sz w:val="24"/>
                <w:szCs w:val="24"/>
                <w:lang w:val="en-CA" w:eastAsia="en-CA"/>
                <w14:ligatures w14:val="none"/>
              </w:rPr>
              <w:br/>
              <w:t>• No signifi</w:t>
            </w:r>
            <w:r w:rsidRPr="006E1C09">
              <w:rPr>
                <w:rFonts w:ascii="Times New Roman" w:eastAsia="Times New Roman" w:hAnsi="Times New Roman" w:cs="Times New Roman"/>
                <w:kern w:val="0"/>
                <w:sz w:val="24"/>
                <w:szCs w:val="24"/>
                <w:lang w:val="en-CA" w:eastAsia="en-CA"/>
                <w14:ligatures w14:val="none"/>
              </w:rPr>
              <w:lastRenderedPageBreak/>
              <w:t>cant changes in body image perception (Stunkard Figure Rating Scale).</w:t>
            </w:r>
            <w:r w:rsidRPr="006E1C09">
              <w:rPr>
                <w:rFonts w:ascii="Times New Roman" w:eastAsia="Times New Roman" w:hAnsi="Times New Roman" w:cs="Times New Roman"/>
                <w:kern w:val="0"/>
                <w:sz w:val="24"/>
                <w:szCs w:val="24"/>
                <w:lang w:val="en-CA" w:eastAsia="en-CA"/>
                <w14:ligatures w14:val="none"/>
              </w:rPr>
              <w:br/>
              <w:t>• Mild reduction in sexual function as measured by the MFSQ (p = 0.028), but no significant changes in frequency of intercourse, orgasm intensity, or pain during intercourse.</w:t>
            </w:r>
            <w:r w:rsidRPr="006E1C09">
              <w:rPr>
                <w:rFonts w:ascii="Times New Roman" w:eastAsia="Times New Roman" w:hAnsi="Times New Roman" w:cs="Times New Roman"/>
                <w:kern w:val="0"/>
                <w:sz w:val="24"/>
                <w:szCs w:val="24"/>
                <w:lang w:val="en-CA" w:eastAsia="en-CA"/>
                <w14:ligatures w14:val="none"/>
              </w:rPr>
              <w:br/>
              <w:t xml:space="preserve">• No major </w:t>
            </w:r>
            <w:r w:rsidRPr="006E1C09">
              <w:rPr>
                <w:rFonts w:ascii="Times New Roman" w:eastAsia="Times New Roman" w:hAnsi="Times New Roman" w:cs="Times New Roman"/>
                <w:kern w:val="0"/>
                <w:sz w:val="24"/>
                <w:szCs w:val="24"/>
                <w:lang w:val="en-CA" w:eastAsia="en-CA"/>
                <w14:ligatures w14:val="none"/>
              </w:rPr>
              <w:lastRenderedPageBreak/>
              <w:t>sexual dysfunction reported.</w:t>
            </w:r>
          </w:p>
        </w:tc>
      </w:tr>
      <w:tr w:rsidR="006E1C09" w:rsidRPr="00F87E76" w14:paraId="70867586" w14:textId="77777777" w:rsidTr="006E1C09">
        <w:trPr>
          <w:trHeight w:val="5355"/>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190832E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Roberts, T.A.; Hansen, S; 2017</w:t>
            </w:r>
          </w:p>
        </w:tc>
        <w:tc>
          <w:tcPr>
            <w:tcW w:w="298" w:type="pct"/>
            <w:tcBorders>
              <w:top w:val="nil"/>
              <w:left w:val="nil"/>
              <w:bottom w:val="single" w:sz="4" w:space="0" w:color="auto"/>
              <w:right w:val="single" w:sz="4" w:space="0" w:color="auto"/>
            </w:tcBorders>
            <w:shd w:val="clear" w:color="000000" w:fill="FFFFFF"/>
            <w:vAlign w:val="center"/>
            <w:hideMark/>
          </w:tcPr>
          <w:p w14:paraId="6A96A36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75 528 women with average age at delivery of 28.5 years</w:t>
            </w:r>
          </w:p>
        </w:tc>
        <w:tc>
          <w:tcPr>
            <w:tcW w:w="576" w:type="pct"/>
            <w:tcBorders>
              <w:top w:val="nil"/>
              <w:left w:val="nil"/>
              <w:bottom w:val="single" w:sz="4" w:space="0" w:color="auto"/>
              <w:right w:val="single" w:sz="4" w:space="0" w:color="auto"/>
            </w:tcBorders>
            <w:shd w:val="clear" w:color="000000" w:fill="FFFFFF"/>
            <w:hideMark/>
          </w:tcPr>
          <w:p w14:paraId="3008C46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Retrospective cohort using the Military Health System Management Analysis and Reporting Tool (M2)</w:t>
            </w:r>
          </w:p>
        </w:tc>
        <w:tc>
          <w:tcPr>
            <w:tcW w:w="487" w:type="pct"/>
            <w:tcBorders>
              <w:top w:val="nil"/>
              <w:left w:val="nil"/>
              <w:bottom w:val="single" w:sz="4" w:space="0" w:color="auto"/>
              <w:right w:val="single" w:sz="4" w:space="0" w:color="auto"/>
            </w:tcBorders>
            <w:shd w:val="clear" w:color="000000" w:fill="FFFFFF"/>
            <w:vAlign w:val="center"/>
            <w:hideMark/>
          </w:tcPr>
          <w:p w14:paraId="5B63462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assess the association between postpartum contraceptive use and subsequent depression diagnoses and antidepressant use in a large claims-based sample of women </w:t>
            </w:r>
            <w:r w:rsidRPr="006E1C09">
              <w:rPr>
                <w:rFonts w:ascii="Times New Roman" w:eastAsia="Times New Roman" w:hAnsi="Times New Roman" w:cs="Times New Roman"/>
                <w:kern w:val="0"/>
                <w:sz w:val="24"/>
                <w:szCs w:val="24"/>
                <w:lang w:val="en-CA" w:eastAsia="en-CA"/>
                <w14:ligatures w14:val="none"/>
              </w:rPr>
              <w:lastRenderedPageBreak/>
              <w:t>enrolled in the United States military health care system.</w:t>
            </w:r>
          </w:p>
        </w:tc>
        <w:tc>
          <w:tcPr>
            <w:tcW w:w="533" w:type="pct"/>
            <w:tcBorders>
              <w:top w:val="nil"/>
              <w:left w:val="nil"/>
              <w:bottom w:val="single" w:sz="4" w:space="0" w:color="auto"/>
              <w:right w:val="single" w:sz="4" w:space="0" w:color="auto"/>
            </w:tcBorders>
            <w:shd w:val="clear" w:color="000000" w:fill="FFFFFF"/>
            <w:vAlign w:val="center"/>
            <w:hideMark/>
          </w:tcPr>
          <w:p w14:paraId="0A885DB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Norethindrone-only pills</w:t>
            </w:r>
            <w:r w:rsidRPr="006E1C09">
              <w:rPr>
                <w:rFonts w:ascii="Times New Roman" w:eastAsia="Times New Roman" w:hAnsi="Times New Roman" w:cs="Times New Roman"/>
                <w:kern w:val="0"/>
                <w:sz w:val="24"/>
                <w:szCs w:val="24"/>
                <w:lang w:val="en-CA" w:eastAsia="en-CA"/>
                <w14:ligatures w14:val="none"/>
              </w:rPr>
              <w:br/>
              <w:t>Levonorgestrel intrauterine system (IUS)</w:t>
            </w:r>
            <w:r w:rsidRPr="006E1C09">
              <w:rPr>
                <w:rFonts w:ascii="Times New Roman" w:eastAsia="Times New Roman" w:hAnsi="Times New Roman" w:cs="Times New Roman"/>
                <w:kern w:val="0"/>
                <w:sz w:val="24"/>
                <w:szCs w:val="24"/>
                <w:lang w:val="en-CA" w:eastAsia="en-CA"/>
                <w14:ligatures w14:val="none"/>
              </w:rPr>
              <w:br/>
              <w:t>Etonogestrel subdermal implant</w:t>
            </w:r>
            <w:r w:rsidRPr="006E1C09">
              <w:rPr>
                <w:rFonts w:ascii="Times New Roman" w:eastAsia="Times New Roman" w:hAnsi="Times New Roman" w:cs="Times New Roman"/>
                <w:kern w:val="0"/>
                <w:sz w:val="24"/>
                <w:szCs w:val="24"/>
                <w:lang w:val="en-CA" w:eastAsia="en-CA"/>
                <w14:ligatures w14:val="none"/>
              </w:rPr>
              <w:br/>
              <w:t>Ethinyl estradiol/norgestimate (combined oral pill)</w:t>
            </w:r>
            <w:r w:rsidRPr="006E1C09">
              <w:rPr>
                <w:rFonts w:ascii="Times New Roman" w:eastAsia="Times New Roman" w:hAnsi="Times New Roman" w:cs="Times New Roman"/>
                <w:kern w:val="0"/>
                <w:sz w:val="24"/>
                <w:szCs w:val="24"/>
                <w:lang w:val="en-CA" w:eastAsia="en-CA"/>
                <w14:ligatures w14:val="none"/>
              </w:rPr>
              <w:br/>
              <w:t>Ethinyl estradiol/No</w:t>
            </w:r>
            <w:r w:rsidRPr="006E1C09">
              <w:rPr>
                <w:rFonts w:ascii="Times New Roman" w:eastAsia="Times New Roman" w:hAnsi="Times New Roman" w:cs="Times New Roman"/>
                <w:kern w:val="0"/>
                <w:sz w:val="24"/>
                <w:szCs w:val="24"/>
                <w:lang w:val="en-CA" w:eastAsia="en-CA"/>
                <w14:ligatures w14:val="none"/>
              </w:rPr>
              <w:lastRenderedPageBreak/>
              <w:t>rethindrone (combined oral pill)</w:t>
            </w:r>
            <w:r w:rsidRPr="006E1C09">
              <w:rPr>
                <w:rFonts w:ascii="Times New Roman" w:eastAsia="Times New Roman" w:hAnsi="Times New Roman" w:cs="Times New Roman"/>
                <w:kern w:val="0"/>
                <w:sz w:val="24"/>
                <w:szCs w:val="24"/>
                <w:lang w:val="en-CA" w:eastAsia="en-CA"/>
                <w14:ligatures w14:val="none"/>
              </w:rPr>
              <w:br/>
              <w:t>Ethinyl estradiol/Etonogestrel (vaginal ring)</w:t>
            </w:r>
          </w:p>
        </w:tc>
        <w:tc>
          <w:tcPr>
            <w:tcW w:w="346" w:type="pct"/>
            <w:tcBorders>
              <w:top w:val="nil"/>
              <w:left w:val="nil"/>
              <w:bottom w:val="single" w:sz="4" w:space="0" w:color="auto"/>
              <w:right w:val="single" w:sz="4" w:space="0" w:color="auto"/>
            </w:tcBorders>
            <w:shd w:val="clear" w:color="000000" w:fill="FFFFFF"/>
            <w:vAlign w:val="center"/>
            <w:hideMark/>
          </w:tcPr>
          <w:p w14:paraId="2C7F9A0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1 year postpartum follow-up</w:t>
            </w:r>
          </w:p>
        </w:tc>
        <w:tc>
          <w:tcPr>
            <w:tcW w:w="484" w:type="pct"/>
            <w:tcBorders>
              <w:top w:val="nil"/>
              <w:left w:val="nil"/>
              <w:bottom w:val="single" w:sz="4" w:space="0" w:color="auto"/>
              <w:right w:val="single" w:sz="4" w:space="0" w:color="auto"/>
            </w:tcBorders>
            <w:shd w:val="clear" w:color="000000" w:fill="FFFFFF"/>
            <w:vAlign w:val="center"/>
            <w:hideMark/>
          </w:tcPr>
          <w:p w14:paraId="3645F8D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Etonogestrel-containing methods (implant and ring) were linked to a higher risk of antidepressant use compared to non-hormonal contraception, but not to depre</w:t>
            </w:r>
            <w:r w:rsidRPr="006E1C09">
              <w:rPr>
                <w:rFonts w:ascii="Times New Roman" w:eastAsia="Times New Roman" w:hAnsi="Times New Roman" w:cs="Times New Roman"/>
                <w:kern w:val="0"/>
                <w:sz w:val="24"/>
                <w:szCs w:val="24"/>
                <w:lang w:val="en-CA" w:eastAsia="en-CA"/>
                <w14:ligatures w14:val="none"/>
              </w:rPr>
              <w:lastRenderedPageBreak/>
              <w:t xml:space="preserve">ssion diagnoses. </w:t>
            </w:r>
            <w:r w:rsidRPr="006E1C09">
              <w:rPr>
                <w:rFonts w:ascii="Times New Roman" w:eastAsia="Times New Roman" w:hAnsi="Times New Roman" w:cs="Times New Roman"/>
                <w:kern w:val="0"/>
                <w:sz w:val="24"/>
                <w:szCs w:val="24"/>
                <w:lang w:val="en-CA" w:eastAsia="en-CA"/>
                <w14:ligatures w14:val="none"/>
              </w:rPr>
              <w:br/>
              <w:t xml:space="preserve">• Implant users also had a higher risk of receiving a depression diagnosis. </w:t>
            </w:r>
            <w:r w:rsidRPr="006E1C09">
              <w:rPr>
                <w:rFonts w:ascii="Times New Roman" w:eastAsia="Times New Roman" w:hAnsi="Times New Roman" w:cs="Times New Roman"/>
                <w:kern w:val="0"/>
                <w:sz w:val="24"/>
                <w:szCs w:val="24"/>
                <w:lang w:val="en-CA" w:eastAsia="en-CA"/>
                <w14:ligatures w14:val="none"/>
              </w:rPr>
              <w:br/>
              <w:t xml:space="preserve">• Norethindrone-only pills were protective against both antidepressant use and depression-related healthcare visits. </w:t>
            </w:r>
            <w:r w:rsidRPr="006E1C09">
              <w:rPr>
                <w:rFonts w:ascii="Times New Roman" w:eastAsia="Times New Roman" w:hAnsi="Times New Roman" w:cs="Times New Roman"/>
                <w:kern w:val="0"/>
                <w:sz w:val="24"/>
                <w:szCs w:val="24"/>
                <w:lang w:val="en-CA" w:eastAsia="en-CA"/>
                <w14:ligatures w14:val="none"/>
              </w:rPr>
              <w:br/>
              <w:t xml:space="preserve">• Levonorgestrel </w:t>
            </w:r>
            <w:r w:rsidRPr="006E1C09">
              <w:rPr>
                <w:rFonts w:ascii="Times New Roman" w:eastAsia="Times New Roman" w:hAnsi="Times New Roman" w:cs="Times New Roman"/>
                <w:kern w:val="0"/>
                <w:sz w:val="24"/>
                <w:szCs w:val="24"/>
                <w:lang w:val="en-CA" w:eastAsia="en-CA"/>
                <w14:ligatures w14:val="none"/>
              </w:rPr>
              <w:lastRenderedPageBreak/>
              <w:t xml:space="preserve">intrauterine systems (IUS) were protective against depression diagnoses but did not affect antidepressant use. </w:t>
            </w:r>
            <w:r w:rsidRPr="006E1C09">
              <w:rPr>
                <w:rFonts w:ascii="Times New Roman" w:eastAsia="Times New Roman" w:hAnsi="Times New Roman" w:cs="Times New Roman"/>
                <w:kern w:val="0"/>
                <w:sz w:val="24"/>
                <w:szCs w:val="24"/>
                <w:lang w:val="en-CA" w:eastAsia="en-CA"/>
                <w14:ligatures w14:val="none"/>
              </w:rPr>
              <w:br/>
              <w:t>• Combined oral contraceptives (COCs) containing norethindrone or norgestimate had no significant impact on antide</w:t>
            </w:r>
            <w:r w:rsidRPr="006E1C09">
              <w:rPr>
                <w:rFonts w:ascii="Times New Roman" w:eastAsia="Times New Roman" w:hAnsi="Times New Roman" w:cs="Times New Roman"/>
                <w:kern w:val="0"/>
                <w:sz w:val="24"/>
                <w:szCs w:val="24"/>
                <w:lang w:val="en-CA" w:eastAsia="en-CA"/>
                <w14:ligatures w14:val="none"/>
              </w:rPr>
              <w:lastRenderedPageBreak/>
              <w:t>pressant use or depression risk</w:t>
            </w:r>
          </w:p>
        </w:tc>
        <w:tc>
          <w:tcPr>
            <w:tcW w:w="372" w:type="pct"/>
            <w:tcBorders>
              <w:top w:val="nil"/>
              <w:left w:val="nil"/>
              <w:bottom w:val="single" w:sz="4" w:space="0" w:color="auto"/>
              <w:right w:val="single" w:sz="4" w:space="0" w:color="auto"/>
            </w:tcBorders>
            <w:shd w:val="clear" w:color="000000" w:fill="FFFFFF"/>
            <w:vAlign w:val="center"/>
            <w:hideMark/>
          </w:tcPr>
          <w:p w14:paraId="3568C75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0FB54AE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Postpartum depression identified through antidepressant prescriptions and clinical diagnoses</w:t>
            </w:r>
          </w:p>
        </w:tc>
        <w:tc>
          <w:tcPr>
            <w:tcW w:w="423" w:type="pct"/>
            <w:tcBorders>
              <w:top w:val="nil"/>
              <w:left w:val="nil"/>
              <w:bottom w:val="single" w:sz="4" w:space="0" w:color="auto"/>
              <w:right w:val="single" w:sz="4" w:space="0" w:color="auto"/>
            </w:tcBorders>
            <w:shd w:val="clear" w:color="000000" w:fill="FFFFFF"/>
            <w:vAlign w:val="center"/>
            <w:hideMark/>
          </w:tcPr>
          <w:p w14:paraId="3906322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depression diagnoses or antidepressant use in the 24 months prior to delivery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3DBF575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Percent of postpartum women being prescribed antidepressant medications in the first year postpartum was 7.8% (95% CI: 7.6–8.0) and the estimated rate of depression diagn</w:t>
            </w:r>
            <w:r w:rsidRPr="006E1C09">
              <w:rPr>
                <w:rFonts w:ascii="Times New Roman" w:eastAsia="Times New Roman" w:hAnsi="Times New Roman" w:cs="Times New Roman"/>
                <w:kern w:val="0"/>
                <w:sz w:val="24"/>
                <w:szCs w:val="24"/>
                <w:lang w:val="en-CA" w:eastAsia="en-CA"/>
                <w14:ligatures w14:val="none"/>
              </w:rPr>
              <w:t>oses was 5.0% (95% CI: 4.8–5.2)</w:t>
            </w:r>
            <w:r w:rsidRPr="006E1C09">
              <w:rPr>
                <w:rFonts w:ascii="Times New Roman" w:eastAsia="Times New Roman" w:hAnsi="Times New Roman" w:cs="Times New Roman"/>
                <w:kern w:val="0"/>
                <w:sz w:val="24"/>
                <w:szCs w:val="24"/>
                <w:lang w:val="en-CA" w:eastAsia="en-CA"/>
                <w14:ligatures w14:val="none"/>
              </w:rPr>
              <w:br/>
              <w:t>• Use of etonogestrel containing contraception was associated with a higher hazard of antidepressant use than women using no hormonal contraception (Implant: 1.22 (1.06–1.41), p=0.001; Ring: 1.45 (1.16–</w:t>
            </w:r>
            <w:r w:rsidRPr="006E1C09">
              <w:rPr>
                <w:rFonts w:ascii="Times New Roman" w:eastAsia="Times New Roman" w:hAnsi="Times New Roman" w:cs="Times New Roman"/>
                <w:kern w:val="0"/>
                <w:sz w:val="24"/>
                <w:szCs w:val="24"/>
                <w:lang w:val="en-CA" w:eastAsia="en-CA"/>
                <w14:ligatures w14:val="none"/>
              </w:rPr>
              <w:lastRenderedPageBreak/>
              <w:t>1.80), p=0.001), but not with being diagnosed with depression</w:t>
            </w:r>
            <w:r w:rsidRPr="006E1C09">
              <w:rPr>
                <w:rFonts w:ascii="Times New Roman" w:eastAsia="Times New Roman" w:hAnsi="Times New Roman" w:cs="Times New Roman"/>
                <w:kern w:val="0"/>
                <w:sz w:val="24"/>
                <w:szCs w:val="24"/>
                <w:lang w:val="en-CA" w:eastAsia="en-CA"/>
                <w14:ligatures w14:val="none"/>
              </w:rPr>
              <w:br/>
              <w:t xml:space="preserve">• Women using norethindrone-only pills had a lower hazard of antidepressant use (0.58 (0.52–0.64), p&lt;0.001) and having a depression related encounter (0.56 (0.49–0.64), p&lt;0.001) </w:t>
            </w:r>
            <w:r w:rsidRPr="006E1C09">
              <w:rPr>
                <w:rFonts w:ascii="Times New Roman" w:eastAsia="Times New Roman" w:hAnsi="Times New Roman" w:cs="Times New Roman"/>
                <w:kern w:val="0"/>
                <w:sz w:val="24"/>
                <w:szCs w:val="24"/>
                <w:lang w:val="en-CA" w:eastAsia="en-CA"/>
                <w14:ligatures w14:val="none"/>
              </w:rPr>
              <w:lastRenderedPageBreak/>
              <w:t>while on the method</w:t>
            </w:r>
            <w:r w:rsidRPr="006E1C09">
              <w:rPr>
                <w:rFonts w:ascii="Times New Roman" w:eastAsia="Times New Roman" w:hAnsi="Times New Roman" w:cs="Times New Roman"/>
                <w:kern w:val="0"/>
                <w:sz w:val="24"/>
                <w:szCs w:val="24"/>
                <w:lang w:val="en-CA" w:eastAsia="en-CA"/>
                <w14:ligatures w14:val="none"/>
              </w:rPr>
              <w:br/>
              <w:t>• Use of a levonorgestrel containing intrauterine system was associated with a lower hazard of having a depression related healthcare visit (0.65 (0.52–0.82), p&lt;0.001) but did not significantly change the hazard of antidepressa</w:t>
            </w:r>
            <w:r w:rsidRPr="006E1C09">
              <w:rPr>
                <w:rFonts w:ascii="Times New Roman" w:eastAsia="Times New Roman" w:hAnsi="Times New Roman" w:cs="Times New Roman"/>
                <w:kern w:val="0"/>
                <w:sz w:val="24"/>
                <w:szCs w:val="24"/>
                <w:lang w:val="en-CA" w:eastAsia="en-CA"/>
                <w14:ligatures w14:val="none"/>
              </w:rPr>
              <w:lastRenderedPageBreak/>
              <w:t>nt use (1.01 (0.87–1.18), p=0.865).</w:t>
            </w:r>
            <w:r w:rsidRPr="006E1C09">
              <w:rPr>
                <w:rFonts w:ascii="Times New Roman" w:eastAsia="Times New Roman" w:hAnsi="Times New Roman" w:cs="Times New Roman"/>
                <w:kern w:val="0"/>
                <w:sz w:val="24"/>
                <w:szCs w:val="24"/>
                <w:lang w:val="en-CA" w:eastAsia="en-CA"/>
                <w14:ligatures w14:val="none"/>
              </w:rPr>
              <w:br/>
              <w:t>• Use of norgestimate or norethindrone containing combined oral contraceptives did not have a significant influence on the risk of antidepressant use or depression diagnoses.</w:t>
            </w:r>
            <w:r w:rsidRPr="006E1C09">
              <w:rPr>
                <w:rFonts w:ascii="Times New Roman" w:eastAsia="Times New Roman" w:hAnsi="Times New Roman" w:cs="Times New Roman"/>
                <w:kern w:val="0"/>
                <w:sz w:val="24"/>
                <w:szCs w:val="24"/>
                <w:lang w:val="en-CA" w:eastAsia="en-CA"/>
                <w14:ligatures w14:val="none"/>
              </w:rPr>
              <w:br/>
              <w:t xml:space="preserve">• Implant users also experienced a </w:t>
            </w:r>
            <w:r w:rsidRPr="006E1C09">
              <w:rPr>
                <w:rFonts w:ascii="Times New Roman" w:eastAsia="Times New Roman" w:hAnsi="Times New Roman" w:cs="Times New Roman"/>
                <w:kern w:val="0"/>
                <w:sz w:val="24"/>
                <w:szCs w:val="24"/>
                <w:lang w:val="en-CA" w:eastAsia="en-CA"/>
                <w14:ligatures w14:val="none"/>
              </w:rPr>
              <w:lastRenderedPageBreak/>
              <w:t>higher hazard of having an encounter associated with a depression diagnosis (1.32 (1.10–1.60))</w:t>
            </w:r>
            <w:r w:rsidRPr="006E1C09">
              <w:rPr>
                <w:rFonts w:ascii="Times New Roman" w:eastAsia="Times New Roman" w:hAnsi="Times New Roman" w:cs="Times New Roman"/>
                <w:kern w:val="0"/>
                <w:sz w:val="24"/>
                <w:szCs w:val="24"/>
                <w:lang w:val="en-CA" w:eastAsia="en-CA"/>
                <w14:ligatures w14:val="none"/>
              </w:rPr>
              <w:br/>
              <w:t>• Women with lower socioeconomic status, younger age, and military service history had a higher risk of postpartum depression and antidepressa</w:t>
            </w:r>
            <w:r w:rsidRPr="006E1C09">
              <w:rPr>
                <w:rFonts w:ascii="Times New Roman" w:eastAsia="Times New Roman" w:hAnsi="Times New Roman" w:cs="Times New Roman"/>
                <w:kern w:val="0"/>
                <w:sz w:val="24"/>
                <w:szCs w:val="24"/>
                <w:lang w:val="en-CA" w:eastAsia="en-CA"/>
                <w14:ligatures w14:val="none"/>
              </w:rPr>
              <w:lastRenderedPageBreak/>
              <w:t>nt use</w:t>
            </w:r>
            <w:r w:rsidRPr="006E1C09">
              <w:rPr>
                <w:rFonts w:ascii="Times New Roman" w:eastAsia="Times New Roman" w:hAnsi="Times New Roman" w:cs="Times New Roman"/>
                <w:kern w:val="0"/>
                <w:sz w:val="24"/>
                <w:szCs w:val="24"/>
                <w:lang w:val="en-CA" w:eastAsia="en-CA"/>
                <w14:ligatures w14:val="none"/>
              </w:rPr>
              <w:br/>
              <w:t xml:space="preserve">• No association between norethindrone containing combined oral contraceptive pills and the outcome measures. </w:t>
            </w:r>
            <w:r w:rsidRPr="006E1C09">
              <w:rPr>
                <w:rFonts w:ascii="Times New Roman" w:eastAsia="Times New Roman" w:hAnsi="Times New Roman" w:cs="Times New Roman"/>
                <w:kern w:val="0"/>
                <w:sz w:val="24"/>
                <w:szCs w:val="24"/>
                <w:lang w:val="en-CA" w:eastAsia="en-CA"/>
                <w14:ligatures w14:val="none"/>
              </w:rPr>
              <w:br/>
              <w:t xml:space="preserve">• No increased risk of antidepressant use or depression diagnoses associated with any of the other methods examined. </w:t>
            </w:r>
            <w:r w:rsidRPr="006E1C09">
              <w:rPr>
                <w:rFonts w:ascii="Times New Roman" w:eastAsia="Times New Roman" w:hAnsi="Times New Roman" w:cs="Times New Roman"/>
                <w:kern w:val="0"/>
                <w:sz w:val="24"/>
                <w:szCs w:val="24"/>
                <w:lang w:val="en-CA" w:eastAsia="en-CA"/>
                <w14:ligatures w14:val="none"/>
              </w:rPr>
              <w:br/>
              <w:t xml:space="preserve">• Use </w:t>
            </w:r>
            <w:r w:rsidRPr="006E1C09">
              <w:rPr>
                <w:rFonts w:ascii="Times New Roman" w:eastAsia="Times New Roman" w:hAnsi="Times New Roman" w:cs="Times New Roman"/>
                <w:kern w:val="0"/>
                <w:sz w:val="24"/>
                <w:szCs w:val="24"/>
                <w:lang w:val="en-CA" w:eastAsia="en-CA"/>
                <w14:ligatures w14:val="none"/>
              </w:rPr>
              <w:lastRenderedPageBreak/>
              <w:t>of a levonorgestrel intrauterine system (IUS) was protective against depression diagnoses and use of orethindrone-only pills was protective against both of the outcome measures.</w:t>
            </w:r>
          </w:p>
        </w:tc>
      </w:tr>
      <w:tr w:rsidR="006E1C09" w:rsidRPr="00F87E76" w14:paraId="68DADCD2" w14:textId="77777777" w:rsidTr="006E1C09">
        <w:trPr>
          <w:trHeight w:val="378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1579C79"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Yonkers et al., 2017</w:t>
            </w:r>
          </w:p>
        </w:tc>
        <w:tc>
          <w:tcPr>
            <w:tcW w:w="298" w:type="pct"/>
            <w:tcBorders>
              <w:top w:val="nil"/>
              <w:left w:val="nil"/>
              <w:bottom w:val="single" w:sz="4" w:space="0" w:color="auto"/>
              <w:right w:val="single" w:sz="4" w:space="0" w:color="auto"/>
            </w:tcBorders>
            <w:shd w:val="clear" w:color="000000" w:fill="FFFFFF"/>
            <w:vAlign w:val="center"/>
            <w:hideMark/>
          </w:tcPr>
          <w:p w14:paraId="491AC57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Screened Cohort : n = 490 women ranging from 18-48 years. Randomized Cohort : n = 252 women ranging from 18-48 years.</w:t>
            </w:r>
          </w:p>
        </w:tc>
        <w:tc>
          <w:tcPr>
            <w:tcW w:w="576" w:type="pct"/>
            <w:tcBorders>
              <w:top w:val="nil"/>
              <w:left w:val="nil"/>
              <w:bottom w:val="single" w:sz="4" w:space="0" w:color="auto"/>
              <w:right w:val="single" w:sz="4" w:space="0" w:color="auto"/>
            </w:tcBorders>
            <w:shd w:val="clear" w:color="000000" w:fill="FFFFFF"/>
            <w:vAlign w:val="center"/>
            <w:hideMark/>
          </w:tcPr>
          <w:p w14:paraId="23165BA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Secondary analysis of daily symptom ratings from women who either requested participation in or were randomized into a clinical trial for PMS</w:t>
            </w:r>
          </w:p>
        </w:tc>
        <w:tc>
          <w:tcPr>
            <w:tcW w:w="487" w:type="pct"/>
            <w:tcBorders>
              <w:top w:val="nil"/>
              <w:left w:val="nil"/>
              <w:bottom w:val="single" w:sz="4" w:space="0" w:color="auto"/>
              <w:right w:val="single" w:sz="4" w:space="0" w:color="auto"/>
            </w:tcBorders>
            <w:shd w:val="clear" w:color="000000" w:fill="FFFFFF"/>
            <w:vAlign w:val="center"/>
            <w:hideMark/>
          </w:tcPr>
          <w:p w14:paraId="2BC6949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compare the relative severity and timing of premenstrual symptom expression in women who do or do not use CHC and endorse moderate to severe symptoms.</w:t>
            </w:r>
          </w:p>
        </w:tc>
        <w:tc>
          <w:tcPr>
            <w:tcW w:w="533" w:type="pct"/>
            <w:tcBorders>
              <w:top w:val="nil"/>
              <w:left w:val="nil"/>
              <w:bottom w:val="single" w:sz="4" w:space="0" w:color="auto"/>
              <w:right w:val="single" w:sz="4" w:space="0" w:color="auto"/>
            </w:tcBorders>
            <w:shd w:val="clear" w:color="000000" w:fill="FFFFFF"/>
            <w:vAlign w:val="center"/>
            <w:hideMark/>
          </w:tcPr>
          <w:p w14:paraId="7C405CC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Monophasic and triphasic oral contraceptives, vaginal ring hormonal contraceptive.</w:t>
            </w:r>
          </w:p>
        </w:tc>
        <w:tc>
          <w:tcPr>
            <w:tcW w:w="346" w:type="pct"/>
            <w:tcBorders>
              <w:top w:val="nil"/>
              <w:left w:val="nil"/>
              <w:bottom w:val="single" w:sz="4" w:space="0" w:color="auto"/>
              <w:right w:val="single" w:sz="4" w:space="0" w:color="auto"/>
            </w:tcBorders>
            <w:shd w:val="clear" w:color="000000" w:fill="FFFFFF"/>
            <w:vAlign w:val="center"/>
            <w:hideMark/>
          </w:tcPr>
          <w:p w14:paraId="4C33D69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Users of CHC included women who took Ocs with 4–7 days of inert pills every 28 days, and women who used a vaginal ring hormonal con</w:t>
            </w:r>
            <w:r w:rsidRPr="006E1C09">
              <w:rPr>
                <w:rFonts w:ascii="Times New Roman" w:eastAsia="Times New Roman" w:hAnsi="Times New Roman" w:cs="Times New Roman"/>
                <w:kern w:val="0"/>
                <w:sz w:val="24"/>
                <w:szCs w:val="24"/>
                <w:lang w:val="en-CA" w:eastAsia="en-CA"/>
                <w14:ligatures w14:val="none"/>
              </w:rPr>
              <w:lastRenderedPageBreak/>
              <w:t>traceptive 3 weeks per month, for at least 6 months.</w:t>
            </w:r>
          </w:p>
        </w:tc>
        <w:tc>
          <w:tcPr>
            <w:tcW w:w="484" w:type="pct"/>
            <w:tcBorders>
              <w:top w:val="nil"/>
              <w:left w:val="nil"/>
              <w:bottom w:val="single" w:sz="4" w:space="0" w:color="auto"/>
              <w:right w:val="single" w:sz="4" w:space="0" w:color="auto"/>
            </w:tcBorders>
            <w:shd w:val="clear" w:color="000000" w:fill="FFFFFF"/>
            <w:vAlign w:val="center"/>
            <w:hideMark/>
          </w:tcPr>
          <w:p w14:paraId="7BBB732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372" w:type="pct"/>
            <w:tcBorders>
              <w:top w:val="nil"/>
              <w:left w:val="nil"/>
              <w:bottom w:val="single" w:sz="4" w:space="0" w:color="auto"/>
              <w:right w:val="single" w:sz="4" w:space="0" w:color="auto"/>
            </w:tcBorders>
            <w:shd w:val="clear" w:color="000000" w:fill="FFFFFF"/>
            <w:vAlign w:val="center"/>
            <w:hideMark/>
          </w:tcPr>
          <w:p w14:paraId="613EAB3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CHC use was associated with smaller symptom changes, particularly for depression, anger, and physical symptoms, in both cohorts</w:t>
            </w:r>
          </w:p>
        </w:tc>
        <w:tc>
          <w:tcPr>
            <w:tcW w:w="611" w:type="pct"/>
            <w:tcBorders>
              <w:top w:val="nil"/>
              <w:left w:val="nil"/>
              <w:bottom w:val="single" w:sz="4" w:space="0" w:color="auto"/>
              <w:right w:val="single" w:sz="4" w:space="0" w:color="auto"/>
            </w:tcBorders>
            <w:shd w:val="clear" w:color="000000" w:fill="FFFFFF"/>
            <w:vAlign w:val="center"/>
            <w:hideMark/>
          </w:tcPr>
          <w:p w14:paraId="3C3C22F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Premenstrual syndrome (PMS) according to DSM-5 PMDD criteria. </w:t>
            </w:r>
            <w:r w:rsidRPr="006E1C09">
              <w:rPr>
                <w:rFonts w:ascii="Times New Roman" w:eastAsia="Times New Roman" w:hAnsi="Times New Roman" w:cs="Times New Roman"/>
                <w:kern w:val="0"/>
                <w:sz w:val="24"/>
                <w:szCs w:val="24"/>
                <w:lang w:val="en-CA" w:eastAsia="en-CA"/>
                <w14:ligatures w14:val="none"/>
              </w:rPr>
              <w:br/>
              <w:t>Daily Rating of Severity of Problems (DRSP) to catalog daily symptoms during the screening cycles</w:t>
            </w:r>
          </w:p>
        </w:tc>
        <w:tc>
          <w:tcPr>
            <w:tcW w:w="423" w:type="pct"/>
            <w:tcBorders>
              <w:top w:val="nil"/>
              <w:left w:val="nil"/>
              <w:bottom w:val="single" w:sz="4" w:space="0" w:color="auto"/>
              <w:right w:val="single" w:sz="4" w:space="0" w:color="auto"/>
            </w:tcBorders>
            <w:shd w:val="clear" w:color="000000" w:fill="FFFFFF"/>
            <w:vAlign w:val="center"/>
            <w:hideMark/>
          </w:tcPr>
          <w:p w14:paraId="6A17505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participate in the trial, respondents were required to meet specific criteria for a diagnosis of having PMDD for at least two of three menstrual cycles. Women were excluded if they had suffe</w:t>
            </w:r>
            <w:r w:rsidRPr="006E1C09">
              <w:rPr>
                <w:rFonts w:ascii="Times New Roman" w:eastAsia="Times New Roman" w:hAnsi="Times New Roman" w:cs="Times New Roman"/>
                <w:kern w:val="0"/>
                <w:sz w:val="24"/>
                <w:szCs w:val="24"/>
                <w:lang w:val="en-CA" w:eastAsia="en-CA"/>
                <w14:ligatures w14:val="none"/>
              </w:rPr>
              <w:lastRenderedPageBreak/>
              <w:t>red from a major depressive episode or eating disorder in the past year or a psychotic disorder during their lifetime</w:t>
            </w:r>
          </w:p>
        </w:tc>
        <w:tc>
          <w:tcPr>
            <w:tcW w:w="538" w:type="pct"/>
            <w:tcBorders>
              <w:top w:val="single" w:sz="4" w:space="0" w:color="auto"/>
              <w:left w:val="nil"/>
              <w:bottom w:val="single" w:sz="4" w:space="0" w:color="auto"/>
              <w:right w:val="single" w:sz="4" w:space="0" w:color="auto"/>
            </w:tcBorders>
            <w:shd w:val="clear" w:color="000000" w:fill="FFFFFF"/>
            <w:hideMark/>
          </w:tcPr>
          <w:p w14:paraId="1B71692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 Screened Cohort: the magnitude of change in symptoms was greater for the non- CHC group than for the CHC group, but significant differences for individual symptoms occurred only for depressed, hopeless, or guilty (p = 0.03); anger </w:t>
            </w:r>
            <w:r w:rsidRPr="006E1C09">
              <w:rPr>
                <w:rFonts w:ascii="Times New Roman" w:eastAsia="Times New Roman" w:hAnsi="Times New Roman" w:cs="Times New Roman"/>
                <w:kern w:val="0"/>
                <w:sz w:val="24"/>
                <w:szCs w:val="24"/>
                <w:lang w:val="en-CA" w:eastAsia="en-CA"/>
                <w14:ligatures w14:val="none"/>
              </w:rPr>
              <w:lastRenderedPageBreak/>
              <w:t>or irritability (p = 0.002); diminished interest (p = 0.001); difficulty concentrating (p = 0.03), feeling overwhelmed (p = 0.05), and physical symptoms (p = 0.04).</w:t>
            </w:r>
            <w:r w:rsidRPr="006E1C09">
              <w:rPr>
                <w:rFonts w:ascii="Times New Roman" w:eastAsia="Times New Roman" w:hAnsi="Times New Roman" w:cs="Times New Roman"/>
                <w:kern w:val="0"/>
                <w:sz w:val="24"/>
                <w:szCs w:val="24"/>
                <w:lang w:val="en-CA" w:eastAsia="en-CA"/>
                <w14:ligatures w14:val="none"/>
              </w:rPr>
              <w:br/>
              <w:t xml:space="preserve">• Randomized Cohort: there were no significant differences in the magnitude </w:t>
            </w:r>
            <w:r w:rsidRPr="006E1C09">
              <w:rPr>
                <w:rFonts w:ascii="Times New Roman" w:eastAsia="Times New Roman" w:hAnsi="Times New Roman" w:cs="Times New Roman"/>
                <w:kern w:val="0"/>
                <w:sz w:val="24"/>
                <w:szCs w:val="24"/>
                <w:lang w:val="en-CA" w:eastAsia="en-CA"/>
                <w14:ligatures w14:val="none"/>
              </w:rPr>
              <w:lastRenderedPageBreak/>
              <w:t>of change between CHC groups for any individual symptoms</w:t>
            </w:r>
            <w:r w:rsidRPr="006E1C09">
              <w:rPr>
                <w:rFonts w:ascii="Times New Roman" w:eastAsia="Times New Roman" w:hAnsi="Times New Roman" w:cs="Times New Roman"/>
                <w:kern w:val="0"/>
                <w:sz w:val="24"/>
                <w:szCs w:val="24"/>
                <w:lang w:val="en-CA" w:eastAsia="en-CA"/>
                <w14:ligatures w14:val="none"/>
              </w:rPr>
              <w:br/>
              <w:t xml:space="preserve">• Statistically significant differences between the CHC and no-CHC groups for depressed, hopeless, or guilty (p = 0.02); anger or irritability (p = 0.003); and physical symptoms </w:t>
            </w:r>
            <w:r w:rsidRPr="006E1C09">
              <w:rPr>
                <w:rFonts w:ascii="Times New Roman" w:eastAsia="Times New Roman" w:hAnsi="Times New Roman" w:cs="Times New Roman"/>
                <w:kern w:val="0"/>
                <w:sz w:val="24"/>
                <w:szCs w:val="24"/>
                <w:lang w:val="en-CA" w:eastAsia="en-CA"/>
                <w14:ligatures w14:val="none"/>
              </w:rPr>
              <w:lastRenderedPageBreak/>
              <w:t>(p = 0.01), but showed only a trend-level difference for decreased interest (p = 0.07) and no difference for difficulty concentrating (p = 0.18)</w:t>
            </w:r>
            <w:r w:rsidRPr="006E1C09">
              <w:rPr>
                <w:rFonts w:ascii="Times New Roman" w:eastAsia="Times New Roman" w:hAnsi="Times New Roman" w:cs="Times New Roman"/>
                <w:kern w:val="0"/>
                <w:sz w:val="24"/>
                <w:szCs w:val="24"/>
                <w:lang w:val="en-CA" w:eastAsia="en-CA"/>
                <w14:ligatures w14:val="none"/>
              </w:rPr>
              <w:br/>
              <w:t>• Statistically significant interactions between group and interval for anxious–tense (p = 0.02), anger/</w:t>
            </w:r>
            <w:r w:rsidRPr="006E1C09">
              <w:rPr>
                <w:rFonts w:ascii="Times New Roman" w:eastAsia="Times New Roman" w:hAnsi="Times New Roman" w:cs="Times New Roman"/>
                <w:kern w:val="0"/>
                <w:sz w:val="24"/>
                <w:szCs w:val="24"/>
                <w:lang w:val="en-CA" w:eastAsia="en-CA"/>
                <w14:ligatures w14:val="none"/>
              </w:rPr>
              <w:lastRenderedPageBreak/>
              <w:t>irritability (p = 0.03), feeling overwhelmed (p = 0.02), and physical symptoms (0.007).</w:t>
            </w:r>
            <w:r w:rsidRPr="006E1C09">
              <w:rPr>
                <w:rFonts w:ascii="Times New Roman" w:eastAsia="Times New Roman" w:hAnsi="Times New Roman" w:cs="Times New Roman"/>
                <w:kern w:val="0"/>
                <w:sz w:val="24"/>
                <w:szCs w:val="24"/>
                <w:lang w:val="en-CA" w:eastAsia="en-CA"/>
                <w14:ligatures w14:val="none"/>
              </w:rPr>
              <w:br/>
              <w:t>• For all screened, women using CHC showed significantly smaller perimenstrual change scores, particularly for depression; anger or irritab</w:t>
            </w:r>
            <w:r w:rsidRPr="006E1C09">
              <w:rPr>
                <w:rFonts w:ascii="Times New Roman" w:eastAsia="Times New Roman" w:hAnsi="Times New Roman" w:cs="Times New Roman"/>
                <w:kern w:val="0"/>
                <w:sz w:val="24"/>
                <w:szCs w:val="24"/>
                <w:lang w:val="en-CA" w:eastAsia="en-CA"/>
                <w14:ligatures w14:val="none"/>
              </w:rPr>
              <w:lastRenderedPageBreak/>
              <w:t xml:space="preserve">ility; and physical symptoms, than women not using CHC. </w:t>
            </w:r>
            <w:r w:rsidRPr="006E1C09">
              <w:rPr>
                <w:rFonts w:ascii="Times New Roman" w:eastAsia="Times New Roman" w:hAnsi="Times New Roman" w:cs="Times New Roman"/>
                <w:kern w:val="0"/>
                <w:sz w:val="24"/>
                <w:szCs w:val="24"/>
                <w:lang w:val="en-CA" w:eastAsia="en-CA"/>
                <w14:ligatures w14:val="none"/>
              </w:rPr>
              <w:br/>
              <w:t xml:space="preserve">• Smaller overall symptom change scores were also found for the non-CHC versus CHC group in the Randomized Cohort, although pairwise analyses did not reveal significant </w:t>
            </w:r>
            <w:r w:rsidRPr="006E1C09">
              <w:rPr>
                <w:rFonts w:ascii="Times New Roman" w:eastAsia="Times New Roman" w:hAnsi="Times New Roman" w:cs="Times New Roman"/>
                <w:kern w:val="0"/>
                <w:sz w:val="24"/>
                <w:szCs w:val="24"/>
                <w:lang w:val="en-CA" w:eastAsia="en-CA"/>
                <w14:ligatures w14:val="none"/>
              </w:rPr>
              <w:lastRenderedPageBreak/>
              <w:t>differences for any particular symptoms.</w:t>
            </w:r>
          </w:p>
        </w:tc>
      </w:tr>
      <w:tr w:rsidR="006E1C09" w:rsidRPr="00F87E76" w14:paraId="69570B71"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2F564938"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Zethraeus et al., 2017</w:t>
            </w:r>
          </w:p>
        </w:tc>
        <w:tc>
          <w:tcPr>
            <w:tcW w:w="298" w:type="pct"/>
            <w:tcBorders>
              <w:top w:val="nil"/>
              <w:left w:val="nil"/>
              <w:bottom w:val="single" w:sz="4" w:space="0" w:color="auto"/>
              <w:right w:val="single" w:sz="4" w:space="0" w:color="auto"/>
            </w:tcBorders>
            <w:shd w:val="clear" w:color="000000" w:fill="FFFFFF"/>
            <w:vAlign w:val="center"/>
            <w:hideMark/>
          </w:tcPr>
          <w:p w14:paraId="1C43B68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340 women ranging from 18-35 years</w:t>
            </w:r>
          </w:p>
        </w:tc>
        <w:tc>
          <w:tcPr>
            <w:tcW w:w="576" w:type="pct"/>
            <w:tcBorders>
              <w:top w:val="nil"/>
              <w:left w:val="nil"/>
              <w:bottom w:val="single" w:sz="4" w:space="0" w:color="auto"/>
              <w:right w:val="single" w:sz="4" w:space="0" w:color="auto"/>
            </w:tcBorders>
            <w:shd w:val="clear" w:color="000000" w:fill="FFFFFF"/>
            <w:vAlign w:val="center"/>
            <w:hideMark/>
          </w:tcPr>
          <w:p w14:paraId="6CBDE99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Double-blind, randomized, placebo-controlled trial</w:t>
            </w:r>
          </w:p>
        </w:tc>
        <w:tc>
          <w:tcPr>
            <w:tcW w:w="487" w:type="pct"/>
            <w:tcBorders>
              <w:top w:val="nil"/>
              <w:left w:val="nil"/>
              <w:bottom w:val="single" w:sz="4" w:space="0" w:color="auto"/>
              <w:right w:val="single" w:sz="4" w:space="0" w:color="auto"/>
            </w:tcBorders>
            <w:shd w:val="clear" w:color="000000" w:fill="FFFFFF"/>
            <w:vAlign w:val="center"/>
            <w:hideMark/>
          </w:tcPr>
          <w:p w14:paraId="4CB7984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determine whether there is a causal effect of oral contraceptive treatment on general well-being and depressed mood in healthy women</w:t>
            </w:r>
          </w:p>
        </w:tc>
        <w:tc>
          <w:tcPr>
            <w:tcW w:w="533" w:type="pct"/>
            <w:tcBorders>
              <w:top w:val="nil"/>
              <w:left w:val="nil"/>
              <w:bottom w:val="single" w:sz="4" w:space="0" w:color="auto"/>
              <w:right w:val="single" w:sz="4" w:space="0" w:color="auto"/>
            </w:tcBorders>
            <w:shd w:val="clear" w:color="000000" w:fill="FFFFFF"/>
            <w:vAlign w:val="center"/>
            <w:hideMark/>
          </w:tcPr>
          <w:p w14:paraId="3A58D14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Combined monophasic oral contraceptive containing 150 μg of levonorgestrel and 30 μg of ethinylestradiol</w:t>
            </w:r>
          </w:p>
        </w:tc>
        <w:tc>
          <w:tcPr>
            <w:tcW w:w="346" w:type="pct"/>
            <w:tcBorders>
              <w:top w:val="nil"/>
              <w:left w:val="nil"/>
              <w:bottom w:val="single" w:sz="4" w:space="0" w:color="auto"/>
              <w:right w:val="single" w:sz="4" w:space="0" w:color="auto"/>
            </w:tcBorders>
            <w:shd w:val="clear" w:color="000000" w:fill="FFFFFF"/>
            <w:vAlign w:val="center"/>
            <w:hideMark/>
          </w:tcPr>
          <w:p w14:paraId="7C6063B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3 months (3 cycles)</w:t>
            </w:r>
          </w:p>
        </w:tc>
        <w:tc>
          <w:tcPr>
            <w:tcW w:w="484" w:type="pct"/>
            <w:tcBorders>
              <w:top w:val="nil"/>
              <w:left w:val="nil"/>
              <w:bottom w:val="single" w:sz="4" w:space="0" w:color="auto"/>
              <w:right w:val="single" w:sz="4" w:space="0" w:color="auto"/>
            </w:tcBorders>
            <w:shd w:val="clear" w:color="000000" w:fill="FFFFFF"/>
            <w:hideMark/>
          </w:tcPr>
          <w:p w14:paraId="18DE005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Negative impact of OC use on overall well-being, but no effect on anxiety, depressed mood/symptoms, or general health.</w:t>
            </w:r>
          </w:p>
        </w:tc>
        <w:tc>
          <w:tcPr>
            <w:tcW w:w="372" w:type="pct"/>
            <w:tcBorders>
              <w:top w:val="nil"/>
              <w:left w:val="nil"/>
              <w:bottom w:val="single" w:sz="4" w:space="0" w:color="auto"/>
              <w:right w:val="single" w:sz="4" w:space="0" w:color="auto"/>
            </w:tcBorders>
            <w:shd w:val="clear" w:color="000000" w:fill="FFFFFF"/>
            <w:vAlign w:val="center"/>
            <w:hideMark/>
          </w:tcPr>
          <w:p w14:paraId="17BF6DC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25E4692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Psychological General Well-Being Index (PGWBI) for general well-being and the Beck Depression Inventory (BDI) for depression</w:t>
            </w:r>
          </w:p>
        </w:tc>
        <w:tc>
          <w:tcPr>
            <w:tcW w:w="423" w:type="pct"/>
            <w:tcBorders>
              <w:top w:val="nil"/>
              <w:left w:val="nil"/>
              <w:bottom w:val="single" w:sz="4" w:space="0" w:color="auto"/>
              <w:right w:val="single" w:sz="4" w:space="0" w:color="auto"/>
            </w:tcBorders>
            <w:shd w:val="clear" w:color="000000" w:fill="FFFFFF"/>
            <w:vAlign w:val="center"/>
            <w:hideMark/>
          </w:tcPr>
          <w:p w14:paraId="46A1E30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4B8FDE7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Statistically significant difference in the change in the global score of PGWBI between the OC and the placebo groups of -4.12 (95% CI, -7.18 to -1.06; P=0.0085).</w:t>
            </w:r>
            <w:r w:rsidRPr="006E1C09">
              <w:rPr>
                <w:rFonts w:ascii="Times New Roman" w:eastAsia="Times New Roman" w:hAnsi="Times New Roman" w:cs="Times New Roman"/>
                <w:kern w:val="0"/>
                <w:sz w:val="24"/>
                <w:szCs w:val="24"/>
                <w:lang w:val="en-CA" w:eastAsia="en-CA"/>
                <w14:ligatures w14:val="none"/>
              </w:rPr>
              <w:lastRenderedPageBreak/>
              <w:t>We also found a statistically significant</w:t>
            </w:r>
            <w:r w:rsidRPr="006E1C09">
              <w:rPr>
                <w:rFonts w:ascii="Times New Roman" w:eastAsia="Times New Roman" w:hAnsi="Times New Roman" w:cs="Times New Roman"/>
                <w:kern w:val="0"/>
                <w:sz w:val="24"/>
                <w:szCs w:val="24"/>
                <w:lang w:val="en-CA" w:eastAsia="en-CA"/>
                <w14:ligatures w14:val="none"/>
              </w:rPr>
              <w:br/>
              <w:t xml:space="preserve">• Statistically significant negative impact of OC on well-being  for the following three PGWBI dimensions : positive well-being -3.90 (95% CI, -7.78 to -0.01; P=0.0492), self-control -6.63 (95% </w:t>
            </w:r>
            <w:r w:rsidRPr="006E1C09">
              <w:rPr>
                <w:rFonts w:ascii="Times New Roman" w:eastAsia="Times New Roman" w:hAnsi="Times New Roman" w:cs="Times New Roman"/>
                <w:kern w:val="0"/>
                <w:sz w:val="24"/>
                <w:szCs w:val="24"/>
                <w:lang w:val="en-CA" w:eastAsia="en-CA"/>
                <w14:ligatures w14:val="none"/>
              </w:rPr>
              <w:lastRenderedPageBreak/>
              <w:t xml:space="preserve">CI, -11.20 to -2.06; P=0.0046), and vitality -6.84 (95% CI, -10.80 to -2.88; P=0.0008). The effect sizes expressed as Cohen's D (21) were 0.29 for the global PGWBI score, 0.22 for reduced positive well-being, 0.34 for self-control, and </w:t>
            </w:r>
            <w:r w:rsidRPr="006E1C09">
              <w:rPr>
                <w:rFonts w:ascii="Times New Roman" w:eastAsia="Times New Roman" w:hAnsi="Times New Roman" w:cs="Times New Roman"/>
                <w:kern w:val="0"/>
                <w:sz w:val="24"/>
                <w:szCs w:val="24"/>
                <w:lang w:val="en-CA" w:eastAsia="en-CA"/>
                <w14:ligatures w14:val="none"/>
              </w:rPr>
              <w:lastRenderedPageBreak/>
              <w:t>0.41 for the vitality dimension. These effect sizes are considered small to medium.</w:t>
            </w:r>
            <w:r w:rsidRPr="006E1C09">
              <w:rPr>
                <w:rFonts w:ascii="Times New Roman" w:eastAsia="Times New Roman" w:hAnsi="Times New Roman" w:cs="Times New Roman"/>
                <w:kern w:val="0"/>
                <w:sz w:val="24"/>
                <w:szCs w:val="24"/>
                <w:lang w:val="en-CA" w:eastAsia="en-CA"/>
                <w14:ligatures w14:val="none"/>
              </w:rPr>
              <w:br/>
              <w:t xml:space="preserve">• No statistically significant difference between the OC and placebo group for the following PGWBI dimensions: anxiety -2.08 (95% CI, -6.15 to </w:t>
            </w:r>
            <w:r w:rsidRPr="006E1C09">
              <w:rPr>
                <w:rFonts w:ascii="Times New Roman" w:eastAsia="Times New Roman" w:hAnsi="Times New Roman" w:cs="Times New Roman"/>
                <w:kern w:val="0"/>
                <w:sz w:val="24"/>
                <w:szCs w:val="24"/>
                <w:lang w:val="en-CA" w:eastAsia="en-CA"/>
                <w14:ligatures w14:val="none"/>
              </w:rPr>
              <w:lastRenderedPageBreak/>
              <w:t>1.99; P=0.3155), depressed mood -3.67 (95% CI, -7.51 to 0.17; P=0.0613), and general health -2.15 (95% CI, -5.24 to 0.94; P=0.1723)</w:t>
            </w:r>
            <w:r w:rsidRPr="006E1C09">
              <w:rPr>
                <w:rFonts w:ascii="Times New Roman" w:eastAsia="Times New Roman" w:hAnsi="Times New Roman" w:cs="Times New Roman"/>
                <w:kern w:val="0"/>
                <w:sz w:val="24"/>
                <w:szCs w:val="24"/>
                <w:lang w:val="en-CA" w:eastAsia="en-CA"/>
                <w14:ligatures w14:val="none"/>
              </w:rPr>
              <w:br/>
              <w:t>• Not statistically significant for the BDI (depressive symptoms) 0.85 (95% CI, -0.66 to 2.36; P=0.2664)</w:t>
            </w:r>
            <w:r w:rsidRPr="006E1C09">
              <w:rPr>
                <w:rFonts w:ascii="Times New Roman" w:eastAsia="Times New Roman" w:hAnsi="Times New Roman" w:cs="Times New Roman"/>
                <w:kern w:val="0"/>
                <w:sz w:val="24"/>
                <w:szCs w:val="24"/>
                <w:lang w:val="en-CA" w:eastAsia="en-CA"/>
                <w14:ligatures w14:val="none"/>
              </w:rPr>
              <w:br/>
            </w:r>
            <w:r w:rsidRPr="006E1C09">
              <w:rPr>
                <w:rFonts w:ascii="Times New Roman" w:eastAsia="Times New Roman" w:hAnsi="Times New Roman" w:cs="Times New Roman"/>
                <w:kern w:val="0"/>
                <w:sz w:val="24"/>
                <w:szCs w:val="24"/>
                <w:lang w:val="en-CA" w:eastAsia="en-CA"/>
                <w14:ligatures w14:val="none"/>
              </w:rPr>
              <w:lastRenderedPageBreak/>
              <w:t xml:space="preserve">• After treatment, 44% in the OC group and 38% in the placebo group had moderate to severe distress in general well-being, whereas 7% in the OC group and 7% in the placebo group had moderate to severe depressive symptoms. There was no </w:t>
            </w:r>
            <w:r w:rsidRPr="006E1C09">
              <w:rPr>
                <w:rFonts w:ascii="Times New Roman" w:eastAsia="Times New Roman" w:hAnsi="Times New Roman" w:cs="Times New Roman"/>
                <w:kern w:val="0"/>
                <w:sz w:val="24"/>
                <w:szCs w:val="24"/>
                <w:lang w:val="en-CA" w:eastAsia="en-CA"/>
                <w14:ligatures w14:val="none"/>
              </w:rPr>
              <w:lastRenderedPageBreak/>
              <w:t>statistically significant treatment effect for the primary outcome measures or the secondary outcome measures in these subgroups</w:t>
            </w:r>
          </w:p>
        </w:tc>
      </w:tr>
      <w:tr w:rsidR="006E1C09" w:rsidRPr="00F87E76" w14:paraId="100C1291"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4B5EEA6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Bengtsdotter et al., 2018</w:t>
            </w:r>
          </w:p>
        </w:tc>
        <w:tc>
          <w:tcPr>
            <w:tcW w:w="298" w:type="pct"/>
            <w:tcBorders>
              <w:top w:val="nil"/>
              <w:left w:val="nil"/>
              <w:bottom w:val="single" w:sz="4" w:space="0" w:color="auto"/>
              <w:right w:val="single" w:sz="4" w:space="0" w:color="auto"/>
            </w:tcBorders>
            <w:shd w:val="clear" w:color="000000" w:fill="FFFFFF"/>
            <w:vAlign w:val="center"/>
            <w:hideMark/>
          </w:tcPr>
          <w:p w14:paraId="13546BE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202 women ranging from 18-35 years</w:t>
            </w:r>
          </w:p>
        </w:tc>
        <w:tc>
          <w:tcPr>
            <w:tcW w:w="576" w:type="pct"/>
            <w:tcBorders>
              <w:top w:val="nil"/>
              <w:left w:val="nil"/>
              <w:bottom w:val="single" w:sz="4" w:space="0" w:color="auto"/>
              <w:right w:val="single" w:sz="4" w:space="0" w:color="auto"/>
            </w:tcBorders>
            <w:shd w:val="clear" w:color="000000" w:fill="FFFFFF"/>
            <w:vAlign w:val="center"/>
            <w:hideMark/>
          </w:tcPr>
          <w:p w14:paraId="28BB827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Double-blinded, randomised, parallel-group clinical trial</w:t>
            </w:r>
          </w:p>
        </w:tc>
        <w:tc>
          <w:tcPr>
            <w:tcW w:w="487" w:type="pct"/>
            <w:tcBorders>
              <w:top w:val="nil"/>
              <w:left w:val="nil"/>
              <w:bottom w:val="single" w:sz="4" w:space="0" w:color="auto"/>
              <w:right w:val="single" w:sz="4" w:space="0" w:color="auto"/>
            </w:tcBorders>
            <w:shd w:val="clear" w:color="000000" w:fill="FFFFFF"/>
            <w:vAlign w:val="center"/>
            <w:hideMark/>
          </w:tcPr>
          <w:p w14:paraId="3C89B08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assess whether women with ongoing or previous mental health disorders or risk use </w:t>
            </w:r>
            <w:r w:rsidRPr="006E1C09">
              <w:rPr>
                <w:rFonts w:ascii="Times New Roman" w:eastAsia="Times New Roman" w:hAnsi="Times New Roman" w:cs="Times New Roman"/>
                <w:kern w:val="0"/>
                <w:sz w:val="24"/>
                <w:szCs w:val="24"/>
                <w:lang w:val="en-CA" w:eastAsia="en-CA"/>
                <w14:ligatures w14:val="none"/>
              </w:rPr>
              <w:lastRenderedPageBreak/>
              <w:t>of alcohol at baseline are at higher risk for COC-induced mood symptoms</w:t>
            </w:r>
          </w:p>
        </w:tc>
        <w:tc>
          <w:tcPr>
            <w:tcW w:w="533" w:type="pct"/>
            <w:tcBorders>
              <w:top w:val="nil"/>
              <w:left w:val="nil"/>
              <w:bottom w:val="single" w:sz="4" w:space="0" w:color="auto"/>
              <w:right w:val="single" w:sz="4" w:space="0" w:color="auto"/>
            </w:tcBorders>
            <w:shd w:val="clear" w:color="000000" w:fill="FFFFFF"/>
            <w:vAlign w:val="center"/>
            <w:hideMark/>
          </w:tcPr>
          <w:p w14:paraId="094610F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Combined oral contraceptive containing 1.5 mg estradiol and 2.5 mg nomegestrol acetate</w:t>
            </w:r>
          </w:p>
        </w:tc>
        <w:tc>
          <w:tcPr>
            <w:tcW w:w="346" w:type="pct"/>
            <w:tcBorders>
              <w:top w:val="nil"/>
              <w:left w:val="nil"/>
              <w:bottom w:val="single" w:sz="4" w:space="0" w:color="auto"/>
              <w:right w:val="single" w:sz="4" w:space="0" w:color="auto"/>
            </w:tcBorders>
            <w:shd w:val="clear" w:color="000000" w:fill="FFFFFF"/>
            <w:vAlign w:val="center"/>
            <w:hideMark/>
          </w:tcPr>
          <w:p w14:paraId="6004EEF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3 treatment cycles</w:t>
            </w:r>
          </w:p>
        </w:tc>
        <w:tc>
          <w:tcPr>
            <w:tcW w:w="484" w:type="pct"/>
            <w:tcBorders>
              <w:top w:val="nil"/>
              <w:left w:val="nil"/>
              <w:bottom w:val="single" w:sz="4" w:space="0" w:color="auto"/>
              <w:right w:val="single" w:sz="4" w:space="0" w:color="auto"/>
            </w:tcBorders>
            <w:shd w:val="clear" w:color="000000" w:fill="FFFFFF"/>
            <w:vAlign w:val="center"/>
            <w:hideMark/>
          </w:tcPr>
          <w:p w14:paraId="384FD4B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372" w:type="pct"/>
            <w:tcBorders>
              <w:top w:val="nil"/>
              <w:left w:val="nil"/>
              <w:bottom w:val="single" w:sz="4" w:space="0" w:color="auto"/>
              <w:right w:val="single" w:sz="4" w:space="0" w:color="auto"/>
            </w:tcBorders>
            <w:shd w:val="clear" w:color="000000" w:fill="FFFFFF"/>
            <w:vAlign w:val="center"/>
            <w:hideMark/>
          </w:tcPr>
          <w:p w14:paraId="69A054A8"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an ongoing or previous history of mood, anxiety and eati</w:t>
            </w:r>
            <w:r w:rsidRPr="006E1C09">
              <w:rPr>
                <w:rFonts w:ascii="Times New Roman" w:eastAsia="Times New Roman" w:hAnsi="Times New Roman" w:cs="Times New Roman"/>
                <w:kern w:val="0"/>
                <w:sz w:val="24"/>
                <w:szCs w:val="24"/>
                <w:lang w:val="en-CA" w:eastAsia="en-CA"/>
                <w14:ligatures w14:val="none"/>
              </w:rPr>
              <w:lastRenderedPageBreak/>
              <w:t>ng disorders are at greater risk of reporting a worsening of mood symptoms during COC use.</w:t>
            </w:r>
          </w:p>
        </w:tc>
        <w:tc>
          <w:tcPr>
            <w:tcW w:w="611" w:type="pct"/>
            <w:tcBorders>
              <w:top w:val="nil"/>
              <w:left w:val="nil"/>
              <w:bottom w:val="single" w:sz="4" w:space="0" w:color="auto"/>
              <w:right w:val="single" w:sz="4" w:space="0" w:color="auto"/>
            </w:tcBorders>
            <w:shd w:val="clear" w:color="000000" w:fill="FFFFFF"/>
            <w:vAlign w:val="center"/>
            <w:hideMark/>
          </w:tcPr>
          <w:p w14:paraId="46DCAB9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Ongoing or previous mood, anxiety assessed by MINI interview. Eating disorders assessed by specific questions for eating </w:t>
            </w:r>
            <w:r w:rsidRPr="006E1C09">
              <w:rPr>
                <w:rFonts w:ascii="Times New Roman" w:eastAsia="Times New Roman" w:hAnsi="Times New Roman" w:cs="Times New Roman"/>
                <w:kern w:val="0"/>
                <w:sz w:val="24"/>
                <w:szCs w:val="24"/>
                <w:lang w:val="en-CA" w:eastAsia="en-CA"/>
                <w14:ligatures w14:val="none"/>
              </w:rPr>
              <w:lastRenderedPageBreak/>
              <w:t>disorders. Risk of alcohol use assessed by AUDIT questionnaire.</w:t>
            </w:r>
          </w:p>
        </w:tc>
        <w:tc>
          <w:tcPr>
            <w:tcW w:w="423" w:type="pct"/>
            <w:tcBorders>
              <w:top w:val="nil"/>
              <w:left w:val="nil"/>
              <w:bottom w:val="single" w:sz="4" w:space="0" w:color="auto"/>
              <w:right w:val="single" w:sz="4" w:space="0" w:color="auto"/>
            </w:tcBorders>
            <w:shd w:val="clear" w:color="000000" w:fill="FFFFFF"/>
            <w:vAlign w:val="center"/>
            <w:hideMark/>
          </w:tcPr>
          <w:p w14:paraId="1AB0862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0117FB3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Women with ongoing or previous mental disorders allocated to COC reported higher mood symptom </w:t>
            </w:r>
            <w:r w:rsidRPr="006E1C09">
              <w:rPr>
                <w:rFonts w:ascii="Times New Roman" w:eastAsia="Times New Roman" w:hAnsi="Times New Roman" w:cs="Times New Roman"/>
                <w:kern w:val="0"/>
                <w:sz w:val="24"/>
                <w:szCs w:val="24"/>
                <w:lang w:val="en-CA" w:eastAsia="en-CA"/>
                <w14:ligatures w14:val="none"/>
              </w:rPr>
              <w:lastRenderedPageBreak/>
              <w:t>scores during the intermenstrual phase compared to those on placebo, with a mean difference of 1.3 (95% CI 0.3-2.3).</w:t>
            </w:r>
            <w:r w:rsidRPr="006E1C09">
              <w:rPr>
                <w:rFonts w:ascii="Times New Roman" w:eastAsia="Times New Roman" w:hAnsi="Times New Roman" w:cs="Times New Roman"/>
                <w:kern w:val="0"/>
                <w:sz w:val="24"/>
                <w:szCs w:val="24"/>
                <w:lang w:val="en-CA" w:eastAsia="en-CA"/>
                <w14:ligatures w14:val="none"/>
              </w:rPr>
              <w:br/>
              <w:t xml:space="preserve">• Treatment response in women with ongoing mood, anxiety and eating disorders: Effect sizes were greater in COC-treated </w:t>
            </w:r>
            <w:r w:rsidRPr="006E1C09">
              <w:rPr>
                <w:rFonts w:ascii="Times New Roman" w:eastAsia="Times New Roman" w:hAnsi="Times New Roman" w:cs="Times New Roman"/>
                <w:kern w:val="0"/>
                <w:sz w:val="24"/>
                <w:szCs w:val="24"/>
                <w:lang w:val="en-CA" w:eastAsia="en-CA"/>
                <w14:ligatures w14:val="none"/>
              </w:rPr>
              <w:lastRenderedPageBreak/>
              <w:t>women with ongoing mental disorder, but the only symptom that differed between treatments was irritability.</w:t>
            </w:r>
            <w:r w:rsidRPr="006E1C09">
              <w:rPr>
                <w:rFonts w:ascii="Times New Roman" w:eastAsia="Times New Roman" w:hAnsi="Times New Roman" w:cs="Times New Roman"/>
                <w:kern w:val="0"/>
                <w:sz w:val="24"/>
                <w:szCs w:val="24"/>
                <w:lang w:val="en-CA" w:eastAsia="en-CA"/>
                <w14:ligatures w14:val="none"/>
              </w:rPr>
              <w:br/>
              <w:t>• Euthymic women had higher scores of mood swings and irritability if they had received active treatment</w:t>
            </w:r>
            <w:r w:rsidRPr="006E1C09">
              <w:rPr>
                <w:rFonts w:ascii="Times New Roman" w:eastAsia="Times New Roman" w:hAnsi="Times New Roman" w:cs="Times New Roman"/>
                <w:kern w:val="0"/>
                <w:sz w:val="24"/>
                <w:szCs w:val="24"/>
                <w:lang w:val="en-CA" w:eastAsia="en-CA"/>
                <w14:ligatures w14:val="none"/>
              </w:rPr>
              <w:br/>
              <w:t xml:space="preserve">• Women with a </w:t>
            </w:r>
            <w:r w:rsidRPr="006E1C09">
              <w:rPr>
                <w:rFonts w:ascii="Times New Roman" w:eastAsia="Times New Roman" w:hAnsi="Times New Roman" w:cs="Times New Roman"/>
                <w:kern w:val="0"/>
                <w:sz w:val="24"/>
                <w:szCs w:val="24"/>
                <w:lang w:val="en-CA" w:eastAsia="en-CA"/>
                <w14:ligatures w14:val="none"/>
              </w:rPr>
              <w:lastRenderedPageBreak/>
              <w:t xml:space="preserve">risk use of alcohol who were randomised to the COC had higher total DRSP D-scores than corresponding women randomised to placebo, mean difference 2.1 (CI 95% 1.0–3.2). Among the individual symptoms, they had higher scores of </w:t>
            </w:r>
            <w:r w:rsidRPr="006E1C09">
              <w:rPr>
                <w:rFonts w:ascii="Times New Roman" w:eastAsia="Times New Roman" w:hAnsi="Times New Roman" w:cs="Times New Roman"/>
                <w:kern w:val="0"/>
                <w:sz w:val="24"/>
                <w:szCs w:val="24"/>
                <w:lang w:val="en-CA" w:eastAsia="en-CA"/>
                <w14:ligatures w14:val="none"/>
              </w:rPr>
              <w:lastRenderedPageBreak/>
              <w:t>depression, irritability and decreased interest in usual activities</w:t>
            </w:r>
          </w:p>
        </w:tc>
      </w:tr>
      <w:tr w:rsidR="006E1C09" w:rsidRPr="00F87E76" w14:paraId="15B656B0" w14:textId="77777777" w:rsidTr="006E1C09">
        <w:trPr>
          <w:trHeight w:val="409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3A310C02"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Gregory et al., 2018</w:t>
            </w:r>
          </w:p>
        </w:tc>
        <w:tc>
          <w:tcPr>
            <w:tcW w:w="298" w:type="pct"/>
            <w:tcBorders>
              <w:top w:val="nil"/>
              <w:left w:val="nil"/>
              <w:bottom w:val="single" w:sz="4" w:space="0" w:color="auto"/>
              <w:right w:val="single" w:sz="4" w:space="0" w:color="auto"/>
            </w:tcBorders>
            <w:shd w:val="clear" w:color="000000" w:fill="FFFFFF"/>
            <w:vAlign w:val="center"/>
            <w:hideMark/>
          </w:tcPr>
          <w:p w14:paraId="06A68B1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349 697 women ranging from 18-34 years</w:t>
            </w:r>
          </w:p>
        </w:tc>
        <w:tc>
          <w:tcPr>
            <w:tcW w:w="576" w:type="pct"/>
            <w:tcBorders>
              <w:top w:val="nil"/>
              <w:left w:val="nil"/>
              <w:bottom w:val="single" w:sz="4" w:space="0" w:color="auto"/>
              <w:right w:val="single" w:sz="4" w:space="0" w:color="auto"/>
            </w:tcBorders>
            <w:shd w:val="clear" w:color="000000" w:fill="FFFFFF"/>
            <w:vAlign w:val="center"/>
            <w:hideMark/>
          </w:tcPr>
          <w:p w14:paraId="3E3207B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 utilizing data from the National College Health Assessment (NCHA)</w:t>
            </w:r>
          </w:p>
        </w:tc>
        <w:tc>
          <w:tcPr>
            <w:tcW w:w="487" w:type="pct"/>
            <w:tcBorders>
              <w:top w:val="nil"/>
              <w:left w:val="nil"/>
              <w:bottom w:val="single" w:sz="4" w:space="0" w:color="auto"/>
              <w:right w:val="single" w:sz="4" w:space="0" w:color="auto"/>
            </w:tcBorders>
            <w:shd w:val="clear" w:color="000000" w:fill="FFFFFF"/>
            <w:vAlign w:val="center"/>
            <w:hideMark/>
          </w:tcPr>
          <w:p w14:paraId="205E804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examine the HC and depression relationship among women attending college/university.</w:t>
            </w:r>
            <w:r w:rsidRPr="006E1C09">
              <w:rPr>
                <w:rFonts w:ascii="Times New Roman" w:eastAsia="Times New Roman" w:hAnsi="Times New Roman" w:cs="Times New Roman"/>
                <w:kern w:val="0"/>
                <w:sz w:val="24"/>
                <w:szCs w:val="24"/>
                <w:lang w:val="en-CA" w:eastAsia="en-CA"/>
                <w14:ligatures w14:val="none"/>
              </w:rPr>
              <w:br/>
              <w:t xml:space="preserve">To examine if the association between depression and Academic </w:t>
            </w:r>
            <w:r w:rsidRPr="006E1C09">
              <w:rPr>
                <w:rFonts w:ascii="Times New Roman" w:eastAsia="Times New Roman" w:hAnsi="Times New Roman" w:cs="Times New Roman"/>
                <w:kern w:val="0"/>
                <w:sz w:val="24"/>
                <w:szCs w:val="24"/>
                <w:lang w:val="en-CA" w:eastAsia="en-CA"/>
                <w14:ligatures w14:val="none"/>
              </w:rPr>
              <w:lastRenderedPageBreak/>
              <w:t>Performance (AP) was moderated by HC use, and further examine the relationship between age and depression, and incorporate both with and understanding of their relationship with AP.</w:t>
            </w:r>
          </w:p>
        </w:tc>
        <w:tc>
          <w:tcPr>
            <w:tcW w:w="533" w:type="pct"/>
            <w:tcBorders>
              <w:top w:val="nil"/>
              <w:left w:val="nil"/>
              <w:bottom w:val="single" w:sz="4" w:space="0" w:color="auto"/>
              <w:right w:val="single" w:sz="4" w:space="0" w:color="auto"/>
            </w:tcBorders>
            <w:shd w:val="clear" w:color="000000" w:fill="FFFFFF"/>
            <w:vAlign w:val="center"/>
            <w:hideMark/>
          </w:tcPr>
          <w:p w14:paraId="646AD46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Birth control pills, IUD, vaginal ring, birth control shots, birth control implants and birth control patch</w:t>
            </w:r>
          </w:p>
        </w:tc>
        <w:tc>
          <w:tcPr>
            <w:tcW w:w="346" w:type="pct"/>
            <w:tcBorders>
              <w:top w:val="nil"/>
              <w:left w:val="nil"/>
              <w:bottom w:val="single" w:sz="4" w:space="0" w:color="auto"/>
              <w:right w:val="single" w:sz="4" w:space="0" w:color="auto"/>
            </w:tcBorders>
            <w:shd w:val="clear" w:color="000000" w:fill="FFFFFF"/>
            <w:vAlign w:val="center"/>
            <w:hideMark/>
          </w:tcPr>
          <w:p w14:paraId="7162E28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Over 7 years</w:t>
            </w:r>
          </w:p>
        </w:tc>
        <w:tc>
          <w:tcPr>
            <w:tcW w:w="484" w:type="pct"/>
            <w:tcBorders>
              <w:top w:val="nil"/>
              <w:left w:val="nil"/>
              <w:bottom w:val="single" w:sz="4" w:space="0" w:color="auto"/>
              <w:right w:val="single" w:sz="4" w:space="0" w:color="auto"/>
            </w:tcBorders>
            <w:shd w:val="clear" w:color="000000" w:fill="FFFFFF"/>
            <w:vAlign w:val="center"/>
            <w:hideMark/>
          </w:tcPr>
          <w:p w14:paraId="799A66C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Hormonal contraception use is associated with an increased likelihood of depression diagnoses across all age groups, with the highest increase observed in </w:t>
            </w:r>
            <w:r w:rsidRPr="006E1C09">
              <w:rPr>
                <w:rFonts w:ascii="Times New Roman" w:eastAsia="Times New Roman" w:hAnsi="Times New Roman" w:cs="Times New Roman"/>
                <w:kern w:val="0"/>
                <w:sz w:val="24"/>
                <w:szCs w:val="24"/>
                <w:lang w:val="en-CA" w:eastAsia="en-CA"/>
                <w14:ligatures w14:val="none"/>
              </w:rPr>
              <w:lastRenderedPageBreak/>
              <w:t>younger women (18-19 years)</w:t>
            </w:r>
          </w:p>
        </w:tc>
        <w:tc>
          <w:tcPr>
            <w:tcW w:w="372" w:type="pct"/>
            <w:tcBorders>
              <w:top w:val="nil"/>
              <w:left w:val="nil"/>
              <w:bottom w:val="single" w:sz="4" w:space="0" w:color="auto"/>
              <w:right w:val="single" w:sz="4" w:space="0" w:color="auto"/>
            </w:tcBorders>
            <w:shd w:val="clear" w:color="000000" w:fill="FFFFFF"/>
            <w:vAlign w:val="center"/>
            <w:hideMark/>
          </w:tcPr>
          <w:p w14:paraId="3366EB8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0E66ECF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Depression (assessed by yes/no questionnaire)</w:t>
            </w:r>
          </w:p>
        </w:tc>
        <w:tc>
          <w:tcPr>
            <w:tcW w:w="423" w:type="pct"/>
            <w:tcBorders>
              <w:top w:val="nil"/>
              <w:left w:val="nil"/>
              <w:bottom w:val="single" w:sz="4" w:space="0" w:color="auto"/>
              <w:right w:val="single" w:sz="4" w:space="0" w:color="auto"/>
            </w:tcBorders>
            <w:shd w:val="clear" w:color="000000" w:fill="FFFFFF"/>
            <w:vAlign w:val="center"/>
            <w:hideMark/>
          </w:tcPr>
          <w:p w14:paraId="1D9DA5C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43EDD2A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Hormonal contraception use was associated with increased odds of a depression diagnosis across all age groups (44% vs 32% observed in the 18–19 age group, 53% vs </w:t>
            </w:r>
            <w:r w:rsidRPr="006E1C09">
              <w:rPr>
                <w:rFonts w:ascii="Times New Roman" w:eastAsia="Times New Roman" w:hAnsi="Times New Roman" w:cs="Times New Roman"/>
                <w:kern w:val="0"/>
                <w:sz w:val="24"/>
                <w:szCs w:val="24"/>
                <w:lang w:val="en-CA" w:eastAsia="en-CA"/>
                <w14:ligatures w14:val="none"/>
              </w:rPr>
              <w:lastRenderedPageBreak/>
              <w:t>44% in the 20–24 age group, 55% vs 49% in the 25–29 age group and lastly 44% vs 39% in the 30–34 age group)</w:t>
            </w:r>
            <w:r w:rsidRPr="006E1C09">
              <w:rPr>
                <w:rFonts w:ascii="Times New Roman" w:eastAsia="Times New Roman" w:hAnsi="Times New Roman" w:cs="Times New Roman"/>
                <w:kern w:val="0"/>
                <w:sz w:val="24"/>
                <w:szCs w:val="24"/>
                <w:lang w:val="en-CA" w:eastAsia="en-CA"/>
                <w14:ligatures w14:val="none"/>
              </w:rPr>
              <w:br/>
              <w:t xml:space="preserve">• HC use increased the odds of ever being diagnosed with depression by 1.558 in the 18–19 age group, 1.283 in the 20–24 age </w:t>
            </w:r>
            <w:r w:rsidRPr="006E1C09">
              <w:rPr>
                <w:rFonts w:ascii="Times New Roman" w:eastAsia="Times New Roman" w:hAnsi="Times New Roman" w:cs="Times New Roman"/>
                <w:kern w:val="0"/>
                <w:sz w:val="24"/>
                <w:szCs w:val="24"/>
                <w:lang w:val="en-CA" w:eastAsia="en-CA"/>
                <w14:ligatures w14:val="none"/>
              </w:rPr>
              <w:lastRenderedPageBreak/>
              <w:t>group, 1.158 in the 25–29 age group and 1.194 in the 30–34 age group (all p&lt;0.001).</w:t>
            </w:r>
            <w:r w:rsidRPr="006E1C09">
              <w:rPr>
                <w:rFonts w:ascii="Times New Roman" w:eastAsia="Times New Roman" w:hAnsi="Times New Roman" w:cs="Times New Roman"/>
                <w:kern w:val="0"/>
                <w:sz w:val="24"/>
                <w:szCs w:val="24"/>
                <w:lang w:val="en-CA" w:eastAsia="en-CA"/>
                <w14:ligatures w14:val="none"/>
              </w:rPr>
              <w:br/>
              <w:t xml:space="preserve">• HC use increased the probability of a depression diagnosis by 4.31% in the 18–19 age group, 2.97% in the 20–24 age group, 2.65% in the 25–29 age group and 3.74% in the </w:t>
            </w:r>
            <w:r w:rsidRPr="006E1C09">
              <w:rPr>
                <w:rFonts w:ascii="Times New Roman" w:eastAsia="Times New Roman" w:hAnsi="Times New Roman" w:cs="Times New Roman"/>
                <w:kern w:val="0"/>
                <w:sz w:val="24"/>
                <w:szCs w:val="24"/>
                <w:lang w:val="en-CA" w:eastAsia="en-CA"/>
                <w14:ligatures w14:val="none"/>
              </w:rPr>
              <w:lastRenderedPageBreak/>
              <w:t>30–34 age group (p&lt;0.001). For all age groups combined, HC use was associated with a 3.83% (p&lt;0.001) increase in probability of depression.</w:t>
            </w:r>
            <w:r w:rsidRPr="006E1C09">
              <w:rPr>
                <w:rFonts w:ascii="Times New Roman" w:eastAsia="Times New Roman" w:hAnsi="Times New Roman" w:cs="Times New Roman"/>
                <w:kern w:val="0"/>
                <w:sz w:val="24"/>
                <w:szCs w:val="24"/>
                <w:lang w:val="en-CA" w:eastAsia="en-CA"/>
                <w14:ligatures w14:val="none"/>
              </w:rPr>
              <w:br/>
              <w:t xml:space="preserve">• Among women aged 18-19, hormonal contraception use was linked to higher odds of </w:t>
            </w:r>
            <w:r w:rsidRPr="006E1C09">
              <w:rPr>
                <w:rFonts w:ascii="Times New Roman" w:eastAsia="Times New Roman" w:hAnsi="Times New Roman" w:cs="Times New Roman"/>
                <w:kern w:val="0"/>
                <w:sz w:val="24"/>
                <w:szCs w:val="24"/>
                <w:lang w:val="en-CA" w:eastAsia="en-CA"/>
                <w14:ligatures w14:val="none"/>
              </w:rPr>
              <w:lastRenderedPageBreak/>
              <w:t>reporting academic performance issues. Conversely, in the 25-29 age group, hormonal contraception use was associated with decreased odds of reporting academic performance issues.</w:t>
            </w:r>
            <w:r w:rsidRPr="006E1C09">
              <w:rPr>
                <w:rFonts w:ascii="Times New Roman" w:eastAsia="Times New Roman" w:hAnsi="Times New Roman" w:cs="Times New Roman"/>
                <w:kern w:val="0"/>
                <w:sz w:val="24"/>
                <w:szCs w:val="24"/>
                <w:lang w:val="en-CA" w:eastAsia="en-CA"/>
                <w14:ligatures w14:val="none"/>
              </w:rPr>
              <w:br/>
              <w:t>• When accounting for depression as a moderator, hormo</w:t>
            </w:r>
            <w:r w:rsidRPr="006E1C09">
              <w:rPr>
                <w:rFonts w:ascii="Times New Roman" w:eastAsia="Times New Roman" w:hAnsi="Times New Roman" w:cs="Times New Roman"/>
                <w:kern w:val="0"/>
                <w:sz w:val="24"/>
                <w:szCs w:val="24"/>
                <w:lang w:val="en-CA" w:eastAsia="en-CA"/>
                <w14:ligatures w14:val="none"/>
              </w:rPr>
              <w:lastRenderedPageBreak/>
              <w:t>nal contraception use continued to significantly increase the odds of academic performance issues in the 18–19 age group by 1.171 (p&lt;0.001) and 1.085 (p&lt;0.001) for those who had and had not been diagnosed with depression, respectively.</w:t>
            </w:r>
            <w:r w:rsidRPr="006E1C09">
              <w:rPr>
                <w:rFonts w:ascii="Times New Roman" w:eastAsia="Times New Roman" w:hAnsi="Times New Roman" w:cs="Times New Roman"/>
                <w:kern w:val="0"/>
                <w:sz w:val="24"/>
                <w:szCs w:val="24"/>
                <w:lang w:val="en-CA" w:eastAsia="en-CA"/>
                <w14:ligatures w14:val="none"/>
              </w:rPr>
              <w:br/>
              <w:t>• Amon</w:t>
            </w:r>
            <w:r w:rsidRPr="006E1C09">
              <w:rPr>
                <w:rFonts w:ascii="Times New Roman" w:eastAsia="Times New Roman" w:hAnsi="Times New Roman" w:cs="Times New Roman"/>
                <w:kern w:val="0"/>
                <w:sz w:val="24"/>
                <w:szCs w:val="24"/>
                <w:lang w:val="en-CA" w:eastAsia="en-CA"/>
                <w14:ligatures w14:val="none"/>
              </w:rPr>
              <w:lastRenderedPageBreak/>
              <w:t xml:space="preserve">g those diagnosed with depression, HC use did not significantly affect AP issues in any other age group. Among those not diagnosed, HC use had a protective effect, decreasing the odds of AP issues by 0.849 (p&lt;0.001) in the 20–24 age group, </w:t>
            </w:r>
            <w:r w:rsidRPr="006E1C09">
              <w:rPr>
                <w:rFonts w:ascii="Times New Roman" w:eastAsia="Times New Roman" w:hAnsi="Times New Roman" w:cs="Times New Roman"/>
                <w:kern w:val="0"/>
                <w:sz w:val="24"/>
                <w:szCs w:val="24"/>
                <w:lang w:val="en-CA" w:eastAsia="en-CA"/>
                <w14:ligatures w14:val="none"/>
              </w:rPr>
              <w:lastRenderedPageBreak/>
              <w:t>0.749 (p&lt;0.001) in the 25–29 age group and 0.833 (p&lt;0.01) in the 30–34 age group.</w:t>
            </w:r>
          </w:p>
        </w:tc>
      </w:tr>
      <w:tr w:rsidR="006E1C09" w:rsidRPr="00F87E76" w14:paraId="310ED8A1"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F285C82"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Horibe et al., 2018</w:t>
            </w:r>
          </w:p>
        </w:tc>
        <w:tc>
          <w:tcPr>
            <w:tcW w:w="298" w:type="pct"/>
            <w:tcBorders>
              <w:top w:val="nil"/>
              <w:left w:val="nil"/>
              <w:bottom w:val="single" w:sz="4" w:space="0" w:color="auto"/>
              <w:right w:val="single" w:sz="4" w:space="0" w:color="auto"/>
            </w:tcBorders>
            <w:shd w:val="clear" w:color="000000" w:fill="FFFFFF"/>
            <w:vAlign w:val="center"/>
            <w:hideMark/>
          </w:tcPr>
          <w:p w14:paraId="1A718E0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6 157 897 women ranging from &lt; 20-&gt;50 years</w:t>
            </w:r>
          </w:p>
        </w:tc>
        <w:tc>
          <w:tcPr>
            <w:tcW w:w="576" w:type="pct"/>
            <w:tcBorders>
              <w:top w:val="nil"/>
              <w:left w:val="nil"/>
              <w:bottom w:val="single" w:sz="4" w:space="0" w:color="auto"/>
              <w:right w:val="single" w:sz="4" w:space="0" w:color="auto"/>
            </w:tcBorders>
            <w:shd w:val="clear" w:color="000000" w:fill="FFFFFF"/>
            <w:vAlign w:val="center"/>
            <w:hideMark/>
          </w:tcPr>
          <w:p w14:paraId="1162F2E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Retrospective analysis of reported adverse events in the FAERS database </w:t>
            </w:r>
          </w:p>
        </w:tc>
        <w:tc>
          <w:tcPr>
            <w:tcW w:w="487" w:type="pct"/>
            <w:tcBorders>
              <w:top w:val="nil"/>
              <w:left w:val="nil"/>
              <w:bottom w:val="single" w:sz="4" w:space="0" w:color="auto"/>
              <w:right w:val="single" w:sz="4" w:space="0" w:color="auto"/>
            </w:tcBorders>
            <w:shd w:val="clear" w:color="000000" w:fill="FFFFFF"/>
            <w:vAlign w:val="center"/>
            <w:hideMark/>
          </w:tcPr>
          <w:p w14:paraId="1C0E00A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analyze the association between postpartum depression and the use of contraceptive devices and implants</w:t>
            </w:r>
          </w:p>
        </w:tc>
        <w:tc>
          <w:tcPr>
            <w:tcW w:w="533" w:type="pct"/>
            <w:tcBorders>
              <w:top w:val="nil"/>
              <w:left w:val="nil"/>
              <w:bottom w:val="single" w:sz="4" w:space="0" w:color="auto"/>
              <w:right w:val="single" w:sz="4" w:space="0" w:color="auto"/>
            </w:tcBorders>
            <w:shd w:val="clear" w:color="000000" w:fill="FFFFFF"/>
            <w:vAlign w:val="center"/>
            <w:hideMark/>
          </w:tcPr>
          <w:p w14:paraId="603CEED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Levonorgestrel (IUD with progestogen), etonogestrel (hormonal contraceptive), drospirenone (oral contraceptive)</w:t>
            </w:r>
          </w:p>
        </w:tc>
        <w:tc>
          <w:tcPr>
            <w:tcW w:w="346" w:type="pct"/>
            <w:tcBorders>
              <w:top w:val="nil"/>
              <w:left w:val="nil"/>
              <w:bottom w:val="single" w:sz="4" w:space="0" w:color="auto"/>
              <w:right w:val="single" w:sz="4" w:space="0" w:color="auto"/>
            </w:tcBorders>
            <w:shd w:val="clear" w:color="000000" w:fill="FFFFFF"/>
            <w:vAlign w:val="center"/>
            <w:hideMark/>
          </w:tcPr>
          <w:p w14:paraId="1CA3DA4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Over an 11-year period</w:t>
            </w:r>
          </w:p>
        </w:tc>
        <w:tc>
          <w:tcPr>
            <w:tcW w:w="484" w:type="pct"/>
            <w:tcBorders>
              <w:top w:val="nil"/>
              <w:left w:val="nil"/>
              <w:bottom w:val="single" w:sz="4" w:space="0" w:color="auto"/>
              <w:right w:val="single" w:sz="4" w:space="0" w:color="auto"/>
            </w:tcBorders>
            <w:shd w:val="clear" w:color="000000" w:fill="FFFFFF"/>
            <w:hideMark/>
          </w:tcPr>
          <w:p w14:paraId="54FA327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Levonorgestrel, etonogestrel and drospirenone showed a possible PPD signal. There may be an association between contraceptive use and PPD.</w:t>
            </w:r>
          </w:p>
        </w:tc>
        <w:tc>
          <w:tcPr>
            <w:tcW w:w="372" w:type="pct"/>
            <w:tcBorders>
              <w:top w:val="nil"/>
              <w:left w:val="nil"/>
              <w:bottom w:val="single" w:sz="4" w:space="0" w:color="auto"/>
              <w:right w:val="single" w:sz="4" w:space="0" w:color="auto"/>
            </w:tcBorders>
            <w:shd w:val="clear" w:color="000000" w:fill="FFFFFF"/>
            <w:vAlign w:val="center"/>
            <w:hideMark/>
          </w:tcPr>
          <w:p w14:paraId="1D6E89B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34A6422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w:t>
            </w:r>
          </w:p>
        </w:tc>
        <w:tc>
          <w:tcPr>
            <w:tcW w:w="423" w:type="pct"/>
            <w:tcBorders>
              <w:top w:val="nil"/>
              <w:left w:val="nil"/>
              <w:bottom w:val="single" w:sz="4" w:space="0" w:color="auto"/>
              <w:right w:val="single" w:sz="4" w:space="0" w:color="auto"/>
            </w:tcBorders>
            <w:shd w:val="clear" w:color="000000" w:fill="FFFFFF"/>
            <w:vAlign w:val="center"/>
            <w:hideMark/>
          </w:tcPr>
          <w:p w14:paraId="69453BCB"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2013C23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For levonogestrel, the top five adverse events reported were device expulsion (20,637), device dislocation (8,374), intrauterine contraceptive device expelled (5,590</w:t>
            </w:r>
            <w:r w:rsidRPr="006E1C09">
              <w:rPr>
                <w:rFonts w:ascii="Times New Roman" w:eastAsia="Times New Roman" w:hAnsi="Times New Roman" w:cs="Times New Roman"/>
                <w:kern w:val="0"/>
                <w:sz w:val="24"/>
                <w:szCs w:val="24"/>
                <w:lang w:val="en-CA" w:eastAsia="en-CA"/>
                <w14:ligatures w14:val="none"/>
              </w:rPr>
              <w:lastRenderedPageBreak/>
              <w:t xml:space="preserve">), pain (5,330), vaginal haemorrhage (5,129) and PPD (34). </w:t>
            </w:r>
            <w:r w:rsidRPr="006E1C09">
              <w:rPr>
                <w:rFonts w:ascii="Times New Roman" w:eastAsia="Times New Roman" w:hAnsi="Times New Roman" w:cs="Times New Roman"/>
                <w:kern w:val="0"/>
                <w:sz w:val="24"/>
                <w:szCs w:val="24"/>
                <w:lang w:val="en-CA" w:eastAsia="en-CA"/>
                <w14:ligatures w14:val="none"/>
              </w:rPr>
              <w:br/>
              <w:t xml:space="preserve">• For etonogestrel, the top five adverse events reported were no adverse event (4,177), pulmonary embolism (3,709), device difficult to use (3,387), product quality </w:t>
            </w:r>
            <w:r w:rsidRPr="006E1C09">
              <w:rPr>
                <w:rFonts w:ascii="Times New Roman" w:eastAsia="Times New Roman" w:hAnsi="Times New Roman" w:cs="Times New Roman"/>
                <w:kern w:val="0"/>
                <w:sz w:val="24"/>
                <w:szCs w:val="24"/>
                <w:lang w:val="en-CA" w:eastAsia="en-CA"/>
                <w14:ligatures w14:val="none"/>
              </w:rPr>
              <w:lastRenderedPageBreak/>
              <w:t xml:space="preserve">issue (2,619), deep vein thrombosis (2,566) and PPD (17). </w:t>
            </w:r>
            <w:r w:rsidRPr="006E1C09">
              <w:rPr>
                <w:rFonts w:ascii="Times New Roman" w:eastAsia="Times New Roman" w:hAnsi="Times New Roman" w:cs="Times New Roman"/>
                <w:kern w:val="0"/>
                <w:sz w:val="24"/>
                <w:szCs w:val="24"/>
                <w:lang w:val="en-CA" w:eastAsia="en-CA"/>
                <w14:ligatures w14:val="none"/>
              </w:rPr>
              <w:br/>
              <w:t xml:space="preserve">• For drospirenone, the top five adverse events reported were pain (12,518), injury (10,470), pulmonary embolism (8,643), deep vein thrombosis (7,921), anxiety (6,557) and PPD </w:t>
            </w:r>
            <w:r w:rsidRPr="006E1C09">
              <w:rPr>
                <w:rFonts w:ascii="Times New Roman" w:eastAsia="Times New Roman" w:hAnsi="Times New Roman" w:cs="Times New Roman"/>
                <w:kern w:val="0"/>
                <w:sz w:val="24"/>
                <w:szCs w:val="24"/>
                <w:lang w:val="en-CA" w:eastAsia="en-CA"/>
                <w14:ligatures w14:val="none"/>
              </w:rPr>
              <w:lastRenderedPageBreak/>
              <w:t>(8).</w:t>
            </w:r>
            <w:r w:rsidRPr="006E1C09">
              <w:rPr>
                <w:rFonts w:ascii="Times New Roman" w:eastAsia="Times New Roman" w:hAnsi="Times New Roman" w:cs="Times New Roman"/>
                <w:kern w:val="0"/>
                <w:sz w:val="24"/>
                <w:szCs w:val="24"/>
                <w:lang w:val="en-CA" w:eastAsia="en-CA"/>
                <w14:ligatures w14:val="none"/>
              </w:rPr>
              <w:br/>
              <w:t>• The contraceptives levonorgestrel, etonogestrel and drospirenone showed a possible PPD signal. There may be an association between contraceptive use and PPD.</w:t>
            </w:r>
          </w:p>
        </w:tc>
      </w:tr>
      <w:tr w:rsidR="006E1C09" w:rsidRPr="00F87E76" w14:paraId="2423DA1F" w14:textId="77777777" w:rsidTr="006E1C09">
        <w:trPr>
          <w:trHeight w:val="504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21995CC0"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Lawley et al., 2018</w:t>
            </w:r>
          </w:p>
        </w:tc>
        <w:tc>
          <w:tcPr>
            <w:tcW w:w="298" w:type="pct"/>
            <w:tcBorders>
              <w:top w:val="nil"/>
              <w:left w:val="nil"/>
              <w:bottom w:val="single" w:sz="4" w:space="0" w:color="auto"/>
              <w:right w:val="single" w:sz="4" w:space="0" w:color="auto"/>
            </w:tcBorders>
            <w:shd w:val="clear" w:color="000000" w:fill="FFFFFF"/>
            <w:vAlign w:val="center"/>
            <w:hideMark/>
          </w:tcPr>
          <w:p w14:paraId="1387F77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16 357 postpartum women ranging from 18-30 years</w:t>
            </w:r>
          </w:p>
        </w:tc>
        <w:tc>
          <w:tcPr>
            <w:tcW w:w="576" w:type="pct"/>
            <w:tcBorders>
              <w:top w:val="nil"/>
              <w:left w:val="nil"/>
              <w:bottom w:val="single" w:sz="4" w:space="0" w:color="auto"/>
              <w:right w:val="single" w:sz="4" w:space="0" w:color="auto"/>
            </w:tcBorders>
            <w:shd w:val="clear" w:color="000000" w:fill="FFFFFF"/>
            <w:vAlign w:val="center"/>
            <w:hideMark/>
          </w:tcPr>
          <w:p w14:paraId="622C345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 utilizing data from PRAMS (Pregnancy Risk Assessment Monitoring System)</w:t>
            </w:r>
          </w:p>
        </w:tc>
        <w:tc>
          <w:tcPr>
            <w:tcW w:w="487" w:type="pct"/>
            <w:tcBorders>
              <w:top w:val="nil"/>
              <w:left w:val="nil"/>
              <w:bottom w:val="single" w:sz="4" w:space="0" w:color="auto"/>
              <w:right w:val="single" w:sz="4" w:space="0" w:color="auto"/>
            </w:tcBorders>
            <w:shd w:val="clear" w:color="000000" w:fill="FFFFFF"/>
            <w:vAlign w:val="center"/>
            <w:hideMark/>
          </w:tcPr>
          <w:p w14:paraId="54DFDCD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assess the association between postpartum depressive symptoms (PDS) and use of any contraceptive method, permanent contraception, and LARC during the postpartum period.</w:t>
            </w:r>
          </w:p>
        </w:tc>
        <w:tc>
          <w:tcPr>
            <w:tcW w:w="533" w:type="pct"/>
            <w:tcBorders>
              <w:top w:val="nil"/>
              <w:left w:val="nil"/>
              <w:bottom w:val="single" w:sz="4" w:space="0" w:color="auto"/>
              <w:right w:val="single" w:sz="4" w:space="0" w:color="auto"/>
            </w:tcBorders>
            <w:shd w:val="clear" w:color="000000" w:fill="FFFFFF"/>
            <w:hideMark/>
          </w:tcPr>
          <w:p w14:paraId="2B28270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Permanent methods (tubal ligation or female sterilization and vasectomy).</w:t>
            </w:r>
            <w:r w:rsidRPr="006E1C09">
              <w:rPr>
                <w:rFonts w:ascii="Times New Roman" w:eastAsia="Times New Roman" w:hAnsi="Times New Roman" w:cs="Times New Roman"/>
                <w:kern w:val="0"/>
                <w:sz w:val="24"/>
                <w:szCs w:val="24"/>
                <w:lang w:val="en-CA" w:eastAsia="en-CA"/>
                <w14:ligatures w14:val="none"/>
              </w:rPr>
              <w:br/>
              <w:t>Long-acting reversible contraception (LARC) methods (intrauterine devices and implants).</w:t>
            </w:r>
            <w:r w:rsidRPr="006E1C09">
              <w:rPr>
                <w:rFonts w:ascii="Times New Roman" w:eastAsia="Times New Roman" w:hAnsi="Times New Roman" w:cs="Times New Roman"/>
                <w:kern w:val="0"/>
                <w:sz w:val="24"/>
                <w:szCs w:val="24"/>
                <w:lang w:val="en-CA" w:eastAsia="en-CA"/>
                <w14:ligatures w14:val="none"/>
              </w:rPr>
              <w:br/>
              <w:t>User-dependent hormonal methods (injectable/depo provera, pills, patche</w:t>
            </w:r>
            <w:r w:rsidRPr="006E1C09">
              <w:rPr>
                <w:rFonts w:ascii="Times New Roman" w:eastAsia="Times New Roman" w:hAnsi="Times New Roman" w:cs="Times New Roman"/>
                <w:kern w:val="0"/>
                <w:sz w:val="24"/>
                <w:szCs w:val="24"/>
                <w:lang w:val="en-CA" w:eastAsia="en-CA"/>
                <w14:ligatures w14:val="none"/>
              </w:rPr>
              <w:lastRenderedPageBreak/>
              <w:t>s, vaginal rings).</w:t>
            </w:r>
            <w:r w:rsidRPr="006E1C09">
              <w:rPr>
                <w:rFonts w:ascii="Times New Roman" w:eastAsia="Times New Roman" w:hAnsi="Times New Roman" w:cs="Times New Roman"/>
                <w:kern w:val="0"/>
                <w:sz w:val="24"/>
                <w:szCs w:val="24"/>
                <w:lang w:val="en-CA" w:eastAsia="en-CA"/>
                <w14:ligatures w14:val="none"/>
              </w:rPr>
              <w:br/>
              <w:t>User-dependent non-hormonal methods (condoms, diaphragms, cervical cap or sponge, withdraw, rythm method, natural family planning or emergency contraception).</w:t>
            </w:r>
          </w:p>
        </w:tc>
        <w:tc>
          <w:tcPr>
            <w:tcW w:w="346" w:type="pct"/>
            <w:tcBorders>
              <w:top w:val="nil"/>
              <w:left w:val="nil"/>
              <w:bottom w:val="single" w:sz="4" w:space="0" w:color="auto"/>
              <w:right w:val="single" w:sz="4" w:space="0" w:color="auto"/>
            </w:tcBorders>
            <w:shd w:val="clear" w:color="000000" w:fill="FFFFFF"/>
            <w:vAlign w:val="center"/>
            <w:hideMark/>
          </w:tcPr>
          <w:p w14:paraId="3E6D37B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The data analyzed were collected over a three-year period, from 2009 to 2011</w:t>
            </w:r>
          </w:p>
        </w:tc>
        <w:tc>
          <w:tcPr>
            <w:tcW w:w="484" w:type="pct"/>
            <w:tcBorders>
              <w:top w:val="nil"/>
              <w:left w:val="nil"/>
              <w:bottom w:val="single" w:sz="4" w:space="0" w:color="auto"/>
              <w:right w:val="single" w:sz="4" w:space="0" w:color="auto"/>
            </w:tcBorders>
            <w:shd w:val="clear" w:color="000000" w:fill="FFFFFF"/>
            <w:vAlign w:val="center"/>
            <w:hideMark/>
          </w:tcPr>
          <w:p w14:paraId="7EFF45F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 association between PDS and use of any postpartum contraception, including permanent and reversible methods.</w:t>
            </w:r>
          </w:p>
        </w:tc>
        <w:tc>
          <w:tcPr>
            <w:tcW w:w="372" w:type="pct"/>
            <w:tcBorders>
              <w:top w:val="nil"/>
              <w:left w:val="nil"/>
              <w:bottom w:val="single" w:sz="4" w:space="0" w:color="auto"/>
              <w:right w:val="single" w:sz="4" w:space="0" w:color="auto"/>
            </w:tcBorders>
            <w:shd w:val="clear" w:color="000000" w:fill="FFFFFF"/>
            <w:vAlign w:val="center"/>
            <w:hideMark/>
          </w:tcPr>
          <w:p w14:paraId="222BF072"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0AB4057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Questions on postpartum depressive symptoms (PDS) included in the PRAMS </w:t>
            </w:r>
          </w:p>
        </w:tc>
        <w:tc>
          <w:tcPr>
            <w:tcW w:w="423" w:type="pct"/>
            <w:tcBorders>
              <w:top w:val="nil"/>
              <w:left w:val="nil"/>
              <w:bottom w:val="single" w:sz="4" w:space="0" w:color="auto"/>
              <w:right w:val="single" w:sz="4" w:space="0" w:color="auto"/>
            </w:tcBorders>
            <w:shd w:val="clear" w:color="000000" w:fill="FFFFFF"/>
            <w:vAlign w:val="center"/>
            <w:hideMark/>
          </w:tcPr>
          <w:p w14:paraId="3742FEC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2034C98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No associations between PDS and use of any postpartum contraception (aPR=1.00, 95% confidence interval (CI): 0.98–1.03) or permanent contraception (aPR=1.05, 95% CI: 0.88–1.27). </w:t>
            </w:r>
            <w:r w:rsidRPr="006E1C09">
              <w:rPr>
                <w:rFonts w:ascii="Times New Roman" w:eastAsia="Times New Roman" w:hAnsi="Times New Roman" w:cs="Times New Roman"/>
                <w:kern w:val="0"/>
                <w:sz w:val="24"/>
                <w:szCs w:val="24"/>
                <w:lang w:val="en-CA" w:eastAsia="en-CA"/>
                <w14:ligatures w14:val="none"/>
              </w:rPr>
              <w:br/>
              <w:t xml:space="preserve">• LARC use was increased slightly, although not </w:t>
            </w:r>
            <w:r w:rsidRPr="006E1C09">
              <w:rPr>
                <w:rFonts w:ascii="Times New Roman" w:eastAsia="Times New Roman" w:hAnsi="Times New Roman" w:cs="Times New Roman"/>
                <w:kern w:val="0"/>
                <w:sz w:val="24"/>
                <w:szCs w:val="24"/>
                <w:lang w:val="en-CA" w:eastAsia="en-CA"/>
                <w14:ligatures w14:val="none"/>
              </w:rPr>
              <w:lastRenderedPageBreak/>
              <w:t xml:space="preserve">significantly, among women with PDS compared to those without (aPR=1.16, 95% CI: 1.00–1.34). </w:t>
            </w:r>
            <w:r w:rsidRPr="006E1C09">
              <w:rPr>
                <w:rFonts w:ascii="Times New Roman" w:eastAsia="Times New Roman" w:hAnsi="Times New Roman" w:cs="Times New Roman"/>
                <w:kern w:val="0"/>
                <w:sz w:val="24"/>
                <w:szCs w:val="24"/>
                <w:lang w:val="en-CA" w:eastAsia="en-CA"/>
                <w14:ligatures w14:val="none"/>
              </w:rPr>
              <w:br/>
              <w:t>• Of women in the sample, 12.3% met the criteria for PDS.</w:t>
            </w:r>
            <w:r w:rsidRPr="006E1C09">
              <w:rPr>
                <w:rFonts w:ascii="Times New Roman" w:eastAsia="Times New Roman" w:hAnsi="Times New Roman" w:cs="Times New Roman"/>
                <w:kern w:val="0"/>
                <w:sz w:val="24"/>
                <w:szCs w:val="24"/>
                <w:lang w:val="en-CA" w:eastAsia="en-CA"/>
                <w14:ligatures w14:val="none"/>
              </w:rPr>
              <w:br/>
              <w:t xml:space="preserve">• A significant proportion of women with PDS (69.4%) and without </w:t>
            </w:r>
            <w:r w:rsidRPr="006E1C09">
              <w:rPr>
                <w:rFonts w:ascii="Times New Roman" w:eastAsia="Times New Roman" w:hAnsi="Times New Roman" w:cs="Times New Roman"/>
                <w:kern w:val="0"/>
                <w:sz w:val="24"/>
                <w:szCs w:val="24"/>
                <w:lang w:val="en-CA" w:eastAsia="en-CA"/>
                <w14:ligatures w14:val="none"/>
              </w:rPr>
              <w:lastRenderedPageBreak/>
              <w:t>PDS (76.1%) used user-dependent contraceptive methods or no contraception at all.</w:t>
            </w:r>
          </w:p>
        </w:tc>
      </w:tr>
      <w:tr w:rsidR="006E1C09" w:rsidRPr="00F87E76" w14:paraId="6AE8F45F" w14:textId="77777777" w:rsidTr="006E1C09">
        <w:trPr>
          <w:trHeight w:val="409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E7392D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Skovlund et al., 2018</w:t>
            </w:r>
          </w:p>
        </w:tc>
        <w:tc>
          <w:tcPr>
            <w:tcW w:w="298" w:type="pct"/>
            <w:tcBorders>
              <w:top w:val="nil"/>
              <w:left w:val="nil"/>
              <w:bottom w:val="single" w:sz="4" w:space="0" w:color="auto"/>
              <w:right w:val="single" w:sz="4" w:space="0" w:color="auto"/>
            </w:tcBorders>
            <w:shd w:val="clear" w:color="000000" w:fill="FFFFFF"/>
            <w:vAlign w:val="center"/>
            <w:hideMark/>
          </w:tcPr>
          <w:p w14:paraId="02D4B85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475 802 women ranging from 15-33 years</w:t>
            </w:r>
          </w:p>
        </w:tc>
        <w:tc>
          <w:tcPr>
            <w:tcW w:w="576" w:type="pct"/>
            <w:tcBorders>
              <w:top w:val="nil"/>
              <w:left w:val="nil"/>
              <w:bottom w:val="single" w:sz="4" w:space="0" w:color="auto"/>
              <w:right w:val="single" w:sz="4" w:space="0" w:color="auto"/>
            </w:tcBorders>
            <w:shd w:val="clear" w:color="000000" w:fill="FFFFFF"/>
            <w:vAlign w:val="center"/>
            <w:hideMark/>
          </w:tcPr>
          <w:p w14:paraId="35B1B07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Nationwide prospective cohort study utilizing data from Danish national registers</w:t>
            </w:r>
          </w:p>
        </w:tc>
        <w:tc>
          <w:tcPr>
            <w:tcW w:w="487" w:type="pct"/>
            <w:tcBorders>
              <w:top w:val="nil"/>
              <w:left w:val="nil"/>
              <w:bottom w:val="single" w:sz="4" w:space="0" w:color="auto"/>
              <w:right w:val="single" w:sz="4" w:space="0" w:color="auto"/>
            </w:tcBorders>
            <w:shd w:val="clear" w:color="000000" w:fill="FFFFFF"/>
            <w:vAlign w:val="center"/>
            <w:hideMark/>
          </w:tcPr>
          <w:p w14:paraId="7CCB6F3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assess the relative risk of suicide attempts and completed suicides among users of hormonal contraception compared to </w:t>
            </w:r>
            <w:r w:rsidRPr="006E1C09">
              <w:rPr>
                <w:rFonts w:ascii="Times New Roman" w:eastAsia="Times New Roman" w:hAnsi="Times New Roman" w:cs="Times New Roman"/>
                <w:kern w:val="0"/>
                <w:sz w:val="24"/>
                <w:szCs w:val="24"/>
                <w:lang w:val="en-CA" w:eastAsia="en-CA"/>
                <w14:ligatures w14:val="none"/>
              </w:rPr>
              <w:lastRenderedPageBreak/>
              <w:t>non-users</w:t>
            </w:r>
          </w:p>
        </w:tc>
        <w:tc>
          <w:tcPr>
            <w:tcW w:w="533" w:type="pct"/>
            <w:tcBorders>
              <w:top w:val="nil"/>
              <w:left w:val="nil"/>
              <w:bottom w:val="single" w:sz="4" w:space="0" w:color="auto"/>
              <w:right w:val="single" w:sz="4" w:space="0" w:color="auto"/>
            </w:tcBorders>
            <w:shd w:val="clear" w:color="000000" w:fill="FFFFFF"/>
            <w:hideMark/>
          </w:tcPr>
          <w:p w14:paraId="237590D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Combined oral contraceptives : 50 ug ethinylestradiol (levonorgestrel), 20-30 ug ethinylestradiol (norethisterone, levonorgestrel, norgestimate, desog</w:t>
            </w:r>
            <w:r w:rsidRPr="006E1C09">
              <w:rPr>
                <w:rFonts w:ascii="Times New Roman" w:eastAsia="Times New Roman" w:hAnsi="Times New Roman" w:cs="Times New Roman"/>
                <w:kern w:val="0"/>
                <w:sz w:val="24"/>
                <w:szCs w:val="24"/>
                <w:lang w:val="en-CA" w:eastAsia="en-CA"/>
                <w14:ligatures w14:val="none"/>
              </w:rPr>
              <w:lastRenderedPageBreak/>
              <w:t>estrel, gestodene, drospirenone, cyproterone acetate)</w:t>
            </w:r>
            <w:r w:rsidRPr="006E1C09">
              <w:rPr>
                <w:rFonts w:ascii="Times New Roman" w:eastAsia="Times New Roman" w:hAnsi="Times New Roman" w:cs="Times New Roman"/>
                <w:kern w:val="0"/>
                <w:sz w:val="24"/>
                <w:szCs w:val="24"/>
                <w:lang w:val="en-CA" w:eastAsia="en-CA"/>
                <w14:ligatures w14:val="none"/>
              </w:rPr>
              <w:br/>
              <w:t>Progestin-only oral contraceptives : all progestin-only pills, norethisterone, desogestrel</w:t>
            </w:r>
            <w:r w:rsidRPr="006E1C09">
              <w:rPr>
                <w:rFonts w:ascii="Times New Roman" w:eastAsia="Times New Roman" w:hAnsi="Times New Roman" w:cs="Times New Roman"/>
                <w:kern w:val="0"/>
                <w:sz w:val="24"/>
                <w:szCs w:val="24"/>
                <w:lang w:val="en-CA" w:eastAsia="en-CA"/>
                <w14:ligatures w14:val="none"/>
              </w:rPr>
              <w:br/>
              <w:t>Vaginal rings (etonogestrel)</w:t>
            </w:r>
            <w:r w:rsidRPr="006E1C09">
              <w:rPr>
                <w:rFonts w:ascii="Times New Roman" w:eastAsia="Times New Roman" w:hAnsi="Times New Roman" w:cs="Times New Roman"/>
                <w:kern w:val="0"/>
                <w:sz w:val="24"/>
                <w:szCs w:val="24"/>
                <w:lang w:val="en-CA" w:eastAsia="en-CA"/>
                <w14:ligatures w14:val="none"/>
              </w:rPr>
              <w:br/>
              <w:t>Transdermal patches (norelgestromin)</w:t>
            </w:r>
          </w:p>
        </w:tc>
        <w:tc>
          <w:tcPr>
            <w:tcW w:w="346" w:type="pct"/>
            <w:tcBorders>
              <w:top w:val="nil"/>
              <w:left w:val="nil"/>
              <w:bottom w:val="single" w:sz="4" w:space="0" w:color="auto"/>
              <w:right w:val="single" w:sz="4" w:space="0" w:color="auto"/>
            </w:tcBorders>
            <w:shd w:val="clear" w:color="000000" w:fill="FFFFFF"/>
            <w:vAlign w:val="center"/>
            <w:hideMark/>
          </w:tcPr>
          <w:p w14:paraId="7042E45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From 1996 to 2013.</w:t>
            </w:r>
          </w:p>
        </w:tc>
        <w:tc>
          <w:tcPr>
            <w:tcW w:w="484" w:type="pct"/>
            <w:tcBorders>
              <w:top w:val="nil"/>
              <w:left w:val="nil"/>
              <w:bottom w:val="single" w:sz="4" w:space="0" w:color="auto"/>
              <w:right w:val="single" w:sz="4" w:space="0" w:color="auto"/>
            </w:tcBorders>
            <w:shd w:val="clear" w:color="000000" w:fill="FFFFFF"/>
            <w:vAlign w:val="center"/>
            <w:hideMark/>
          </w:tcPr>
          <w:p w14:paraId="513DF18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Hormonal contraceptive use is associated with an increased risk of suicide attempts and suicides, especially among adolescent </w:t>
            </w:r>
            <w:r w:rsidRPr="006E1C09">
              <w:rPr>
                <w:rFonts w:ascii="Times New Roman" w:eastAsia="Times New Roman" w:hAnsi="Times New Roman" w:cs="Times New Roman"/>
                <w:kern w:val="0"/>
                <w:sz w:val="24"/>
                <w:szCs w:val="24"/>
                <w:lang w:val="en-CA" w:eastAsia="en-CA"/>
                <w14:ligatures w14:val="none"/>
              </w:rPr>
              <w:lastRenderedPageBreak/>
              <w:t>women.</w:t>
            </w:r>
          </w:p>
        </w:tc>
        <w:tc>
          <w:tcPr>
            <w:tcW w:w="372" w:type="pct"/>
            <w:tcBorders>
              <w:top w:val="nil"/>
              <w:left w:val="nil"/>
              <w:bottom w:val="single" w:sz="4" w:space="0" w:color="auto"/>
              <w:right w:val="single" w:sz="4" w:space="0" w:color="auto"/>
            </w:tcBorders>
            <w:shd w:val="clear" w:color="000000" w:fill="FFFFFF"/>
            <w:vAlign w:val="center"/>
            <w:hideMark/>
          </w:tcPr>
          <w:p w14:paraId="5068D7C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612B15E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w:t>
            </w:r>
          </w:p>
        </w:tc>
        <w:tc>
          <w:tcPr>
            <w:tcW w:w="423" w:type="pct"/>
            <w:tcBorders>
              <w:top w:val="nil"/>
              <w:left w:val="nil"/>
              <w:bottom w:val="single" w:sz="4" w:space="0" w:color="auto"/>
              <w:right w:val="single" w:sz="4" w:space="0" w:color="auto"/>
            </w:tcBorders>
            <w:shd w:val="clear" w:color="000000" w:fill="FFFFFF"/>
            <w:vAlign w:val="center"/>
            <w:hideMark/>
          </w:tcPr>
          <w:p w14:paraId="4CF34D1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prior suicide attempts, antidepressant use and psychiatric diagnoses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2CE1BBA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A total of 6,999 first suicide attempts, and 71 suicides were detected during follow-up</w:t>
            </w:r>
            <w:r w:rsidRPr="006E1C09">
              <w:rPr>
                <w:rFonts w:ascii="Times New Roman" w:eastAsia="Times New Roman" w:hAnsi="Times New Roman" w:cs="Times New Roman"/>
                <w:kern w:val="0"/>
                <w:sz w:val="24"/>
                <w:szCs w:val="24"/>
                <w:lang w:val="en-CA" w:eastAsia="en-CA"/>
                <w14:ligatures w14:val="none"/>
              </w:rPr>
              <w:br/>
              <w:t>• Compared with never-users, users of hormo</w:t>
            </w:r>
            <w:r w:rsidRPr="006E1C09">
              <w:rPr>
                <w:rFonts w:ascii="Times New Roman" w:eastAsia="Times New Roman" w:hAnsi="Times New Roman" w:cs="Times New Roman"/>
                <w:kern w:val="0"/>
                <w:sz w:val="24"/>
                <w:szCs w:val="24"/>
                <w:lang w:val="en-CA" w:eastAsia="en-CA"/>
                <w14:ligatures w14:val="none"/>
              </w:rPr>
              <w:lastRenderedPageBreak/>
              <w:t>nal contraception 15–33 years of age had a relative risk of 1.97 (95% CI=1.85–2.10) for a first suicide attempt and 3.08 (95% CI=1.34–7.08) for suicide.</w:t>
            </w:r>
            <w:r w:rsidRPr="006E1C09">
              <w:rPr>
                <w:rFonts w:ascii="Times New Roman" w:eastAsia="Times New Roman" w:hAnsi="Times New Roman" w:cs="Times New Roman"/>
                <w:kern w:val="0"/>
                <w:sz w:val="24"/>
                <w:szCs w:val="24"/>
                <w:lang w:val="en-CA" w:eastAsia="en-CA"/>
                <w14:ligatures w14:val="none"/>
              </w:rPr>
              <w:br/>
              <w:t xml:space="preserve">• The relative risk of suicide attempt with hormonal contraceptive use was for </w:t>
            </w:r>
            <w:r w:rsidRPr="006E1C09">
              <w:rPr>
                <w:rFonts w:ascii="Times New Roman" w:eastAsia="Times New Roman" w:hAnsi="Times New Roman" w:cs="Times New Roman"/>
                <w:kern w:val="0"/>
                <w:sz w:val="24"/>
                <w:szCs w:val="24"/>
                <w:lang w:val="en-CA" w:eastAsia="en-CA"/>
                <w14:ligatures w14:val="none"/>
              </w:rPr>
              <w:lastRenderedPageBreak/>
              <w:t>2.06 (95% CI=1.92–2.21) for the 15–19 age group, 1.61 (95% CI=1.39–1.85) for the 20–24 age group, and 1.64 (95% CI=1.14–2.36) for the 25–33 age group.</w:t>
            </w:r>
            <w:r w:rsidRPr="006E1C09">
              <w:rPr>
                <w:rFonts w:ascii="Times New Roman" w:eastAsia="Times New Roman" w:hAnsi="Times New Roman" w:cs="Times New Roman"/>
                <w:kern w:val="0"/>
                <w:sz w:val="24"/>
                <w:szCs w:val="24"/>
                <w:lang w:val="en-CA" w:eastAsia="en-CA"/>
                <w14:ligatures w14:val="none"/>
              </w:rPr>
              <w:br/>
              <w:t xml:space="preserve">• The relative risk of a first suicide attempt increased rapidly after initiation of </w:t>
            </w:r>
            <w:r w:rsidRPr="006E1C09">
              <w:rPr>
                <w:rFonts w:ascii="Times New Roman" w:eastAsia="Times New Roman" w:hAnsi="Times New Roman" w:cs="Times New Roman"/>
                <w:kern w:val="0"/>
                <w:sz w:val="24"/>
                <w:szCs w:val="24"/>
                <w:lang w:val="en-CA" w:eastAsia="en-CA"/>
                <w14:ligatures w14:val="none"/>
              </w:rPr>
              <w:lastRenderedPageBreak/>
              <w:t>hormonal contraceptive use, compared with never use, and it remained at least doubled until 1 year after initiation.</w:t>
            </w:r>
            <w:r w:rsidRPr="006E1C09">
              <w:rPr>
                <w:rFonts w:ascii="Times New Roman" w:eastAsia="Times New Roman" w:hAnsi="Times New Roman" w:cs="Times New Roman"/>
                <w:kern w:val="0"/>
                <w:sz w:val="24"/>
                <w:szCs w:val="24"/>
                <w:lang w:val="en-CA" w:eastAsia="en-CA"/>
                <w14:ligatures w14:val="none"/>
              </w:rPr>
              <w:br/>
              <w:t>• The risk estimates with norethisterone conferred a relative risk of 2.77 (95% CI=1.89–4.05), and those with desogestrel, a relativ</w:t>
            </w:r>
            <w:r w:rsidRPr="006E1C09">
              <w:rPr>
                <w:rFonts w:ascii="Times New Roman" w:eastAsia="Times New Roman" w:hAnsi="Times New Roman" w:cs="Times New Roman"/>
                <w:kern w:val="0"/>
                <w:sz w:val="24"/>
                <w:szCs w:val="24"/>
                <w:lang w:val="en-CA" w:eastAsia="en-CA"/>
                <w14:ligatures w14:val="none"/>
              </w:rPr>
              <w:lastRenderedPageBreak/>
              <w:t>e risk of 2.01 (95% CI=1.44–2.81).</w:t>
            </w:r>
            <w:r w:rsidRPr="006E1C09">
              <w:rPr>
                <w:rFonts w:ascii="Times New Roman" w:eastAsia="Times New Roman" w:hAnsi="Times New Roman" w:cs="Times New Roman"/>
                <w:kern w:val="0"/>
                <w:sz w:val="24"/>
                <w:szCs w:val="24"/>
                <w:lang w:val="en-CA" w:eastAsia="en-CA"/>
                <w14:ligatures w14:val="none"/>
              </w:rPr>
              <w:br/>
              <w:t>• Non-oral combined patch formulations showed a relative risk of 3.28 (95% CI=2.08–5.16) and vaginal ring formulations a relative risk of 2.58 (95% CI=2.06–3.22).</w:t>
            </w:r>
            <w:r w:rsidRPr="006E1C09">
              <w:rPr>
                <w:rFonts w:ascii="Times New Roman" w:eastAsia="Times New Roman" w:hAnsi="Times New Roman" w:cs="Times New Roman"/>
                <w:kern w:val="0"/>
                <w:sz w:val="24"/>
                <w:szCs w:val="24"/>
                <w:lang w:val="en-CA" w:eastAsia="en-CA"/>
                <w14:ligatures w14:val="none"/>
              </w:rPr>
              <w:br/>
              <w:t xml:space="preserve">• Non-oral progestin-only </w:t>
            </w:r>
            <w:r w:rsidRPr="006E1C09">
              <w:rPr>
                <w:rFonts w:ascii="Times New Roman" w:eastAsia="Times New Roman" w:hAnsi="Times New Roman" w:cs="Times New Roman"/>
                <w:kern w:val="0"/>
                <w:sz w:val="24"/>
                <w:szCs w:val="24"/>
                <w:lang w:val="en-CA" w:eastAsia="en-CA"/>
                <w14:ligatures w14:val="none"/>
              </w:rPr>
              <w:lastRenderedPageBreak/>
              <w:t>implant products conferred a relative risk of 4.42 (95% CI=3.63–5.39), intrauterine devices with levonorgestrel a relative risk of 2.86 (95%CI=2.06–3.97), and medroxyprogesterone acetate depot formulations a relative risk of 6.52 (95% CI=5.</w:t>
            </w:r>
            <w:r w:rsidRPr="006E1C09">
              <w:rPr>
                <w:rFonts w:ascii="Times New Roman" w:eastAsia="Times New Roman" w:hAnsi="Times New Roman" w:cs="Times New Roman"/>
                <w:kern w:val="0"/>
                <w:sz w:val="24"/>
                <w:szCs w:val="24"/>
                <w:lang w:val="en-CA" w:eastAsia="en-CA"/>
                <w14:ligatures w14:val="none"/>
              </w:rPr>
              <w:lastRenderedPageBreak/>
              <w:t>03–8.46).</w:t>
            </w:r>
            <w:r w:rsidRPr="006E1C09">
              <w:rPr>
                <w:rFonts w:ascii="Times New Roman" w:eastAsia="Times New Roman" w:hAnsi="Times New Roman" w:cs="Times New Roman"/>
                <w:kern w:val="0"/>
                <w:sz w:val="24"/>
                <w:szCs w:val="24"/>
                <w:lang w:val="en-CA" w:eastAsia="en-CA"/>
                <w14:ligatures w14:val="none"/>
              </w:rPr>
              <w:br/>
              <w:t xml:space="preserve">• Hormonal contraceptive use was positively associated with a first suicide attempt, as compared with never-users. </w:t>
            </w:r>
            <w:r w:rsidRPr="006E1C09">
              <w:rPr>
                <w:rFonts w:ascii="Times New Roman" w:eastAsia="Times New Roman" w:hAnsi="Times New Roman" w:cs="Times New Roman"/>
                <w:kern w:val="0"/>
                <w:sz w:val="24"/>
                <w:szCs w:val="24"/>
                <w:lang w:val="en-CA" w:eastAsia="en-CA"/>
                <w14:ligatures w14:val="none"/>
              </w:rPr>
              <w:br/>
              <w:t xml:space="preserve">• Adolescent women experienced the highest relative risks. </w:t>
            </w:r>
            <w:r w:rsidRPr="006E1C09">
              <w:rPr>
                <w:rFonts w:ascii="Times New Roman" w:eastAsia="Times New Roman" w:hAnsi="Times New Roman" w:cs="Times New Roman"/>
                <w:kern w:val="0"/>
                <w:sz w:val="24"/>
                <w:szCs w:val="24"/>
                <w:lang w:val="en-CA" w:eastAsia="en-CA"/>
                <w14:ligatures w14:val="none"/>
              </w:rPr>
              <w:br/>
              <w:t xml:space="preserve">• Patch, vaginal ring, and progestin-only </w:t>
            </w:r>
            <w:r w:rsidRPr="006E1C09">
              <w:rPr>
                <w:rFonts w:ascii="Times New Roman" w:eastAsia="Times New Roman" w:hAnsi="Times New Roman" w:cs="Times New Roman"/>
                <w:kern w:val="0"/>
                <w:sz w:val="24"/>
                <w:szCs w:val="24"/>
                <w:lang w:val="en-CA" w:eastAsia="en-CA"/>
                <w14:ligatures w14:val="none"/>
              </w:rPr>
              <w:lastRenderedPageBreak/>
              <w:t>products were associated with higher risks than oral combined products, and a similar association was suggested for suicide.</w:t>
            </w:r>
            <w:r w:rsidRPr="006E1C09">
              <w:rPr>
                <w:rFonts w:ascii="Times New Roman" w:eastAsia="Times New Roman" w:hAnsi="Times New Roman" w:cs="Times New Roman"/>
                <w:kern w:val="0"/>
                <w:sz w:val="24"/>
                <w:szCs w:val="24"/>
                <w:lang w:val="en-CA" w:eastAsia="en-CA"/>
                <w14:ligatures w14:val="none"/>
              </w:rPr>
              <w:br/>
              <w:t xml:space="preserve">• Compared with never use, the relative risk of suicide attempt rose twofold 1 month after initiation of </w:t>
            </w:r>
            <w:r w:rsidRPr="006E1C09">
              <w:rPr>
                <w:rFonts w:ascii="Times New Roman" w:eastAsia="Times New Roman" w:hAnsi="Times New Roman" w:cs="Times New Roman"/>
                <w:kern w:val="0"/>
                <w:sz w:val="24"/>
                <w:szCs w:val="24"/>
                <w:lang w:val="en-CA" w:eastAsia="en-CA"/>
                <w14:ligatures w14:val="none"/>
              </w:rPr>
              <w:lastRenderedPageBreak/>
              <w:t>hormonal contraceptive use, and the elevation in risk persisted with a decreasing trend after 1 year of use.</w:t>
            </w:r>
          </w:p>
        </w:tc>
      </w:tr>
      <w:tr w:rsidR="006E1C09" w:rsidRPr="00F87E76" w14:paraId="4CF82608"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5F3C046"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Smith et al., 2018</w:t>
            </w:r>
          </w:p>
        </w:tc>
        <w:tc>
          <w:tcPr>
            <w:tcW w:w="298" w:type="pct"/>
            <w:tcBorders>
              <w:top w:val="nil"/>
              <w:left w:val="nil"/>
              <w:bottom w:val="single" w:sz="4" w:space="0" w:color="auto"/>
              <w:right w:val="single" w:sz="4" w:space="0" w:color="auto"/>
            </w:tcBorders>
            <w:shd w:val="clear" w:color="000000" w:fill="FFFFFF"/>
            <w:vAlign w:val="center"/>
            <w:hideMark/>
          </w:tcPr>
          <w:p w14:paraId="7323F64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29 women ranging from 18–38 years</w:t>
            </w:r>
          </w:p>
        </w:tc>
        <w:tc>
          <w:tcPr>
            <w:tcW w:w="576" w:type="pct"/>
            <w:tcBorders>
              <w:top w:val="nil"/>
              <w:left w:val="nil"/>
              <w:bottom w:val="single" w:sz="4" w:space="0" w:color="auto"/>
              <w:right w:val="single" w:sz="4" w:space="0" w:color="auto"/>
            </w:tcBorders>
            <w:shd w:val="clear" w:color="000000" w:fill="FFFFFF"/>
            <w:vAlign w:val="center"/>
            <w:hideMark/>
          </w:tcPr>
          <w:p w14:paraId="45ACBCA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Pilot 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0ECDC35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assess whether POC use is associated with lower β-AR 1 protein levels in peripheral blood mononuclear cells (PBMCs)</w:t>
            </w:r>
            <w:r w:rsidRPr="006E1C09">
              <w:rPr>
                <w:rFonts w:ascii="Times New Roman" w:eastAsia="Times New Roman" w:hAnsi="Times New Roman" w:cs="Times New Roman"/>
                <w:kern w:val="0"/>
                <w:sz w:val="24"/>
                <w:szCs w:val="24"/>
                <w:lang w:val="en-CA" w:eastAsia="en-CA"/>
                <w14:ligatures w14:val="none"/>
              </w:rPr>
              <w:lastRenderedPageBreak/>
              <w:t>, which may indicate a higher risk of developing depressive symptoms</w:t>
            </w:r>
          </w:p>
        </w:tc>
        <w:tc>
          <w:tcPr>
            <w:tcW w:w="533" w:type="pct"/>
            <w:tcBorders>
              <w:top w:val="nil"/>
              <w:left w:val="nil"/>
              <w:bottom w:val="single" w:sz="4" w:space="0" w:color="auto"/>
              <w:right w:val="single" w:sz="4" w:space="0" w:color="auto"/>
            </w:tcBorders>
            <w:shd w:val="clear" w:color="000000" w:fill="FFFFFF"/>
            <w:vAlign w:val="center"/>
            <w:hideMark/>
          </w:tcPr>
          <w:p w14:paraId="06CA7E7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Progestin-only contraceptives (POCs), combination oral contraceptives (COCs) and non-hormonal contraceptives</w:t>
            </w:r>
          </w:p>
        </w:tc>
        <w:tc>
          <w:tcPr>
            <w:tcW w:w="346" w:type="pct"/>
            <w:tcBorders>
              <w:top w:val="nil"/>
              <w:left w:val="nil"/>
              <w:bottom w:val="single" w:sz="4" w:space="0" w:color="auto"/>
              <w:right w:val="single" w:sz="4" w:space="0" w:color="auto"/>
            </w:tcBorders>
            <w:shd w:val="clear" w:color="000000" w:fill="FFFFFF"/>
            <w:vAlign w:val="center"/>
            <w:hideMark/>
          </w:tcPr>
          <w:p w14:paraId="2162BA7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On a single day between days 21-25 of the menstrual cycle</w:t>
            </w:r>
          </w:p>
        </w:tc>
        <w:tc>
          <w:tcPr>
            <w:tcW w:w="484" w:type="pct"/>
            <w:tcBorders>
              <w:top w:val="nil"/>
              <w:left w:val="nil"/>
              <w:bottom w:val="single" w:sz="4" w:space="0" w:color="auto"/>
              <w:right w:val="single" w:sz="4" w:space="0" w:color="auto"/>
            </w:tcBorders>
            <w:shd w:val="clear" w:color="000000" w:fill="FFFFFF"/>
            <w:vAlign w:val="center"/>
            <w:hideMark/>
          </w:tcPr>
          <w:p w14:paraId="6397CD7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progestin-only contraceptives (POC) reported significantly higher levels of psychological distress comp</w:t>
            </w:r>
            <w:r w:rsidRPr="006E1C09">
              <w:rPr>
                <w:rFonts w:ascii="Times New Roman" w:eastAsia="Times New Roman" w:hAnsi="Times New Roman" w:cs="Times New Roman"/>
                <w:kern w:val="0"/>
                <w:sz w:val="24"/>
                <w:szCs w:val="24"/>
                <w:lang w:val="en-CA" w:eastAsia="en-CA"/>
                <w14:ligatures w14:val="none"/>
              </w:rPr>
              <w:lastRenderedPageBreak/>
              <w:t>ared to women in the non-contraceptive (NC) and combined oral contraceptive (COC) groups</w:t>
            </w:r>
          </w:p>
        </w:tc>
        <w:tc>
          <w:tcPr>
            <w:tcW w:w="372" w:type="pct"/>
            <w:tcBorders>
              <w:top w:val="nil"/>
              <w:left w:val="nil"/>
              <w:bottom w:val="single" w:sz="4" w:space="0" w:color="auto"/>
              <w:right w:val="single" w:sz="4" w:space="0" w:color="auto"/>
            </w:tcBorders>
            <w:shd w:val="clear" w:color="000000" w:fill="FFFFFF"/>
            <w:vAlign w:val="center"/>
            <w:hideMark/>
          </w:tcPr>
          <w:p w14:paraId="51B1C8C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2C6FB0B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Hamilton Depression Rating Scale (HAM-D) for depressive symptoms</w:t>
            </w:r>
          </w:p>
        </w:tc>
        <w:tc>
          <w:tcPr>
            <w:tcW w:w="423" w:type="pct"/>
            <w:tcBorders>
              <w:top w:val="nil"/>
              <w:left w:val="nil"/>
              <w:bottom w:val="single" w:sz="4" w:space="0" w:color="auto"/>
              <w:right w:val="single" w:sz="4" w:space="0" w:color="auto"/>
            </w:tcBorders>
            <w:shd w:val="clear" w:color="000000" w:fill="FFFFFF"/>
            <w:vAlign w:val="center"/>
            <w:hideMark/>
          </w:tcPr>
          <w:p w14:paraId="53DB281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Women with existence of history of clinically significant and diagnosable major psychiatric disorders, as well as </w:t>
            </w:r>
            <w:r w:rsidRPr="006E1C09">
              <w:rPr>
                <w:rFonts w:ascii="Times New Roman" w:eastAsia="Times New Roman" w:hAnsi="Times New Roman" w:cs="Times New Roman"/>
                <w:kern w:val="0"/>
                <w:sz w:val="24"/>
                <w:szCs w:val="24"/>
                <w:lang w:val="en-CA" w:eastAsia="en-CA"/>
                <w14:ligatures w14:val="none"/>
              </w:rPr>
              <w:lastRenderedPageBreak/>
              <w:t>past diagnoses of schizophrenia, bipolar disorder, or primary anxiety disorder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199D920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Women in the POC group had significantly higher scores for the following characteristics: insomnia early (p = 0,04), insomnia middl</w:t>
            </w:r>
            <w:r w:rsidRPr="006E1C09">
              <w:rPr>
                <w:rFonts w:ascii="Times New Roman" w:eastAsia="Times New Roman" w:hAnsi="Times New Roman" w:cs="Times New Roman"/>
                <w:kern w:val="0"/>
                <w:sz w:val="24"/>
                <w:szCs w:val="24"/>
                <w:lang w:val="en-CA" w:eastAsia="en-CA"/>
                <w14:ligatures w14:val="none"/>
              </w:rPr>
              <w:lastRenderedPageBreak/>
              <w:t>e (p = 0,01), psychological anxiety (p=0,02), and somatic symptoms (p=0,02) compared to women in the NC group.</w:t>
            </w:r>
            <w:r w:rsidRPr="006E1C09">
              <w:rPr>
                <w:rFonts w:ascii="Times New Roman" w:eastAsia="Times New Roman" w:hAnsi="Times New Roman" w:cs="Times New Roman"/>
                <w:kern w:val="0"/>
                <w:sz w:val="24"/>
                <w:szCs w:val="24"/>
                <w:lang w:val="en-CA" w:eastAsia="en-CA"/>
                <w14:ligatures w14:val="none"/>
              </w:rPr>
              <w:br/>
              <w:t xml:space="preserve">• Women in the POC group also had significantly higher scores for insomnia middle (p = 0,02) and psychological </w:t>
            </w:r>
            <w:r w:rsidRPr="006E1C09">
              <w:rPr>
                <w:rFonts w:ascii="Times New Roman" w:eastAsia="Times New Roman" w:hAnsi="Times New Roman" w:cs="Times New Roman"/>
                <w:kern w:val="0"/>
                <w:sz w:val="24"/>
                <w:szCs w:val="24"/>
                <w:lang w:val="en-CA" w:eastAsia="en-CA"/>
                <w14:ligatures w14:val="none"/>
              </w:rPr>
              <w:lastRenderedPageBreak/>
              <w:t>anxiety (p=0,01) than women in the COC group.</w:t>
            </w:r>
            <w:r w:rsidRPr="006E1C09">
              <w:rPr>
                <w:rFonts w:ascii="Times New Roman" w:eastAsia="Times New Roman" w:hAnsi="Times New Roman" w:cs="Times New Roman"/>
                <w:kern w:val="0"/>
                <w:sz w:val="24"/>
                <w:szCs w:val="24"/>
                <w:lang w:val="en-CA" w:eastAsia="en-CA"/>
                <w14:ligatures w14:val="none"/>
              </w:rPr>
              <w:br/>
              <w:t>• No significant difference in somatic anxiety among the three groups.</w:t>
            </w:r>
            <w:r w:rsidRPr="006E1C09">
              <w:rPr>
                <w:rFonts w:ascii="Times New Roman" w:eastAsia="Times New Roman" w:hAnsi="Times New Roman" w:cs="Times New Roman"/>
                <w:kern w:val="0"/>
                <w:sz w:val="24"/>
                <w:szCs w:val="24"/>
                <w:lang w:val="en-CA" w:eastAsia="en-CA"/>
                <w14:ligatures w14:val="none"/>
              </w:rPr>
              <w:br/>
              <w:t xml:space="preserve">• No significant difference in the scores for any of the core symptoms of depression between women in the </w:t>
            </w:r>
            <w:r w:rsidRPr="006E1C09">
              <w:rPr>
                <w:rFonts w:ascii="Times New Roman" w:eastAsia="Times New Roman" w:hAnsi="Times New Roman" w:cs="Times New Roman"/>
                <w:kern w:val="0"/>
                <w:sz w:val="24"/>
                <w:szCs w:val="24"/>
                <w:lang w:val="en-CA" w:eastAsia="en-CA"/>
                <w14:ligatures w14:val="none"/>
              </w:rPr>
              <w:lastRenderedPageBreak/>
              <w:t xml:space="preserve">NC group and those in the COC group. </w:t>
            </w:r>
            <w:r w:rsidRPr="006E1C09">
              <w:rPr>
                <w:rFonts w:ascii="Times New Roman" w:eastAsia="Times New Roman" w:hAnsi="Times New Roman" w:cs="Times New Roman"/>
                <w:kern w:val="0"/>
                <w:sz w:val="24"/>
                <w:szCs w:val="24"/>
                <w:lang w:val="en-CA" w:eastAsia="en-CA"/>
                <w14:ligatures w14:val="none"/>
              </w:rPr>
              <w:br/>
              <w:t xml:space="preserve">• Women in the POC group had significantly higher HAM-D scores compared to those in the NC group and COC group. Interestingly, women in the POC group also had lower levels of β-AR 1 protein than </w:t>
            </w:r>
            <w:r w:rsidRPr="006E1C09">
              <w:rPr>
                <w:rFonts w:ascii="Times New Roman" w:eastAsia="Times New Roman" w:hAnsi="Times New Roman" w:cs="Times New Roman"/>
                <w:kern w:val="0"/>
                <w:sz w:val="24"/>
                <w:szCs w:val="24"/>
                <w:lang w:val="en-CA" w:eastAsia="en-CA"/>
                <w14:ligatures w14:val="none"/>
              </w:rPr>
              <w:lastRenderedPageBreak/>
              <w:t>women in the NC group.</w:t>
            </w:r>
            <w:r w:rsidRPr="006E1C09">
              <w:rPr>
                <w:rFonts w:ascii="Times New Roman" w:eastAsia="Times New Roman" w:hAnsi="Times New Roman" w:cs="Times New Roman"/>
                <w:kern w:val="0"/>
                <w:sz w:val="24"/>
                <w:szCs w:val="24"/>
                <w:lang w:val="en-CA" w:eastAsia="en-CA"/>
                <w14:ligatures w14:val="none"/>
              </w:rPr>
              <w:br/>
              <w:t>• POC use may be a potential risk factor for developing depressive symptoms</w:t>
            </w:r>
          </w:p>
        </w:tc>
      </w:tr>
      <w:tr w:rsidR="006E1C09" w:rsidRPr="00F87E76" w14:paraId="276E6657"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6D7D4AD"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Zettermark et al., 2018</w:t>
            </w:r>
          </w:p>
        </w:tc>
        <w:tc>
          <w:tcPr>
            <w:tcW w:w="298" w:type="pct"/>
            <w:tcBorders>
              <w:top w:val="nil"/>
              <w:left w:val="nil"/>
              <w:bottom w:val="single" w:sz="4" w:space="0" w:color="auto"/>
              <w:right w:val="single" w:sz="4" w:space="0" w:color="auto"/>
            </w:tcBorders>
            <w:shd w:val="clear" w:color="000000" w:fill="FFFFFF"/>
            <w:vAlign w:val="center"/>
            <w:hideMark/>
          </w:tcPr>
          <w:p w14:paraId="0106CD8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815 662 women ranging from 12-30 years</w:t>
            </w:r>
          </w:p>
        </w:tc>
        <w:tc>
          <w:tcPr>
            <w:tcW w:w="576" w:type="pct"/>
            <w:tcBorders>
              <w:top w:val="nil"/>
              <w:left w:val="nil"/>
              <w:bottom w:val="single" w:sz="4" w:space="0" w:color="auto"/>
              <w:right w:val="single" w:sz="4" w:space="0" w:color="auto"/>
            </w:tcBorders>
            <w:shd w:val="clear" w:color="000000" w:fill="FFFFFF"/>
            <w:vAlign w:val="center"/>
            <w:hideMark/>
          </w:tcPr>
          <w:p w14:paraId="7D07CEB1"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Nationwide cohort study</w:t>
            </w:r>
          </w:p>
        </w:tc>
        <w:tc>
          <w:tcPr>
            <w:tcW w:w="487" w:type="pct"/>
            <w:tcBorders>
              <w:top w:val="nil"/>
              <w:left w:val="nil"/>
              <w:bottom w:val="single" w:sz="4" w:space="0" w:color="auto"/>
              <w:right w:val="single" w:sz="4" w:space="0" w:color="auto"/>
            </w:tcBorders>
            <w:shd w:val="clear" w:color="000000" w:fill="FFFFFF"/>
            <w:hideMark/>
          </w:tcPr>
          <w:p w14:paraId="2F9158E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investigate whether use of HC was associated with adverse psychological health outcomes, and whether this assoc</w:t>
            </w:r>
            <w:r w:rsidRPr="006E1C09">
              <w:rPr>
                <w:rFonts w:ascii="Times New Roman" w:eastAsia="Times New Roman" w:hAnsi="Times New Roman" w:cs="Times New Roman"/>
                <w:kern w:val="0"/>
                <w:sz w:val="24"/>
                <w:szCs w:val="24"/>
                <w:lang w:val="en-CA" w:eastAsia="en-CA"/>
                <w14:ligatures w14:val="none"/>
              </w:rPr>
              <w:lastRenderedPageBreak/>
              <w:t>iation was modified by age</w:t>
            </w:r>
          </w:p>
        </w:tc>
        <w:tc>
          <w:tcPr>
            <w:tcW w:w="533" w:type="pct"/>
            <w:tcBorders>
              <w:top w:val="nil"/>
              <w:left w:val="nil"/>
              <w:bottom w:val="single" w:sz="4" w:space="0" w:color="auto"/>
              <w:right w:val="single" w:sz="4" w:space="0" w:color="auto"/>
            </w:tcBorders>
            <w:shd w:val="clear" w:color="000000" w:fill="FFFFFF"/>
            <w:vAlign w:val="center"/>
            <w:hideMark/>
          </w:tcPr>
          <w:p w14:paraId="760CA45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Combined oral contraceptives, Progesterone-only pills, Skin patch (Evra), Intravaginal ring (NuvaRing), Intrauterine device, Injection (Depo</w:t>
            </w:r>
            <w:r w:rsidRPr="006E1C09">
              <w:rPr>
                <w:rFonts w:ascii="Times New Roman" w:eastAsia="Times New Roman" w:hAnsi="Times New Roman" w:cs="Times New Roman"/>
                <w:kern w:val="0"/>
                <w:sz w:val="24"/>
                <w:szCs w:val="24"/>
                <w:lang w:val="en-CA" w:eastAsia="en-CA"/>
                <w14:ligatures w14:val="none"/>
              </w:rPr>
              <w:lastRenderedPageBreak/>
              <w:t>-Provera), Implant (Implanon, Jadelle)</w:t>
            </w:r>
          </w:p>
        </w:tc>
        <w:tc>
          <w:tcPr>
            <w:tcW w:w="346" w:type="pct"/>
            <w:tcBorders>
              <w:top w:val="nil"/>
              <w:left w:val="nil"/>
              <w:bottom w:val="single" w:sz="4" w:space="0" w:color="auto"/>
              <w:right w:val="single" w:sz="4" w:space="0" w:color="auto"/>
            </w:tcBorders>
            <w:shd w:val="clear" w:color="000000" w:fill="FFFFFF"/>
            <w:vAlign w:val="center"/>
            <w:hideMark/>
          </w:tcPr>
          <w:p w14:paraId="5E0A1C5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On 31 December 2010</w:t>
            </w:r>
          </w:p>
        </w:tc>
        <w:tc>
          <w:tcPr>
            <w:tcW w:w="484" w:type="pct"/>
            <w:tcBorders>
              <w:top w:val="nil"/>
              <w:left w:val="nil"/>
              <w:bottom w:val="single" w:sz="4" w:space="0" w:color="auto"/>
              <w:right w:val="single" w:sz="4" w:space="0" w:color="auto"/>
            </w:tcBorders>
            <w:shd w:val="clear" w:color="000000" w:fill="FFFFFF"/>
            <w:vAlign w:val="center"/>
            <w:hideMark/>
          </w:tcPr>
          <w:p w14:paraId="44EEE57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Hormonal contraceptive use, especially non-oral and progesterone-only methods, is strongly associated with an increased </w:t>
            </w:r>
            <w:r w:rsidRPr="006E1C09">
              <w:rPr>
                <w:rFonts w:ascii="Times New Roman" w:eastAsia="Times New Roman" w:hAnsi="Times New Roman" w:cs="Times New Roman"/>
                <w:kern w:val="0"/>
                <w:sz w:val="24"/>
                <w:szCs w:val="24"/>
                <w:lang w:val="en-CA" w:eastAsia="en-CA"/>
                <w14:ligatures w14:val="none"/>
              </w:rPr>
              <w:lastRenderedPageBreak/>
              <w:t>risk of psychotropic drug use, particularly in adolescent girls.</w:t>
            </w:r>
          </w:p>
        </w:tc>
        <w:tc>
          <w:tcPr>
            <w:tcW w:w="372" w:type="pct"/>
            <w:tcBorders>
              <w:top w:val="nil"/>
              <w:left w:val="nil"/>
              <w:bottom w:val="single" w:sz="4" w:space="0" w:color="auto"/>
              <w:right w:val="single" w:sz="4" w:space="0" w:color="auto"/>
            </w:tcBorders>
            <w:shd w:val="clear" w:color="000000" w:fill="FFFFFF"/>
            <w:vAlign w:val="center"/>
            <w:hideMark/>
          </w:tcPr>
          <w:p w14:paraId="1BE4E8B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37C12F1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 The outcome of the study was use of psychotropic medication defined as filling at least one prescription with anxiolytics, hypnotics and sedativ</w:t>
            </w:r>
            <w:r w:rsidRPr="006E1C09">
              <w:rPr>
                <w:rFonts w:ascii="Times New Roman" w:eastAsia="Times New Roman" w:hAnsi="Times New Roman" w:cs="Times New Roman"/>
                <w:kern w:val="0"/>
                <w:sz w:val="24"/>
                <w:szCs w:val="24"/>
                <w:lang w:val="en-CA" w:eastAsia="en-CA"/>
                <w14:ligatures w14:val="none"/>
              </w:rPr>
              <w:lastRenderedPageBreak/>
              <w:t>es or antidepressants</w:t>
            </w:r>
          </w:p>
        </w:tc>
        <w:tc>
          <w:tcPr>
            <w:tcW w:w="423" w:type="pct"/>
            <w:tcBorders>
              <w:top w:val="nil"/>
              <w:left w:val="nil"/>
              <w:bottom w:val="single" w:sz="4" w:space="0" w:color="auto"/>
              <w:right w:val="single" w:sz="4" w:space="0" w:color="auto"/>
            </w:tcBorders>
            <w:shd w:val="clear" w:color="000000" w:fill="FFFFFF"/>
            <w:vAlign w:val="center"/>
            <w:hideMark/>
          </w:tcPr>
          <w:p w14:paraId="09395BEE"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Women with preexisting psychiatric disorders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78887E9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Psychotropic drugs were dispensed to 3.1% (n = 24 973) of the women during the follow-up. </w:t>
            </w:r>
            <w:r w:rsidRPr="006E1C09">
              <w:rPr>
                <w:rFonts w:ascii="Times New Roman" w:eastAsia="Times New Roman" w:hAnsi="Times New Roman" w:cs="Times New Roman"/>
                <w:kern w:val="0"/>
                <w:sz w:val="24"/>
                <w:szCs w:val="24"/>
                <w:lang w:val="en-CA" w:eastAsia="en-CA"/>
                <w14:ligatures w14:val="none"/>
              </w:rPr>
              <w:br/>
              <w:t xml:space="preserve">• Among HC users the incidence of </w:t>
            </w:r>
            <w:r w:rsidRPr="006E1C09">
              <w:rPr>
                <w:rFonts w:ascii="Times New Roman" w:eastAsia="Times New Roman" w:hAnsi="Times New Roman" w:cs="Times New Roman"/>
                <w:kern w:val="0"/>
                <w:sz w:val="24"/>
                <w:szCs w:val="24"/>
                <w:lang w:val="en-CA" w:eastAsia="en-CA"/>
                <w14:ligatures w14:val="none"/>
              </w:rPr>
              <w:lastRenderedPageBreak/>
              <w:t>psychotropic drug use was 3.7%, while this figure was 2.5% for non-users.</w:t>
            </w:r>
            <w:r w:rsidRPr="006E1C09">
              <w:rPr>
                <w:rFonts w:ascii="Times New Roman" w:eastAsia="Times New Roman" w:hAnsi="Times New Roman" w:cs="Times New Roman"/>
                <w:kern w:val="0"/>
                <w:sz w:val="24"/>
                <w:szCs w:val="24"/>
                <w:lang w:val="en-CA" w:eastAsia="en-CA"/>
                <w14:ligatures w14:val="none"/>
              </w:rPr>
              <w:br/>
              <w:t>• In users of HC the absolute risk of using psychotropics was around 4% for all age groups.</w:t>
            </w:r>
            <w:r w:rsidRPr="006E1C09">
              <w:rPr>
                <w:rFonts w:ascii="Times New Roman" w:eastAsia="Times New Roman" w:hAnsi="Times New Roman" w:cs="Times New Roman"/>
                <w:kern w:val="0"/>
                <w:sz w:val="24"/>
                <w:szCs w:val="24"/>
                <w:lang w:val="en-CA" w:eastAsia="en-CA"/>
                <w14:ligatures w14:val="none"/>
              </w:rPr>
              <w:br/>
              <w:t>• In non-users of HC, however, this risk was very low in young adoles</w:t>
            </w:r>
            <w:r w:rsidRPr="006E1C09">
              <w:rPr>
                <w:rFonts w:ascii="Times New Roman" w:eastAsia="Times New Roman" w:hAnsi="Times New Roman" w:cs="Times New Roman"/>
                <w:kern w:val="0"/>
                <w:sz w:val="24"/>
                <w:szCs w:val="24"/>
                <w:lang w:val="en-CA" w:eastAsia="en-CA"/>
                <w14:ligatures w14:val="none"/>
              </w:rPr>
              <w:lastRenderedPageBreak/>
              <w:t>cents and increased with age, to reach the level of HC users at the age of 21 or older.</w:t>
            </w:r>
            <w:r w:rsidRPr="006E1C09">
              <w:rPr>
                <w:rFonts w:ascii="Times New Roman" w:eastAsia="Times New Roman" w:hAnsi="Times New Roman" w:cs="Times New Roman"/>
                <w:kern w:val="0"/>
                <w:sz w:val="24"/>
                <w:szCs w:val="24"/>
                <w:lang w:val="en-CA" w:eastAsia="en-CA"/>
                <w14:ligatures w14:val="none"/>
              </w:rPr>
              <w:br/>
              <w:t>• Overall, compared to non-users, users of HCs had an adjusted OR of a first-time use of psychotropic drugs of 1.34 (95% CI: 1.30-1.37).</w:t>
            </w:r>
            <w:r w:rsidRPr="006E1C09">
              <w:rPr>
                <w:rFonts w:ascii="Times New Roman" w:eastAsia="Times New Roman" w:hAnsi="Times New Roman" w:cs="Times New Roman"/>
                <w:kern w:val="0"/>
                <w:sz w:val="24"/>
                <w:szCs w:val="24"/>
                <w:lang w:val="en-CA" w:eastAsia="en-CA"/>
                <w14:ligatures w14:val="none"/>
              </w:rPr>
              <w:br/>
              <w:t xml:space="preserve">• The </w:t>
            </w:r>
            <w:r w:rsidRPr="006E1C09">
              <w:rPr>
                <w:rFonts w:ascii="Times New Roman" w:eastAsia="Times New Roman" w:hAnsi="Times New Roman" w:cs="Times New Roman"/>
                <w:kern w:val="0"/>
                <w:sz w:val="24"/>
                <w:szCs w:val="24"/>
                <w:lang w:val="en-CA" w:eastAsia="en-CA"/>
                <w14:ligatures w14:val="none"/>
              </w:rPr>
              <w:lastRenderedPageBreak/>
              <w:t xml:space="preserve">age-stratified analysis revealed a strong association in adolescent girls, which decreased with age to disappear after adolescence (pattern observed for all groups of HC). The highest ORs were found in the youngest age group of 12- to 14-year-olds, </w:t>
            </w:r>
            <w:r w:rsidRPr="006E1C09">
              <w:rPr>
                <w:rFonts w:ascii="Times New Roman" w:eastAsia="Times New Roman" w:hAnsi="Times New Roman" w:cs="Times New Roman"/>
                <w:kern w:val="0"/>
                <w:sz w:val="24"/>
                <w:szCs w:val="24"/>
                <w:lang w:val="en-CA" w:eastAsia="en-CA"/>
                <w14:ligatures w14:val="none"/>
              </w:rPr>
              <w:lastRenderedPageBreak/>
              <w:t>with an adjusted OR of 3.46 (95% CI: 3.04 to 3.94).</w:t>
            </w:r>
            <w:r w:rsidRPr="006E1C09">
              <w:rPr>
                <w:rFonts w:ascii="Times New Roman" w:eastAsia="Times New Roman" w:hAnsi="Times New Roman" w:cs="Times New Roman"/>
                <w:kern w:val="0"/>
                <w:sz w:val="24"/>
                <w:szCs w:val="24"/>
                <w:lang w:val="en-CA" w:eastAsia="en-CA"/>
                <w14:ligatures w14:val="none"/>
              </w:rPr>
              <w:br/>
              <w:t>• Use of HC in young adolescents displayed strong associations with psychotropic drug use. The strongest association was found among 12–14-year-olds using a non-oral progesterone-only metho</w:t>
            </w:r>
            <w:r w:rsidRPr="006E1C09">
              <w:rPr>
                <w:rFonts w:ascii="Times New Roman" w:eastAsia="Times New Roman" w:hAnsi="Times New Roman" w:cs="Times New Roman"/>
                <w:kern w:val="0"/>
                <w:sz w:val="24"/>
                <w:szCs w:val="24"/>
                <w:lang w:val="en-CA" w:eastAsia="en-CA"/>
                <w14:ligatures w14:val="none"/>
              </w:rPr>
              <w:lastRenderedPageBreak/>
              <w:t>d such as a skin patch or intravaginal ring, with an of OR 4.47 (95% CI: 2.08-8.78).</w:t>
            </w:r>
            <w:r w:rsidRPr="006E1C09">
              <w:rPr>
                <w:rFonts w:ascii="Times New Roman" w:eastAsia="Times New Roman" w:hAnsi="Times New Roman" w:cs="Times New Roman"/>
                <w:kern w:val="0"/>
                <w:sz w:val="24"/>
                <w:szCs w:val="24"/>
                <w:lang w:val="en-CA" w:eastAsia="en-CA"/>
                <w14:ligatures w14:val="none"/>
              </w:rPr>
              <w:br/>
              <w:t>• Non-oral methods generally had higher ORs than the oral methods, as did the progesterone-only methods compared to combined methods regard</w:t>
            </w:r>
            <w:r w:rsidRPr="006E1C09">
              <w:rPr>
                <w:rFonts w:ascii="Times New Roman" w:eastAsia="Times New Roman" w:hAnsi="Times New Roman" w:cs="Times New Roman"/>
                <w:kern w:val="0"/>
                <w:sz w:val="24"/>
                <w:szCs w:val="24"/>
                <w:lang w:val="en-CA" w:eastAsia="en-CA"/>
                <w14:ligatures w14:val="none"/>
              </w:rPr>
              <w:lastRenderedPageBreak/>
              <w:t xml:space="preserve">less of administrative route. Users of the vaginal ring/patch in the age group 15-17 years had an adjusted OR of 2.27 (95% CI: 1.85-2.79) for a first use of psychotropic drugs compared to non-users, while COC users had an OR of 1.52 (95% </w:t>
            </w:r>
            <w:r w:rsidRPr="006E1C09">
              <w:rPr>
                <w:rFonts w:ascii="Times New Roman" w:eastAsia="Times New Roman" w:hAnsi="Times New Roman" w:cs="Times New Roman"/>
                <w:kern w:val="0"/>
                <w:sz w:val="24"/>
                <w:szCs w:val="24"/>
                <w:lang w:val="en-CA" w:eastAsia="en-CA"/>
                <w14:ligatures w14:val="none"/>
              </w:rPr>
              <w:lastRenderedPageBreak/>
              <w:t>CI: 1.41-1.64) in the same age group</w:t>
            </w:r>
            <w:r w:rsidRPr="006E1C09">
              <w:rPr>
                <w:rFonts w:ascii="Times New Roman" w:eastAsia="Times New Roman" w:hAnsi="Times New Roman" w:cs="Times New Roman"/>
                <w:kern w:val="0"/>
                <w:sz w:val="24"/>
                <w:szCs w:val="24"/>
                <w:lang w:val="en-CA" w:eastAsia="en-CA"/>
                <w14:ligatures w14:val="none"/>
              </w:rPr>
              <w:br/>
              <w:t xml:space="preserve">• While the majority of HC substances where positively associated with a first-time use of psychotropic drugs in adolescents, we observed few conclusive associations in adult users. Non-oral HC forms </w:t>
            </w:r>
            <w:r w:rsidRPr="006E1C09">
              <w:rPr>
                <w:rFonts w:ascii="Times New Roman" w:eastAsia="Times New Roman" w:hAnsi="Times New Roman" w:cs="Times New Roman"/>
                <w:kern w:val="0"/>
                <w:sz w:val="24"/>
                <w:szCs w:val="24"/>
                <w:lang w:val="en-CA" w:eastAsia="en-CA"/>
                <w14:ligatures w14:val="none"/>
              </w:rPr>
              <w:lastRenderedPageBreak/>
              <w:t>did however display stronger associations in both adults and adolescent users.</w:t>
            </w:r>
            <w:r w:rsidRPr="006E1C09">
              <w:rPr>
                <w:rFonts w:ascii="Times New Roman" w:eastAsia="Times New Roman" w:hAnsi="Times New Roman" w:cs="Times New Roman"/>
                <w:kern w:val="0"/>
                <w:sz w:val="24"/>
                <w:szCs w:val="24"/>
                <w:lang w:val="en-CA" w:eastAsia="en-CA"/>
                <w14:ligatures w14:val="none"/>
              </w:rPr>
              <w:br/>
              <w:t>• Use of the depot medroxyprogesterone acetate (DMPA) injection had the strongest association with subsequent use of psychotropic drugs in adult wome</w:t>
            </w:r>
            <w:r w:rsidRPr="006E1C09">
              <w:rPr>
                <w:rFonts w:ascii="Times New Roman" w:eastAsia="Times New Roman" w:hAnsi="Times New Roman" w:cs="Times New Roman"/>
                <w:kern w:val="0"/>
                <w:sz w:val="24"/>
                <w:szCs w:val="24"/>
                <w:lang w:val="en-CA" w:eastAsia="en-CA"/>
                <w14:ligatures w14:val="none"/>
              </w:rPr>
              <w:lastRenderedPageBreak/>
              <w:t xml:space="preserve">n, with an adjusted OR of 1.56 (95% CI: 1.34-1.82). </w:t>
            </w:r>
            <w:r w:rsidRPr="006E1C09">
              <w:rPr>
                <w:rFonts w:ascii="Times New Roman" w:eastAsia="Times New Roman" w:hAnsi="Times New Roman" w:cs="Times New Roman"/>
                <w:kern w:val="0"/>
                <w:sz w:val="24"/>
                <w:szCs w:val="24"/>
                <w:lang w:val="en-CA" w:eastAsia="en-CA"/>
                <w14:ligatures w14:val="none"/>
              </w:rPr>
              <w:br/>
              <w:t>• For adolescents, the levonorgestrel containing IUD had the strongest association with use of psychotropic drugs, with an adjusted OR of 2.90 (95% CI: 2.22±3.79), followed by DMP</w:t>
            </w:r>
            <w:r w:rsidRPr="006E1C09">
              <w:rPr>
                <w:rFonts w:ascii="Times New Roman" w:eastAsia="Times New Roman" w:hAnsi="Times New Roman" w:cs="Times New Roman"/>
                <w:kern w:val="0"/>
                <w:sz w:val="24"/>
                <w:szCs w:val="24"/>
                <w:lang w:val="en-CA" w:eastAsia="en-CA"/>
                <w14:ligatures w14:val="none"/>
              </w:rPr>
              <w:lastRenderedPageBreak/>
              <w:t>A (OR: 2.37; 95% CI: 1.46-3.84).</w:t>
            </w:r>
            <w:r w:rsidRPr="006E1C09">
              <w:rPr>
                <w:rFonts w:ascii="Times New Roman" w:eastAsia="Times New Roman" w:hAnsi="Times New Roman" w:cs="Times New Roman"/>
                <w:kern w:val="0"/>
                <w:sz w:val="24"/>
                <w:szCs w:val="24"/>
                <w:lang w:val="en-CA" w:eastAsia="en-CA"/>
                <w14:ligatures w14:val="none"/>
              </w:rPr>
              <w:br/>
              <w:t>• Strong associations between the majority of hormonal contraceptives and subsequent use of psychotropic drugs in adolescent girls without previous psychiatric morbidity.</w:t>
            </w:r>
            <w:r w:rsidRPr="006E1C09">
              <w:rPr>
                <w:rFonts w:ascii="Times New Roman" w:eastAsia="Times New Roman" w:hAnsi="Times New Roman" w:cs="Times New Roman"/>
                <w:kern w:val="0"/>
                <w:sz w:val="24"/>
                <w:szCs w:val="24"/>
                <w:lang w:val="en-CA" w:eastAsia="en-CA"/>
                <w14:ligatures w14:val="none"/>
              </w:rPr>
              <w:br/>
              <w:t xml:space="preserve">• The highest odds ratios in 12- to 14- </w:t>
            </w:r>
            <w:r w:rsidRPr="006E1C09">
              <w:rPr>
                <w:rFonts w:ascii="Times New Roman" w:eastAsia="Times New Roman" w:hAnsi="Times New Roman" w:cs="Times New Roman"/>
                <w:kern w:val="0"/>
                <w:sz w:val="24"/>
                <w:szCs w:val="24"/>
                <w:lang w:val="en-CA" w:eastAsia="en-CA"/>
                <w14:ligatures w14:val="none"/>
              </w:rPr>
              <w:lastRenderedPageBreak/>
              <w:t>year old girls using non-oral progesterone only methods. The association was persistent and conclusively high for most HC formulas in adolescents, but it weakened or became absent for women over 19 years.</w:t>
            </w:r>
          </w:p>
        </w:tc>
      </w:tr>
      <w:tr w:rsidR="006E1C09" w:rsidRPr="00F87E76" w14:paraId="506996E9"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5158E3A8"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Ekenros et al., 2019</w:t>
            </w:r>
          </w:p>
        </w:tc>
        <w:tc>
          <w:tcPr>
            <w:tcW w:w="298" w:type="pct"/>
            <w:tcBorders>
              <w:top w:val="nil"/>
              <w:left w:val="nil"/>
              <w:bottom w:val="single" w:sz="4" w:space="0" w:color="auto"/>
              <w:right w:val="single" w:sz="4" w:space="0" w:color="auto"/>
            </w:tcBorders>
            <w:shd w:val="clear" w:color="000000" w:fill="FFFFFF"/>
            <w:vAlign w:val="center"/>
            <w:hideMark/>
          </w:tcPr>
          <w:p w14:paraId="5A228BE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19 women with a </w:t>
            </w:r>
            <w:r w:rsidRPr="006E1C09">
              <w:rPr>
                <w:rFonts w:ascii="Times New Roman" w:eastAsia="Times New Roman" w:hAnsi="Times New Roman" w:cs="Times New Roman"/>
                <w:kern w:val="0"/>
                <w:sz w:val="24"/>
                <w:szCs w:val="24"/>
                <w:lang w:val="en-CA" w:eastAsia="en-CA"/>
                <w14:ligatures w14:val="none"/>
              </w:rPr>
              <w:lastRenderedPageBreak/>
              <w:t xml:space="preserve">mean age of 27.2 years (Non-OC starters) and 26.4 years (OC starters) </w:t>
            </w:r>
          </w:p>
        </w:tc>
        <w:tc>
          <w:tcPr>
            <w:tcW w:w="576" w:type="pct"/>
            <w:tcBorders>
              <w:top w:val="nil"/>
              <w:left w:val="nil"/>
              <w:bottom w:val="single" w:sz="4" w:space="0" w:color="auto"/>
              <w:right w:val="single" w:sz="4" w:space="0" w:color="auto"/>
            </w:tcBorders>
            <w:shd w:val="clear" w:color="000000" w:fill="FFFFFF"/>
            <w:vAlign w:val="center"/>
            <w:hideMark/>
          </w:tcPr>
          <w:p w14:paraId="7A5D2D7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Prospective crossover design</w:t>
            </w:r>
          </w:p>
        </w:tc>
        <w:tc>
          <w:tcPr>
            <w:tcW w:w="487" w:type="pct"/>
            <w:tcBorders>
              <w:top w:val="nil"/>
              <w:left w:val="nil"/>
              <w:bottom w:val="single" w:sz="4" w:space="0" w:color="auto"/>
              <w:right w:val="single" w:sz="4" w:space="0" w:color="auto"/>
            </w:tcBorders>
            <w:shd w:val="clear" w:color="000000" w:fill="FFFFFF"/>
            <w:vAlign w:val="center"/>
            <w:hideMark/>
          </w:tcPr>
          <w:p w14:paraId="63A75D8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evaluate PMS in healthy </w:t>
            </w:r>
            <w:r w:rsidRPr="006E1C09">
              <w:rPr>
                <w:rFonts w:ascii="Times New Roman" w:eastAsia="Times New Roman" w:hAnsi="Times New Roman" w:cs="Times New Roman"/>
                <w:kern w:val="0"/>
                <w:sz w:val="24"/>
                <w:szCs w:val="24"/>
                <w:lang w:val="en-CA" w:eastAsia="en-CA"/>
                <w14:ligatures w14:val="none"/>
              </w:rPr>
              <w:lastRenderedPageBreak/>
              <w:t>women when switching from not using to using lowdose monophasic OCs or after switching from the use of an OC to a normal menstrual cycle.</w:t>
            </w:r>
          </w:p>
        </w:tc>
        <w:tc>
          <w:tcPr>
            <w:tcW w:w="533" w:type="pct"/>
            <w:tcBorders>
              <w:top w:val="nil"/>
              <w:left w:val="nil"/>
              <w:bottom w:val="single" w:sz="4" w:space="0" w:color="auto"/>
              <w:right w:val="single" w:sz="4" w:space="0" w:color="auto"/>
            </w:tcBorders>
            <w:shd w:val="clear" w:color="000000" w:fill="FFFFFF"/>
            <w:vAlign w:val="center"/>
            <w:hideMark/>
          </w:tcPr>
          <w:p w14:paraId="26BB7EE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Low-dose, monophasic pills with the </w:t>
            </w:r>
            <w:r w:rsidRPr="006E1C09">
              <w:rPr>
                <w:rFonts w:ascii="Times New Roman" w:eastAsia="Times New Roman" w:hAnsi="Times New Roman" w:cs="Times New Roman"/>
                <w:kern w:val="0"/>
                <w:sz w:val="24"/>
                <w:szCs w:val="24"/>
                <w:lang w:val="en-CA" w:eastAsia="en-CA"/>
                <w14:ligatures w14:val="none"/>
              </w:rPr>
              <w:lastRenderedPageBreak/>
              <w:t>amount of ethinyl estradiol ranging between 25 and 30 mg, combined with different progestagens.</w:t>
            </w:r>
          </w:p>
        </w:tc>
        <w:tc>
          <w:tcPr>
            <w:tcW w:w="346" w:type="pct"/>
            <w:tcBorders>
              <w:top w:val="nil"/>
              <w:left w:val="nil"/>
              <w:bottom w:val="single" w:sz="4" w:space="0" w:color="auto"/>
              <w:right w:val="single" w:sz="4" w:space="0" w:color="auto"/>
            </w:tcBorders>
            <w:shd w:val="clear" w:color="000000" w:fill="FFFFFF"/>
            <w:vAlign w:val="center"/>
            <w:hideMark/>
          </w:tcPr>
          <w:p w14:paraId="01FF1CC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Women using OCs : </w:t>
            </w:r>
            <w:r w:rsidRPr="006E1C09">
              <w:rPr>
                <w:rFonts w:ascii="Times New Roman" w:eastAsia="Times New Roman" w:hAnsi="Times New Roman" w:cs="Times New Roman"/>
                <w:kern w:val="0"/>
                <w:sz w:val="24"/>
                <w:szCs w:val="24"/>
                <w:lang w:val="en-CA" w:eastAsia="en-CA"/>
                <w14:ligatures w14:val="none"/>
              </w:rPr>
              <w:lastRenderedPageBreak/>
              <w:t xml:space="preserve">for at least 3 months up to 9 years. </w:t>
            </w:r>
          </w:p>
        </w:tc>
        <w:tc>
          <w:tcPr>
            <w:tcW w:w="484" w:type="pct"/>
            <w:tcBorders>
              <w:top w:val="nil"/>
              <w:left w:val="nil"/>
              <w:bottom w:val="single" w:sz="4" w:space="0" w:color="auto"/>
              <w:right w:val="single" w:sz="4" w:space="0" w:color="auto"/>
            </w:tcBorders>
            <w:shd w:val="clear" w:color="000000" w:fill="FFFFFF"/>
            <w:vAlign w:val="center"/>
            <w:hideMark/>
          </w:tcPr>
          <w:p w14:paraId="32FF1FF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372" w:type="pct"/>
            <w:tcBorders>
              <w:top w:val="nil"/>
              <w:left w:val="nil"/>
              <w:bottom w:val="single" w:sz="4" w:space="0" w:color="auto"/>
              <w:right w:val="single" w:sz="4" w:space="0" w:color="auto"/>
            </w:tcBorders>
            <w:shd w:val="clear" w:color="000000" w:fill="FFFFFF"/>
            <w:vAlign w:val="center"/>
            <w:hideMark/>
          </w:tcPr>
          <w:p w14:paraId="0079DFE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OC use tends to reduce </w:t>
            </w:r>
            <w:r w:rsidRPr="006E1C09">
              <w:rPr>
                <w:rFonts w:ascii="Times New Roman" w:eastAsia="Times New Roman" w:hAnsi="Times New Roman" w:cs="Times New Roman"/>
                <w:kern w:val="0"/>
                <w:sz w:val="24"/>
                <w:szCs w:val="24"/>
                <w:lang w:val="en-CA" w:eastAsia="en-CA"/>
                <w14:ligatures w14:val="none"/>
              </w:rPr>
              <w:lastRenderedPageBreak/>
              <w:t>somatic symptoms during the premenstrual phase, but has no significant impact on mood symptoms</w:t>
            </w:r>
          </w:p>
        </w:tc>
        <w:tc>
          <w:tcPr>
            <w:tcW w:w="611" w:type="pct"/>
            <w:tcBorders>
              <w:top w:val="nil"/>
              <w:left w:val="nil"/>
              <w:bottom w:val="single" w:sz="4" w:space="0" w:color="auto"/>
              <w:right w:val="single" w:sz="4" w:space="0" w:color="auto"/>
            </w:tcBorders>
            <w:shd w:val="clear" w:color="000000" w:fill="FFFFFF"/>
            <w:vAlign w:val="center"/>
            <w:hideMark/>
          </w:tcPr>
          <w:p w14:paraId="5E8FB95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PMS assessed by Cyclicity Diagnoser </w:t>
            </w:r>
            <w:r w:rsidRPr="006E1C09">
              <w:rPr>
                <w:rFonts w:ascii="Times New Roman" w:eastAsia="Times New Roman" w:hAnsi="Times New Roman" w:cs="Times New Roman"/>
                <w:kern w:val="0"/>
                <w:sz w:val="24"/>
                <w:szCs w:val="24"/>
                <w:lang w:val="en-CA" w:eastAsia="en-CA"/>
                <w14:ligatures w14:val="none"/>
              </w:rPr>
              <w:lastRenderedPageBreak/>
              <w:t>(CD) scale</w:t>
            </w:r>
          </w:p>
        </w:tc>
        <w:tc>
          <w:tcPr>
            <w:tcW w:w="423" w:type="pct"/>
            <w:tcBorders>
              <w:top w:val="nil"/>
              <w:left w:val="nil"/>
              <w:bottom w:val="single" w:sz="4" w:space="0" w:color="auto"/>
              <w:right w:val="single" w:sz="4" w:space="0" w:color="auto"/>
            </w:tcBorders>
            <w:shd w:val="clear" w:color="000000" w:fill="FFFFFF"/>
            <w:vAlign w:val="center"/>
            <w:hideMark/>
          </w:tcPr>
          <w:p w14:paraId="4AC56A2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 previous diagnosis of pre</w:t>
            </w:r>
            <w:r w:rsidRPr="006E1C09">
              <w:rPr>
                <w:rFonts w:ascii="Times New Roman" w:eastAsia="Times New Roman" w:hAnsi="Times New Roman" w:cs="Times New Roman"/>
                <w:kern w:val="0"/>
                <w:sz w:val="24"/>
                <w:szCs w:val="24"/>
                <w:lang w:val="en-CA" w:eastAsia="en-CA"/>
                <w14:ligatures w14:val="none"/>
              </w:rPr>
              <w:lastRenderedPageBreak/>
              <w:t>menstrual dysphoric disorder (PMDD)</w:t>
            </w:r>
          </w:p>
        </w:tc>
        <w:tc>
          <w:tcPr>
            <w:tcW w:w="538" w:type="pct"/>
            <w:tcBorders>
              <w:top w:val="single" w:sz="4" w:space="0" w:color="auto"/>
              <w:left w:val="nil"/>
              <w:bottom w:val="single" w:sz="4" w:space="0" w:color="auto"/>
              <w:right w:val="single" w:sz="4" w:space="0" w:color="auto"/>
            </w:tcBorders>
            <w:shd w:val="clear" w:color="000000" w:fill="FFFFFF"/>
            <w:hideMark/>
          </w:tcPr>
          <w:p w14:paraId="1286975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In all women, the summarized somat</w:t>
            </w:r>
            <w:r w:rsidRPr="006E1C09">
              <w:rPr>
                <w:rFonts w:ascii="Times New Roman" w:eastAsia="Times New Roman" w:hAnsi="Times New Roman" w:cs="Times New Roman"/>
                <w:kern w:val="0"/>
                <w:sz w:val="24"/>
                <w:szCs w:val="24"/>
                <w:lang w:val="en-CA" w:eastAsia="en-CA"/>
                <w14:ligatures w14:val="none"/>
              </w:rPr>
              <w:lastRenderedPageBreak/>
              <w:t>ic symptoms during the premenstrual phase were significantly higher during the normal menstrual cycle, compared to the corresponding days of the OC cycle (p&lt;0.05)</w:t>
            </w:r>
            <w:r w:rsidRPr="006E1C09">
              <w:rPr>
                <w:rFonts w:ascii="Times New Roman" w:eastAsia="Times New Roman" w:hAnsi="Times New Roman" w:cs="Times New Roman"/>
                <w:kern w:val="0"/>
                <w:sz w:val="24"/>
                <w:szCs w:val="24"/>
                <w:lang w:val="en-CA" w:eastAsia="en-CA"/>
                <w14:ligatures w14:val="none"/>
              </w:rPr>
              <w:br/>
              <w:t xml:space="preserve">• The summarized negative mood symptoms did not differ between the two </w:t>
            </w:r>
            <w:r w:rsidRPr="006E1C09">
              <w:rPr>
                <w:rFonts w:ascii="Times New Roman" w:eastAsia="Times New Roman" w:hAnsi="Times New Roman" w:cs="Times New Roman"/>
                <w:kern w:val="0"/>
                <w:sz w:val="24"/>
                <w:szCs w:val="24"/>
                <w:lang w:val="en-CA" w:eastAsia="en-CA"/>
                <w14:ligatures w14:val="none"/>
              </w:rPr>
              <w:lastRenderedPageBreak/>
              <w:t>cycles</w:t>
            </w:r>
            <w:r w:rsidRPr="006E1C09">
              <w:rPr>
                <w:rFonts w:ascii="Times New Roman" w:eastAsia="Times New Roman" w:hAnsi="Times New Roman" w:cs="Times New Roman"/>
                <w:kern w:val="0"/>
                <w:sz w:val="24"/>
                <w:szCs w:val="24"/>
                <w:lang w:val="en-CA" w:eastAsia="en-CA"/>
                <w14:ligatures w14:val="none"/>
              </w:rPr>
              <w:br/>
              <w:t>• The score on the comprehensive symptom impairment tended to be higher during the premenstrual phase of the menstrual cycle compared to the OC cycle (p=0.06).</w:t>
            </w:r>
            <w:r w:rsidRPr="006E1C09">
              <w:rPr>
                <w:rFonts w:ascii="Times New Roman" w:eastAsia="Times New Roman" w:hAnsi="Times New Roman" w:cs="Times New Roman"/>
                <w:kern w:val="0"/>
                <w:sz w:val="24"/>
                <w:szCs w:val="24"/>
                <w:lang w:val="en-CA" w:eastAsia="en-CA"/>
                <w14:ligatures w14:val="none"/>
              </w:rPr>
              <w:br/>
              <w:t>• Among the Non-OC Starters, 8 out of 11 women showed signifi</w:t>
            </w:r>
            <w:r w:rsidRPr="006E1C09">
              <w:rPr>
                <w:rFonts w:ascii="Times New Roman" w:eastAsia="Times New Roman" w:hAnsi="Times New Roman" w:cs="Times New Roman"/>
                <w:kern w:val="0"/>
                <w:sz w:val="24"/>
                <w:szCs w:val="24"/>
                <w:lang w:val="en-CA" w:eastAsia="en-CA"/>
                <w14:ligatures w14:val="none"/>
              </w:rPr>
              <w:lastRenderedPageBreak/>
              <w:t xml:space="preserve">cant cyclical changes (p&lt;0.05) in the summarized somatic symptom scores during the normal menstrual cycle. After having switched to OC treatment, there was a tendency to fewer subjects (4/11) showing cyclicity in summarized somatic </w:t>
            </w:r>
            <w:r w:rsidRPr="006E1C09">
              <w:rPr>
                <w:rFonts w:ascii="Times New Roman" w:eastAsia="Times New Roman" w:hAnsi="Times New Roman" w:cs="Times New Roman"/>
                <w:kern w:val="0"/>
                <w:sz w:val="24"/>
                <w:szCs w:val="24"/>
                <w:lang w:val="en-CA" w:eastAsia="en-CA"/>
                <w14:ligatures w14:val="none"/>
              </w:rPr>
              <w:lastRenderedPageBreak/>
              <w:t>symptom scores (p=0.09).</w:t>
            </w:r>
            <w:r w:rsidRPr="006E1C09">
              <w:rPr>
                <w:rFonts w:ascii="Times New Roman" w:eastAsia="Times New Roman" w:hAnsi="Times New Roman" w:cs="Times New Roman"/>
                <w:kern w:val="0"/>
                <w:sz w:val="24"/>
                <w:szCs w:val="24"/>
                <w:lang w:val="en-CA" w:eastAsia="en-CA"/>
                <w14:ligatures w14:val="none"/>
              </w:rPr>
              <w:br/>
              <w:t>• For summarized negative mood scores, 4 out of 11 women were considered to be cyclic during the normal menstrual cycle, whereas in the OC cycle, there was no significant change in negative mood scores (2/11).</w:t>
            </w:r>
            <w:r w:rsidRPr="006E1C09">
              <w:rPr>
                <w:rFonts w:ascii="Times New Roman" w:eastAsia="Times New Roman" w:hAnsi="Times New Roman" w:cs="Times New Roman"/>
                <w:kern w:val="0"/>
                <w:sz w:val="24"/>
                <w:szCs w:val="24"/>
                <w:lang w:val="en-CA" w:eastAsia="en-CA"/>
                <w14:ligatures w14:val="none"/>
              </w:rPr>
              <w:br/>
            </w:r>
            <w:r w:rsidRPr="006E1C09">
              <w:rPr>
                <w:rFonts w:ascii="Times New Roman" w:eastAsia="Times New Roman" w:hAnsi="Times New Roman" w:cs="Times New Roman"/>
                <w:kern w:val="0"/>
                <w:sz w:val="24"/>
                <w:szCs w:val="24"/>
                <w:lang w:val="en-CA" w:eastAsia="en-CA"/>
                <w14:ligatures w14:val="none"/>
              </w:rPr>
              <w:lastRenderedPageBreak/>
              <w:t xml:space="preserve">• For the OC Starters, 2 out of 8 women showed cyclicity in summarized somatic symptoms during the OC cycle. After washout, there was no significant change in the summarized somatic symptoms (2/8) in the normal menstrual </w:t>
            </w:r>
            <w:r w:rsidRPr="006E1C09">
              <w:rPr>
                <w:rFonts w:ascii="Times New Roman" w:eastAsia="Times New Roman" w:hAnsi="Times New Roman" w:cs="Times New Roman"/>
                <w:kern w:val="0"/>
                <w:sz w:val="24"/>
                <w:szCs w:val="24"/>
                <w:lang w:val="en-CA" w:eastAsia="en-CA"/>
                <w14:ligatures w14:val="none"/>
              </w:rPr>
              <w:lastRenderedPageBreak/>
              <w:t>cycle. For summarized negative mood scores, the proportion of women showing cyclicity in the OC cycle was 2 out of 8. After the washout period, a proportion of 4/8 women showed cyclicity in summarized negative mood scores (ns).</w:t>
            </w:r>
            <w:r w:rsidRPr="006E1C09">
              <w:rPr>
                <w:rFonts w:ascii="Times New Roman" w:eastAsia="Times New Roman" w:hAnsi="Times New Roman" w:cs="Times New Roman"/>
                <w:kern w:val="0"/>
                <w:sz w:val="24"/>
                <w:szCs w:val="24"/>
                <w:lang w:val="en-CA" w:eastAsia="en-CA"/>
                <w14:ligatures w14:val="none"/>
              </w:rPr>
              <w:br/>
            </w:r>
            <w:r w:rsidRPr="006E1C09">
              <w:rPr>
                <w:rFonts w:ascii="Times New Roman" w:eastAsia="Times New Roman" w:hAnsi="Times New Roman" w:cs="Times New Roman"/>
                <w:kern w:val="0"/>
                <w:sz w:val="24"/>
                <w:szCs w:val="24"/>
                <w:lang w:val="en-CA" w:eastAsia="en-CA"/>
                <w14:ligatures w14:val="none"/>
              </w:rPr>
              <w:lastRenderedPageBreak/>
              <w:t>• Somatic symptoms were significantly greater during the premenstrual phase of the normal menstrual cycle compared to the corresponding days of the OC cycle.</w:t>
            </w:r>
            <w:r w:rsidRPr="006E1C09">
              <w:rPr>
                <w:rFonts w:ascii="Times New Roman" w:eastAsia="Times New Roman" w:hAnsi="Times New Roman" w:cs="Times New Roman"/>
                <w:kern w:val="0"/>
                <w:sz w:val="24"/>
                <w:szCs w:val="24"/>
                <w:lang w:val="en-CA" w:eastAsia="en-CA"/>
                <w14:ligatures w14:val="none"/>
              </w:rPr>
              <w:br/>
              <w:t>• In the Non-OC Starters, the proportion of women showing cyclic</w:t>
            </w:r>
            <w:r w:rsidRPr="006E1C09">
              <w:rPr>
                <w:rFonts w:ascii="Times New Roman" w:eastAsia="Times New Roman" w:hAnsi="Times New Roman" w:cs="Times New Roman"/>
                <w:kern w:val="0"/>
                <w:sz w:val="24"/>
                <w:szCs w:val="24"/>
                <w:lang w:val="en-CA" w:eastAsia="en-CA"/>
                <w14:ligatures w14:val="none"/>
              </w:rPr>
              <w:lastRenderedPageBreak/>
              <w:t>ity in somatic symptoms during the normal menstrual cycle was significantly greater compared to the following OC cycle. Negative mood symptoms are less common in women regardless of OC treatment.</w:t>
            </w:r>
          </w:p>
        </w:tc>
      </w:tr>
      <w:tr w:rsidR="006E1C09" w:rsidRPr="00F87E76" w14:paraId="13922D37" w14:textId="77777777" w:rsidTr="006E1C09">
        <w:trPr>
          <w:trHeight w:val="2835"/>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7DCF5776"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McKetta, S. and K. M. Keyes (2019)</w:t>
            </w:r>
          </w:p>
        </w:tc>
        <w:tc>
          <w:tcPr>
            <w:tcW w:w="298" w:type="pct"/>
            <w:tcBorders>
              <w:top w:val="nil"/>
              <w:left w:val="nil"/>
              <w:bottom w:val="single" w:sz="4" w:space="0" w:color="auto"/>
              <w:right w:val="single" w:sz="4" w:space="0" w:color="auto"/>
            </w:tcBorders>
            <w:shd w:val="clear" w:color="000000" w:fill="FFFFFF"/>
            <w:vAlign w:val="center"/>
            <w:hideMark/>
          </w:tcPr>
          <w:p w14:paraId="165B3C8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4 765 women ranging from 13-18 years</w:t>
            </w:r>
          </w:p>
        </w:tc>
        <w:tc>
          <w:tcPr>
            <w:tcW w:w="576" w:type="pct"/>
            <w:tcBorders>
              <w:top w:val="nil"/>
              <w:left w:val="nil"/>
              <w:bottom w:val="single" w:sz="4" w:space="0" w:color="auto"/>
              <w:right w:val="single" w:sz="4" w:space="0" w:color="auto"/>
            </w:tcBorders>
            <w:shd w:val="clear" w:color="000000" w:fill="FFFFFF"/>
            <w:hideMark/>
          </w:tcPr>
          <w:p w14:paraId="452D1DC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analysis using data from the National Comorbidity Survey-Adolescent Supplement (NCS-A)</w:t>
            </w:r>
          </w:p>
        </w:tc>
        <w:tc>
          <w:tcPr>
            <w:tcW w:w="487" w:type="pct"/>
            <w:tcBorders>
              <w:top w:val="nil"/>
              <w:left w:val="nil"/>
              <w:bottom w:val="single" w:sz="4" w:space="0" w:color="auto"/>
              <w:right w:val="single" w:sz="4" w:space="0" w:color="auto"/>
            </w:tcBorders>
            <w:shd w:val="clear" w:color="000000" w:fill="FFFFFF"/>
            <w:vAlign w:val="center"/>
            <w:hideMark/>
          </w:tcPr>
          <w:p w14:paraId="6EDBE08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examine whether OCP use is associated with increased risks of development of depression in adolescents. </w:t>
            </w:r>
          </w:p>
        </w:tc>
        <w:tc>
          <w:tcPr>
            <w:tcW w:w="533" w:type="pct"/>
            <w:tcBorders>
              <w:top w:val="nil"/>
              <w:left w:val="nil"/>
              <w:bottom w:val="single" w:sz="4" w:space="0" w:color="auto"/>
              <w:right w:val="single" w:sz="4" w:space="0" w:color="auto"/>
            </w:tcBorders>
            <w:shd w:val="clear" w:color="000000" w:fill="FFFFFF"/>
            <w:vAlign w:val="center"/>
            <w:hideMark/>
          </w:tcPr>
          <w:p w14:paraId="0441DD0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 pills (OCPs)</w:t>
            </w:r>
          </w:p>
        </w:tc>
        <w:tc>
          <w:tcPr>
            <w:tcW w:w="346" w:type="pct"/>
            <w:tcBorders>
              <w:top w:val="nil"/>
              <w:left w:val="nil"/>
              <w:bottom w:val="single" w:sz="4" w:space="0" w:color="auto"/>
              <w:right w:val="single" w:sz="4" w:space="0" w:color="auto"/>
            </w:tcBorders>
            <w:shd w:val="clear" w:color="000000" w:fill="FFFFFF"/>
            <w:vAlign w:val="center"/>
            <w:hideMark/>
          </w:tcPr>
          <w:p w14:paraId="6DC9601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From 2001 to 2004</w:t>
            </w:r>
          </w:p>
        </w:tc>
        <w:tc>
          <w:tcPr>
            <w:tcW w:w="484" w:type="pct"/>
            <w:tcBorders>
              <w:top w:val="nil"/>
              <w:left w:val="nil"/>
              <w:bottom w:val="single" w:sz="4" w:space="0" w:color="auto"/>
              <w:right w:val="single" w:sz="4" w:space="0" w:color="auto"/>
            </w:tcBorders>
            <w:shd w:val="clear" w:color="000000" w:fill="FFFFFF"/>
            <w:vAlign w:val="center"/>
            <w:hideMark/>
          </w:tcPr>
          <w:p w14:paraId="6178003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 evidence that OCPs are associated with development of depressive disorders.</w:t>
            </w:r>
          </w:p>
        </w:tc>
        <w:tc>
          <w:tcPr>
            <w:tcW w:w="372" w:type="pct"/>
            <w:tcBorders>
              <w:top w:val="nil"/>
              <w:left w:val="nil"/>
              <w:bottom w:val="single" w:sz="4" w:space="0" w:color="auto"/>
              <w:right w:val="single" w:sz="4" w:space="0" w:color="auto"/>
            </w:tcBorders>
            <w:shd w:val="clear" w:color="000000" w:fill="FFFFFF"/>
            <w:vAlign w:val="center"/>
            <w:hideMark/>
          </w:tcPr>
          <w:p w14:paraId="53ACF7C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2DA95C5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Depressive disorders were assessed using the World Health Organization Composite International Diagnostic Interview (CIDI)</w:t>
            </w:r>
          </w:p>
        </w:tc>
        <w:tc>
          <w:tcPr>
            <w:tcW w:w="423" w:type="pct"/>
            <w:tcBorders>
              <w:top w:val="nil"/>
              <w:left w:val="nil"/>
              <w:bottom w:val="single" w:sz="4" w:space="0" w:color="auto"/>
              <w:right w:val="single" w:sz="4" w:space="0" w:color="auto"/>
            </w:tcBorders>
            <w:shd w:val="clear" w:color="000000" w:fill="FFFFFF"/>
            <w:vAlign w:val="center"/>
            <w:hideMark/>
          </w:tcPr>
          <w:p w14:paraId="5547418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29AAABE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No evidence of an association between using OCPs (current or ever use) and lifetime or current depressive disorders in our fully adjusted models (for lifetime: adjusted OR for ever users = 1.10, 95% CI 0.88-1.37; for current: adjust</w:t>
            </w:r>
            <w:r w:rsidRPr="006E1C09">
              <w:rPr>
                <w:rFonts w:ascii="Times New Roman" w:eastAsia="Times New Roman" w:hAnsi="Times New Roman" w:cs="Times New Roman"/>
                <w:kern w:val="0"/>
                <w:sz w:val="24"/>
                <w:szCs w:val="24"/>
                <w:lang w:val="en-CA" w:eastAsia="en-CA"/>
                <w14:ligatures w14:val="none"/>
              </w:rPr>
              <w:lastRenderedPageBreak/>
              <w:t>ed OR for current users = 1.00, 95% CI 0.77-1.29).</w:t>
            </w:r>
            <w:r w:rsidRPr="006E1C09">
              <w:rPr>
                <w:rFonts w:ascii="Times New Roman" w:eastAsia="Times New Roman" w:hAnsi="Times New Roman" w:cs="Times New Roman"/>
                <w:kern w:val="0"/>
                <w:sz w:val="24"/>
                <w:szCs w:val="24"/>
                <w:lang w:val="en-CA" w:eastAsia="en-CA"/>
                <w14:ligatures w14:val="none"/>
              </w:rPr>
              <w:br/>
              <w:t xml:space="preserve">• In all adjusted models, we found no effect of OCP use on depression. </w:t>
            </w:r>
            <w:r w:rsidRPr="006E1C09">
              <w:rPr>
                <w:rFonts w:ascii="Times New Roman" w:eastAsia="Times New Roman" w:hAnsi="Times New Roman" w:cs="Times New Roman"/>
                <w:kern w:val="0"/>
                <w:sz w:val="24"/>
                <w:szCs w:val="24"/>
                <w:lang w:val="en-CA" w:eastAsia="en-CA"/>
                <w14:ligatures w14:val="none"/>
              </w:rPr>
              <w:br/>
              <w:t>• Among sexually active users, the direction of effect was slightly negative but insignificant (for lifetime: adjust</w:t>
            </w:r>
            <w:r w:rsidRPr="006E1C09">
              <w:rPr>
                <w:rFonts w:ascii="Times New Roman" w:eastAsia="Times New Roman" w:hAnsi="Times New Roman" w:cs="Times New Roman"/>
                <w:kern w:val="0"/>
                <w:sz w:val="24"/>
                <w:szCs w:val="24"/>
                <w:lang w:val="en-CA" w:eastAsia="en-CA"/>
                <w14:ligatures w14:val="none"/>
              </w:rPr>
              <w:lastRenderedPageBreak/>
              <w:t>ed OR for ever users = 0.89, 95% CI 0.65-1.23; for current, adjusted OR for current users = 0.70, 95% CI 0.38-1.30).</w:t>
            </w:r>
            <w:r w:rsidRPr="006E1C09">
              <w:rPr>
                <w:rFonts w:ascii="Times New Roman" w:eastAsia="Times New Roman" w:hAnsi="Times New Roman" w:cs="Times New Roman"/>
                <w:kern w:val="0"/>
                <w:sz w:val="24"/>
                <w:szCs w:val="24"/>
                <w:lang w:val="en-CA" w:eastAsia="en-CA"/>
                <w14:ligatures w14:val="none"/>
              </w:rPr>
              <w:br/>
              <w:t>• Among those who were not sexually active, the unadjusted and adjusted associations were slightly positi</w:t>
            </w:r>
            <w:r w:rsidRPr="006E1C09">
              <w:rPr>
                <w:rFonts w:ascii="Times New Roman" w:eastAsia="Times New Roman" w:hAnsi="Times New Roman" w:cs="Times New Roman"/>
                <w:kern w:val="0"/>
                <w:sz w:val="24"/>
                <w:szCs w:val="24"/>
                <w:lang w:val="en-CA" w:eastAsia="en-CA"/>
                <w14:ligatures w14:val="none"/>
              </w:rPr>
              <w:lastRenderedPageBreak/>
              <w:t>ve in the direction of effect but were all also consistently null.</w:t>
            </w:r>
          </w:p>
        </w:tc>
      </w:tr>
      <w:tr w:rsidR="006E1C09" w:rsidRPr="00F87E76" w14:paraId="15A8CB55" w14:textId="77777777" w:rsidTr="006E1C09">
        <w:trPr>
          <w:trHeight w:val="1575"/>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69DD5E76"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Al-Deresawi, T. S. and A. A. Habeeb (2020)</w:t>
            </w:r>
          </w:p>
        </w:tc>
        <w:tc>
          <w:tcPr>
            <w:tcW w:w="298" w:type="pct"/>
            <w:tcBorders>
              <w:top w:val="nil"/>
              <w:left w:val="nil"/>
              <w:bottom w:val="single" w:sz="4" w:space="0" w:color="auto"/>
              <w:right w:val="single" w:sz="4" w:space="0" w:color="auto"/>
            </w:tcBorders>
            <w:shd w:val="clear" w:color="000000" w:fill="FFFFFF"/>
            <w:vAlign w:val="center"/>
            <w:hideMark/>
          </w:tcPr>
          <w:p w14:paraId="6C7DB9A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31 women ranging from 21-42 years </w:t>
            </w:r>
          </w:p>
        </w:tc>
        <w:tc>
          <w:tcPr>
            <w:tcW w:w="576" w:type="pct"/>
            <w:tcBorders>
              <w:top w:val="nil"/>
              <w:left w:val="nil"/>
              <w:bottom w:val="single" w:sz="4" w:space="0" w:color="auto"/>
              <w:right w:val="single" w:sz="4" w:space="0" w:color="auto"/>
            </w:tcBorders>
            <w:shd w:val="clear" w:color="000000" w:fill="FFFFFF"/>
            <w:vAlign w:val="center"/>
            <w:hideMark/>
          </w:tcPr>
          <w:p w14:paraId="2E47D48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Cross-sectional study </w:t>
            </w:r>
          </w:p>
        </w:tc>
        <w:tc>
          <w:tcPr>
            <w:tcW w:w="487" w:type="pct"/>
            <w:tcBorders>
              <w:top w:val="nil"/>
              <w:left w:val="nil"/>
              <w:bottom w:val="single" w:sz="4" w:space="0" w:color="auto"/>
              <w:right w:val="single" w:sz="4" w:space="0" w:color="auto"/>
            </w:tcBorders>
            <w:shd w:val="clear" w:color="000000" w:fill="FFFFFF"/>
            <w:vAlign w:val="center"/>
            <w:hideMark/>
          </w:tcPr>
          <w:p w14:paraId="14B1BE0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identify and evaluate the side effects associated with the use of oral contraceptive pills, specifically the generics Yasmin and Microgynon</w:t>
            </w:r>
          </w:p>
        </w:tc>
        <w:tc>
          <w:tcPr>
            <w:tcW w:w="533" w:type="pct"/>
            <w:tcBorders>
              <w:top w:val="nil"/>
              <w:left w:val="nil"/>
              <w:bottom w:val="single" w:sz="4" w:space="0" w:color="auto"/>
              <w:right w:val="single" w:sz="4" w:space="0" w:color="auto"/>
            </w:tcBorders>
            <w:shd w:val="clear" w:color="000000" w:fill="FFFFFF"/>
            <w:vAlign w:val="center"/>
            <w:hideMark/>
          </w:tcPr>
          <w:p w14:paraId="01D3CAB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Monophasic oral contraceptive pills (Yasmin and Microgynon)</w:t>
            </w:r>
          </w:p>
        </w:tc>
        <w:tc>
          <w:tcPr>
            <w:tcW w:w="346" w:type="pct"/>
            <w:tcBorders>
              <w:top w:val="nil"/>
              <w:left w:val="nil"/>
              <w:bottom w:val="single" w:sz="4" w:space="0" w:color="auto"/>
              <w:right w:val="single" w:sz="4" w:space="0" w:color="auto"/>
            </w:tcBorders>
            <w:shd w:val="clear" w:color="000000" w:fill="FFFFFF"/>
            <w:vAlign w:val="center"/>
            <w:hideMark/>
          </w:tcPr>
          <w:p w14:paraId="3515975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From 6 months to 3 years</w:t>
            </w:r>
          </w:p>
        </w:tc>
        <w:tc>
          <w:tcPr>
            <w:tcW w:w="484" w:type="pct"/>
            <w:tcBorders>
              <w:top w:val="nil"/>
              <w:left w:val="nil"/>
              <w:bottom w:val="single" w:sz="4" w:space="0" w:color="auto"/>
              <w:right w:val="single" w:sz="4" w:space="0" w:color="auto"/>
            </w:tcBorders>
            <w:shd w:val="clear" w:color="000000" w:fill="FFFFFF"/>
            <w:vAlign w:val="center"/>
            <w:hideMark/>
          </w:tcPr>
          <w:p w14:paraId="185BC6E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12% of women reported depression as a side effect</w:t>
            </w:r>
          </w:p>
        </w:tc>
        <w:tc>
          <w:tcPr>
            <w:tcW w:w="372" w:type="pct"/>
            <w:tcBorders>
              <w:top w:val="nil"/>
              <w:left w:val="nil"/>
              <w:bottom w:val="single" w:sz="4" w:space="0" w:color="auto"/>
              <w:right w:val="single" w:sz="4" w:space="0" w:color="auto"/>
            </w:tcBorders>
            <w:shd w:val="clear" w:color="000000" w:fill="FFFFFF"/>
            <w:vAlign w:val="center"/>
            <w:hideMark/>
          </w:tcPr>
          <w:p w14:paraId="13EAD57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330C745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423" w:type="pct"/>
            <w:tcBorders>
              <w:top w:val="nil"/>
              <w:left w:val="nil"/>
              <w:bottom w:val="single" w:sz="4" w:space="0" w:color="auto"/>
              <w:right w:val="single" w:sz="4" w:space="0" w:color="auto"/>
            </w:tcBorders>
            <w:shd w:val="clear" w:color="000000" w:fill="FFFFFF"/>
            <w:vAlign w:val="center"/>
            <w:hideMark/>
          </w:tcPr>
          <w:p w14:paraId="7FD7672B"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059DE6B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Side effects of emotional changes (31%), headache and nausea (14%), depression (12%), hormonal disorder (20%), heavy vaginal bleeding between period </w:t>
            </w:r>
            <w:r w:rsidRPr="006E1C09">
              <w:rPr>
                <w:rFonts w:ascii="Times New Roman" w:eastAsia="Times New Roman" w:hAnsi="Times New Roman" w:cs="Times New Roman"/>
                <w:kern w:val="0"/>
                <w:sz w:val="24"/>
                <w:szCs w:val="24"/>
                <w:lang w:val="en-CA" w:eastAsia="en-CA"/>
                <w14:ligatures w14:val="none"/>
              </w:rPr>
              <w:lastRenderedPageBreak/>
              <w:t>(9%), and overweight (14%).</w:t>
            </w:r>
          </w:p>
        </w:tc>
      </w:tr>
      <w:tr w:rsidR="006E1C09" w:rsidRPr="00F87E76" w14:paraId="687292D6" w14:textId="77777777" w:rsidTr="006E1C09">
        <w:trPr>
          <w:trHeight w:val="315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78D2EFC"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t>de Wit et al., 2020</w:t>
            </w:r>
          </w:p>
        </w:tc>
        <w:tc>
          <w:tcPr>
            <w:tcW w:w="298" w:type="pct"/>
            <w:tcBorders>
              <w:top w:val="nil"/>
              <w:left w:val="nil"/>
              <w:bottom w:val="single" w:sz="4" w:space="0" w:color="auto"/>
              <w:right w:val="single" w:sz="4" w:space="0" w:color="auto"/>
            </w:tcBorders>
            <w:shd w:val="clear" w:color="000000" w:fill="FFFFFF"/>
            <w:vAlign w:val="center"/>
            <w:hideMark/>
          </w:tcPr>
          <w:p w14:paraId="4E50286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from 743 to 903 women ranging from 16-25 years</w:t>
            </w:r>
          </w:p>
        </w:tc>
        <w:tc>
          <w:tcPr>
            <w:tcW w:w="576" w:type="pct"/>
            <w:tcBorders>
              <w:top w:val="nil"/>
              <w:left w:val="nil"/>
              <w:bottom w:val="single" w:sz="4" w:space="0" w:color="auto"/>
              <w:right w:val="single" w:sz="4" w:space="0" w:color="auto"/>
            </w:tcBorders>
            <w:shd w:val="clear" w:color="000000" w:fill="FFFFFF"/>
            <w:vAlign w:val="center"/>
            <w:hideMark/>
          </w:tcPr>
          <w:p w14:paraId="7429D8DE"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Prospective cohort study using data from the Dutch population survey TRAILS (Tracking Adolescents' Individual Lives Survey)</w:t>
            </w:r>
          </w:p>
        </w:tc>
        <w:tc>
          <w:tcPr>
            <w:tcW w:w="487" w:type="pct"/>
            <w:tcBorders>
              <w:top w:val="nil"/>
              <w:left w:val="nil"/>
              <w:bottom w:val="single" w:sz="4" w:space="0" w:color="auto"/>
              <w:right w:val="single" w:sz="4" w:space="0" w:color="auto"/>
            </w:tcBorders>
            <w:shd w:val="clear" w:color="000000" w:fill="FFFFFF"/>
            <w:vAlign w:val="center"/>
            <w:hideMark/>
          </w:tcPr>
          <w:p w14:paraId="0471AF5E" w14:textId="0767B53D"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examine the associations between OCP use and concurrent depressive symptoms, test whether these associations are affected by adolescence, and determine which particular symptoms</w:t>
            </w:r>
            <w:r w:rsidR="000C3CAF">
              <w:rPr>
                <w:rFonts w:ascii="Times New Roman" w:eastAsia="Times New Roman" w:hAnsi="Times New Roman" w:cs="Times New Roman"/>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if any</w:t>
            </w:r>
            <w:r w:rsidR="000C3CAF">
              <w:rPr>
                <w:rFonts w:ascii="Times New Roman" w:eastAsia="Times New Roman" w:hAnsi="Times New Roman" w:cs="Times New Roman"/>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lastRenderedPageBreak/>
              <w:t>are associated with OCP use.</w:t>
            </w:r>
          </w:p>
        </w:tc>
        <w:tc>
          <w:tcPr>
            <w:tcW w:w="533" w:type="pct"/>
            <w:tcBorders>
              <w:top w:val="nil"/>
              <w:left w:val="nil"/>
              <w:bottom w:val="single" w:sz="4" w:space="0" w:color="auto"/>
              <w:right w:val="single" w:sz="4" w:space="0" w:color="auto"/>
            </w:tcBorders>
            <w:shd w:val="clear" w:color="000000" w:fill="FFFFFF"/>
            <w:vAlign w:val="center"/>
            <w:hideMark/>
          </w:tcPr>
          <w:p w14:paraId="1861603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 pills</w:t>
            </w:r>
          </w:p>
        </w:tc>
        <w:tc>
          <w:tcPr>
            <w:tcW w:w="346" w:type="pct"/>
            <w:tcBorders>
              <w:top w:val="nil"/>
              <w:left w:val="nil"/>
              <w:bottom w:val="single" w:sz="4" w:space="0" w:color="auto"/>
              <w:right w:val="single" w:sz="4" w:space="0" w:color="auto"/>
            </w:tcBorders>
            <w:shd w:val="clear" w:color="000000" w:fill="FFFFFF"/>
            <w:vAlign w:val="center"/>
            <w:hideMark/>
          </w:tcPr>
          <w:p w14:paraId="6AB5319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9 years, with assessments at ages 16, 19, 22, and 25 years</w:t>
            </w:r>
          </w:p>
        </w:tc>
        <w:tc>
          <w:tcPr>
            <w:tcW w:w="484" w:type="pct"/>
            <w:tcBorders>
              <w:top w:val="nil"/>
              <w:left w:val="nil"/>
              <w:bottom w:val="single" w:sz="4" w:space="0" w:color="auto"/>
              <w:right w:val="single" w:sz="4" w:space="0" w:color="auto"/>
            </w:tcBorders>
            <w:shd w:val="clear" w:color="000000" w:fill="FFFFFF"/>
            <w:vAlign w:val="center"/>
            <w:hideMark/>
          </w:tcPr>
          <w:p w14:paraId="443C414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 pill (OCP) use was not associated with significantly higher depressive symptoms overall. However, age played a significant role, with 16-year-old girls who used OCPs showi</w:t>
            </w:r>
            <w:r w:rsidRPr="006E1C09">
              <w:rPr>
                <w:rFonts w:ascii="Times New Roman" w:eastAsia="Times New Roman" w:hAnsi="Times New Roman" w:cs="Times New Roman"/>
                <w:kern w:val="0"/>
                <w:sz w:val="24"/>
                <w:szCs w:val="24"/>
                <w:lang w:val="en-CA" w:eastAsia="en-CA"/>
                <w14:ligatures w14:val="none"/>
              </w:rPr>
              <w:lastRenderedPageBreak/>
              <w:t>ng higher depressive symptoms compared to nonusers</w:t>
            </w:r>
          </w:p>
        </w:tc>
        <w:tc>
          <w:tcPr>
            <w:tcW w:w="372" w:type="pct"/>
            <w:tcBorders>
              <w:top w:val="nil"/>
              <w:left w:val="nil"/>
              <w:bottom w:val="single" w:sz="4" w:space="0" w:color="auto"/>
              <w:right w:val="single" w:sz="4" w:space="0" w:color="auto"/>
            </w:tcBorders>
            <w:shd w:val="clear" w:color="000000" w:fill="FFFFFF"/>
            <w:vAlign w:val="center"/>
            <w:hideMark/>
          </w:tcPr>
          <w:p w14:paraId="56A0147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563DAF0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Depressive symptom scores at age 16 years were assessed with the DSM-IV–oriented affective problems scale of the Youth Self-Report. At ages 19, 22,and 25 years, depressive symptoms were assessed with the affective </w:t>
            </w:r>
            <w:r w:rsidRPr="006E1C09">
              <w:rPr>
                <w:rFonts w:ascii="Times New Roman" w:eastAsia="Times New Roman" w:hAnsi="Times New Roman" w:cs="Times New Roman"/>
                <w:kern w:val="0"/>
                <w:sz w:val="24"/>
                <w:szCs w:val="24"/>
                <w:lang w:val="en-CA" w:eastAsia="en-CA"/>
                <w14:ligatures w14:val="none"/>
              </w:rPr>
              <w:lastRenderedPageBreak/>
              <w:t>problems scale of the Adult Self-Report.</w:t>
            </w:r>
          </w:p>
        </w:tc>
        <w:tc>
          <w:tcPr>
            <w:tcW w:w="423" w:type="pct"/>
            <w:tcBorders>
              <w:top w:val="nil"/>
              <w:left w:val="nil"/>
              <w:bottom w:val="single" w:sz="4" w:space="0" w:color="auto"/>
              <w:right w:val="single" w:sz="4" w:space="0" w:color="auto"/>
            </w:tcBorders>
            <w:shd w:val="clear" w:color="000000" w:fill="FFFFFF"/>
            <w:vAlign w:val="center"/>
            <w:hideMark/>
          </w:tcPr>
          <w:p w14:paraId="1770C0A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5B9B1B4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For the cohort as a whole, OCP use was not associated with higher adjusted mean scores on depressive symptoms (β coefficient, 0.006; 95%CI, –0.013 to 0.025; P = .52)</w:t>
            </w:r>
            <w:r w:rsidRPr="006E1C09">
              <w:rPr>
                <w:rFonts w:ascii="Times New Roman" w:eastAsia="Times New Roman" w:hAnsi="Times New Roman" w:cs="Times New Roman"/>
                <w:kern w:val="0"/>
                <w:sz w:val="24"/>
                <w:szCs w:val="24"/>
                <w:lang w:val="en-CA" w:eastAsia="en-CA"/>
                <w14:ligatures w14:val="none"/>
              </w:rPr>
              <w:br/>
              <w:t xml:space="preserve">• Age significantly affected the association </w:t>
            </w:r>
            <w:r w:rsidRPr="006E1C09">
              <w:rPr>
                <w:rFonts w:ascii="Times New Roman" w:eastAsia="Times New Roman" w:hAnsi="Times New Roman" w:cs="Times New Roman"/>
                <w:kern w:val="0"/>
                <w:sz w:val="24"/>
                <w:szCs w:val="24"/>
                <w:lang w:val="en-CA" w:eastAsia="en-CA"/>
                <w14:ligatures w14:val="none"/>
              </w:rPr>
              <w:lastRenderedPageBreak/>
              <w:t>(β coefficient for age × OCP use, –0.021; 95% CI, –0.038 to –0.005; P = .0096); this association was driven by differences in 16-year-old girls. At this age, girls who used OCP had higher concurrent depressive symptom scores than their nonus</w:t>
            </w:r>
            <w:r w:rsidRPr="006E1C09">
              <w:rPr>
                <w:rFonts w:ascii="Times New Roman" w:eastAsia="Times New Roman" w:hAnsi="Times New Roman" w:cs="Times New Roman"/>
                <w:kern w:val="0"/>
                <w:sz w:val="24"/>
                <w:szCs w:val="24"/>
                <w:lang w:val="en-CA" w:eastAsia="en-CA"/>
                <w14:ligatures w14:val="none"/>
              </w:rPr>
              <w:lastRenderedPageBreak/>
              <w:t xml:space="preserve">ing counterparts (mean [SD] score,0.40 [0.30] vs 0.33 [0.30]; β coefficient, 0.075; 95% CI, 0.033-0.120; P &lt; .001). </w:t>
            </w:r>
            <w:r w:rsidRPr="006E1C09">
              <w:rPr>
                <w:rFonts w:ascii="Times New Roman" w:eastAsia="Times New Roman" w:hAnsi="Times New Roman" w:cs="Times New Roman"/>
                <w:kern w:val="0"/>
                <w:sz w:val="24"/>
                <w:szCs w:val="24"/>
                <w:lang w:val="en-CA" w:eastAsia="en-CA"/>
                <w14:ligatures w14:val="none"/>
              </w:rPr>
              <w:br/>
              <w:t xml:space="preserve">• Use of OCPs was associated with more crying (odds ratio, 1.89; 95% CI, 1.38-2.58; P &lt; .001), eating problems (odds ratio, 1.54; </w:t>
            </w:r>
            <w:r w:rsidRPr="006E1C09">
              <w:rPr>
                <w:rFonts w:ascii="Times New Roman" w:eastAsia="Times New Roman" w:hAnsi="Times New Roman" w:cs="Times New Roman"/>
                <w:kern w:val="0"/>
                <w:sz w:val="24"/>
                <w:szCs w:val="24"/>
                <w:lang w:val="en-CA" w:eastAsia="en-CA"/>
                <w14:ligatures w14:val="none"/>
              </w:rPr>
              <w:lastRenderedPageBreak/>
              <w:t>95%CI, 1.13-2.10; P = .009), and hypersomnia (odds ratio, 1.68; 95%CI, 1.14-2.48; P = .006) compared with nonusers (for 16 year-olds)</w:t>
            </w:r>
          </w:p>
        </w:tc>
      </w:tr>
      <w:tr w:rsidR="006E1C09" w:rsidRPr="00F87E76" w14:paraId="42124685"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E781B59"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Drake et al., 2020</w:t>
            </w:r>
          </w:p>
        </w:tc>
        <w:tc>
          <w:tcPr>
            <w:tcW w:w="298" w:type="pct"/>
            <w:tcBorders>
              <w:top w:val="nil"/>
              <w:left w:val="nil"/>
              <w:bottom w:val="single" w:sz="4" w:space="0" w:color="auto"/>
              <w:right w:val="single" w:sz="4" w:space="0" w:color="auto"/>
            </w:tcBorders>
            <w:shd w:val="clear" w:color="000000" w:fill="FFFFFF"/>
            <w:vAlign w:val="center"/>
            <w:hideMark/>
          </w:tcPr>
          <w:p w14:paraId="30BDE59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497 women ranging from 13-22 years </w:t>
            </w:r>
          </w:p>
        </w:tc>
        <w:tc>
          <w:tcPr>
            <w:tcW w:w="576" w:type="pct"/>
            <w:tcBorders>
              <w:top w:val="nil"/>
              <w:left w:val="nil"/>
              <w:bottom w:val="single" w:sz="4" w:space="0" w:color="auto"/>
              <w:right w:val="single" w:sz="4" w:space="0" w:color="auto"/>
            </w:tcBorders>
            <w:shd w:val="clear" w:color="000000" w:fill="FFFFFF"/>
            <w:vAlign w:val="center"/>
            <w:hideMark/>
          </w:tcPr>
          <w:p w14:paraId="001ED8C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Retrospective observational study</w:t>
            </w:r>
          </w:p>
        </w:tc>
        <w:tc>
          <w:tcPr>
            <w:tcW w:w="487" w:type="pct"/>
            <w:tcBorders>
              <w:top w:val="nil"/>
              <w:left w:val="nil"/>
              <w:bottom w:val="single" w:sz="4" w:space="0" w:color="auto"/>
              <w:right w:val="single" w:sz="4" w:space="0" w:color="auto"/>
            </w:tcBorders>
            <w:shd w:val="clear" w:color="000000" w:fill="FFFFFF"/>
            <w:vAlign w:val="center"/>
            <w:hideMark/>
          </w:tcPr>
          <w:p w14:paraId="3A6E55B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examine the relationship between immediate postpartum implants and positive </w:t>
            </w:r>
            <w:r w:rsidRPr="006E1C09">
              <w:rPr>
                <w:rFonts w:ascii="Times New Roman" w:eastAsia="Times New Roman" w:hAnsi="Times New Roman" w:cs="Times New Roman"/>
                <w:kern w:val="0"/>
                <w:sz w:val="24"/>
                <w:szCs w:val="24"/>
                <w:lang w:val="en-CA" w:eastAsia="en-CA"/>
                <w14:ligatures w14:val="none"/>
              </w:rPr>
              <w:lastRenderedPageBreak/>
              <w:t>postpartum depression screens.</w:t>
            </w:r>
          </w:p>
        </w:tc>
        <w:tc>
          <w:tcPr>
            <w:tcW w:w="533" w:type="pct"/>
            <w:tcBorders>
              <w:top w:val="nil"/>
              <w:left w:val="nil"/>
              <w:bottom w:val="single" w:sz="4" w:space="0" w:color="auto"/>
              <w:right w:val="single" w:sz="4" w:space="0" w:color="auto"/>
            </w:tcBorders>
            <w:shd w:val="clear" w:color="000000" w:fill="FFFFFF"/>
            <w:hideMark/>
          </w:tcPr>
          <w:p w14:paraId="35DAC25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Subdermal etonogestrel (ENG) implant, received within 14 days of delivery. Contr</w:t>
            </w:r>
            <w:r w:rsidRPr="006E1C09">
              <w:rPr>
                <w:rFonts w:ascii="Times New Roman" w:eastAsia="Times New Roman" w:hAnsi="Times New Roman" w:cs="Times New Roman"/>
                <w:kern w:val="0"/>
                <w:sz w:val="24"/>
                <w:szCs w:val="24"/>
                <w:lang w:val="en-CA" w:eastAsia="en-CA"/>
                <w14:ligatures w14:val="none"/>
              </w:rPr>
              <w:lastRenderedPageBreak/>
              <w:t>ol group : Copper IUD, levonorgestrel (LNG) IUD, progrestin-only pills (POP), depo-medoxyprogesterone acetate subdermal injection (DMPA) or no contraception.</w:t>
            </w:r>
          </w:p>
        </w:tc>
        <w:tc>
          <w:tcPr>
            <w:tcW w:w="346" w:type="pct"/>
            <w:tcBorders>
              <w:top w:val="nil"/>
              <w:left w:val="nil"/>
              <w:bottom w:val="single" w:sz="4" w:space="0" w:color="auto"/>
              <w:right w:val="single" w:sz="4" w:space="0" w:color="auto"/>
            </w:tcBorders>
            <w:shd w:val="clear" w:color="000000" w:fill="FFFFFF"/>
            <w:vAlign w:val="center"/>
            <w:hideMark/>
          </w:tcPr>
          <w:p w14:paraId="245D832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Contraception initiated within 14 days of delivery. Data fro</w:t>
            </w:r>
            <w:r w:rsidRPr="006E1C09">
              <w:rPr>
                <w:rFonts w:ascii="Times New Roman" w:eastAsia="Times New Roman" w:hAnsi="Times New Roman" w:cs="Times New Roman"/>
                <w:kern w:val="0"/>
                <w:sz w:val="24"/>
                <w:szCs w:val="24"/>
                <w:lang w:val="en-CA" w:eastAsia="en-CA"/>
                <w14:ligatures w14:val="none"/>
              </w:rPr>
              <w:lastRenderedPageBreak/>
              <w:t>m January 2013 to December 2016 extracted.</w:t>
            </w:r>
          </w:p>
        </w:tc>
        <w:tc>
          <w:tcPr>
            <w:tcW w:w="484" w:type="pct"/>
            <w:tcBorders>
              <w:top w:val="nil"/>
              <w:left w:val="nil"/>
              <w:bottom w:val="single" w:sz="4" w:space="0" w:color="auto"/>
              <w:right w:val="single" w:sz="4" w:space="0" w:color="auto"/>
            </w:tcBorders>
            <w:shd w:val="clear" w:color="000000" w:fill="FFFFFF"/>
            <w:vAlign w:val="center"/>
            <w:hideMark/>
          </w:tcPr>
          <w:p w14:paraId="327E48D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Initiation of the implant within 14 days postpartum resulted in significantly lower rates of </w:t>
            </w:r>
            <w:r w:rsidRPr="006E1C09">
              <w:rPr>
                <w:rFonts w:ascii="Times New Roman" w:eastAsia="Times New Roman" w:hAnsi="Times New Roman" w:cs="Times New Roman"/>
                <w:kern w:val="0"/>
                <w:sz w:val="24"/>
                <w:szCs w:val="24"/>
                <w:lang w:val="en-CA" w:eastAsia="en-CA"/>
                <w14:ligatures w14:val="none"/>
              </w:rPr>
              <w:lastRenderedPageBreak/>
              <w:t>positive postpartum depression screen results compared to women who initiated any other form of contraception, including no contraception.</w:t>
            </w:r>
          </w:p>
        </w:tc>
        <w:tc>
          <w:tcPr>
            <w:tcW w:w="372" w:type="pct"/>
            <w:tcBorders>
              <w:top w:val="nil"/>
              <w:left w:val="nil"/>
              <w:bottom w:val="single" w:sz="4" w:space="0" w:color="auto"/>
              <w:right w:val="single" w:sz="4" w:space="0" w:color="auto"/>
            </w:tcBorders>
            <w:shd w:val="clear" w:color="000000" w:fill="FFFFFF"/>
            <w:vAlign w:val="center"/>
            <w:hideMark/>
          </w:tcPr>
          <w:p w14:paraId="31BC29E2"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1A9F802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Postpartum depression, tool : Edinburgh Postpartum Depression Scale (EPDS) with a score ≥10 indicating a </w:t>
            </w:r>
            <w:r w:rsidRPr="006E1C09">
              <w:rPr>
                <w:rFonts w:ascii="Times New Roman" w:eastAsia="Times New Roman" w:hAnsi="Times New Roman" w:cs="Times New Roman"/>
                <w:kern w:val="0"/>
                <w:sz w:val="24"/>
                <w:szCs w:val="24"/>
                <w:lang w:val="en-CA" w:eastAsia="en-CA"/>
                <w14:ligatures w14:val="none"/>
              </w:rPr>
              <w:lastRenderedPageBreak/>
              <w:t>positive screen. Prenatally : CES-D (Center for Epidemiologic Studies Depression Scale)</w:t>
            </w:r>
          </w:p>
        </w:tc>
        <w:tc>
          <w:tcPr>
            <w:tcW w:w="423" w:type="pct"/>
            <w:tcBorders>
              <w:top w:val="nil"/>
              <w:left w:val="nil"/>
              <w:bottom w:val="single" w:sz="4" w:space="0" w:color="auto"/>
              <w:right w:val="single" w:sz="4" w:space="0" w:color="auto"/>
            </w:tcBorders>
            <w:shd w:val="clear" w:color="000000" w:fill="FFFFFF"/>
            <w:vAlign w:val="center"/>
            <w:hideMark/>
          </w:tcPr>
          <w:p w14:paraId="7404CCE2"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14.0% had a positive antenatal (CES-D) depression score.</w:t>
            </w:r>
          </w:p>
        </w:tc>
        <w:tc>
          <w:tcPr>
            <w:tcW w:w="538" w:type="pct"/>
            <w:tcBorders>
              <w:top w:val="single" w:sz="4" w:space="0" w:color="auto"/>
              <w:left w:val="nil"/>
              <w:bottom w:val="single" w:sz="4" w:space="0" w:color="auto"/>
              <w:right w:val="single" w:sz="4" w:space="0" w:color="auto"/>
            </w:tcBorders>
            <w:shd w:val="clear" w:color="000000" w:fill="FFFFFF"/>
            <w:hideMark/>
          </w:tcPr>
          <w:p w14:paraId="7734DD1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Overall, 7.6% of participants had a positive postpartum depression screen result at 6 weeks</w:t>
            </w:r>
            <w:r w:rsidRPr="006E1C09">
              <w:rPr>
                <w:rFonts w:ascii="Times New Roman" w:eastAsia="Times New Roman" w:hAnsi="Times New Roman" w:cs="Times New Roman"/>
                <w:kern w:val="0"/>
                <w:sz w:val="24"/>
                <w:szCs w:val="24"/>
                <w:lang w:val="en-CA" w:eastAsia="en-CA"/>
                <w14:ligatures w14:val="none"/>
              </w:rPr>
              <w:lastRenderedPageBreak/>
              <w:t xml:space="preserve">. </w:t>
            </w:r>
            <w:r w:rsidRPr="006E1C09">
              <w:rPr>
                <w:rFonts w:ascii="Times New Roman" w:eastAsia="Times New Roman" w:hAnsi="Times New Roman" w:cs="Times New Roman"/>
                <w:kern w:val="0"/>
                <w:sz w:val="24"/>
                <w:szCs w:val="24"/>
                <w:lang w:val="en-CA" w:eastAsia="en-CA"/>
                <w14:ligatures w14:val="none"/>
              </w:rPr>
              <w:br/>
              <w:t>• Women choosing immediate postpartum implants were less likely to have a positive screen when compared to women choosing any other contraceptive method in the immediate postpartum period, including no contraceptiv</w:t>
            </w:r>
            <w:r w:rsidRPr="006E1C09">
              <w:rPr>
                <w:rFonts w:ascii="Times New Roman" w:eastAsia="Times New Roman" w:hAnsi="Times New Roman" w:cs="Times New Roman"/>
                <w:kern w:val="0"/>
                <w:sz w:val="24"/>
                <w:szCs w:val="24"/>
                <w:lang w:val="en-CA" w:eastAsia="en-CA"/>
                <w14:ligatures w14:val="none"/>
              </w:rPr>
              <w:lastRenderedPageBreak/>
              <w:t xml:space="preserve">e method (4.1% vs 9.5; P = 0.04). </w:t>
            </w:r>
            <w:r w:rsidRPr="006E1C09">
              <w:rPr>
                <w:rFonts w:ascii="Times New Roman" w:eastAsia="Times New Roman" w:hAnsi="Times New Roman" w:cs="Times New Roman"/>
                <w:kern w:val="0"/>
                <w:sz w:val="24"/>
                <w:szCs w:val="24"/>
                <w:lang w:val="en-CA" w:eastAsia="en-CA"/>
                <w14:ligatures w14:val="none"/>
              </w:rPr>
              <w:br/>
              <w:t xml:space="preserve">• In subgroup analysis, there was no significant difference in rates of 6-week EDPS ≥10 between the following groups: ENG implant, other systemic progestin only methods (DMPA and POP), </w:t>
            </w:r>
            <w:r w:rsidRPr="006E1C09">
              <w:rPr>
                <w:rFonts w:ascii="Times New Roman" w:eastAsia="Times New Roman" w:hAnsi="Times New Roman" w:cs="Times New Roman"/>
                <w:kern w:val="0"/>
                <w:sz w:val="24"/>
                <w:szCs w:val="24"/>
                <w:lang w:val="en-CA" w:eastAsia="en-CA"/>
                <w14:ligatures w14:val="none"/>
              </w:rPr>
              <w:lastRenderedPageBreak/>
              <w:t>LNG IUD, and nonhormonal methods (no prescribed method and CU-IUD) (P =0.08)</w:t>
            </w:r>
          </w:p>
        </w:tc>
      </w:tr>
      <w:tr w:rsidR="006E1C09" w:rsidRPr="00F87E76" w14:paraId="3A142580" w14:textId="77777777" w:rsidTr="006E1C09">
        <w:trPr>
          <w:trHeight w:val="409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522838B4"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Lewandowski et al., 2020</w:t>
            </w:r>
          </w:p>
        </w:tc>
        <w:tc>
          <w:tcPr>
            <w:tcW w:w="298" w:type="pct"/>
            <w:tcBorders>
              <w:top w:val="nil"/>
              <w:left w:val="nil"/>
              <w:bottom w:val="single" w:sz="4" w:space="0" w:color="auto"/>
              <w:right w:val="single" w:sz="4" w:space="0" w:color="auto"/>
            </w:tcBorders>
            <w:shd w:val="clear" w:color="000000" w:fill="FFFFFF"/>
            <w:vAlign w:val="center"/>
            <w:hideMark/>
          </w:tcPr>
          <w:p w14:paraId="6C1429C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1 695 girls ranging from 15-17 years</w:t>
            </w:r>
          </w:p>
        </w:tc>
        <w:tc>
          <w:tcPr>
            <w:tcW w:w="576" w:type="pct"/>
            <w:tcBorders>
              <w:top w:val="nil"/>
              <w:left w:val="nil"/>
              <w:bottom w:val="single" w:sz="4" w:space="0" w:color="auto"/>
              <w:right w:val="single" w:sz="4" w:space="0" w:color="auto"/>
            </w:tcBorders>
            <w:shd w:val="clear" w:color="000000" w:fill="FFFFFF"/>
            <w:vAlign w:val="center"/>
            <w:hideMark/>
          </w:tcPr>
          <w:p w14:paraId="5C94AA9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 using data from German Health Interview and Examination Survey for Children and Adolescents (Kinder- und Jugendgesundheitssurvey, KiGGS)</w:t>
            </w:r>
          </w:p>
        </w:tc>
        <w:tc>
          <w:tcPr>
            <w:tcW w:w="487" w:type="pct"/>
            <w:tcBorders>
              <w:top w:val="nil"/>
              <w:left w:val="nil"/>
              <w:bottom w:val="single" w:sz="4" w:space="0" w:color="auto"/>
              <w:right w:val="single" w:sz="4" w:space="0" w:color="auto"/>
            </w:tcBorders>
            <w:shd w:val="clear" w:color="000000" w:fill="FFFFFF"/>
            <w:vAlign w:val="center"/>
            <w:hideMark/>
          </w:tcPr>
          <w:p w14:paraId="4E60315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examine the association of hormone based contraceptives with self- and parent-rated quality of life and mental health problems </w:t>
            </w:r>
            <w:r w:rsidRPr="006E1C09">
              <w:rPr>
                <w:rFonts w:ascii="Times New Roman" w:eastAsia="Times New Roman" w:hAnsi="Times New Roman" w:cs="Times New Roman"/>
                <w:kern w:val="0"/>
                <w:sz w:val="24"/>
                <w:szCs w:val="24"/>
                <w:lang w:val="en-CA" w:eastAsia="en-CA"/>
                <w14:ligatures w14:val="none"/>
              </w:rPr>
              <w:lastRenderedPageBreak/>
              <w:t>in girls aged 15–17 years</w:t>
            </w:r>
          </w:p>
        </w:tc>
        <w:tc>
          <w:tcPr>
            <w:tcW w:w="533" w:type="pct"/>
            <w:tcBorders>
              <w:top w:val="nil"/>
              <w:left w:val="nil"/>
              <w:bottom w:val="single" w:sz="4" w:space="0" w:color="auto"/>
              <w:right w:val="single" w:sz="4" w:space="0" w:color="auto"/>
            </w:tcBorders>
            <w:shd w:val="clear" w:color="000000" w:fill="FFFFFF"/>
            <w:vAlign w:val="center"/>
            <w:hideMark/>
          </w:tcPr>
          <w:p w14:paraId="5B5217C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contraceptives (OCs)</w:t>
            </w:r>
          </w:p>
        </w:tc>
        <w:tc>
          <w:tcPr>
            <w:tcW w:w="346" w:type="pct"/>
            <w:tcBorders>
              <w:top w:val="nil"/>
              <w:left w:val="nil"/>
              <w:bottom w:val="single" w:sz="4" w:space="0" w:color="auto"/>
              <w:right w:val="single" w:sz="4" w:space="0" w:color="auto"/>
            </w:tcBorders>
            <w:shd w:val="clear" w:color="000000" w:fill="FFFFFF"/>
            <w:vAlign w:val="center"/>
            <w:hideMark/>
          </w:tcPr>
          <w:p w14:paraId="7766C4B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From May 2003 to May 2006</w:t>
            </w:r>
          </w:p>
        </w:tc>
        <w:tc>
          <w:tcPr>
            <w:tcW w:w="484" w:type="pct"/>
            <w:tcBorders>
              <w:top w:val="nil"/>
              <w:left w:val="nil"/>
              <w:bottom w:val="single" w:sz="4" w:space="0" w:color="auto"/>
              <w:right w:val="single" w:sz="4" w:space="0" w:color="auto"/>
            </w:tcBorders>
            <w:shd w:val="clear" w:color="000000" w:fill="FFFFFF"/>
            <w:vAlign w:val="center"/>
            <w:hideMark/>
          </w:tcPr>
          <w:p w14:paraId="3C96A79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 significant differences in self-rated or parent-rated mental well-being between users and non-users of oral contraceptives</w:t>
            </w:r>
          </w:p>
        </w:tc>
        <w:tc>
          <w:tcPr>
            <w:tcW w:w="372" w:type="pct"/>
            <w:tcBorders>
              <w:top w:val="nil"/>
              <w:left w:val="nil"/>
              <w:bottom w:val="single" w:sz="4" w:space="0" w:color="auto"/>
              <w:right w:val="single" w:sz="4" w:space="0" w:color="auto"/>
            </w:tcBorders>
            <w:shd w:val="clear" w:color="000000" w:fill="FFFFFF"/>
            <w:vAlign w:val="center"/>
            <w:hideMark/>
          </w:tcPr>
          <w:p w14:paraId="7AA8C57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37AB5B9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German-language KINDL-R (Kinder-Lebensqualitätsfragebogen) questionnaire was employed in the KiGGS study as a screening instrument for health-related quality of life. </w:t>
            </w:r>
            <w:r w:rsidRPr="006E1C09">
              <w:rPr>
                <w:rFonts w:ascii="Times New Roman" w:eastAsia="Times New Roman" w:hAnsi="Times New Roman" w:cs="Times New Roman"/>
                <w:kern w:val="0"/>
                <w:sz w:val="24"/>
                <w:szCs w:val="24"/>
                <w:lang w:val="en-CA" w:eastAsia="en-CA"/>
                <w14:ligatures w14:val="none"/>
              </w:rPr>
              <w:lastRenderedPageBreak/>
              <w:t>Strengths and Difficulties Questionnaire (SDQ) was used to estimate prevalence rates of psychopathological problems with respect to oral contraceptive use.</w:t>
            </w:r>
          </w:p>
        </w:tc>
        <w:tc>
          <w:tcPr>
            <w:tcW w:w="423" w:type="pct"/>
            <w:tcBorders>
              <w:top w:val="nil"/>
              <w:left w:val="nil"/>
              <w:bottom w:val="single" w:sz="4" w:space="0" w:color="auto"/>
              <w:right w:val="single" w:sz="4" w:space="0" w:color="auto"/>
            </w:tcBorders>
            <w:shd w:val="clear" w:color="000000" w:fill="FFFFFF"/>
            <w:vAlign w:val="center"/>
            <w:hideMark/>
          </w:tcPr>
          <w:p w14:paraId="43E66EA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eastAsia="en-CA"/>
                <w14:ligatures w14:val="none"/>
              </w:rPr>
            </w:pPr>
            <w:r w:rsidRPr="006E1C09">
              <w:rPr>
                <w:rFonts w:ascii="Times New Roman" w:eastAsia="Times New Roman" w:hAnsi="Times New Roman" w:cs="Times New Roman"/>
                <w:kern w:val="0"/>
                <w:sz w:val="24"/>
                <w:szCs w:val="24"/>
                <w:lang w:eastAsia="en-CA"/>
                <w14:ligatures w14:val="none"/>
              </w:rPr>
              <w:lastRenderedPageBreak/>
              <w:t>None reported (inclure qu'il y en a 15.5% sur psychotropic medication et 1.3% sous psychotherapeutic treatment?)</w:t>
            </w:r>
          </w:p>
        </w:tc>
        <w:tc>
          <w:tcPr>
            <w:tcW w:w="538" w:type="pct"/>
            <w:tcBorders>
              <w:top w:val="single" w:sz="4" w:space="0" w:color="auto"/>
              <w:left w:val="nil"/>
              <w:bottom w:val="single" w:sz="4" w:space="0" w:color="auto"/>
              <w:right w:val="single" w:sz="4" w:space="0" w:color="auto"/>
            </w:tcBorders>
            <w:shd w:val="clear" w:color="000000" w:fill="FFFFFF"/>
            <w:hideMark/>
          </w:tcPr>
          <w:p w14:paraId="7A30B81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self-rated KINDL-R scores did not differ between the two groups of current users and non-users of oral contraceptives (69.2 ± 11.2 vs. 69.2 ± 11.0, </w:t>
            </w:r>
            <w:r w:rsidRPr="006E1C09">
              <w:rPr>
                <w:rFonts w:ascii="Times New Roman" w:eastAsia="Times New Roman" w:hAnsi="Times New Roman" w:cs="Times New Roman"/>
                <w:kern w:val="0"/>
                <w:sz w:val="24"/>
                <w:szCs w:val="24"/>
                <w:lang w:val="en-CA" w:eastAsia="en-CA"/>
                <w14:ligatures w14:val="none"/>
              </w:rPr>
              <w:lastRenderedPageBreak/>
              <w:t>p = 0.943)</w:t>
            </w:r>
            <w:r w:rsidRPr="006E1C09">
              <w:rPr>
                <w:rFonts w:ascii="Times New Roman" w:eastAsia="Times New Roman" w:hAnsi="Times New Roman" w:cs="Times New Roman"/>
                <w:kern w:val="0"/>
                <w:sz w:val="24"/>
                <w:szCs w:val="24"/>
                <w:lang w:val="en-CA" w:eastAsia="en-CA"/>
                <w14:ligatures w14:val="none"/>
              </w:rPr>
              <w:br/>
              <w:t>• There was no difference in parent-rated KINDL-R scores between users and non-users (72.9 ± 10.6 vs. 72.9 ± 10.5, p = 0.985).</w:t>
            </w:r>
            <w:r w:rsidRPr="006E1C09">
              <w:rPr>
                <w:rFonts w:ascii="Times New Roman" w:eastAsia="Times New Roman" w:hAnsi="Times New Roman" w:cs="Times New Roman"/>
                <w:kern w:val="0"/>
                <w:sz w:val="24"/>
                <w:szCs w:val="24"/>
                <w:lang w:val="en-CA" w:eastAsia="en-CA"/>
                <w14:ligatures w14:val="none"/>
              </w:rPr>
              <w:br/>
              <w:t xml:space="preserve">• The hormone group and the non-hormone group did not significantly differ with respect to </w:t>
            </w:r>
            <w:r w:rsidRPr="006E1C09">
              <w:rPr>
                <w:rFonts w:ascii="Times New Roman" w:eastAsia="Times New Roman" w:hAnsi="Times New Roman" w:cs="Times New Roman"/>
                <w:kern w:val="0"/>
                <w:sz w:val="24"/>
                <w:szCs w:val="24"/>
                <w:lang w:val="en-CA" w:eastAsia="en-CA"/>
                <w14:ligatures w14:val="none"/>
              </w:rPr>
              <w:lastRenderedPageBreak/>
              <w:t>self- (10.9 ± 4.4 vs. 10.8 ± 4.6, p = 0.732) and parent-rated SDQ (7.2 ± 4.8 vs. 7.0 ± 4.6, p = 0.390)</w:t>
            </w:r>
            <w:r w:rsidRPr="006E1C09">
              <w:rPr>
                <w:rFonts w:ascii="Times New Roman" w:eastAsia="Times New Roman" w:hAnsi="Times New Roman" w:cs="Times New Roman"/>
                <w:kern w:val="0"/>
                <w:sz w:val="24"/>
                <w:szCs w:val="24"/>
                <w:lang w:val="en-CA" w:eastAsia="en-CA"/>
                <w14:ligatures w14:val="none"/>
              </w:rPr>
              <w:br/>
              <w:t xml:space="preserve">• 93 participants using oral contraceptives reported additional psychotropic drug medication (17.8%), while only 14.4%, namely 169 out of 1173 </w:t>
            </w:r>
            <w:r w:rsidRPr="006E1C09">
              <w:rPr>
                <w:rFonts w:ascii="Times New Roman" w:eastAsia="Times New Roman" w:hAnsi="Times New Roman" w:cs="Times New Roman"/>
                <w:kern w:val="0"/>
                <w:sz w:val="24"/>
                <w:szCs w:val="24"/>
                <w:lang w:val="en-CA" w:eastAsia="en-CA"/>
                <w14:ligatures w14:val="none"/>
              </w:rPr>
              <w:lastRenderedPageBreak/>
              <w:t>non-users were taking psychotropic drugs</w:t>
            </w:r>
            <w:r w:rsidRPr="006E1C09">
              <w:rPr>
                <w:rFonts w:ascii="Times New Roman" w:eastAsia="Times New Roman" w:hAnsi="Times New Roman" w:cs="Times New Roman"/>
                <w:kern w:val="0"/>
                <w:sz w:val="24"/>
                <w:szCs w:val="24"/>
                <w:lang w:val="en-CA" w:eastAsia="en-CA"/>
                <w14:ligatures w14:val="none"/>
              </w:rPr>
              <w:br/>
              <w:t>• Experience with psychotherapeutic treatment was more frequent in non-users (1.4%) as compared to users (1.0%) of oral contraceptives, although this difference was not at all statistically signifi</w:t>
            </w:r>
            <w:r w:rsidRPr="006E1C09">
              <w:rPr>
                <w:rFonts w:ascii="Times New Roman" w:eastAsia="Times New Roman" w:hAnsi="Times New Roman" w:cs="Times New Roman"/>
                <w:kern w:val="0"/>
                <w:sz w:val="24"/>
                <w:szCs w:val="24"/>
                <w:lang w:val="en-CA" w:eastAsia="en-CA"/>
                <w14:ligatures w14:val="none"/>
              </w:rPr>
              <w:lastRenderedPageBreak/>
              <w:t>cant (p = 0.478)</w:t>
            </w:r>
            <w:r w:rsidRPr="006E1C09">
              <w:rPr>
                <w:rFonts w:ascii="Times New Roman" w:eastAsia="Times New Roman" w:hAnsi="Times New Roman" w:cs="Times New Roman"/>
                <w:kern w:val="0"/>
                <w:sz w:val="24"/>
                <w:szCs w:val="24"/>
                <w:lang w:val="en-CA" w:eastAsia="en-CA"/>
                <w14:ligatures w14:val="none"/>
              </w:rPr>
              <w:br/>
              <w:t xml:space="preserve">• There was a trend towards a higher rate of psychotropic drug prescription in girls taking oral contraceptive pills compared with those not using hormonal contraception (p = 0.052), but psychometric indicators for mental well-being were </w:t>
            </w:r>
            <w:r w:rsidRPr="006E1C09">
              <w:rPr>
                <w:rFonts w:ascii="Times New Roman" w:eastAsia="Times New Roman" w:hAnsi="Times New Roman" w:cs="Times New Roman"/>
                <w:kern w:val="0"/>
                <w:sz w:val="24"/>
                <w:szCs w:val="24"/>
                <w:lang w:val="en-CA" w:eastAsia="en-CA"/>
                <w14:ligatures w14:val="none"/>
              </w:rPr>
              <w:lastRenderedPageBreak/>
              <w:t>similar in the two groups</w:t>
            </w:r>
          </w:p>
        </w:tc>
      </w:tr>
      <w:tr w:rsidR="006E1C09" w:rsidRPr="00F87E76" w14:paraId="29DB9E0B"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31EF67CF"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Oxfeldt et al., 2020</w:t>
            </w:r>
          </w:p>
        </w:tc>
        <w:tc>
          <w:tcPr>
            <w:tcW w:w="298" w:type="pct"/>
            <w:tcBorders>
              <w:top w:val="nil"/>
              <w:left w:val="nil"/>
              <w:bottom w:val="single" w:sz="4" w:space="0" w:color="auto"/>
              <w:right w:val="single" w:sz="4" w:space="0" w:color="auto"/>
            </w:tcBorders>
            <w:shd w:val="clear" w:color="000000" w:fill="FFFFFF"/>
            <w:vAlign w:val="center"/>
            <w:hideMark/>
          </w:tcPr>
          <w:p w14:paraId="486E2E8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186 women, mean age 22.2 years</w:t>
            </w:r>
          </w:p>
        </w:tc>
        <w:tc>
          <w:tcPr>
            <w:tcW w:w="576" w:type="pct"/>
            <w:tcBorders>
              <w:top w:val="nil"/>
              <w:left w:val="nil"/>
              <w:bottom w:val="single" w:sz="4" w:space="0" w:color="auto"/>
              <w:right w:val="single" w:sz="4" w:space="0" w:color="auto"/>
            </w:tcBorders>
            <w:shd w:val="clear" w:color="000000" w:fill="FFFFFF"/>
            <w:vAlign w:val="center"/>
            <w:hideMark/>
          </w:tcPr>
          <w:p w14:paraId="45FC42C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799A42D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report athletes’ use of HC, menstrual cycle disturbances, and self-perceived physical and emotional symptoms related to the menstrual/pill cycle.</w:t>
            </w:r>
          </w:p>
        </w:tc>
        <w:tc>
          <w:tcPr>
            <w:tcW w:w="533" w:type="pct"/>
            <w:tcBorders>
              <w:top w:val="nil"/>
              <w:left w:val="nil"/>
              <w:bottom w:val="single" w:sz="4" w:space="0" w:color="auto"/>
              <w:right w:val="single" w:sz="4" w:space="0" w:color="auto"/>
            </w:tcBorders>
            <w:shd w:val="clear" w:color="000000" w:fill="FFFFFF"/>
            <w:vAlign w:val="center"/>
            <w:hideMark/>
          </w:tcPr>
          <w:p w14:paraId="2E03836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First-generation OC : norethisterone, dienogest. Second-generation OC : norgestrel, levonorgestrel, norgestimat. Third-generation OC : desogestrel, gestoden. Fourth-</w:t>
            </w:r>
            <w:r w:rsidRPr="006E1C09">
              <w:rPr>
                <w:rFonts w:ascii="Times New Roman" w:eastAsia="Times New Roman" w:hAnsi="Times New Roman" w:cs="Times New Roman"/>
                <w:kern w:val="0"/>
                <w:sz w:val="24"/>
                <w:szCs w:val="24"/>
                <w:lang w:val="en-CA" w:eastAsia="en-CA"/>
                <w14:ligatures w14:val="none"/>
              </w:rPr>
              <w:lastRenderedPageBreak/>
              <w:t>generation OC : dospirenon. Antiandrogen OC : cyproteronacetat. Copper IUD</w:t>
            </w:r>
          </w:p>
        </w:tc>
        <w:tc>
          <w:tcPr>
            <w:tcW w:w="346" w:type="pct"/>
            <w:tcBorders>
              <w:top w:val="nil"/>
              <w:left w:val="nil"/>
              <w:bottom w:val="single" w:sz="4" w:space="0" w:color="auto"/>
              <w:right w:val="single" w:sz="4" w:space="0" w:color="auto"/>
            </w:tcBorders>
            <w:shd w:val="clear" w:color="000000" w:fill="FFFFFF"/>
            <w:vAlign w:val="center"/>
            <w:hideMark/>
          </w:tcPr>
          <w:p w14:paraId="57D4068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Fall of 2018</w:t>
            </w:r>
          </w:p>
        </w:tc>
        <w:tc>
          <w:tcPr>
            <w:tcW w:w="484" w:type="pct"/>
            <w:tcBorders>
              <w:top w:val="nil"/>
              <w:left w:val="nil"/>
              <w:bottom w:val="single" w:sz="4" w:space="0" w:color="auto"/>
              <w:right w:val="single" w:sz="4" w:space="0" w:color="auto"/>
            </w:tcBorders>
            <w:shd w:val="clear" w:color="000000" w:fill="FFFFFF"/>
            <w:vAlign w:val="center"/>
            <w:hideMark/>
          </w:tcPr>
          <w:p w14:paraId="7C0ACD7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HC use was associated with fewer emotional symptoms, both positive and negative, compared to non-HC use</w:t>
            </w:r>
          </w:p>
        </w:tc>
        <w:tc>
          <w:tcPr>
            <w:tcW w:w="372" w:type="pct"/>
            <w:tcBorders>
              <w:top w:val="nil"/>
              <w:left w:val="nil"/>
              <w:bottom w:val="single" w:sz="4" w:space="0" w:color="auto"/>
              <w:right w:val="single" w:sz="4" w:space="0" w:color="auto"/>
            </w:tcBorders>
            <w:shd w:val="clear" w:color="000000" w:fill="FFFFFF"/>
            <w:vAlign w:val="center"/>
            <w:hideMark/>
          </w:tcPr>
          <w:p w14:paraId="4579546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5AA8BFB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Data collected using an online questionnaire (SurveyXact, Ramboll, Denmark) specifically designed for the study.</w:t>
            </w:r>
          </w:p>
        </w:tc>
        <w:tc>
          <w:tcPr>
            <w:tcW w:w="423" w:type="pct"/>
            <w:tcBorders>
              <w:top w:val="nil"/>
              <w:left w:val="nil"/>
              <w:bottom w:val="single" w:sz="4" w:space="0" w:color="auto"/>
              <w:right w:val="single" w:sz="4" w:space="0" w:color="auto"/>
            </w:tcBorders>
            <w:shd w:val="clear" w:color="000000" w:fill="FFFFFF"/>
            <w:vAlign w:val="center"/>
            <w:hideMark/>
          </w:tcPr>
          <w:p w14:paraId="16D00C27"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466EF5E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likelihood of experiencing positive symptoms (all combined) were higher in the non-HC compared with HC (P = 0.019). Moreover, the prevalence of mood </w:t>
            </w:r>
            <w:r w:rsidRPr="006E1C09">
              <w:rPr>
                <w:rFonts w:ascii="Times New Roman" w:eastAsia="Times New Roman" w:hAnsi="Times New Roman" w:cs="Times New Roman"/>
                <w:kern w:val="0"/>
                <w:sz w:val="24"/>
                <w:szCs w:val="24"/>
                <w:lang w:val="en-CA" w:eastAsia="en-CA"/>
                <w14:ligatures w14:val="none"/>
              </w:rPr>
              <w:lastRenderedPageBreak/>
              <w:t>swings and feeling sadness/depressed were higher in the non-HC compared with HC (P = 0.009, P = 0.035).</w:t>
            </w:r>
            <w:r w:rsidRPr="006E1C09">
              <w:rPr>
                <w:rFonts w:ascii="Times New Roman" w:eastAsia="Times New Roman" w:hAnsi="Times New Roman" w:cs="Times New Roman"/>
                <w:kern w:val="0"/>
                <w:sz w:val="24"/>
                <w:szCs w:val="24"/>
                <w:lang w:val="en-CA" w:eastAsia="en-CA"/>
                <w14:ligatures w14:val="none"/>
              </w:rPr>
              <w:br/>
              <w:t>• Both HC and non-HC users report negative symptoms related to their menstrual cycle, indicating that HC use does not exclu</w:t>
            </w:r>
            <w:r w:rsidRPr="006E1C09">
              <w:rPr>
                <w:rFonts w:ascii="Times New Roman" w:eastAsia="Times New Roman" w:hAnsi="Times New Roman" w:cs="Times New Roman"/>
                <w:kern w:val="0"/>
                <w:sz w:val="24"/>
                <w:szCs w:val="24"/>
                <w:lang w:val="en-CA" w:eastAsia="en-CA"/>
                <w14:ligatures w14:val="none"/>
              </w:rPr>
              <w:lastRenderedPageBreak/>
              <w:t>de premenstrual symptoms or dysmenorrhea. Use of HC was associated with reporting fewer positive and negative emotional symptoms</w:t>
            </w:r>
          </w:p>
        </w:tc>
      </w:tr>
      <w:tr w:rsidR="006E1C09" w:rsidRPr="00F87E76" w14:paraId="6835D68C"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vAlign w:val="center"/>
            <w:hideMark/>
          </w:tcPr>
          <w:p w14:paraId="694AD5A6"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Roomaney, R. and A. Lourens (2020)</w:t>
            </w:r>
          </w:p>
        </w:tc>
        <w:tc>
          <w:tcPr>
            <w:tcW w:w="298" w:type="pct"/>
            <w:tcBorders>
              <w:top w:val="nil"/>
              <w:left w:val="nil"/>
              <w:bottom w:val="single" w:sz="4" w:space="0" w:color="auto"/>
              <w:right w:val="single" w:sz="4" w:space="0" w:color="auto"/>
            </w:tcBorders>
            <w:shd w:val="clear" w:color="000000" w:fill="FFFFFF"/>
            <w:vAlign w:val="center"/>
            <w:hideMark/>
          </w:tcPr>
          <w:p w14:paraId="76F3305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1 329 women ranging from 17-40 years old</w:t>
            </w:r>
          </w:p>
        </w:tc>
        <w:tc>
          <w:tcPr>
            <w:tcW w:w="576" w:type="pct"/>
            <w:tcBorders>
              <w:top w:val="nil"/>
              <w:left w:val="nil"/>
              <w:bottom w:val="single" w:sz="4" w:space="0" w:color="auto"/>
              <w:right w:val="single" w:sz="4" w:space="0" w:color="auto"/>
            </w:tcBorders>
            <w:shd w:val="clear" w:color="000000" w:fill="FFFFFF"/>
            <w:vAlign w:val="center"/>
            <w:hideMark/>
          </w:tcPr>
          <w:p w14:paraId="6A92A78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17313D0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identify predictors of PMDD among a sample of university students.</w:t>
            </w:r>
          </w:p>
        </w:tc>
        <w:tc>
          <w:tcPr>
            <w:tcW w:w="533" w:type="pct"/>
            <w:tcBorders>
              <w:top w:val="nil"/>
              <w:left w:val="nil"/>
              <w:bottom w:val="single" w:sz="4" w:space="0" w:color="auto"/>
              <w:right w:val="single" w:sz="4" w:space="0" w:color="auto"/>
            </w:tcBorders>
            <w:shd w:val="clear" w:color="000000" w:fill="FFFFFF"/>
            <w:vAlign w:val="center"/>
            <w:hideMark/>
          </w:tcPr>
          <w:p w14:paraId="5700349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contraceptives</w:t>
            </w:r>
          </w:p>
        </w:tc>
        <w:tc>
          <w:tcPr>
            <w:tcW w:w="346" w:type="pct"/>
            <w:tcBorders>
              <w:top w:val="nil"/>
              <w:left w:val="nil"/>
              <w:bottom w:val="single" w:sz="4" w:space="0" w:color="auto"/>
              <w:right w:val="single" w:sz="4" w:space="0" w:color="auto"/>
            </w:tcBorders>
            <w:shd w:val="clear" w:color="000000" w:fill="FFFFFF"/>
            <w:vAlign w:val="center"/>
            <w:hideMark/>
          </w:tcPr>
          <w:p w14:paraId="3DEDDA3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Unspecified</w:t>
            </w:r>
          </w:p>
        </w:tc>
        <w:tc>
          <w:tcPr>
            <w:tcW w:w="484" w:type="pct"/>
            <w:tcBorders>
              <w:top w:val="nil"/>
              <w:left w:val="nil"/>
              <w:bottom w:val="single" w:sz="4" w:space="0" w:color="auto"/>
              <w:right w:val="single" w:sz="4" w:space="0" w:color="auto"/>
            </w:tcBorders>
            <w:shd w:val="clear" w:color="000000" w:fill="FFFFFF"/>
            <w:vAlign w:val="center"/>
            <w:hideMark/>
          </w:tcPr>
          <w:p w14:paraId="68D988F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 use was not a predictor of PMDD</w:t>
            </w:r>
          </w:p>
        </w:tc>
        <w:tc>
          <w:tcPr>
            <w:tcW w:w="372" w:type="pct"/>
            <w:tcBorders>
              <w:top w:val="nil"/>
              <w:left w:val="nil"/>
              <w:bottom w:val="single" w:sz="4" w:space="0" w:color="auto"/>
              <w:right w:val="single" w:sz="4" w:space="0" w:color="auto"/>
            </w:tcBorders>
            <w:shd w:val="clear" w:color="000000" w:fill="FFFFFF"/>
            <w:vAlign w:val="center"/>
            <w:hideMark/>
          </w:tcPr>
          <w:p w14:paraId="7C6901F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637C3E9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Premenstrual dysphoric disorder (PMDD) assessed by Premenstrual Symptoms Screening Tool (PSST). Drug </w:t>
            </w:r>
            <w:r w:rsidRPr="006E1C09">
              <w:rPr>
                <w:rFonts w:ascii="Times New Roman" w:eastAsia="Times New Roman" w:hAnsi="Times New Roman" w:cs="Times New Roman"/>
                <w:kern w:val="0"/>
                <w:sz w:val="24"/>
                <w:szCs w:val="24"/>
                <w:lang w:val="en-CA" w:eastAsia="en-CA"/>
                <w14:ligatures w14:val="none"/>
              </w:rPr>
              <w:lastRenderedPageBreak/>
              <w:t>use disorder assessed by DUDIT. Psychological stress measured by Perceived stress scale (PSS).</w:t>
            </w:r>
          </w:p>
        </w:tc>
        <w:tc>
          <w:tcPr>
            <w:tcW w:w="423" w:type="pct"/>
            <w:tcBorders>
              <w:top w:val="nil"/>
              <w:left w:val="nil"/>
              <w:bottom w:val="single" w:sz="4" w:space="0" w:color="auto"/>
              <w:right w:val="single" w:sz="4" w:space="0" w:color="auto"/>
            </w:tcBorders>
            <w:shd w:val="clear" w:color="000000" w:fill="FFFFFF"/>
            <w:vAlign w:val="center"/>
            <w:hideMark/>
          </w:tcPr>
          <w:p w14:paraId="3079D7A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25.4% reported that they had been diagnosed with a psychological disorder. 16.7</w:t>
            </w:r>
            <w:r w:rsidRPr="006E1C09">
              <w:rPr>
                <w:rFonts w:ascii="Times New Roman" w:eastAsia="Times New Roman" w:hAnsi="Times New Roman" w:cs="Times New Roman"/>
                <w:kern w:val="0"/>
                <w:sz w:val="24"/>
                <w:szCs w:val="24"/>
                <w:lang w:val="en-CA" w:eastAsia="en-CA"/>
                <w14:ligatures w14:val="none"/>
              </w:rPr>
              <w:lastRenderedPageBreak/>
              <w:t>% reported using anti-depressant medication</w:t>
            </w:r>
          </w:p>
        </w:tc>
        <w:tc>
          <w:tcPr>
            <w:tcW w:w="538" w:type="pct"/>
            <w:tcBorders>
              <w:top w:val="single" w:sz="4" w:space="0" w:color="auto"/>
              <w:left w:val="nil"/>
              <w:bottom w:val="single" w:sz="4" w:space="0" w:color="auto"/>
              <w:right w:val="single" w:sz="4" w:space="0" w:color="auto"/>
            </w:tcBorders>
            <w:shd w:val="clear" w:color="000000" w:fill="FFFFFF"/>
            <w:vAlign w:val="bottom"/>
            <w:hideMark/>
          </w:tcPr>
          <w:p w14:paraId="4D52453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The results of the ANOVA indicated significant differences between those with a positive PMDD </w:t>
            </w:r>
            <w:r w:rsidRPr="006E1C09">
              <w:rPr>
                <w:rFonts w:ascii="Times New Roman" w:eastAsia="Times New Roman" w:hAnsi="Times New Roman" w:cs="Times New Roman"/>
                <w:kern w:val="0"/>
                <w:sz w:val="24"/>
                <w:szCs w:val="24"/>
                <w:lang w:val="en-CA" w:eastAsia="en-CA"/>
                <w14:ligatures w14:val="none"/>
              </w:rPr>
              <w:lastRenderedPageBreak/>
              <w:t xml:space="preserve">screening and those with a negative PMDD screening on all predictor variables, excluding contraceptive use (where there was no difference between the groups). Oral contraceptive use, spasmodic dysmenorrhea, perceived stress and drug </w:t>
            </w:r>
            <w:r w:rsidRPr="006E1C09">
              <w:rPr>
                <w:rFonts w:ascii="Times New Roman" w:eastAsia="Times New Roman" w:hAnsi="Times New Roman" w:cs="Times New Roman"/>
                <w:kern w:val="0"/>
                <w:sz w:val="24"/>
                <w:szCs w:val="24"/>
                <w:lang w:val="en-CA" w:eastAsia="en-CA"/>
                <w14:ligatures w14:val="none"/>
              </w:rPr>
              <w:lastRenderedPageBreak/>
              <w:t>use were not significant predictors.</w:t>
            </w:r>
          </w:p>
        </w:tc>
      </w:tr>
      <w:tr w:rsidR="006E1C09" w:rsidRPr="00F87E76" w14:paraId="5D8F65DA" w14:textId="77777777" w:rsidTr="006E1C09">
        <w:trPr>
          <w:trHeight w:val="157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4749FF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Thamkhantho et al., 2020</w:t>
            </w:r>
          </w:p>
        </w:tc>
        <w:tc>
          <w:tcPr>
            <w:tcW w:w="298" w:type="pct"/>
            <w:tcBorders>
              <w:top w:val="nil"/>
              <w:left w:val="nil"/>
              <w:bottom w:val="single" w:sz="4" w:space="0" w:color="auto"/>
              <w:right w:val="single" w:sz="4" w:space="0" w:color="auto"/>
            </w:tcBorders>
            <w:shd w:val="clear" w:color="000000" w:fill="FFFFFF"/>
            <w:vAlign w:val="center"/>
            <w:hideMark/>
          </w:tcPr>
          <w:p w14:paraId="392977C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111 women ranging from 22-38 years old</w:t>
            </w:r>
          </w:p>
        </w:tc>
        <w:tc>
          <w:tcPr>
            <w:tcW w:w="576" w:type="pct"/>
            <w:tcBorders>
              <w:top w:val="nil"/>
              <w:left w:val="nil"/>
              <w:bottom w:val="single" w:sz="4" w:space="0" w:color="auto"/>
              <w:right w:val="single" w:sz="4" w:space="0" w:color="auto"/>
            </w:tcBorders>
            <w:shd w:val="clear" w:color="000000" w:fill="FFFFFF"/>
            <w:vAlign w:val="center"/>
            <w:hideMark/>
          </w:tcPr>
          <w:p w14:paraId="06E6192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Descriptive preliminary report</w:t>
            </w:r>
          </w:p>
        </w:tc>
        <w:tc>
          <w:tcPr>
            <w:tcW w:w="487" w:type="pct"/>
            <w:tcBorders>
              <w:top w:val="nil"/>
              <w:left w:val="nil"/>
              <w:bottom w:val="single" w:sz="4" w:space="0" w:color="auto"/>
              <w:right w:val="single" w:sz="4" w:space="0" w:color="auto"/>
            </w:tcBorders>
            <w:shd w:val="clear" w:color="000000" w:fill="FFFFFF"/>
            <w:hideMark/>
          </w:tcPr>
          <w:p w14:paraId="445F44D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investigate the reported side effects of Thai women currently using a single-rod sub-dermal implant and DMPA and attending family planning services</w:t>
            </w:r>
          </w:p>
        </w:tc>
        <w:tc>
          <w:tcPr>
            <w:tcW w:w="533" w:type="pct"/>
            <w:tcBorders>
              <w:top w:val="nil"/>
              <w:left w:val="nil"/>
              <w:bottom w:val="single" w:sz="4" w:space="0" w:color="auto"/>
              <w:right w:val="single" w:sz="4" w:space="0" w:color="auto"/>
            </w:tcBorders>
            <w:shd w:val="clear" w:color="000000" w:fill="FFFFFF"/>
            <w:vAlign w:val="center"/>
            <w:hideMark/>
          </w:tcPr>
          <w:p w14:paraId="15E16A0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Depo-Provera (DMPA) and single-rod sub-dermal implant (Implanon)</w:t>
            </w:r>
          </w:p>
        </w:tc>
        <w:tc>
          <w:tcPr>
            <w:tcW w:w="346" w:type="pct"/>
            <w:tcBorders>
              <w:top w:val="nil"/>
              <w:left w:val="nil"/>
              <w:bottom w:val="single" w:sz="4" w:space="0" w:color="auto"/>
              <w:right w:val="single" w:sz="4" w:space="0" w:color="auto"/>
            </w:tcBorders>
            <w:shd w:val="clear" w:color="000000" w:fill="FFFFFF"/>
            <w:vAlign w:val="center"/>
            <w:hideMark/>
          </w:tcPr>
          <w:p w14:paraId="03ADCB5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 year</w:t>
            </w:r>
          </w:p>
        </w:tc>
        <w:tc>
          <w:tcPr>
            <w:tcW w:w="484" w:type="pct"/>
            <w:tcBorders>
              <w:top w:val="nil"/>
              <w:left w:val="nil"/>
              <w:bottom w:val="single" w:sz="4" w:space="0" w:color="auto"/>
              <w:right w:val="single" w:sz="4" w:space="0" w:color="auto"/>
            </w:tcBorders>
            <w:shd w:val="clear" w:color="000000" w:fill="FFFFFF"/>
            <w:vAlign w:val="center"/>
            <w:hideMark/>
          </w:tcPr>
          <w:p w14:paraId="3D5F7E6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Implanon reported a higher incidence of depression</w:t>
            </w:r>
          </w:p>
        </w:tc>
        <w:tc>
          <w:tcPr>
            <w:tcW w:w="372" w:type="pct"/>
            <w:tcBorders>
              <w:top w:val="nil"/>
              <w:left w:val="nil"/>
              <w:bottom w:val="single" w:sz="4" w:space="0" w:color="auto"/>
              <w:right w:val="single" w:sz="4" w:space="0" w:color="auto"/>
            </w:tcBorders>
            <w:shd w:val="clear" w:color="000000" w:fill="FFFFFF"/>
            <w:noWrap/>
            <w:vAlign w:val="center"/>
            <w:hideMark/>
          </w:tcPr>
          <w:p w14:paraId="1382456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noWrap/>
            <w:vAlign w:val="center"/>
            <w:hideMark/>
          </w:tcPr>
          <w:p w14:paraId="07ACB15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w:t>
            </w:r>
          </w:p>
        </w:tc>
        <w:tc>
          <w:tcPr>
            <w:tcW w:w="423" w:type="pct"/>
            <w:tcBorders>
              <w:top w:val="nil"/>
              <w:left w:val="nil"/>
              <w:bottom w:val="single" w:sz="4" w:space="0" w:color="auto"/>
              <w:right w:val="single" w:sz="4" w:space="0" w:color="auto"/>
            </w:tcBorders>
            <w:shd w:val="clear" w:color="000000" w:fill="FFFFFF"/>
            <w:noWrap/>
            <w:vAlign w:val="center"/>
            <w:hideMark/>
          </w:tcPr>
          <w:p w14:paraId="071D4B27"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09D8CF2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Regarding the reported adverse events during method use, there was no statistically significant difference between women using Implanon and DMPA, except that flushing was more reported in </w:t>
            </w:r>
            <w:r w:rsidRPr="006E1C09">
              <w:rPr>
                <w:rFonts w:ascii="Times New Roman" w:eastAsia="Times New Roman" w:hAnsi="Times New Roman" w:cs="Times New Roman"/>
                <w:kern w:val="0"/>
                <w:sz w:val="24"/>
                <w:szCs w:val="24"/>
                <w:lang w:val="en-CA" w:eastAsia="en-CA"/>
                <w14:ligatures w14:val="none"/>
              </w:rPr>
              <w:lastRenderedPageBreak/>
              <w:t>women using Implanon.</w:t>
            </w:r>
            <w:r w:rsidRPr="006E1C09">
              <w:rPr>
                <w:rFonts w:ascii="Times New Roman" w:eastAsia="Times New Roman" w:hAnsi="Times New Roman" w:cs="Times New Roman"/>
                <w:kern w:val="0"/>
                <w:sz w:val="24"/>
                <w:szCs w:val="24"/>
                <w:lang w:val="en-CA" w:eastAsia="en-CA"/>
                <w14:ligatures w14:val="none"/>
              </w:rPr>
              <w:br/>
              <w:t xml:space="preserve">• There was borderline significance that women using Implanon had higher incidence of headache, GI symptoms, and depression. </w:t>
            </w:r>
            <w:r w:rsidRPr="006E1C09">
              <w:rPr>
                <w:rFonts w:ascii="Times New Roman" w:eastAsia="Times New Roman" w:hAnsi="Times New Roman" w:cs="Times New Roman"/>
                <w:kern w:val="0"/>
                <w:sz w:val="24"/>
                <w:szCs w:val="24"/>
                <w:lang w:val="en-CA" w:eastAsia="en-CA"/>
                <w14:ligatures w14:val="none"/>
              </w:rPr>
              <w:br/>
              <w:t>• Women using Implanon reported higher symptom of depression, at 40.7% agains</w:t>
            </w:r>
            <w:r w:rsidRPr="006E1C09">
              <w:rPr>
                <w:rFonts w:ascii="Times New Roman" w:eastAsia="Times New Roman" w:hAnsi="Times New Roman" w:cs="Times New Roman"/>
                <w:kern w:val="0"/>
                <w:sz w:val="24"/>
                <w:szCs w:val="24"/>
                <w:lang w:val="en-CA" w:eastAsia="en-CA"/>
                <w14:ligatures w14:val="none"/>
              </w:rPr>
              <w:lastRenderedPageBreak/>
              <w:t>t 20.0%</w:t>
            </w:r>
          </w:p>
        </w:tc>
      </w:tr>
      <w:tr w:rsidR="006E1C09" w:rsidRPr="00F87E76" w14:paraId="71115185"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1434ADD"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Alfaifi et al., 2021</w:t>
            </w:r>
          </w:p>
        </w:tc>
        <w:tc>
          <w:tcPr>
            <w:tcW w:w="298" w:type="pct"/>
            <w:tcBorders>
              <w:top w:val="nil"/>
              <w:left w:val="nil"/>
              <w:bottom w:val="single" w:sz="4" w:space="0" w:color="auto"/>
              <w:right w:val="single" w:sz="4" w:space="0" w:color="auto"/>
            </w:tcBorders>
            <w:shd w:val="clear" w:color="000000" w:fill="FFFFFF"/>
            <w:vAlign w:val="center"/>
            <w:hideMark/>
          </w:tcPr>
          <w:p w14:paraId="6D9BE4F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904 women, mean age 31.6 years</w:t>
            </w:r>
          </w:p>
        </w:tc>
        <w:tc>
          <w:tcPr>
            <w:tcW w:w="576" w:type="pct"/>
            <w:tcBorders>
              <w:top w:val="nil"/>
              <w:left w:val="nil"/>
              <w:bottom w:val="single" w:sz="4" w:space="0" w:color="auto"/>
              <w:right w:val="single" w:sz="4" w:space="0" w:color="auto"/>
            </w:tcBorders>
            <w:shd w:val="clear" w:color="000000" w:fill="FFFFFF"/>
            <w:vAlign w:val="center"/>
            <w:hideMark/>
          </w:tcPr>
          <w:p w14:paraId="10AC9C8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48FE6A3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estimate the prevalence of depression among HC users who visited primary health care centers, and to identify psycho</w:t>
            </w:r>
            <w:r w:rsidRPr="006E1C09">
              <w:rPr>
                <w:rFonts w:ascii="Times New Roman" w:eastAsia="Times New Roman" w:hAnsi="Times New Roman" w:cs="Times New Roman"/>
                <w:kern w:val="0"/>
                <w:sz w:val="24"/>
                <w:szCs w:val="24"/>
                <w:lang w:val="en-CA" w:eastAsia="en-CA"/>
                <w14:ligatures w14:val="none"/>
              </w:rPr>
              <w:noBreakHyphen/>
              <w:t>social factors that may predispose HC users to depression.</w:t>
            </w:r>
          </w:p>
        </w:tc>
        <w:tc>
          <w:tcPr>
            <w:tcW w:w="533" w:type="pct"/>
            <w:tcBorders>
              <w:top w:val="nil"/>
              <w:left w:val="nil"/>
              <w:bottom w:val="single" w:sz="4" w:space="0" w:color="auto"/>
              <w:right w:val="single" w:sz="4" w:space="0" w:color="auto"/>
            </w:tcBorders>
            <w:shd w:val="clear" w:color="000000" w:fill="FFFFFF"/>
            <w:vAlign w:val="center"/>
            <w:hideMark/>
          </w:tcPr>
          <w:p w14:paraId="633DCB7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Tablet, patch, needle, hormonal spiral, copper spiral, others</w:t>
            </w:r>
          </w:p>
        </w:tc>
        <w:tc>
          <w:tcPr>
            <w:tcW w:w="346" w:type="pct"/>
            <w:tcBorders>
              <w:top w:val="nil"/>
              <w:left w:val="nil"/>
              <w:bottom w:val="single" w:sz="4" w:space="0" w:color="auto"/>
              <w:right w:val="single" w:sz="4" w:space="0" w:color="auto"/>
            </w:tcBorders>
            <w:shd w:val="clear" w:color="000000" w:fill="FFFFFF"/>
            <w:vAlign w:val="center"/>
            <w:hideMark/>
          </w:tcPr>
          <w:p w14:paraId="54B4A93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The duration of contraception varied among participants, with 51.4% having used contraception for more than one year, 16.5% having use</w:t>
            </w:r>
            <w:r w:rsidRPr="006E1C09">
              <w:rPr>
                <w:rFonts w:ascii="Times New Roman" w:eastAsia="Times New Roman" w:hAnsi="Times New Roman" w:cs="Times New Roman"/>
                <w:kern w:val="0"/>
                <w:sz w:val="24"/>
                <w:szCs w:val="24"/>
                <w:lang w:val="en-CA" w:eastAsia="en-CA"/>
                <w14:ligatures w14:val="none"/>
              </w:rPr>
              <w:lastRenderedPageBreak/>
              <w:t>d it for between 6 months and one year, and 10.4% having used it for less than three months.</w:t>
            </w:r>
          </w:p>
        </w:tc>
        <w:tc>
          <w:tcPr>
            <w:tcW w:w="484" w:type="pct"/>
            <w:tcBorders>
              <w:top w:val="nil"/>
              <w:left w:val="nil"/>
              <w:bottom w:val="single" w:sz="4" w:space="0" w:color="auto"/>
              <w:right w:val="single" w:sz="4" w:space="0" w:color="auto"/>
            </w:tcBorders>
            <w:shd w:val="clear" w:color="000000" w:fill="FFFFFF"/>
            <w:vAlign w:val="center"/>
            <w:hideMark/>
          </w:tcPr>
          <w:p w14:paraId="31CC9A4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Hormonal contraceptive (HC) users had a higher prevalence of mood disturbances, specifically depression</w:t>
            </w:r>
          </w:p>
        </w:tc>
        <w:tc>
          <w:tcPr>
            <w:tcW w:w="372" w:type="pct"/>
            <w:tcBorders>
              <w:top w:val="nil"/>
              <w:left w:val="nil"/>
              <w:bottom w:val="single" w:sz="4" w:space="0" w:color="auto"/>
              <w:right w:val="single" w:sz="4" w:space="0" w:color="auto"/>
            </w:tcBorders>
            <w:shd w:val="clear" w:color="000000" w:fill="FFFFFF"/>
            <w:vAlign w:val="center"/>
            <w:hideMark/>
          </w:tcPr>
          <w:p w14:paraId="1147032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6C5026C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Depression assessed by an arabic adaptation of the Beck Depression Inventory (BDI).</w:t>
            </w:r>
          </w:p>
        </w:tc>
        <w:tc>
          <w:tcPr>
            <w:tcW w:w="423" w:type="pct"/>
            <w:tcBorders>
              <w:top w:val="nil"/>
              <w:left w:val="nil"/>
              <w:bottom w:val="single" w:sz="4" w:space="0" w:color="auto"/>
              <w:right w:val="single" w:sz="4" w:space="0" w:color="auto"/>
            </w:tcBorders>
            <w:shd w:val="clear" w:color="000000" w:fill="FFFFFF"/>
            <w:vAlign w:val="center"/>
            <w:hideMark/>
          </w:tcPr>
          <w:p w14:paraId="59ECDB6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12.2% had depression therapy in the past</w:t>
            </w:r>
          </w:p>
        </w:tc>
        <w:tc>
          <w:tcPr>
            <w:tcW w:w="538" w:type="pct"/>
            <w:tcBorders>
              <w:top w:val="single" w:sz="4" w:space="0" w:color="auto"/>
              <w:left w:val="nil"/>
              <w:bottom w:val="single" w:sz="4" w:space="0" w:color="auto"/>
              <w:right w:val="single" w:sz="4" w:space="0" w:color="auto"/>
            </w:tcBorders>
            <w:shd w:val="clear" w:color="000000" w:fill="FFFFFF"/>
            <w:hideMark/>
          </w:tcPr>
          <w:p w14:paraId="6EA9543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prevalence of use of contraception was 57.3% and more than half of the HC user suffered from mood disturbances. The highest prevalent was mild mood change (21.6%), while the least prevalent was severe </w:t>
            </w:r>
            <w:r w:rsidRPr="006E1C09">
              <w:rPr>
                <w:rFonts w:ascii="Times New Roman" w:eastAsia="Times New Roman" w:hAnsi="Times New Roman" w:cs="Times New Roman"/>
                <w:kern w:val="0"/>
                <w:sz w:val="24"/>
                <w:szCs w:val="24"/>
                <w:lang w:val="en-CA" w:eastAsia="en-CA"/>
                <w14:ligatures w14:val="none"/>
              </w:rPr>
              <w:lastRenderedPageBreak/>
              <w:t>or extreme mood disturbance (7.5% and 3.1%, respectively). The overall prevalence of clinical depression in our study was 43.3% of the respondents.</w:t>
            </w:r>
            <w:r w:rsidRPr="006E1C09">
              <w:rPr>
                <w:rFonts w:ascii="Times New Roman" w:eastAsia="Times New Roman" w:hAnsi="Times New Roman" w:cs="Times New Roman"/>
                <w:kern w:val="0"/>
                <w:sz w:val="24"/>
                <w:szCs w:val="24"/>
                <w:lang w:val="en-CA" w:eastAsia="en-CA"/>
                <w14:ligatures w14:val="none"/>
              </w:rPr>
              <w:br/>
              <w:t>• Of the participants who had mild mood disturbance, 7.9% had borderline clinical depres</w:t>
            </w:r>
            <w:r w:rsidRPr="006E1C09">
              <w:rPr>
                <w:rFonts w:ascii="Times New Roman" w:eastAsia="Times New Roman" w:hAnsi="Times New Roman" w:cs="Times New Roman"/>
                <w:kern w:val="0"/>
                <w:sz w:val="24"/>
                <w:szCs w:val="24"/>
                <w:lang w:val="en-CA" w:eastAsia="en-CA"/>
                <w14:ligatures w14:val="none"/>
              </w:rPr>
              <w:lastRenderedPageBreak/>
              <w:t>sion, 15.8% had moderate depression, 7.5% had severe depression, 3.1% had extreme depression, and 44% were regular.</w:t>
            </w:r>
            <w:r w:rsidRPr="006E1C09">
              <w:rPr>
                <w:rFonts w:ascii="Times New Roman" w:eastAsia="Times New Roman" w:hAnsi="Times New Roman" w:cs="Times New Roman"/>
                <w:kern w:val="0"/>
                <w:sz w:val="24"/>
                <w:szCs w:val="24"/>
                <w:lang w:val="en-CA" w:eastAsia="en-CA"/>
                <w14:ligatures w14:val="none"/>
              </w:rPr>
              <w:br/>
              <w:t>• There was a statistically significant difference in the degree of depression based on the type of contraception used, contra</w:t>
            </w:r>
            <w:r w:rsidRPr="006E1C09">
              <w:rPr>
                <w:rFonts w:ascii="Times New Roman" w:eastAsia="Times New Roman" w:hAnsi="Times New Roman" w:cs="Times New Roman"/>
                <w:kern w:val="0"/>
                <w:sz w:val="24"/>
                <w:szCs w:val="24"/>
                <w:lang w:val="en-CA" w:eastAsia="en-CA"/>
                <w14:ligatures w14:val="none"/>
              </w:rPr>
              <w:lastRenderedPageBreak/>
              <w:t>ception duration, difference in the social support received, and the presence of health problems in the last two months.</w:t>
            </w:r>
            <w:r w:rsidRPr="006E1C09">
              <w:rPr>
                <w:rFonts w:ascii="Times New Roman" w:eastAsia="Times New Roman" w:hAnsi="Times New Roman" w:cs="Times New Roman"/>
                <w:kern w:val="0"/>
                <w:sz w:val="24"/>
                <w:szCs w:val="24"/>
                <w:lang w:val="en-CA" w:eastAsia="en-CA"/>
                <w14:ligatures w14:val="none"/>
              </w:rPr>
              <w:br/>
              <w:t xml:space="preserve">• There was a statistically significant difference, with a P value &lt;0.001, indicating more cases of depression </w:t>
            </w:r>
            <w:r w:rsidRPr="006E1C09">
              <w:rPr>
                <w:rFonts w:ascii="Times New Roman" w:eastAsia="Times New Roman" w:hAnsi="Times New Roman" w:cs="Times New Roman"/>
                <w:kern w:val="0"/>
                <w:sz w:val="24"/>
                <w:szCs w:val="24"/>
                <w:lang w:val="en-CA" w:eastAsia="en-CA"/>
                <w14:ligatures w14:val="none"/>
              </w:rPr>
              <w:lastRenderedPageBreak/>
              <w:t>in HC users.</w:t>
            </w:r>
          </w:p>
        </w:tc>
      </w:tr>
      <w:tr w:rsidR="006E1C09" w:rsidRPr="00F87E76" w14:paraId="13713507" w14:textId="77777777" w:rsidTr="006E1C09">
        <w:trPr>
          <w:trHeight w:val="283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40713F59"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Khafagy et al., 2021</w:t>
            </w:r>
          </w:p>
        </w:tc>
        <w:tc>
          <w:tcPr>
            <w:tcW w:w="298" w:type="pct"/>
            <w:tcBorders>
              <w:top w:val="nil"/>
              <w:left w:val="nil"/>
              <w:bottom w:val="single" w:sz="4" w:space="0" w:color="auto"/>
              <w:right w:val="single" w:sz="4" w:space="0" w:color="auto"/>
            </w:tcBorders>
            <w:shd w:val="clear" w:color="000000" w:fill="FFFFFF"/>
            <w:vAlign w:val="center"/>
            <w:hideMark/>
          </w:tcPr>
          <w:p w14:paraId="5397FFB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128 women ranging from 18-45 years</w:t>
            </w:r>
          </w:p>
        </w:tc>
        <w:tc>
          <w:tcPr>
            <w:tcW w:w="576" w:type="pct"/>
            <w:tcBorders>
              <w:top w:val="nil"/>
              <w:left w:val="nil"/>
              <w:bottom w:val="single" w:sz="4" w:space="0" w:color="auto"/>
              <w:right w:val="single" w:sz="4" w:space="0" w:color="auto"/>
            </w:tcBorders>
            <w:shd w:val="clear" w:color="000000" w:fill="FFFFFF"/>
            <w:vAlign w:val="center"/>
            <w:hideMark/>
          </w:tcPr>
          <w:p w14:paraId="0938F24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Prospective cohort study</w:t>
            </w:r>
          </w:p>
        </w:tc>
        <w:tc>
          <w:tcPr>
            <w:tcW w:w="487" w:type="pct"/>
            <w:tcBorders>
              <w:top w:val="nil"/>
              <w:left w:val="nil"/>
              <w:bottom w:val="single" w:sz="4" w:space="0" w:color="auto"/>
              <w:right w:val="single" w:sz="4" w:space="0" w:color="auto"/>
            </w:tcBorders>
            <w:shd w:val="clear" w:color="000000" w:fill="FFFFFF"/>
            <w:vAlign w:val="center"/>
            <w:hideMark/>
          </w:tcPr>
          <w:p w14:paraId="68B38AD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estimate the severity of adverse mood in combined contraceptive use.</w:t>
            </w:r>
          </w:p>
        </w:tc>
        <w:tc>
          <w:tcPr>
            <w:tcW w:w="533" w:type="pct"/>
            <w:tcBorders>
              <w:top w:val="nil"/>
              <w:left w:val="nil"/>
              <w:bottom w:val="single" w:sz="4" w:space="0" w:color="auto"/>
              <w:right w:val="single" w:sz="4" w:space="0" w:color="auto"/>
            </w:tcBorders>
            <w:shd w:val="clear" w:color="000000" w:fill="FFFFFF"/>
            <w:vAlign w:val="center"/>
            <w:hideMark/>
          </w:tcPr>
          <w:p w14:paraId="4AE286B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CIC (group A) : Ampule containing 50 mg norethisterone enanthate and 5 mg estradiol valerate in oily solution. COCs (group B): progestin-estrogen combination for oral contraception,  with 0.15 </w:t>
            </w:r>
            <w:r w:rsidRPr="006E1C09">
              <w:rPr>
                <w:rFonts w:ascii="Times New Roman" w:eastAsia="Times New Roman" w:hAnsi="Times New Roman" w:cs="Times New Roman"/>
                <w:kern w:val="0"/>
                <w:sz w:val="24"/>
                <w:szCs w:val="24"/>
                <w:lang w:val="en-CA" w:eastAsia="en-CA"/>
                <w14:ligatures w14:val="none"/>
              </w:rPr>
              <w:lastRenderedPageBreak/>
              <w:t>mg levonorgestrel and 0.03 mg Ethinyl estradiol. Copper T IUD (group C).</w:t>
            </w:r>
          </w:p>
        </w:tc>
        <w:tc>
          <w:tcPr>
            <w:tcW w:w="346" w:type="pct"/>
            <w:tcBorders>
              <w:top w:val="nil"/>
              <w:left w:val="nil"/>
              <w:bottom w:val="single" w:sz="4" w:space="0" w:color="auto"/>
              <w:right w:val="single" w:sz="4" w:space="0" w:color="auto"/>
            </w:tcBorders>
            <w:shd w:val="clear" w:color="000000" w:fill="FFFFFF"/>
            <w:vAlign w:val="center"/>
            <w:hideMark/>
          </w:tcPr>
          <w:p w14:paraId="6F57EDA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6 months</w:t>
            </w:r>
          </w:p>
        </w:tc>
        <w:tc>
          <w:tcPr>
            <w:tcW w:w="484" w:type="pct"/>
            <w:tcBorders>
              <w:top w:val="nil"/>
              <w:left w:val="nil"/>
              <w:bottom w:val="single" w:sz="4" w:space="0" w:color="auto"/>
              <w:right w:val="single" w:sz="4" w:space="0" w:color="auto"/>
            </w:tcBorders>
            <w:shd w:val="clear" w:color="000000" w:fill="FFFFFF"/>
            <w:vAlign w:val="center"/>
            <w:hideMark/>
          </w:tcPr>
          <w:p w14:paraId="1B46111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Both CIC and COC users experienced statistically significant increases in mild depression scores</w:t>
            </w:r>
          </w:p>
        </w:tc>
        <w:tc>
          <w:tcPr>
            <w:tcW w:w="372" w:type="pct"/>
            <w:tcBorders>
              <w:top w:val="nil"/>
              <w:left w:val="nil"/>
              <w:bottom w:val="single" w:sz="4" w:space="0" w:color="auto"/>
              <w:right w:val="single" w:sz="4" w:space="0" w:color="auto"/>
            </w:tcBorders>
            <w:shd w:val="clear" w:color="000000" w:fill="FFFFFF"/>
            <w:vAlign w:val="center"/>
            <w:hideMark/>
          </w:tcPr>
          <w:p w14:paraId="6A097F88"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096E73C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Depressive symptoms in the intermenstrual phase using the validated Arabic form of the Patient Health Questionnaire-9 (PHQ-9).</w:t>
            </w:r>
          </w:p>
        </w:tc>
        <w:tc>
          <w:tcPr>
            <w:tcW w:w="423" w:type="pct"/>
            <w:tcBorders>
              <w:top w:val="nil"/>
              <w:left w:val="nil"/>
              <w:bottom w:val="single" w:sz="4" w:space="0" w:color="auto"/>
              <w:right w:val="single" w:sz="4" w:space="0" w:color="auto"/>
            </w:tcBorders>
            <w:shd w:val="clear" w:color="000000" w:fill="FFFFFF"/>
            <w:vAlign w:val="center"/>
            <w:hideMark/>
          </w:tcPr>
          <w:p w14:paraId="6D5B637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22.7% of COC users, 22.5% of CIC users and 12.5% of IUD users had mild depression.</w:t>
            </w:r>
          </w:p>
        </w:tc>
        <w:tc>
          <w:tcPr>
            <w:tcW w:w="538" w:type="pct"/>
            <w:tcBorders>
              <w:top w:val="single" w:sz="4" w:space="0" w:color="auto"/>
              <w:left w:val="nil"/>
              <w:bottom w:val="single" w:sz="4" w:space="0" w:color="auto"/>
              <w:right w:val="single" w:sz="4" w:space="0" w:color="auto"/>
            </w:tcBorders>
            <w:shd w:val="clear" w:color="000000" w:fill="FFFFFF"/>
            <w:hideMark/>
          </w:tcPr>
          <w:p w14:paraId="6602C5F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There were statistically significant differences between the three studied groups in terms of the PHQ-9 score after 6 months of follow-up (P&lt;0.05).</w:t>
            </w:r>
            <w:r w:rsidRPr="006E1C09">
              <w:rPr>
                <w:rFonts w:ascii="Times New Roman" w:eastAsia="Times New Roman" w:hAnsi="Times New Roman" w:cs="Times New Roman"/>
                <w:kern w:val="0"/>
                <w:sz w:val="24"/>
                <w:szCs w:val="24"/>
                <w:lang w:val="en-CA" w:eastAsia="en-CA"/>
                <w14:ligatures w14:val="none"/>
              </w:rPr>
              <w:br/>
              <w:t xml:space="preserve">• The mean change in PHQ-9 score was higher in the </w:t>
            </w:r>
            <w:r w:rsidRPr="006E1C09">
              <w:rPr>
                <w:rFonts w:ascii="Times New Roman" w:eastAsia="Times New Roman" w:hAnsi="Times New Roman" w:cs="Times New Roman"/>
                <w:kern w:val="0"/>
                <w:sz w:val="24"/>
                <w:szCs w:val="24"/>
                <w:lang w:val="en-CA" w:eastAsia="en-CA"/>
                <w14:ligatures w14:val="none"/>
              </w:rPr>
              <w:lastRenderedPageBreak/>
              <w:t xml:space="preserve">combined injectable users, although this difference was not statistically significant compared to oral contraceptives (P=0.51). </w:t>
            </w:r>
            <w:r w:rsidRPr="006E1C09">
              <w:rPr>
                <w:rFonts w:ascii="Times New Roman" w:eastAsia="Times New Roman" w:hAnsi="Times New Roman" w:cs="Times New Roman"/>
                <w:kern w:val="0"/>
                <w:sz w:val="24"/>
                <w:szCs w:val="24"/>
                <w:lang w:val="en-CA" w:eastAsia="en-CA"/>
                <w14:ligatures w14:val="none"/>
              </w:rPr>
              <w:br/>
              <w:t>• There were statistically significant differences between the pre- and post-results of groups with CIC and COCs regard</w:t>
            </w:r>
            <w:r w:rsidRPr="006E1C09">
              <w:rPr>
                <w:rFonts w:ascii="Times New Roman" w:eastAsia="Times New Roman" w:hAnsi="Times New Roman" w:cs="Times New Roman"/>
                <w:kern w:val="0"/>
                <w:sz w:val="24"/>
                <w:szCs w:val="24"/>
                <w:lang w:val="en-CA" w:eastAsia="en-CA"/>
                <w14:ligatures w14:val="none"/>
              </w:rPr>
              <w:lastRenderedPageBreak/>
              <w:t xml:space="preserve">ing PHQ-9 score after 6 months of follow-up (P&lt;0.05). </w:t>
            </w:r>
            <w:r w:rsidRPr="006E1C09">
              <w:rPr>
                <w:rFonts w:ascii="Times New Roman" w:eastAsia="Times New Roman" w:hAnsi="Times New Roman" w:cs="Times New Roman"/>
                <w:kern w:val="0"/>
                <w:sz w:val="24"/>
                <w:szCs w:val="24"/>
                <w:lang w:val="en-CA" w:eastAsia="en-CA"/>
                <w14:ligatures w14:val="none"/>
              </w:rPr>
              <w:br/>
              <w:t>• There were statistically significant differences between groups with CIC and COCs in terms of the PHQ-9 score after 6 months of follow-up (P&lt;0.05).</w:t>
            </w:r>
            <w:r w:rsidRPr="006E1C09">
              <w:rPr>
                <w:rFonts w:ascii="Times New Roman" w:eastAsia="Times New Roman" w:hAnsi="Times New Roman" w:cs="Times New Roman"/>
                <w:kern w:val="0"/>
                <w:sz w:val="24"/>
                <w:szCs w:val="24"/>
                <w:lang w:val="en-CA" w:eastAsia="en-CA"/>
                <w14:ligatures w14:val="none"/>
              </w:rPr>
              <w:br/>
              <w:t>• After 6 months of follow</w:t>
            </w:r>
            <w:r w:rsidRPr="006E1C09">
              <w:rPr>
                <w:rFonts w:ascii="Times New Roman" w:eastAsia="Times New Roman" w:hAnsi="Times New Roman" w:cs="Times New Roman"/>
                <w:kern w:val="0"/>
                <w:sz w:val="24"/>
                <w:szCs w:val="24"/>
                <w:lang w:val="en-CA" w:eastAsia="en-CA"/>
                <w14:ligatures w14:val="none"/>
              </w:rPr>
              <w:lastRenderedPageBreak/>
              <w:t>-up, 54.5% of the women in group A, 50% of the women in group B, and 27% of the women in group C became mildly depressed; these increases were statistically significant in group A (P=0.006) and group B (P=0.03).</w:t>
            </w:r>
            <w:r w:rsidRPr="006E1C09">
              <w:rPr>
                <w:rFonts w:ascii="Times New Roman" w:eastAsia="Times New Roman" w:hAnsi="Times New Roman" w:cs="Times New Roman"/>
                <w:kern w:val="0"/>
                <w:sz w:val="24"/>
                <w:szCs w:val="24"/>
                <w:lang w:val="en-CA" w:eastAsia="en-CA"/>
                <w14:ligatures w14:val="none"/>
              </w:rPr>
              <w:br/>
              <w:t>• There were statisti</w:t>
            </w:r>
            <w:r w:rsidRPr="006E1C09">
              <w:rPr>
                <w:rFonts w:ascii="Times New Roman" w:eastAsia="Times New Roman" w:hAnsi="Times New Roman" w:cs="Times New Roman"/>
                <w:kern w:val="0"/>
                <w:sz w:val="24"/>
                <w:szCs w:val="24"/>
                <w:lang w:val="en-CA" w:eastAsia="en-CA"/>
                <w14:ligatures w14:val="none"/>
              </w:rPr>
              <w:lastRenderedPageBreak/>
              <w:t>cally significant mild increases in the PHQ-9 scores of CIC users and COC users after the 6-month follow-up period.</w:t>
            </w:r>
            <w:r w:rsidRPr="006E1C09">
              <w:rPr>
                <w:rFonts w:ascii="Times New Roman" w:eastAsia="Times New Roman" w:hAnsi="Times New Roman" w:cs="Times New Roman"/>
                <w:kern w:val="0"/>
                <w:sz w:val="24"/>
                <w:szCs w:val="24"/>
                <w:lang w:val="en-CA" w:eastAsia="en-CA"/>
                <w14:ligatures w14:val="none"/>
              </w:rPr>
              <w:br/>
              <w:t>• After the 6-month follow-up period, a statistically significant difference (P&lt;0.05) was observed regarding the PHQ-</w:t>
            </w:r>
            <w:r w:rsidRPr="006E1C09">
              <w:rPr>
                <w:rFonts w:ascii="Times New Roman" w:eastAsia="Times New Roman" w:hAnsi="Times New Roman" w:cs="Times New Roman"/>
                <w:kern w:val="0"/>
                <w:sz w:val="24"/>
                <w:szCs w:val="24"/>
                <w:lang w:val="en-CA" w:eastAsia="en-CA"/>
                <w14:ligatures w14:val="none"/>
              </w:rPr>
              <w:lastRenderedPageBreak/>
              <w:t>9 score, where group A, monthly combined injectable contraceptive users, had the highest mean value (5.2+/-2.1), followed by group B, the COC users, (4.6+/-2.03)</w:t>
            </w:r>
          </w:p>
        </w:tc>
      </w:tr>
      <w:tr w:rsidR="006E1C09" w:rsidRPr="00F87E76" w14:paraId="4CCA4630" w14:textId="77777777" w:rsidTr="006E1C09">
        <w:trPr>
          <w:trHeight w:val="504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90C0C08"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Morssinkhof et al., 2021</w:t>
            </w:r>
          </w:p>
        </w:tc>
        <w:tc>
          <w:tcPr>
            <w:tcW w:w="298" w:type="pct"/>
            <w:tcBorders>
              <w:top w:val="nil"/>
              <w:left w:val="nil"/>
              <w:bottom w:val="single" w:sz="4" w:space="0" w:color="auto"/>
              <w:right w:val="single" w:sz="4" w:space="0" w:color="auto"/>
            </w:tcBorders>
            <w:shd w:val="clear" w:color="000000" w:fill="FFFFFF"/>
            <w:vAlign w:val="center"/>
            <w:hideMark/>
          </w:tcPr>
          <w:p w14:paraId="5E367B7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1 205 women (mean age 31.9 and 38.1)</w:t>
            </w:r>
          </w:p>
        </w:tc>
        <w:tc>
          <w:tcPr>
            <w:tcW w:w="576" w:type="pct"/>
            <w:tcBorders>
              <w:top w:val="nil"/>
              <w:left w:val="nil"/>
              <w:bottom w:val="single" w:sz="4" w:space="0" w:color="auto"/>
              <w:right w:val="single" w:sz="4" w:space="0" w:color="auto"/>
            </w:tcBorders>
            <w:shd w:val="clear" w:color="000000" w:fill="FFFFFF"/>
            <w:vAlign w:val="center"/>
            <w:hideMark/>
          </w:tcPr>
          <w:p w14:paraId="6B2BD8C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Observational study utilising data from the Netherlands Study on Depression and Anxiety (NESDA).</w:t>
            </w:r>
          </w:p>
        </w:tc>
        <w:tc>
          <w:tcPr>
            <w:tcW w:w="487" w:type="pct"/>
            <w:tcBorders>
              <w:top w:val="nil"/>
              <w:left w:val="nil"/>
              <w:bottom w:val="single" w:sz="4" w:space="0" w:color="auto"/>
              <w:right w:val="single" w:sz="4" w:space="0" w:color="auto"/>
            </w:tcBorders>
            <w:shd w:val="clear" w:color="000000" w:fill="FFFFFF"/>
            <w:vAlign w:val="bottom"/>
            <w:hideMark/>
          </w:tcPr>
          <w:p w14:paraId="0C29166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investigate the association between self-reported OC use and depressive symptom severity (including atypical depressive symptoms) and insomnia symptom severity in adult women, as well as the association between OC use </w:t>
            </w:r>
            <w:r w:rsidRPr="006E1C09">
              <w:rPr>
                <w:rFonts w:ascii="Times New Roman" w:eastAsia="Times New Roman" w:hAnsi="Times New Roman" w:cs="Times New Roman"/>
                <w:kern w:val="0"/>
                <w:sz w:val="24"/>
                <w:szCs w:val="24"/>
                <w:lang w:val="en-CA" w:eastAsia="en-CA"/>
                <w14:ligatures w14:val="none"/>
              </w:rPr>
              <w:lastRenderedPageBreak/>
              <w:t xml:space="preserve">and concurrent diagnoses of major depressive disorder (MDD) and dysthymia. To assess if a previous or current depression diagnosis moderates the association between OC use and depressive and insomnia symptom </w:t>
            </w:r>
            <w:r w:rsidRPr="006E1C09">
              <w:rPr>
                <w:rFonts w:ascii="Times New Roman" w:eastAsia="Times New Roman" w:hAnsi="Times New Roman" w:cs="Times New Roman"/>
                <w:kern w:val="0"/>
                <w:sz w:val="24"/>
                <w:szCs w:val="24"/>
                <w:lang w:val="en-CA" w:eastAsia="en-CA"/>
                <w14:ligatures w14:val="none"/>
              </w:rPr>
              <w:lastRenderedPageBreak/>
              <w:t>severity.</w:t>
            </w:r>
          </w:p>
        </w:tc>
        <w:tc>
          <w:tcPr>
            <w:tcW w:w="533" w:type="pct"/>
            <w:tcBorders>
              <w:top w:val="nil"/>
              <w:left w:val="nil"/>
              <w:bottom w:val="single" w:sz="4" w:space="0" w:color="auto"/>
              <w:right w:val="single" w:sz="4" w:space="0" w:color="auto"/>
            </w:tcBorders>
            <w:shd w:val="clear" w:color="000000" w:fill="FFFFFF"/>
            <w:vAlign w:val="center"/>
            <w:hideMark/>
          </w:tcPr>
          <w:p w14:paraId="1F4C3BE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contraceptives (OCs)</w:t>
            </w:r>
          </w:p>
        </w:tc>
        <w:tc>
          <w:tcPr>
            <w:tcW w:w="346" w:type="pct"/>
            <w:tcBorders>
              <w:top w:val="nil"/>
              <w:left w:val="nil"/>
              <w:bottom w:val="single" w:sz="4" w:space="0" w:color="auto"/>
              <w:right w:val="single" w:sz="4" w:space="0" w:color="auto"/>
            </w:tcBorders>
            <w:shd w:val="clear" w:color="000000" w:fill="FFFFFF"/>
            <w:vAlign w:val="center"/>
            <w:hideMark/>
          </w:tcPr>
          <w:p w14:paraId="4AA34E1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2, 4, 6 and 9 years after the baseline measurement</w:t>
            </w:r>
          </w:p>
        </w:tc>
        <w:tc>
          <w:tcPr>
            <w:tcW w:w="484" w:type="pct"/>
            <w:tcBorders>
              <w:top w:val="nil"/>
              <w:left w:val="nil"/>
              <w:bottom w:val="single" w:sz="4" w:space="0" w:color="auto"/>
              <w:right w:val="single" w:sz="4" w:space="0" w:color="auto"/>
            </w:tcBorders>
            <w:shd w:val="clear" w:color="000000" w:fill="FFFFFF"/>
            <w:vAlign w:val="center"/>
            <w:hideMark/>
          </w:tcPr>
          <w:p w14:paraId="75F75FC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 (OC) use was not significantly associated with higher prevalence of major depressive disorder (MDD), or dysthymia</w:t>
            </w:r>
          </w:p>
        </w:tc>
        <w:tc>
          <w:tcPr>
            <w:tcW w:w="372" w:type="pct"/>
            <w:tcBorders>
              <w:top w:val="nil"/>
              <w:left w:val="nil"/>
              <w:bottom w:val="single" w:sz="4" w:space="0" w:color="auto"/>
              <w:right w:val="single" w:sz="4" w:space="0" w:color="auto"/>
            </w:tcBorders>
            <w:shd w:val="clear" w:color="000000" w:fill="FFFFFF"/>
            <w:vAlign w:val="center"/>
            <w:hideMark/>
          </w:tcPr>
          <w:p w14:paraId="2E235C6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 (OC) use was not significantly associated with more severe depressive symptoms.</w:t>
            </w:r>
          </w:p>
        </w:tc>
        <w:tc>
          <w:tcPr>
            <w:tcW w:w="611" w:type="pct"/>
            <w:tcBorders>
              <w:top w:val="nil"/>
              <w:left w:val="nil"/>
              <w:bottom w:val="single" w:sz="4" w:space="0" w:color="auto"/>
              <w:right w:val="single" w:sz="4" w:space="0" w:color="auto"/>
            </w:tcBorders>
            <w:shd w:val="clear" w:color="000000" w:fill="FFFFFF"/>
            <w:vAlign w:val="center"/>
            <w:hideMark/>
          </w:tcPr>
          <w:p w14:paraId="1D9D550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MDD or dysthymia assessed by the Composite International Diagnostic Interview (CIDI, version 2.1). To assess the severity of depressive symptoms, all participants filled out the Self Rated Inventory of Depressive Symptomatology (IDS-SR). To assess insomnia </w:t>
            </w:r>
            <w:r w:rsidRPr="006E1C09">
              <w:rPr>
                <w:rFonts w:ascii="Times New Roman" w:eastAsia="Times New Roman" w:hAnsi="Times New Roman" w:cs="Times New Roman"/>
                <w:kern w:val="0"/>
                <w:sz w:val="24"/>
                <w:szCs w:val="24"/>
                <w:lang w:val="en-CA" w:eastAsia="en-CA"/>
                <w14:ligatures w14:val="none"/>
              </w:rPr>
              <w:t>symptom severity, participants filled-out the Women’s Health Insomnia Rating Scale (WHI-IRS)</w:t>
            </w:r>
          </w:p>
        </w:tc>
        <w:tc>
          <w:tcPr>
            <w:tcW w:w="423" w:type="pct"/>
            <w:tcBorders>
              <w:top w:val="nil"/>
              <w:left w:val="nil"/>
              <w:bottom w:val="single" w:sz="4" w:space="0" w:color="auto"/>
              <w:right w:val="single" w:sz="4" w:space="0" w:color="auto"/>
            </w:tcBorders>
            <w:shd w:val="clear" w:color="000000" w:fill="FFFFFF"/>
            <w:vAlign w:val="center"/>
            <w:hideMark/>
          </w:tcPr>
          <w:p w14:paraId="37D2E2E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In the OC group : 28.4% with current MDD or dysthymia, 51.0% with remitted MDD or dysthymia</w:t>
            </w:r>
          </w:p>
        </w:tc>
        <w:tc>
          <w:tcPr>
            <w:tcW w:w="538" w:type="pct"/>
            <w:tcBorders>
              <w:top w:val="single" w:sz="4" w:space="0" w:color="auto"/>
              <w:left w:val="nil"/>
              <w:bottom w:val="single" w:sz="4" w:space="0" w:color="auto"/>
              <w:right w:val="single" w:sz="4" w:space="0" w:color="auto"/>
            </w:tcBorders>
            <w:shd w:val="clear" w:color="000000" w:fill="FFFFFF"/>
            <w:hideMark/>
          </w:tcPr>
          <w:p w14:paraId="3058769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No indications that self-reported OC status was associated with more severe depressive symptoms (including symptoms of atypical depression), nor with higher prevalence of MDD or dysthymia. Having a previous or current diagnosis of </w:t>
            </w:r>
            <w:r w:rsidRPr="006E1C09">
              <w:rPr>
                <w:rFonts w:ascii="Times New Roman" w:eastAsia="Times New Roman" w:hAnsi="Times New Roman" w:cs="Times New Roman"/>
                <w:kern w:val="0"/>
                <w:sz w:val="24"/>
                <w:szCs w:val="24"/>
                <w:lang w:val="en-CA" w:eastAsia="en-CA"/>
                <w14:ligatures w14:val="none"/>
              </w:rPr>
              <w:lastRenderedPageBreak/>
              <w:t>MDD or</w:t>
            </w:r>
            <w:r w:rsidRPr="006E1C09">
              <w:rPr>
                <w:rFonts w:ascii="Times New Roman" w:eastAsia="Times New Roman" w:hAnsi="Times New Roman" w:cs="Times New Roman"/>
                <w:kern w:val="0"/>
                <w:sz w:val="24"/>
                <w:szCs w:val="24"/>
                <w:lang w:val="en-CA" w:eastAsia="en-CA"/>
                <w14:ligatures w14:val="none"/>
              </w:rPr>
              <w:br/>
              <w:t xml:space="preserve">dysthymia did not moderate the associations between OC use and insomnia or depressive symptoms. </w:t>
            </w:r>
            <w:r w:rsidRPr="006E1C09">
              <w:rPr>
                <w:rFonts w:ascii="Times New Roman" w:eastAsia="Times New Roman" w:hAnsi="Times New Roman" w:cs="Times New Roman"/>
                <w:kern w:val="0"/>
                <w:sz w:val="24"/>
                <w:szCs w:val="24"/>
                <w:lang w:val="en-CA" w:eastAsia="en-CA"/>
                <w14:ligatures w14:val="none"/>
              </w:rPr>
              <w:br/>
              <w:t xml:space="preserve">• Statistically significant difference in the IDS-SR scores between OC and NC measurements of 0.90 points (95%-CI = (0.00, 1.80); p = </w:t>
            </w:r>
            <w:r w:rsidRPr="006E1C09">
              <w:rPr>
                <w:rFonts w:ascii="Times New Roman" w:eastAsia="Times New Roman" w:hAnsi="Times New Roman" w:cs="Times New Roman"/>
                <w:kern w:val="0"/>
                <w:sz w:val="24"/>
                <w:szCs w:val="24"/>
                <w:lang w:val="en-CA" w:eastAsia="en-CA"/>
                <w14:ligatures w14:val="none"/>
              </w:rPr>
              <w:lastRenderedPageBreak/>
              <w:t xml:space="preserve">0.049), although this difference was small in terms of effect size (Cohen’s d = 0.07) due to large differences within the groups, resulting in a high SD. This difference in IDS-SR scores was no longer significant after adjustment for </w:t>
            </w:r>
            <w:r w:rsidRPr="006E1C09">
              <w:rPr>
                <w:rFonts w:ascii="Times New Roman" w:eastAsia="Times New Roman" w:hAnsi="Times New Roman" w:cs="Times New Roman"/>
                <w:kern w:val="0"/>
                <w:sz w:val="24"/>
                <w:szCs w:val="24"/>
                <w:lang w:val="en-CA" w:eastAsia="en-CA"/>
                <w14:ligatures w14:val="none"/>
              </w:rPr>
              <w:lastRenderedPageBreak/>
              <w:t xml:space="preserve">the demographic covariates (B = 0.10, 95%-CI = (- 0.80, 1.00), p = 0.83). </w:t>
            </w:r>
            <w:r w:rsidRPr="006E1C09">
              <w:rPr>
                <w:rFonts w:ascii="Times New Roman" w:eastAsia="Times New Roman" w:hAnsi="Times New Roman" w:cs="Times New Roman"/>
                <w:kern w:val="0"/>
                <w:sz w:val="24"/>
                <w:szCs w:val="24"/>
                <w:lang w:val="en-CA" w:eastAsia="en-CA"/>
                <w14:ligatures w14:val="none"/>
              </w:rPr>
              <w:br/>
              <w:t>• OC use was not associated with higher atypical depressive sub-scores in both the unadjusted and adjusted model.</w:t>
            </w:r>
            <w:r w:rsidRPr="006E1C09">
              <w:rPr>
                <w:rFonts w:ascii="Times New Roman" w:eastAsia="Times New Roman" w:hAnsi="Times New Roman" w:cs="Times New Roman"/>
                <w:kern w:val="0"/>
                <w:sz w:val="24"/>
                <w:szCs w:val="24"/>
                <w:lang w:val="en-CA" w:eastAsia="en-CA"/>
                <w14:ligatures w14:val="none"/>
              </w:rPr>
              <w:br/>
              <w:t xml:space="preserve">• Measurements during OC use </w:t>
            </w:r>
            <w:r w:rsidRPr="006E1C09">
              <w:rPr>
                <w:rFonts w:ascii="Times New Roman" w:eastAsia="Times New Roman" w:hAnsi="Times New Roman" w:cs="Times New Roman"/>
                <w:kern w:val="0"/>
                <w:sz w:val="24"/>
                <w:szCs w:val="24"/>
                <w:lang w:val="en-CA" w:eastAsia="en-CA"/>
                <w14:ligatures w14:val="none"/>
              </w:rPr>
              <w:lastRenderedPageBreak/>
              <w:t xml:space="preserve">did not show a significantly different prevalence of MDD diagnoses in comparison to the NC measurements in the adjusted model (Odds Ratio (OR) = 0.99, 95%- CI = (0.77, 1.27), p = 0.93). </w:t>
            </w:r>
            <w:r w:rsidRPr="006E1C09">
              <w:rPr>
                <w:rFonts w:ascii="Times New Roman" w:eastAsia="Times New Roman" w:hAnsi="Times New Roman" w:cs="Times New Roman"/>
                <w:kern w:val="0"/>
                <w:sz w:val="24"/>
                <w:szCs w:val="24"/>
                <w:lang w:val="en-CA" w:eastAsia="en-CA"/>
                <w14:ligatures w14:val="none"/>
              </w:rPr>
              <w:br/>
              <w:t xml:space="preserve">• Prevalence of dysthymia diagnoses also </w:t>
            </w:r>
            <w:r w:rsidRPr="006E1C09">
              <w:rPr>
                <w:rFonts w:ascii="Times New Roman" w:eastAsia="Times New Roman" w:hAnsi="Times New Roman" w:cs="Times New Roman"/>
                <w:kern w:val="0"/>
                <w:sz w:val="24"/>
                <w:szCs w:val="24"/>
                <w:lang w:val="en-CA" w:eastAsia="en-CA"/>
                <w14:ligatures w14:val="none"/>
              </w:rPr>
              <w:lastRenderedPageBreak/>
              <w:t>did not differ significantly between OC and NC measurements (adjusted model: OR = 0.65, 95%-CI = (0.32, 1.27), p = 0.21</w:t>
            </w:r>
            <w:r w:rsidRPr="006E1C09">
              <w:rPr>
                <w:rFonts w:ascii="Times New Roman" w:eastAsia="Times New Roman" w:hAnsi="Times New Roman" w:cs="Times New Roman"/>
                <w:kern w:val="0"/>
                <w:sz w:val="24"/>
                <w:szCs w:val="24"/>
                <w:lang w:val="en-CA" w:eastAsia="en-CA"/>
                <w14:ligatures w14:val="none"/>
              </w:rPr>
              <w:br/>
              <w:t>• Higher WHI-IRS score during OC use in the unadjusted model, although this difference was not signifi</w:t>
            </w:r>
            <w:r w:rsidRPr="006E1C09">
              <w:rPr>
                <w:rFonts w:ascii="Times New Roman" w:eastAsia="Times New Roman" w:hAnsi="Times New Roman" w:cs="Times New Roman"/>
                <w:kern w:val="0"/>
                <w:sz w:val="24"/>
                <w:szCs w:val="24"/>
                <w:lang w:val="en-CA" w:eastAsia="en-CA"/>
                <w14:ligatures w14:val="none"/>
              </w:rPr>
              <w:lastRenderedPageBreak/>
              <w:t xml:space="preserve">cant. </w:t>
            </w:r>
            <w:r w:rsidRPr="006E1C09">
              <w:rPr>
                <w:rFonts w:ascii="Times New Roman" w:eastAsia="Times New Roman" w:hAnsi="Times New Roman" w:cs="Times New Roman"/>
                <w:kern w:val="0"/>
                <w:sz w:val="24"/>
                <w:szCs w:val="24"/>
                <w:lang w:val="en-CA" w:eastAsia="en-CA"/>
                <w14:ligatures w14:val="none"/>
              </w:rPr>
              <w:br/>
              <w:t xml:space="preserve">• The adjusted model, which included adjustments for age, country of birth and education resulted in a significant difference between OC and NC measurements of 0.54 points (B = 0.54, 95%-CI = (0.17, 0.91), p = 0.004; Table 2). The </w:t>
            </w:r>
            <w:r w:rsidRPr="006E1C09">
              <w:rPr>
                <w:rFonts w:ascii="Times New Roman" w:eastAsia="Times New Roman" w:hAnsi="Times New Roman" w:cs="Times New Roman"/>
                <w:kern w:val="0"/>
                <w:sz w:val="24"/>
                <w:szCs w:val="24"/>
                <w:lang w:val="en-CA" w:eastAsia="en-CA"/>
                <w14:ligatures w14:val="none"/>
              </w:rPr>
              <w:lastRenderedPageBreak/>
              <w:t>Cohen’s d effect size of the difference in WHI-IRS score was 0.12, meaning the effect size for the association between OC use and insomnia symptoms is small</w:t>
            </w:r>
          </w:p>
        </w:tc>
      </w:tr>
      <w:tr w:rsidR="006E1C09" w:rsidRPr="00F87E76" w14:paraId="70EB3B13"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6F37648"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Ross et al., 2021</w:t>
            </w:r>
          </w:p>
        </w:tc>
        <w:tc>
          <w:tcPr>
            <w:tcW w:w="298" w:type="pct"/>
            <w:tcBorders>
              <w:top w:val="nil"/>
              <w:left w:val="nil"/>
              <w:bottom w:val="single" w:sz="4" w:space="0" w:color="auto"/>
              <w:right w:val="single" w:sz="4" w:space="0" w:color="auto"/>
            </w:tcBorders>
            <w:shd w:val="clear" w:color="000000" w:fill="FFFFFF"/>
            <w:vAlign w:val="center"/>
            <w:hideMark/>
          </w:tcPr>
          <w:p w14:paraId="450D6FA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68 women aged ≥ 18 years </w:t>
            </w:r>
          </w:p>
        </w:tc>
        <w:tc>
          <w:tcPr>
            <w:tcW w:w="576" w:type="pct"/>
            <w:tcBorders>
              <w:top w:val="nil"/>
              <w:left w:val="nil"/>
              <w:bottom w:val="single" w:sz="4" w:space="0" w:color="auto"/>
              <w:right w:val="single" w:sz="4" w:space="0" w:color="auto"/>
            </w:tcBorders>
            <w:shd w:val="clear" w:color="000000" w:fill="FFFFFF"/>
            <w:vAlign w:val="center"/>
            <w:hideMark/>
          </w:tcPr>
          <w:p w14:paraId="2F80A4F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Prospective pilot cohort study</w:t>
            </w:r>
          </w:p>
        </w:tc>
        <w:tc>
          <w:tcPr>
            <w:tcW w:w="487" w:type="pct"/>
            <w:tcBorders>
              <w:top w:val="nil"/>
              <w:left w:val="nil"/>
              <w:bottom w:val="single" w:sz="4" w:space="0" w:color="auto"/>
              <w:right w:val="single" w:sz="4" w:space="0" w:color="auto"/>
            </w:tcBorders>
            <w:shd w:val="clear" w:color="000000" w:fill="FFFFFF"/>
            <w:vAlign w:val="bottom"/>
            <w:hideMark/>
          </w:tcPr>
          <w:p w14:paraId="754689E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assess the feasibility of comparing the rates of positive postpartum depre</w:t>
            </w:r>
            <w:r w:rsidRPr="006E1C09">
              <w:rPr>
                <w:rFonts w:ascii="Times New Roman" w:eastAsia="Times New Roman" w:hAnsi="Times New Roman" w:cs="Times New Roman"/>
                <w:kern w:val="0"/>
                <w:sz w:val="24"/>
                <w:szCs w:val="24"/>
                <w:lang w:val="en-CA" w:eastAsia="en-CA"/>
                <w14:ligatures w14:val="none"/>
              </w:rPr>
              <w:lastRenderedPageBreak/>
              <w:t>ssion screens in women using immediate postpartum ENG implants with women using non hormonal contraception.</w:t>
            </w:r>
          </w:p>
        </w:tc>
        <w:tc>
          <w:tcPr>
            <w:tcW w:w="533" w:type="pct"/>
            <w:tcBorders>
              <w:top w:val="nil"/>
              <w:left w:val="nil"/>
              <w:bottom w:val="single" w:sz="4" w:space="0" w:color="auto"/>
              <w:right w:val="single" w:sz="4" w:space="0" w:color="auto"/>
            </w:tcBorders>
            <w:shd w:val="clear" w:color="000000" w:fill="FFFFFF"/>
            <w:vAlign w:val="center"/>
            <w:hideMark/>
          </w:tcPr>
          <w:p w14:paraId="2E243BE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Immediate postpartum etonogestrel implants.</w:t>
            </w:r>
            <w:r w:rsidRPr="006E1C09">
              <w:rPr>
                <w:rFonts w:ascii="Times New Roman" w:eastAsia="Times New Roman" w:hAnsi="Times New Roman" w:cs="Times New Roman"/>
                <w:kern w:val="0"/>
                <w:sz w:val="24"/>
                <w:szCs w:val="24"/>
                <w:lang w:val="en-CA" w:eastAsia="en-CA"/>
                <w14:ligatures w14:val="none"/>
              </w:rPr>
              <w:br/>
              <w:t xml:space="preserve">Non-hormonal contraception or </w:t>
            </w:r>
            <w:r w:rsidRPr="006E1C09">
              <w:rPr>
                <w:rFonts w:ascii="Times New Roman" w:eastAsia="Times New Roman" w:hAnsi="Times New Roman" w:cs="Times New Roman"/>
                <w:kern w:val="0"/>
                <w:sz w:val="24"/>
                <w:szCs w:val="24"/>
                <w:lang w:val="en-CA" w:eastAsia="en-CA"/>
                <w14:ligatures w14:val="none"/>
              </w:rPr>
              <w:lastRenderedPageBreak/>
              <w:t>sterilization</w:t>
            </w:r>
          </w:p>
        </w:tc>
        <w:tc>
          <w:tcPr>
            <w:tcW w:w="346" w:type="pct"/>
            <w:tcBorders>
              <w:top w:val="nil"/>
              <w:left w:val="nil"/>
              <w:bottom w:val="single" w:sz="4" w:space="0" w:color="auto"/>
              <w:right w:val="single" w:sz="4" w:space="0" w:color="auto"/>
            </w:tcBorders>
            <w:shd w:val="clear" w:color="000000" w:fill="FFFFFF"/>
            <w:vAlign w:val="center"/>
            <w:hideMark/>
          </w:tcPr>
          <w:p w14:paraId="3F1AEB8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6 weeks and 3 months postpartum</w:t>
            </w:r>
          </w:p>
        </w:tc>
        <w:tc>
          <w:tcPr>
            <w:tcW w:w="484" w:type="pct"/>
            <w:tcBorders>
              <w:top w:val="nil"/>
              <w:left w:val="nil"/>
              <w:bottom w:val="single" w:sz="4" w:space="0" w:color="auto"/>
              <w:right w:val="single" w:sz="4" w:space="0" w:color="auto"/>
            </w:tcBorders>
            <w:shd w:val="clear" w:color="000000" w:fill="FFFFFF"/>
            <w:vAlign w:val="center"/>
            <w:hideMark/>
          </w:tcPr>
          <w:p w14:paraId="06CB69E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No significant difference in the rate of positive depression screen scores </w:t>
            </w:r>
            <w:r w:rsidRPr="006E1C09">
              <w:rPr>
                <w:rFonts w:ascii="Times New Roman" w:eastAsia="Times New Roman" w:hAnsi="Times New Roman" w:cs="Times New Roman"/>
                <w:kern w:val="0"/>
                <w:sz w:val="24"/>
                <w:szCs w:val="24"/>
                <w:lang w:val="en-CA" w:eastAsia="en-CA"/>
                <w14:ligatures w14:val="none"/>
              </w:rPr>
              <w:lastRenderedPageBreak/>
              <w:t>between women using immediate postpartum ENG implants and those using nonhormonal contraceptives</w:t>
            </w:r>
          </w:p>
        </w:tc>
        <w:tc>
          <w:tcPr>
            <w:tcW w:w="372" w:type="pct"/>
            <w:tcBorders>
              <w:top w:val="nil"/>
              <w:left w:val="nil"/>
              <w:bottom w:val="single" w:sz="4" w:space="0" w:color="auto"/>
              <w:right w:val="single" w:sz="4" w:space="0" w:color="auto"/>
            </w:tcBorders>
            <w:shd w:val="clear" w:color="000000" w:fill="FFFFFF"/>
            <w:vAlign w:val="center"/>
            <w:hideMark/>
          </w:tcPr>
          <w:p w14:paraId="44A96E32"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32F55A5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Depression assessed by Patient Health Questionnaire-9 (PHQ-9)</w:t>
            </w:r>
          </w:p>
        </w:tc>
        <w:tc>
          <w:tcPr>
            <w:tcW w:w="423" w:type="pct"/>
            <w:tcBorders>
              <w:top w:val="nil"/>
              <w:left w:val="nil"/>
              <w:bottom w:val="single" w:sz="4" w:space="0" w:color="auto"/>
              <w:right w:val="single" w:sz="4" w:space="0" w:color="auto"/>
            </w:tcBorders>
            <w:shd w:val="clear" w:color="000000" w:fill="FFFFFF"/>
            <w:vAlign w:val="center"/>
            <w:hideMark/>
          </w:tcPr>
          <w:p w14:paraId="099898B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HC group : 4% had a depression diagnosis in the past, 1% had </w:t>
            </w:r>
            <w:r w:rsidRPr="006E1C09">
              <w:rPr>
                <w:rFonts w:ascii="Times New Roman" w:eastAsia="Times New Roman" w:hAnsi="Times New Roman" w:cs="Times New Roman"/>
                <w:kern w:val="0"/>
                <w:sz w:val="24"/>
                <w:szCs w:val="24"/>
                <w:lang w:val="en-CA" w:eastAsia="en-CA"/>
                <w14:ligatures w14:val="none"/>
              </w:rPr>
              <w:lastRenderedPageBreak/>
              <w:t>history of postpartum depression</w:t>
            </w:r>
          </w:p>
        </w:tc>
        <w:tc>
          <w:tcPr>
            <w:tcW w:w="538" w:type="pct"/>
            <w:tcBorders>
              <w:top w:val="single" w:sz="4" w:space="0" w:color="auto"/>
              <w:left w:val="nil"/>
              <w:bottom w:val="single" w:sz="4" w:space="0" w:color="auto"/>
              <w:right w:val="single" w:sz="4" w:space="0" w:color="auto"/>
            </w:tcBorders>
            <w:shd w:val="clear" w:color="000000" w:fill="FFFFFF"/>
            <w:hideMark/>
          </w:tcPr>
          <w:p w14:paraId="3E26C89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 No significant difference in the rate of positive depression screen scores in women </w:t>
            </w:r>
            <w:r w:rsidRPr="006E1C09">
              <w:rPr>
                <w:rFonts w:ascii="Times New Roman" w:eastAsia="Times New Roman" w:hAnsi="Times New Roman" w:cs="Times New Roman"/>
                <w:kern w:val="0"/>
                <w:sz w:val="24"/>
                <w:szCs w:val="24"/>
                <w:lang w:val="en-CA" w:eastAsia="en-CA"/>
                <w14:ligatures w14:val="none"/>
              </w:rPr>
              <w:lastRenderedPageBreak/>
              <w:t xml:space="preserve">using immediate postpartum ENG implants and nonhormonal contraceptives was observed. Overall low rate of positive PHQ-9 screens; 3% of women had a positive screen in the immediate postpartum period, 6.2% at 6 weeks postpartum, and </w:t>
            </w:r>
            <w:r w:rsidRPr="006E1C09">
              <w:rPr>
                <w:rFonts w:ascii="Times New Roman" w:eastAsia="Times New Roman" w:hAnsi="Times New Roman" w:cs="Times New Roman"/>
                <w:kern w:val="0"/>
                <w:sz w:val="24"/>
                <w:szCs w:val="24"/>
                <w:lang w:val="en-CA" w:eastAsia="en-CA"/>
                <w14:ligatures w14:val="none"/>
              </w:rPr>
              <w:lastRenderedPageBreak/>
              <w:t>10.2% at 3 months postpartum.</w:t>
            </w:r>
            <w:r w:rsidRPr="006E1C09">
              <w:rPr>
                <w:rFonts w:ascii="Times New Roman" w:eastAsia="Times New Roman" w:hAnsi="Times New Roman" w:cs="Times New Roman"/>
                <w:kern w:val="0"/>
                <w:sz w:val="24"/>
                <w:szCs w:val="24"/>
                <w:lang w:val="en-CA" w:eastAsia="en-CA"/>
                <w14:ligatures w14:val="none"/>
              </w:rPr>
              <w:br/>
              <w:t xml:space="preserve">• There was no significant difference in the proportion of women in the ENG-implant or comparison groups who had positive PHQ-9 screens at 6 weeks or 3 months postpartum. </w:t>
            </w:r>
            <w:r w:rsidRPr="006E1C09">
              <w:rPr>
                <w:rFonts w:ascii="Times New Roman" w:eastAsia="Times New Roman" w:hAnsi="Times New Roman" w:cs="Times New Roman"/>
                <w:kern w:val="0"/>
                <w:sz w:val="24"/>
                <w:szCs w:val="24"/>
                <w:lang w:val="en-CA" w:eastAsia="en-CA"/>
                <w14:ligatures w14:val="none"/>
              </w:rPr>
              <w:br/>
              <w:t xml:space="preserve">• Two of 31 (6.5%) in the </w:t>
            </w:r>
            <w:r w:rsidRPr="006E1C09">
              <w:rPr>
                <w:rFonts w:ascii="Times New Roman" w:eastAsia="Times New Roman" w:hAnsi="Times New Roman" w:cs="Times New Roman"/>
                <w:kern w:val="0"/>
                <w:sz w:val="24"/>
                <w:szCs w:val="24"/>
                <w:lang w:val="en-CA" w:eastAsia="en-CA"/>
                <w14:ligatures w14:val="none"/>
              </w:rPr>
              <w:lastRenderedPageBreak/>
              <w:t>ENG-implant group and two of 34 (5.9%) in the comparison group had a positive PHQ-9 screen at 6 weeks postpartum (p=0.999).</w:t>
            </w:r>
            <w:r w:rsidRPr="006E1C09">
              <w:rPr>
                <w:rFonts w:ascii="Times New Roman" w:eastAsia="Times New Roman" w:hAnsi="Times New Roman" w:cs="Times New Roman"/>
                <w:kern w:val="0"/>
                <w:sz w:val="24"/>
                <w:szCs w:val="24"/>
                <w:lang w:val="en-CA" w:eastAsia="en-CA"/>
                <w14:ligatures w14:val="none"/>
              </w:rPr>
              <w:br/>
              <w:t xml:space="preserve">• Three of 27 (11.1%) in the implant group and three of 32 (9.4%) in the control group had a positive </w:t>
            </w:r>
            <w:r w:rsidRPr="006E1C09">
              <w:rPr>
                <w:rFonts w:ascii="Times New Roman" w:eastAsia="Times New Roman" w:hAnsi="Times New Roman" w:cs="Times New Roman"/>
                <w:kern w:val="0"/>
                <w:sz w:val="24"/>
                <w:szCs w:val="24"/>
                <w:lang w:val="en-CA" w:eastAsia="en-CA"/>
                <w14:ligatures w14:val="none"/>
              </w:rPr>
              <w:lastRenderedPageBreak/>
              <w:t xml:space="preserve">PHQ-9 screen at 3 months postpartum (p=0.999). </w:t>
            </w:r>
            <w:r w:rsidRPr="006E1C09">
              <w:rPr>
                <w:rFonts w:ascii="Times New Roman" w:eastAsia="Times New Roman" w:hAnsi="Times New Roman" w:cs="Times New Roman"/>
                <w:kern w:val="0"/>
                <w:sz w:val="24"/>
                <w:szCs w:val="24"/>
                <w:lang w:val="en-CA" w:eastAsia="en-CA"/>
                <w14:ligatures w14:val="none"/>
              </w:rPr>
              <w:br/>
              <w:t xml:space="preserve">• All four patients with positive depression screens at 6 weeks had negative screens at 3 months, as well as negative screens at baseline and delivery. </w:t>
            </w:r>
            <w:r w:rsidRPr="006E1C09">
              <w:rPr>
                <w:rFonts w:ascii="Times New Roman" w:eastAsia="Times New Roman" w:hAnsi="Times New Roman" w:cs="Times New Roman"/>
                <w:kern w:val="0"/>
                <w:sz w:val="24"/>
                <w:szCs w:val="24"/>
                <w:lang w:val="en-CA" w:eastAsia="en-CA"/>
                <w14:ligatures w14:val="none"/>
              </w:rPr>
              <w:br/>
              <w:t>• All six patients with positi</w:t>
            </w:r>
            <w:r w:rsidRPr="006E1C09">
              <w:rPr>
                <w:rFonts w:ascii="Times New Roman" w:eastAsia="Times New Roman" w:hAnsi="Times New Roman" w:cs="Times New Roman"/>
                <w:kern w:val="0"/>
                <w:sz w:val="24"/>
                <w:szCs w:val="24"/>
                <w:lang w:val="en-CA" w:eastAsia="en-CA"/>
                <w14:ligatures w14:val="none"/>
              </w:rPr>
              <w:lastRenderedPageBreak/>
              <w:t>ve depression screens at 3 months had negative depression screens at their 6-week visits.</w:t>
            </w:r>
            <w:r w:rsidRPr="006E1C09">
              <w:rPr>
                <w:rFonts w:ascii="Times New Roman" w:eastAsia="Times New Roman" w:hAnsi="Times New Roman" w:cs="Times New Roman"/>
                <w:kern w:val="0"/>
                <w:sz w:val="24"/>
                <w:szCs w:val="24"/>
                <w:lang w:val="en-CA" w:eastAsia="en-CA"/>
                <w14:ligatures w14:val="none"/>
              </w:rPr>
              <w:br/>
              <w:t xml:space="preserve">• Only one had a positive depression screen at baseline and none had positive screens at delivery. </w:t>
            </w:r>
            <w:r w:rsidRPr="006E1C09">
              <w:rPr>
                <w:rFonts w:ascii="Times New Roman" w:eastAsia="Times New Roman" w:hAnsi="Times New Roman" w:cs="Times New Roman"/>
                <w:kern w:val="0"/>
                <w:sz w:val="24"/>
                <w:szCs w:val="24"/>
                <w:lang w:val="en-CA" w:eastAsia="en-CA"/>
                <w14:ligatures w14:val="none"/>
              </w:rPr>
              <w:br/>
              <w:t xml:space="preserve">• Only 3% of women (2 out of 67) had a positive </w:t>
            </w:r>
            <w:r w:rsidRPr="006E1C09">
              <w:rPr>
                <w:rFonts w:ascii="Times New Roman" w:eastAsia="Times New Roman" w:hAnsi="Times New Roman" w:cs="Times New Roman"/>
                <w:kern w:val="0"/>
                <w:sz w:val="24"/>
                <w:szCs w:val="24"/>
                <w:lang w:val="en-CA" w:eastAsia="en-CA"/>
                <w14:ligatures w14:val="none"/>
              </w:rPr>
              <w:lastRenderedPageBreak/>
              <w:t>PHQ-9 screen in the first few postpartum days.</w:t>
            </w:r>
          </w:p>
        </w:tc>
      </w:tr>
      <w:tr w:rsidR="006E1C09" w:rsidRPr="00F87E76" w14:paraId="70A145CF"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0B463467"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Singata-Madliki et al., 2021</w:t>
            </w:r>
          </w:p>
        </w:tc>
        <w:tc>
          <w:tcPr>
            <w:tcW w:w="298" w:type="pct"/>
            <w:tcBorders>
              <w:top w:val="nil"/>
              <w:left w:val="nil"/>
              <w:bottom w:val="single" w:sz="4" w:space="0" w:color="auto"/>
              <w:right w:val="single" w:sz="4" w:space="0" w:color="auto"/>
            </w:tcBorders>
            <w:shd w:val="clear" w:color="000000" w:fill="FFFFFF"/>
            <w:vAlign w:val="center"/>
            <w:hideMark/>
          </w:tcPr>
          <w:p w14:paraId="1F55077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605 women ranging from 16-35 years</w:t>
            </w:r>
          </w:p>
        </w:tc>
        <w:tc>
          <w:tcPr>
            <w:tcW w:w="576" w:type="pct"/>
            <w:tcBorders>
              <w:top w:val="nil"/>
              <w:left w:val="nil"/>
              <w:bottom w:val="single" w:sz="4" w:space="0" w:color="auto"/>
              <w:right w:val="single" w:sz="4" w:space="0" w:color="auto"/>
            </w:tcBorders>
            <w:shd w:val="clear" w:color="000000" w:fill="FFFFFF"/>
            <w:vAlign w:val="center"/>
            <w:hideMark/>
          </w:tcPr>
          <w:p w14:paraId="1C0D4FD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Ancillary study of the ECHO randomized trial</w:t>
            </w:r>
          </w:p>
        </w:tc>
        <w:tc>
          <w:tcPr>
            <w:tcW w:w="487" w:type="pct"/>
            <w:tcBorders>
              <w:top w:val="nil"/>
              <w:left w:val="nil"/>
              <w:bottom w:val="single" w:sz="4" w:space="0" w:color="auto"/>
              <w:right w:val="single" w:sz="4" w:space="0" w:color="auto"/>
            </w:tcBorders>
            <w:shd w:val="clear" w:color="000000" w:fill="FFFFFF"/>
            <w:vAlign w:val="center"/>
            <w:hideMark/>
          </w:tcPr>
          <w:p w14:paraId="45BC56C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compare the effects of depot medroxyprogesterone acetate (DMPA-IM), levonorgestrel (LNG) implant, and copper intrauterine device (IUD) on mood and sexual </w:t>
            </w:r>
            <w:r w:rsidRPr="006E1C09">
              <w:rPr>
                <w:rFonts w:ascii="Times New Roman" w:eastAsia="Times New Roman" w:hAnsi="Times New Roman" w:cs="Times New Roman"/>
                <w:kern w:val="0"/>
                <w:sz w:val="24"/>
                <w:szCs w:val="24"/>
                <w:lang w:val="en-CA" w:eastAsia="en-CA"/>
                <w14:ligatures w14:val="none"/>
              </w:rPr>
              <w:lastRenderedPageBreak/>
              <w:t>function</w:t>
            </w:r>
          </w:p>
        </w:tc>
        <w:tc>
          <w:tcPr>
            <w:tcW w:w="533" w:type="pct"/>
            <w:tcBorders>
              <w:top w:val="nil"/>
              <w:left w:val="nil"/>
              <w:bottom w:val="single" w:sz="4" w:space="0" w:color="auto"/>
              <w:right w:val="single" w:sz="4" w:space="0" w:color="auto"/>
            </w:tcBorders>
            <w:shd w:val="clear" w:color="000000" w:fill="FFFFFF"/>
            <w:vAlign w:val="center"/>
            <w:hideMark/>
          </w:tcPr>
          <w:p w14:paraId="655AC7B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Depot medroxyprogesterone acetate (DMPA-IM) (150 mg/ml)</w:t>
            </w:r>
            <w:r w:rsidRPr="006E1C09">
              <w:rPr>
                <w:rFonts w:ascii="Times New Roman" w:eastAsia="Times New Roman" w:hAnsi="Times New Roman" w:cs="Times New Roman"/>
                <w:kern w:val="0"/>
                <w:sz w:val="24"/>
                <w:szCs w:val="24"/>
                <w:lang w:val="en-CA" w:eastAsia="en-CA"/>
                <w14:ligatures w14:val="none"/>
              </w:rPr>
              <w:br/>
              <w:t>Levonorgestrel (LNG) implant.</w:t>
            </w:r>
            <w:r w:rsidRPr="006E1C09">
              <w:rPr>
                <w:rFonts w:ascii="Times New Roman" w:eastAsia="Times New Roman" w:hAnsi="Times New Roman" w:cs="Times New Roman"/>
                <w:kern w:val="0"/>
                <w:sz w:val="24"/>
                <w:szCs w:val="24"/>
                <w:lang w:val="en-CA" w:eastAsia="en-CA"/>
                <w14:ligatures w14:val="none"/>
              </w:rPr>
              <w:br/>
              <w:t xml:space="preserve">Copper intrauterine device (IUD) </w:t>
            </w:r>
          </w:p>
        </w:tc>
        <w:tc>
          <w:tcPr>
            <w:tcW w:w="346" w:type="pct"/>
            <w:tcBorders>
              <w:top w:val="nil"/>
              <w:left w:val="nil"/>
              <w:bottom w:val="single" w:sz="4" w:space="0" w:color="auto"/>
              <w:right w:val="single" w:sz="4" w:space="0" w:color="auto"/>
            </w:tcBorders>
            <w:shd w:val="clear" w:color="000000" w:fill="FFFFFF"/>
            <w:vAlign w:val="center"/>
            <w:hideMark/>
          </w:tcPr>
          <w:p w14:paraId="66ABCD9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Interviewed at the 3-and 12-month visits</w:t>
            </w:r>
          </w:p>
        </w:tc>
        <w:tc>
          <w:tcPr>
            <w:tcW w:w="484" w:type="pct"/>
            <w:tcBorders>
              <w:top w:val="nil"/>
              <w:left w:val="nil"/>
              <w:bottom w:val="single" w:sz="4" w:space="0" w:color="auto"/>
              <w:right w:val="single" w:sz="4" w:space="0" w:color="auto"/>
            </w:tcBorders>
            <w:shd w:val="clear" w:color="000000" w:fill="FFFFFF"/>
            <w:vAlign w:val="center"/>
            <w:hideMark/>
          </w:tcPr>
          <w:p w14:paraId="67FB9A4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DMPA-IM were at lower risk of depressive symptoms compared to women using the IUD or LNG implant.</w:t>
            </w:r>
          </w:p>
        </w:tc>
        <w:tc>
          <w:tcPr>
            <w:tcW w:w="372" w:type="pct"/>
            <w:tcBorders>
              <w:top w:val="nil"/>
              <w:left w:val="nil"/>
              <w:bottom w:val="single" w:sz="4" w:space="0" w:color="auto"/>
              <w:right w:val="single" w:sz="4" w:space="0" w:color="auto"/>
            </w:tcBorders>
            <w:shd w:val="clear" w:color="000000" w:fill="FFFFFF"/>
            <w:vAlign w:val="center"/>
            <w:hideMark/>
          </w:tcPr>
          <w:p w14:paraId="3A59C5D8"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2107D09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Depression assessed by the Beck Depression Inventory (BDI-II). Sexual function was evaluated using the Arizona Sexual Experiences Scale (ASEX).  World Health Organization (WHO) Well-being Index for </w:t>
            </w:r>
            <w:r w:rsidRPr="006E1C09">
              <w:rPr>
                <w:rFonts w:ascii="Times New Roman" w:eastAsia="Times New Roman" w:hAnsi="Times New Roman" w:cs="Times New Roman"/>
                <w:kern w:val="0"/>
                <w:sz w:val="24"/>
                <w:szCs w:val="24"/>
                <w:lang w:val="en-CA" w:eastAsia="en-CA"/>
                <w14:ligatures w14:val="none"/>
              </w:rPr>
              <w:lastRenderedPageBreak/>
              <w:t>well-being.</w:t>
            </w:r>
          </w:p>
        </w:tc>
        <w:tc>
          <w:tcPr>
            <w:tcW w:w="423" w:type="pct"/>
            <w:tcBorders>
              <w:top w:val="nil"/>
              <w:left w:val="nil"/>
              <w:bottom w:val="single" w:sz="4" w:space="0" w:color="auto"/>
              <w:right w:val="single" w:sz="4" w:space="0" w:color="auto"/>
            </w:tcBorders>
            <w:shd w:val="clear" w:color="000000" w:fill="FFFFFF"/>
            <w:vAlign w:val="center"/>
            <w:hideMark/>
          </w:tcPr>
          <w:p w14:paraId="43D980D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0A300E4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At 12 months women using DMPA-IM were at lower risk of depressive symptoms than women using the IUD or the LNG implant and were more likely to feel “very much better” on the PGI </w:t>
            </w:r>
            <w:r w:rsidRPr="006E1C09">
              <w:rPr>
                <w:rFonts w:ascii="Times New Roman" w:eastAsia="Times New Roman" w:hAnsi="Times New Roman" w:cs="Times New Roman"/>
                <w:kern w:val="0"/>
                <w:sz w:val="24"/>
                <w:szCs w:val="24"/>
                <w:lang w:val="en-CA" w:eastAsia="en-CA"/>
                <w14:ligatures w14:val="none"/>
              </w:rPr>
              <w:lastRenderedPageBreak/>
              <w:t xml:space="preserve">scale. </w:t>
            </w:r>
            <w:r w:rsidRPr="006E1C09">
              <w:rPr>
                <w:rFonts w:ascii="Times New Roman" w:eastAsia="Times New Roman" w:hAnsi="Times New Roman" w:cs="Times New Roman"/>
                <w:kern w:val="0"/>
                <w:sz w:val="24"/>
                <w:szCs w:val="24"/>
                <w:lang w:val="en-CA" w:eastAsia="en-CA"/>
                <w14:ligatures w14:val="none"/>
              </w:rPr>
              <w:br/>
              <w:t>• No significant differences in the risk of sexual dysfunction or sexual function scores were found.</w:t>
            </w:r>
            <w:r w:rsidRPr="006E1C09">
              <w:rPr>
                <w:rFonts w:ascii="Times New Roman" w:eastAsia="Times New Roman" w:hAnsi="Times New Roman" w:cs="Times New Roman"/>
                <w:kern w:val="0"/>
                <w:sz w:val="24"/>
                <w:szCs w:val="24"/>
                <w:lang w:val="en-CA" w:eastAsia="en-CA"/>
                <w14:ligatures w14:val="none"/>
              </w:rPr>
              <w:br/>
              <w:t>• There was no statistically significant difference between the study groups with respect to BDI or ASEX findings at 3 months.</w:t>
            </w:r>
            <w:r w:rsidRPr="006E1C09">
              <w:rPr>
                <w:rFonts w:ascii="Times New Roman" w:eastAsia="Times New Roman" w:hAnsi="Times New Roman" w:cs="Times New Roman"/>
                <w:kern w:val="0"/>
                <w:sz w:val="24"/>
                <w:szCs w:val="24"/>
                <w:lang w:val="en-CA" w:eastAsia="en-CA"/>
                <w14:ligatures w14:val="none"/>
              </w:rPr>
              <w:br/>
              <w:t xml:space="preserve">• Significantly </w:t>
            </w:r>
            <w:r w:rsidRPr="006E1C09">
              <w:rPr>
                <w:rFonts w:ascii="Times New Roman" w:eastAsia="Times New Roman" w:hAnsi="Times New Roman" w:cs="Times New Roman"/>
                <w:kern w:val="0"/>
                <w:sz w:val="24"/>
                <w:szCs w:val="24"/>
                <w:lang w:val="en-CA" w:eastAsia="en-CA"/>
                <w14:ligatures w14:val="none"/>
              </w:rPr>
              <w:lastRenderedPageBreak/>
              <w:t xml:space="preserve">more women allocated to the IUD scored 20 or more (moderate or severe depression) on the BDI scale compared with those allocated to DMPA-IM (28/158 [17.7%] vs. 16/167 [9.6%]; p = 0.032). </w:t>
            </w:r>
            <w:r w:rsidRPr="006E1C09">
              <w:rPr>
                <w:rFonts w:ascii="Times New Roman" w:eastAsia="Times New Roman" w:hAnsi="Times New Roman" w:cs="Times New Roman"/>
                <w:kern w:val="0"/>
                <w:sz w:val="24"/>
                <w:szCs w:val="24"/>
                <w:lang w:val="en-CA" w:eastAsia="en-CA"/>
                <w14:ligatures w14:val="none"/>
              </w:rPr>
              <w:br/>
              <w:t xml:space="preserve">• Median BDI scores were statistically significantly higher </w:t>
            </w:r>
            <w:r w:rsidRPr="006E1C09">
              <w:rPr>
                <w:rFonts w:ascii="Times New Roman" w:eastAsia="Times New Roman" w:hAnsi="Times New Roman" w:cs="Times New Roman"/>
                <w:kern w:val="0"/>
                <w:sz w:val="24"/>
                <w:szCs w:val="24"/>
                <w:lang w:val="en-CA" w:eastAsia="en-CA"/>
                <w14:ligatures w14:val="none"/>
              </w:rPr>
              <w:lastRenderedPageBreak/>
              <w:t xml:space="preserve">with LNG implants compared with DMPA-IM (p = 0.036). </w:t>
            </w:r>
            <w:r w:rsidRPr="006E1C09">
              <w:rPr>
                <w:rFonts w:ascii="Times New Roman" w:eastAsia="Times New Roman" w:hAnsi="Times New Roman" w:cs="Times New Roman"/>
                <w:kern w:val="0"/>
                <w:sz w:val="24"/>
                <w:szCs w:val="24"/>
                <w:lang w:val="en-CA" w:eastAsia="en-CA"/>
                <w14:ligatures w14:val="none"/>
              </w:rPr>
              <w:br/>
              <w:t>• A lower proportion of women in the DMPA-IM group (24/167, 14.4%) experienced sexual dysfunction compared with the other two groups (32/158 [20.4%] and 33/16</w:t>
            </w:r>
            <w:r w:rsidRPr="006E1C09">
              <w:rPr>
                <w:rFonts w:ascii="Times New Roman" w:eastAsia="Times New Roman" w:hAnsi="Times New Roman" w:cs="Times New Roman"/>
                <w:kern w:val="0"/>
                <w:sz w:val="24"/>
                <w:szCs w:val="24"/>
                <w:lang w:val="en-CA" w:eastAsia="en-CA"/>
                <w14:ligatures w14:val="none"/>
              </w:rPr>
              <w:lastRenderedPageBreak/>
              <w:t>2 [20.3%] for the IUD and LNG implant groups, respectively), but this did not reach statistical significance.</w:t>
            </w:r>
            <w:r w:rsidRPr="006E1C09">
              <w:rPr>
                <w:rFonts w:ascii="Times New Roman" w:eastAsia="Times New Roman" w:hAnsi="Times New Roman" w:cs="Times New Roman"/>
                <w:kern w:val="0"/>
                <w:sz w:val="24"/>
                <w:szCs w:val="24"/>
                <w:lang w:val="en-CA" w:eastAsia="en-CA"/>
                <w14:ligatures w14:val="none"/>
              </w:rPr>
              <w:br/>
              <w:t>• For the WHO-5 Well-being Index, the median raw score of 19 was the same across the groups with slight, non-significant differ</w:t>
            </w:r>
            <w:r w:rsidRPr="006E1C09">
              <w:rPr>
                <w:rFonts w:ascii="Times New Roman" w:eastAsia="Times New Roman" w:hAnsi="Times New Roman" w:cs="Times New Roman"/>
                <w:kern w:val="0"/>
                <w:sz w:val="24"/>
                <w:szCs w:val="24"/>
                <w:lang w:val="en-CA" w:eastAsia="en-CA"/>
                <w14:ligatures w14:val="none"/>
              </w:rPr>
              <w:lastRenderedPageBreak/>
              <w:t>ences in interquartile ranges of 16–22, 15–22 and 17–21 for the DMPA-IM, LNG implant, and IUD groups, respectively (p = 0.913).</w:t>
            </w:r>
          </w:p>
        </w:tc>
      </w:tr>
      <w:tr w:rsidR="006E1C09" w:rsidRPr="00F87E76" w14:paraId="43B6130F" w14:textId="77777777" w:rsidTr="006E1C09">
        <w:trPr>
          <w:trHeight w:val="378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6000BFC"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Zettermark et al., 2021</w:t>
            </w:r>
          </w:p>
        </w:tc>
        <w:tc>
          <w:tcPr>
            <w:tcW w:w="298" w:type="pct"/>
            <w:tcBorders>
              <w:top w:val="nil"/>
              <w:left w:val="nil"/>
              <w:bottom w:val="single" w:sz="4" w:space="0" w:color="auto"/>
              <w:right w:val="single" w:sz="4" w:space="0" w:color="auto"/>
            </w:tcBorders>
            <w:shd w:val="clear" w:color="000000" w:fill="FFFFFF"/>
            <w:vAlign w:val="center"/>
            <w:hideMark/>
          </w:tcPr>
          <w:p w14:paraId="7AD8B11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915 954 women ranging from 12–30 years</w:t>
            </w:r>
          </w:p>
        </w:tc>
        <w:tc>
          <w:tcPr>
            <w:tcW w:w="576" w:type="pct"/>
            <w:tcBorders>
              <w:top w:val="nil"/>
              <w:left w:val="nil"/>
              <w:bottom w:val="single" w:sz="4" w:space="0" w:color="auto"/>
              <w:right w:val="single" w:sz="4" w:space="0" w:color="auto"/>
            </w:tcBorders>
            <w:shd w:val="clear" w:color="000000" w:fill="FFFFFF"/>
            <w:vAlign w:val="center"/>
            <w:hideMark/>
          </w:tcPr>
          <w:p w14:paraId="660DB00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Observational prospective cohort study using record linkage of national Swedish registers</w:t>
            </w:r>
          </w:p>
        </w:tc>
        <w:tc>
          <w:tcPr>
            <w:tcW w:w="487" w:type="pct"/>
            <w:tcBorders>
              <w:top w:val="nil"/>
              <w:left w:val="nil"/>
              <w:bottom w:val="single" w:sz="4" w:space="0" w:color="auto"/>
              <w:right w:val="single" w:sz="4" w:space="0" w:color="auto"/>
            </w:tcBorders>
            <w:shd w:val="clear" w:color="000000" w:fill="FFFFFF"/>
            <w:vAlign w:val="bottom"/>
            <w:hideMark/>
          </w:tcPr>
          <w:p w14:paraId="3626776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investigate how a possible association between hormonal contraceptive (HC) and antidepres</w:t>
            </w:r>
            <w:r w:rsidRPr="006E1C09">
              <w:rPr>
                <w:rFonts w:ascii="Times New Roman" w:eastAsia="Times New Roman" w:hAnsi="Times New Roman" w:cs="Times New Roman"/>
                <w:kern w:val="0"/>
                <w:sz w:val="24"/>
                <w:szCs w:val="24"/>
                <w:lang w:val="en-CA" w:eastAsia="en-CA"/>
                <w14:ligatures w14:val="none"/>
              </w:rPr>
              <w:lastRenderedPageBreak/>
              <w:t xml:space="preserve">sants use (as a proxy for depression) is distributed across intersectional strata in the population. To visualise how intersecting power dynamics may operate in combination with HC use to increase or decrease subsequent use </w:t>
            </w:r>
            <w:r w:rsidRPr="006E1C09">
              <w:rPr>
                <w:rFonts w:ascii="Times New Roman" w:eastAsia="Times New Roman" w:hAnsi="Times New Roman" w:cs="Times New Roman"/>
                <w:kern w:val="0"/>
                <w:sz w:val="24"/>
                <w:szCs w:val="24"/>
                <w:lang w:val="en-CA" w:eastAsia="en-CA"/>
                <w14:ligatures w14:val="none"/>
              </w:rPr>
              <w:lastRenderedPageBreak/>
              <w:t>of antidepressants</w:t>
            </w:r>
          </w:p>
        </w:tc>
        <w:tc>
          <w:tcPr>
            <w:tcW w:w="533" w:type="pct"/>
            <w:tcBorders>
              <w:top w:val="nil"/>
              <w:left w:val="nil"/>
              <w:bottom w:val="single" w:sz="4" w:space="0" w:color="auto"/>
              <w:right w:val="single" w:sz="4" w:space="0" w:color="auto"/>
            </w:tcBorders>
            <w:shd w:val="clear" w:color="000000" w:fill="FFFFFF"/>
            <w:vAlign w:val="center"/>
            <w:hideMark/>
          </w:tcPr>
          <w:p w14:paraId="7CBE634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Hormonal contraception (unspecified)</w:t>
            </w:r>
          </w:p>
        </w:tc>
        <w:tc>
          <w:tcPr>
            <w:tcW w:w="346" w:type="pct"/>
            <w:tcBorders>
              <w:top w:val="nil"/>
              <w:left w:val="nil"/>
              <w:bottom w:val="single" w:sz="4" w:space="0" w:color="auto"/>
              <w:right w:val="single" w:sz="4" w:space="0" w:color="auto"/>
            </w:tcBorders>
            <w:shd w:val="clear" w:color="000000" w:fill="FFFFFF"/>
            <w:vAlign w:val="center"/>
            <w:hideMark/>
          </w:tcPr>
          <w:p w14:paraId="2EF2BC7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1-year follow-up</w:t>
            </w:r>
          </w:p>
        </w:tc>
        <w:tc>
          <w:tcPr>
            <w:tcW w:w="484" w:type="pct"/>
            <w:tcBorders>
              <w:top w:val="nil"/>
              <w:left w:val="nil"/>
              <w:bottom w:val="single" w:sz="4" w:space="0" w:color="auto"/>
              <w:right w:val="single" w:sz="4" w:space="0" w:color="auto"/>
            </w:tcBorders>
            <w:shd w:val="clear" w:color="000000" w:fill="FFFFFF"/>
            <w:vAlign w:val="center"/>
            <w:hideMark/>
          </w:tcPr>
          <w:p w14:paraId="3134BA7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The propensity to use antidepressants was consistently higher among hormonal contraceptive </w:t>
            </w:r>
            <w:r w:rsidRPr="006E1C09">
              <w:rPr>
                <w:rFonts w:ascii="Times New Roman" w:eastAsia="Times New Roman" w:hAnsi="Times New Roman" w:cs="Times New Roman"/>
                <w:kern w:val="0"/>
                <w:sz w:val="24"/>
                <w:szCs w:val="24"/>
                <w:lang w:val="en-CA" w:eastAsia="en-CA"/>
                <w14:ligatures w14:val="none"/>
              </w:rPr>
              <w:t>(HC) users compared to non-users, particularly in younger women aged 12–17</w:t>
            </w:r>
          </w:p>
        </w:tc>
        <w:tc>
          <w:tcPr>
            <w:tcW w:w="372" w:type="pct"/>
            <w:tcBorders>
              <w:top w:val="nil"/>
              <w:left w:val="nil"/>
              <w:bottom w:val="single" w:sz="4" w:space="0" w:color="auto"/>
              <w:right w:val="single" w:sz="4" w:space="0" w:color="auto"/>
            </w:tcBorders>
            <w:shd w:val="clear" w:color="000000" w:fill="FFFFFF"/>
            <w:vAlign w:val="center"/>
            <w:hideMark/>
          </w:tcPr>
          <w:p w14:paraId="4EE2E2B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711F6A4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w:t>
            </w:r>
          </w:p>
        </w:tc>
        <w:tc>
          <w:tcPr>
            <w:tcW w:w="423" w:type="pct"/>
            <w:tcBorders>
              <w:top w:val="nil"/>
              <w:left w:val="nil"/>
              <w:bottom w:val="single" w:sz="4" w:space="0" w:color="auto"/>
              <w:right w:val="single" w:sz="4" w:space="0" w:color="auto"/>
            </w:tcBorders>
            <w:shd w:val="clear" w:color="000000" w:fill="FFFFFF"/>
            <w:vAlign w:val="center"/>
            <w:hideMark/>
          </w:tcPr>
          <w:p w14:paraId="5D3C242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12.4% had previous mental health issues</w:t>
            </w:r>
          </w:p>
        </w:tc>
        <w:tc>
          <w:tcPr>
            <w:tcW w:w="538" w:type="pct"/>
            <w:tcBorders>
              <w:top w:val="single" w:sz="4" w:space="0" w:color="auto"/>
              <w:left w:val="nil"/>
              <w:bottom w:val="single" w:sz="4" w:space="0" w:color="auto"/>
              <w:right w:val="single" w:sz="4" w:space="0" w:color="auto"/>
            </w:tcBorders>
            <w:shd w:val="clear" w:color="000000" w:fill="FFFFFF"/>
            <w:hideMark/>
          </w:tcPr>
          <w:p w14:paraId="6744567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The share of HC users was very similar in healthy women and those with previous mental health issues</w:t>
            </w:r>
            <w:r w:rsidRPr="006E1C09">
              <w:rPr>
                <w:rFonts w:ascii="Times New Roman" w:eastAsia="Times New Roman" w:hAnsi="Times New Roman" w:cs="Times New Roman"/>
                <w:kern w:val="0"/>
                <w:sz w:val="24"/>
                <w:szCs w:val="24"/>
                <w:lang w:val="en-CA" w:eastAsia="en-CA"/>
                <w14:ligatures w14:val="none"/>
              </w:rPr>
              <w:lastRenderedPageBreak/>
              <w:t>, 42.0% and 42.5%, respectively. Antidepressants were dispensed to 2.7% of HC users compared with 1.9% of non-users among healthy women during follow-up.</w:t>
            </w:r>
            <w:r w:rsidRPr="006E1C09">
              <w:rPr>
                <w:rFonts w:ascii="Times New Roman" w:eastAsia="Times New Roman" w:hAnsi="Times New Roman" w:cs="Times New Roman"/>
                <w:kern w:val="0"/>
                <w:sz w:val="24"/>
                <w:szCs w:val="24"/>
                <w:lang w:val="en-CA" w:eastAsia="en-CA"/>
                <w14:ligatures w14:val="none"/>
              </w:rPr>
              <w:br/>
              <w:t xml:space="preserve">• For women with previous mental health issues, 41.2% of HC users and </w:t>
            </w:r>
            <w:r w:rsidRPr="006E1C09">
              <w:rPr>
                <w:rFonts w:ascii="Times New Roman" w:eastAsia="Times New Roman" w:hAnsi="Times New Roman" w:cs="Times New Roman"/>
                <w:kern w:val="0"/>
                <w:sz w:val="24"/>
                <w:szCs w:val="24"/>
                <w:lang w:val="en-CA" w:eastAsia="en-CA"/>
                <w14:ligatures w14:val="none"/>
              </w:rPr>
              <w:lastRenderedPageBreak/>
              <w:t>39.8% of non-users dispensed an antidepressant prescription.</w:t>
            </w:r>
            <w:r w:rsidRPr="006E1C09">
              <w:rPr>
                <w:rFonts w:ascii="Times New Roman" w:eastAsia="Times New Roman" w:hAnsi="Times New Roman" w:cs="Times New Roman"/>
                <w:kern w:val="0"/>
                <w:sz w:val="24"/>
                <w:szCs w:val="24"/>
                <w:lang w:val="en-CA" w:eastAsia="en-CA"/>
                <w14:ligatures w14:val="none"/>
              </w:rPr>
              <w:br/>
              <w:t>• The highest use of antidepressants were observed in non-immigrant women, aged 24–30, with previous mental health issues, using HC and with low income (50.1%).</w:t>
            </w:r>
            <w:r w:rsidRPr="006E1C09">
              <w:rPr>
                <w:rFonts w:ascii="Times New Roman" w:eastAsia="Times New Roman" w:hAnsi="Times New Roman" w:cs="Times New Roman"/>
                <w:kern w:val="0"/>
                <w:sz w:val="24"/>
                <w:szCs w:val="24"/>
                <w:lang w:val="en-CA" w:eastAsia="en-CA"/>
                <w14:ligatures w14:val="none"/>
              </w:rPr>
              <w:br/>
            </w:r>
            <w:r w:rsidRPr="006E1C09">
              <w:rPr>
                <w:rFonts w:ascii="Times New Roman" w:eastAsia="Times New Roman" w:hAnsi="Times New Roman" w:cs="Times New Roman"/>
                <w:kern w:val="0"/>
                <w:sz w:val="24"/>
                <w:szCs w:val="24"/>
                <w:lang w:val="en-CA" w:eastAsia="en-CA"/>
                <w14:ligatures w14:val="none"/>
              </w:rPr>
              <w:lastRenderedPageBreak/>
              <w:t>• The lowest usage were found in teenagers without previous mental health issues and no HC use, especially in the strata of immigrant girls from low (0.50%) and middle-income (0.60%) households.</w:t>
            </w:r>
            <w:r w:rsidRPr="006E1C09">
              <w:rPr>
                <w:rFonts w:ascii="Times New Roman" w:eastAsia="Times New Roman" w:hAnsi="Times New Roman" w:cs="Times New Roman"/>
                <w:kern w:val="0"/>
                <w:sz w:val="24"/>
                <w:szCs w:val="24"/>
                <w:lang w:val="en-CA" w:eastAsia="en-CA"/>
                <w14:ligatures w14:val="none"/>
              </w:rPr>
              <w:br/>
              <w:t xml:space="preserve">• Overall, the propensity </w:t>
            </w:r>
            <w:r w:rsidRPr="006E1C09">
              <w:rPr>
                <w:rFonts w:ascii="Times New Roman" w:eastAsia="Times New Roman" w:hAnsi="Times New Roman" w:cs="Times New Roman"/>
                <w:kern w:val="0"/>
                <w:sz w:val="24"/>
                <w:szCs w:val="24"/>
                <w:lang w:val="en-CA" w:eastAsia="en-CA"/>
                <w14:ligatures w14:val="none"/>
              </w:rPr>
              <w:lastRenderedPageBreak/>
              <w:t xml:space="preserve">to use antidepressants was consistently higher in HC users compared with non-users in younger women between 12 and 17 years of age, both without previous mental health issues (0.7–2.4 percentage points), and with a mental health </w:t>
            </w:r>
            <w:r w:rsidRPr="006E1C09">
              <w:rPr>
                <w:rFonts w:ascii="Times New Roman" w:eastAsia="Times New Roman" w:hAnsi="Times New Roman" w:cs="Times New Roman"/>
                <w:kern w:val="0"/>
                <w:sz w:val="24"/>
                <w:szCs w:val="24"/>
                <w:lang w:val="en-CA" w:eastAsia="en-CA"/>
                <w14:ligatures w14:val="none"/>
              </w:rPr>
              <w:lastRenderedPageBreak/>
              <w:t>history (5.7–7.8 percentage points) with the magnitude being higher in the latter group.</w:t>
            </w:r>
            <w:r w:rsidRPr="006E1C09">
              <w:rPr>
                <w:rFonts w:ascii="Times New Roman" w:eastAsia="Times New Roman" w:hAnsi="Times New Roman" w:cs="Times New Roman"/>
                <w:kern w:val="0"/>
                <w:sz w:val="24"/>
                <w:szCs w:val="24"/>
                <w:lang w:val="en-CA" w:eastAsia="en-CA"/>
                <w14:ligatures w14:val="none"/>
              </w:rPr>
              <w:br/>
              <w:t xml:space="preserve">• Independently of previous mental health issues, the propensity for using antidepressants was consistently higher for HC users than for non-users in </w:t>
            </w:r>
            <w:r w:rsidRPr="006E1C09">
              <w:rPr>
                <w:rFonts w:ascii="Times New Roman" w:eastAsia="Times New Roman" w:hAnsi="Times New Roman" w:cs="Times New Roman"/>
                <w:kern w:val="0"/>
                <w:sz w:val="24"/>
                <w:szCs w:val="24"/>
                <w:lang w:val="en-CA" w:eastAsia="en-CA"/>
                <w14:ligatures w14:val="none"/>
              </w:rPr>
              <w:lastRenderedPageBreak/>
              <w:t>teenagers aged 12–17</w:t>
            </w:r>
          </w:p>
        </w:tc>
      </w:tr>
      <w:tr w:rsidR="006E1C09" w:rsidRPr="00F87E76" w14:paraId="6381702C"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3B05FBA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Albawardi et al., 2022</w:t>
            </w:r>
          </w:p>
        </w:tc>
        <w:tc>
          <w:tcPr>
            <w:tcW w:w="298" w:type="pct"/>
            <w:tcBorders>
              <w:top w:val="nil"/>
              <w:left w:val="nil"/>
              <w:bottom w:val="single" w:sz="4" w:space="0" w:color="auto"/>
              <w:right w:val="single" w:sz="4" w:space="0" w:color="auto"/>
            </w:tcBorders>
            <w:shd w:val="clear" w:color="000000" w:fill="FFFFFF"/>
            <w:vAlign w:val="center"/>
            <w:hideMark/>
          </w:tcPr>
          <w:p w14:paraId="6F93B09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4 853 women ranging from  21–45 years</w:t>
            </w:r>
          </w:p>
        </w:tc>
        <w:tc>
          <w:tcPr>
            <w:tcW w:w="576" w:type="pct"/>
            <w:tcBorders>
              <w:top w:val="nil"/>
              <w:left w:val="nil"/>
              <w:bottom w:val="single" w:sz="4" w:space="0" w:color="auto"/>
              <w:right w:val="single" w:sz="4" w:space="0" w:color="auto"/>
            </w:tcBorders>
            <w:shd w:val="clear" w:color="000000" w:fill="FFFFFF"/>
            <w:vAlign w:val="center"/>
            <w:hideMark/>
          </w:tcPr>
          <w:p w14:paraId="0FE9C3C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Community-based 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1607A08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estimate the prevalence of depression amongst hormonal and non-hormonal contraception users, and the risk factors associated with depression in the </w:t>
            </w:r>
            <w:r w:rsidRPr="006E1C09">
              <w:rPr>
                <w:rFonts w:ascii="Times New Roman" w:eastAsia="Times New Roman" w:hAnsi="Times New Roman" w:cs="Times New Roman"/>
                <w:kern w:val="0"/>
                <w:sz w:val="24"/>
                <w:szCs w:val="24"/>
                <w:lang w:val="en-CA" w:eastAsia="en-CA"/>
                <w14:ligatures w14:val="none"/>
              </w:rPr>
              <w:lastRenderedPageBreak/>
              <w:t>sample</w:t>
            </w:r>
          </w:p>
        </w:tc>
        <w:tc>
          <w:tcPr>
            <w:tcW w:w="533" w:type="pct"/>
            <w:tcBorders>
              <w:top w:val="nil"/>
              <w:left w:val="nil"/>
              <w:bottom w:val="single" w:sz="4" w:space="0" w:color="auto"/>
              <w:right w:val="single" w:sz="4" w:space="0" w:color="auto"/>
            </w:tcBorders>
            <w:shd w:val="clear" w:color="000000" w:fill="FFFFFF"/>
            <w:vAlign w:val="bottom"/>
            <w:hideMark/>
          </w:tcPr>
          <w:p w14:paraId="3DA7081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Hormonal methods : Combined estrogen-progesterone pills, Progestin-only pills, Injections, Contraceptive patch, Implant, Hormonal IUD, NuvaRing </w:t>
            </w:r>
            <w:r w:rsidRPr="006E1C09">
              <w:rPr>
                <w:rFonts w:ascii="Times New Roman" w:eastAsia="Times New Roman" w:hAnsi="Times New Roman" w:cs="Times New Roman"/>
                <w:kern w:val="0"/>
                <w:sz w:val="24"/>
                <w:szCs w:val="24"/>
                <w:lang w:val="en-CA" w:eastAsia="en-CA"/>
                <w14:ligatures w14:val="none"/>
              </w:rPr>
              <w:br/>
              <w:t>Non-hormonal metho</w:t>
            </w:r>
            <w:r w:rsidRPr="006E1C09">
              <w:rPr>
                <w:rFonts w:ascii="Times New Roman" w:eastAsia="Times New Roman" w:hAnsi="Times New Roman" w:cs="Times New Roman"/>
                <w:kern w:val="0"/>
                <w:sz w:val="24"/>
                <w:szCs w:val="24"/>
                <w:lang w:val="en-CA" w:eastAsia="en-CA"/>
                <w14:ligatures w14:val="none"/>
              </w:rPr>
              <w:lastRenderedPageBreak/>
              <w:t xml:space="preserve">ds : Copper IUD, Natural methods, Condoms </w:t>
            </w:r>
          </w:p>
        </w:tc>
        <w:tc>
          <w:tcPr>
            <w:tcW w:w="346" w:type="pct"/>
            <w:tcBorders>
              <w:top w:val="nil"/>
              <w:left w:val="nil"/>
              <w:bottom w:val="single" w:sz="4" w:space="0" w:color="auto"/>
              <w:right w:val="single" w:sz="4" w:space="0" w:color="auto"/>
            </w:tcBorders>
            <w:shd w:val="clear" w:color="000000" w:fill="FFFFFF"/>
            <w:vAlign w:val="center"/>
            <w:hideMark/>
          </w:tcPr>
          <w:p w14:paraId="4BEEC73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Less than 3 months, 3 to 12 months and more than one year</w:t>
            </w:r>
          </w:p>
        </w:tc>
        <w:tc>
          <w:tcPr>
            <w:tcW w:w="484" w:type="pct"/>
            <w:tcBorders>
              <w:top w:val="nil"/>
              <w:left w:val="nil"/>
              <w:bottom w:val="single" w:sz="4" w:space="0" w:color="auto"/>
              <w:right w:val="single" w:sz="4" w:space="0" w:color="auto"/>
            </w:tcBorders>
            <w:shd w:val="clear" w:color="000000" w:fill="FFFFFF"/>
            <w:vAlign w:val="center"/>
            <w:hideMark/>
          </w:tcPr>
          <w:p w14:paraId="225CF61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hormonal contraceptive methods were at a higher risk of developing moderate to severe depression compared to those using non-hormonal contr</w:t>
            </w:r>
            <w:r w:rsidRPr="006E1C09">
              <w:rPr>
                <w:rFonts w:ascii="Times New Roman" w:eastAsia="Times New Roman" w:hAnsi="Times New Roman" w:cs="Times New Roman"/>
                <w:kern w:val="0"/>
                <w:sz w:val="24"/>
                <w:szCs w:val="24"/>
                <w:lang w:val="en-CA" w:eastAsia="en-CA"/>
                <w14:ligatures w14:val="none"/>
              </w:rPr>
              <w:lastRenderedPageBreak/>
              <w:t>aceptive methods</w:t>
            </w:r>
          </w:p>
        </w:tc>
        <w:tc>
          <w:tcPr>
            <w:tcW w:w="372" w:type="pct"/>
            <w:tcBorders>
              <w:top w:val="nil"/>
              <w:left w:val="nil"/>
              <w:bottom w:val="single" w:sz="4" w:space="0" w:color="auto"/>
              <w:right w:val="single" w:sz="4" w:space="0" w:color="auto"/>
            </w:tcBorders>
            <w:shd w:val="clear" w:color="000000" w:fill="FFFFFF"/>
            <w:vAlign w:val="center"/>
            <w:hideMark/>
          </w:tcPr>
          <w:p w14:paraId="6359FF9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0EAFFE6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Depression assessed by Patient Health Questionnaire-9 (PHQ-9)</w:t>
            </w:r>
          </w:p>
        </w:tc>
        <w:tc>
          <w:tcPr>
            <w:tcW w:w="423" w:type="pct"/>
            <w:tcBorders>
              <w:top w:val="nil"/>
              <w:left w:val="nil"/>
              <w:bottom w:val="single" w:sz="4" w:space="0" w:color="auto"/>
              <w:right w:val="single" w:sz="4" w:space="0" w:color="auto"/>
            </w:tcBorders>
            <w:shd w:val="clear" w:color="000000" w:fill="FFFFFF"/>
            <w:vAlign w:val="center"/>
            <w:hideMark/>
          </w:tcPr>
          <w:p w14:paraId="10BFA37E"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18.2% had a previous psychiatric disorder.</w:t>
            </w:r>
            <w:r w:rsidRPr="006E1C09">
              <w:rPr>
                <w:rFonts w:ascii="Times New Roman" w:eastAsia="Times New Roman" w:hAnsi="Times New Roman" w:cs="Times New Roman"/>
                <w:kern w:val="0"/>
                <w:sz w:val="24"/>
                <w:szCs w:val="24"/>
                <w:lang w:val="en-CA" w:eastAsia="en-CA"/>
                <w14:ligatures w14:val="none"/>
              </w:rPr>
              <w:br/>
              <w:t>25.7% were using depressogenic medications.</w:t>
            </w:r>
            <w:r w:rsidRPr="006E1C09">
              <w:rPr>
                <w:rFonts w:ascii="Times New Roman" w:eastAsia="Times New Roman" w:hAnsi="Times New Roman" w:cs="Times New Roman"/>
                <w:kern w:val="0"/>
                <w:sz w:val="24"/>
                <w:szCs w:val="24"/>
                <w:lang w:val="en-CA" w:eastAsia="en-CA"/>
                <w14:ligatures w14:val="none"/>
              </w:rPr>
              <w:br/>
              <w:t>7.2% had a history of substance use.</w:t>
            </w:r>
          </w:p>
        </w:tc>
        <w:tc>
          <w:tcPr>
            <w:tcW w:w="538" w:type="pct"/>
            <w:tcBorders>
              <w:top w:val="single" w:sz="4" w:space="0" w:color="auto"/>
              <w:left w:val="nil"/>
              <w:bottom w:val="single" w:sz="4" w:space="0" w:color="auto"/>
              <w:right w:val="single" w:sz="4" w:space="0" w:color="auto"/>
            </w:tcBorders>
            <w:shd w:val="clear" w:color="000000" w:fill="FFFFFF"/>
            <w:hideMark/>
          </w:tcPr>
          <w:p w14:paraId="22EFC5B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 majority of the screening results for depression were none-minimal and mild depression, with prevalence rates of 43.1% (n = 2091) and 27.9% (n = 1353), respectively. Moderate </w:t>
            </w:r>
            <w:r w:rsidRPr="006E1C09">
              <w:rPr>
                <w:rFonts w:ascii="Times New Roman" w:eastAsia="Times New Roman" w:hAnsi="Times New Roman" w:cs="Times New Roman"/>
                <w:kern w:val="0"/>
                <w:sz w:val="24"/>
                <w:szCs w:val="24"/>
                <w:lang w:val="en-CA" w:eastAsia="en-CA"/>
                <w14:ligatures w14:val="none"/>
              </w:rPr>
              <w:lastRenderedPageBreak/>
              <w:t>depression was shown in 15.8%, moderately severe in 9.2%, and severe in 4% of the women</w:t>
            </w:r>
            <w:r w:rsidRPr="006E1C09">
              <w:rPr>
                <w:rFonts w:ascii="Times New Roman" w:eastAsia="Times New Roman" w:hAnsi="Times New Roman" w:cs="Times New Roman"/>
                <w:kern w:val="0"/>
                <w:sz w:val="24"/>
                <w:szCs w:val="24"/>
                <w:lang w:val="en-CA" w:eastAsia="en-CA"/>
                <w14:ligatures w14:val="none"/>
              </w:rPr>
              <w:br/>
              <w:t xml:space="preserve">• The prevalence of depression risk factors was as the following: 18.2% (n = 881) of the participants were previously diagnosed with psychiatric disorders, </w:t>
            </w:r>
            <w:r w:rsidRPr="006E1C09">
              <w:rPr>
                <w:rFonts w:ascii="Times New Roman" w:eastAsia="Times New Roman" w:hAnsi="Times New Roman" w:cs="Times New Roman"/>
                <w:kern w:val="0"/>
                <w:sz w:val="24"/>
                <w:szCs w:val="24"/>
                <w:lang w:val="en-CA" w:eastAsia="en-CA"/>
                <w14:ligatures w14:val="none"/>
              </w:rPr>
              <w:lastRenderedPageBreak/>
              <w:t>15.9% (n = 774) were previously diagnosed with physical illnesses, 7.2% (n = 404), had history of substance use, and 25.7% (1247) were using depressogenic medications</w:t>
            </w:r>
            <w:r w:rsidRPr="006E1C09">
              <w:rPr>
                <w:rFonts w:ascii="Times New Roman" w:eastAsia="Times New Roman" w:hAnsi="Times New Roman" w:cs="Times New Roman"/>
                <w:kern w:val="0"/>
                <w:sz w:val="24"/>
                <w:szCs w:val="24"/>
                <w:lang w:val="en-CA" w:eastAsia="en-CA"/>
                <w14:ligatures w14:val="none"/>
              </w:rPr>
              <w:br/>
              <w:t xml:space="preserve">• It was also found that more than one year of contraceptive use was </w:t>
            </w:r>
            <w:r w:rsidRPr="006E1C09">
              <w:rPr>
                <w:rFonts w:ascii="Times New Roman" w:eastAsia="Times New Roman" w:hAnsi="Times New Roman" w:cs="Times New Roman"/>
                <w:kern w:val="0"/>
                <w:sz w:val="24"/>
                <w:szCs w:val="24"/>
                <w:lang w:val="en-CA" w:eastAsia="en-CA"/>
                <w14:ligatures w14:val="none"/>
              </w:rPr>
              <w:lastRenderedPageBreak/>
              <w:t>positively associated with none-minimal and mild degrees of depression (P value = 0.00)</w:t>
            </w:r>
            <w:r w:rsidRPr="006E1C09">
              <w:rPr>
                <w:rFonts w:ascii="Times New Roman" w:eastAsia="Times New Roman" w:hAnsi="Times New Roman" w:cs="Times New Roman"/>
                <w:kern w:val="0"/>
                <w:sz w:val="24"/>
                <w:szCs w:val="24"/>
                <w:lang w:val="en-CA" w:eastAsia="en-CA"/>
                <w14:ligatures w14:val="none"/>
              </w:rPr>
              <w:br/>
              <w:t xml:space="preserve">• Rates of depression were higher in women using hormonal contraceptive methods compared to non-hormonal birth control methods. </w:t>
            </w:r>
            <w:r w:rsidRPr="006E1C09">
              <w:rPr>
                <w:rFonts w:ascii="Times New Roman" w:eastAsia="Times New Roman" w:hAnsi="Times New Roman" w:cs="Times New Roman"/>
                <w:kern w:val="0"/>
                <w:sz w:val="24"/>
                <w:szCs w:val="24"/>
                <w:lang w:val="en-CA" w:eastAsia="en-CA"/>
                <w14:ligatures w14:val="none"/>
              </w:rPr>
              <w:lastRenderedPageBreak/>
              <w:t>The rate of moderate to severe depression was 30.6% in the hormonal contraception group in comparison to 25.8% in the group using non-hormonal contraceptives (Figure 3).</w:t>
            </w:r>
            <w:r w:rsidRPr="006E1C09">
              <w:rPr>
                <w:rFonts w:ascii="Times New Roman" w:eastAsia="Times New Roman" w:hAnsi="Times New Roman" w:cs="Times New Roman"/>
                <w:kern w:val="0"/>
                <w:sz w:val="24"/>
                <w:szCs w:val="24"/>
                <w:lang w:val="en-CA" w:eastAsia="en-CA"/>
                <w14:ligatures w14:val="none"/>
              </w:rPr>
              <w:br/>
              <w:t xml:space="preserve">• The hormonal group have 1.267 times higher risk to develop moderate to severe </w:t>
            </w:r>
            <w:r w:rsidRPr="006E1C09">
              <w:rPr>
                <w:rFonts w:ascii="Times New Roman" w:eastAsia="Times New Roman" w:hAnsi="Times New Roman" w:cs="Times New Roman"/>
                <w:kern w:val="0"/>
                <w:sz w:val="24"/>
                <w:szCs w:val="24"/>
                <w:lang w:val="en-CA" w:eastAsia="en-CA"/>
                <w14:ligatures w14:val="none"/>
              </w:rPr>
              <w:lastRenderedPageBreak/>
              <w:t>depression compared to non-hormonal contraceptive methods’ users (P value: 0.00).</w:t>
            </w:r>
            <w:r w:rsidRPr="006E1C09">
              <w:rPr>
                <w:rFonts w:ascii="Times New Roman" w:eastAsia="Times New Roman" w:hAnsi="Times New Roman" w:cs="Times New Roman"/>
                <w:kern w:val="0"/>
                <w:sz w:val="24"/>
                <w:szCs w:val="24"/>
                <w:lang w:val="en-CA" w:eastAsia="en-CA"/>
                <w14:ligatures w14:val="none"/>
              </w:rPr>
              <w:br/>
              <w:t xml:space="preserve">• Psychiatric disorders, medical illnesses, substance use and depressogenic medications use were all positively associated with depression in </w:t>
            </w:r>
            <w:r w:rsidRPr="006E1C09">
              <w:rPr>
                <w:rFonts w:ascii="Times New Roman" w:eastAsia="Times New Roman" w:hAnsi="Times New Roman" w:cs="Times New Roman"/>
                <w:kern w:val="0"/>
                <w:sz w:val="24"/>
                <w:szCs w:val="24"/>
                <w:lang w:val="en-CA" w:eastAsia="en-CA"/>
                <w14:ligatures w14:val="none"/>
              </w:rPr>
              <w:lastRenderedPageBreak/>
              <w:t>both hormonal and non-hormonal contraception users, OR: 3.3, 1.9, 1.59 and 2.27 respectively (P value: 0.00).</w:t>
            </w:r>
            <w:r w:rsidRPr="006E1C09">
              <w:rPr>
                <w:rFonts w:ascii="Times New Roman" w:eastAsia="Times New Roman" w:hAnsi="Times New Roman" w:cs="Times New Roman"/>
                <w:kern w:val="0"/>
                <w:sz w:val="24"/>
                <w:szCs w:val="24"/>
                <w:lang w:val="en-CA" w:eastAsia="en-CA"/>
                <w14:ligatures w14:val="none"/>
              </w:rPr>
              <w:br/>
              <w:t xml:space="preserve">• Rates of depression were observed to be higher among hormonal contraceptive group compared to non-hormonal </w:t>
            </w:r>
            <w:r w:rsidRPr="006E1C09">
              <w:rPr>
                <w:rFonts w:ascii="Times New Roman" w:eastAsia="Times New Roman" w:hAnsi="Times New Roman" w:cs="Times New Roman"/>
                <w:kern w:val="0"/>
                <w:sz w:val="24"/>
                <w:szCs w:val="24"/>
                <w:lang w:val="en-CA" w:eastAsia="en-CA"/>
                <w14:ligatures w14:val="none"/>
              </w:rPr>
              <w:lastRenderedPageBreak/>
              <w:t xml:space="preserve">contraceptive group. Further, rates of moderate to severe depression among hormonal contraceptive group were 30.6% in contrast to 25.8% in non-hormonal group. The positive relationship between the previously mentioned risk factors and </w:t>
            </w:r>
            <w:r w:rsidRPr="006E1C09">
              <w:rPr>
                <w:rFonts w:ascii="Times New Roman" w:eastAsia="Times New Roman" w:hAnsi="Times New Roman" w:cs="Times New Roman"/>
                <w:kern w:val="0"/>
                <w:sz w:val="24"/>
                <w:szCs w:val="24"/>
                <w:lang w:val="en-CA" w:eastAsia="en-CA"/>
                <w14:ligatures w14:val="none"/>
              </w:rPr>
              <w:lastRenderedPageBreak/>
              <w:t>depression was noticed among hormonal contraceptive group</w:t>
            </w:r>
            <w:r w:rsidRPr="006E1C09">
              <w:rPr>
                <w:rFonts w:ascii="Times New Roman" w:eastAsia="Times New Roman" w:hAnsi="Times New Roman" w:cs="Times New Roman"/>
                <w:kern w:val="0"/>
                <w:sz w:val="24"/>
                <w:szCs w:val="24"/>
                <w:lang w:val="en-CA" w:eastAsia="en-CA"/>
                <w14:ligatures w14:val="none"/>
              </w:rPr>
              <w:br/>
              <w:t xml:space="preserve">• Among all risk factors, depressogenic medication’s use was found in 25.7% followed by previous psychiatric disorders (18.2%), previous physical illness (15.9%), </w:t>
            </w:r>
            <w:r w:rsidRPr="006E1C09">
              <w:rPr>
                <w:rFonts w:ascii="Times New Roman" w:eastAsia="Times New Roman" w:hAnsi="Times New Roman" w:cs="Times New Roman"/>
                <w:kern w:val="0"/>
                <w:sz w:val="24"/>
                <w:szCs w:val="24"/>
                <w:lang w:val="en-CA" w:eastAsia="en-CA"/>
                <w14:ligatures w14:val="none"/>
              </w:rPr>
              <w:lastRenderedPageBreak/>
              <w:t>and substance use history (7.2%).</w:t>
            </w:r>
            <w:r w:rsidRPr="006E1C09">
              <w:rPr>
                <w:rFonts w:ascii="Times New Roman" w:eastAsia="Times New Roman" w:hAnsi="Times New Roman" w:cs="Times New Roman"/>
                <w:kern w:val="0"/>
                <w:sz w:val="24"/>
                <w:szCs w:val="24"/>
                <w:lang w:val="en-CA" w:eastAsia="en-CA"/>
                <w14:ligatures w14:val="none"/>
              </w:rPr>
              <w:br/>
              <w:t>• Women on hormonal contraceptive methods were at increased risk of moderate to severe depression compared to those using non-hormonal contraceptive methods</w:t>
            </w:r>
            <w:r w:rsidRPr="006E1C09">
              <w:rPr>
                <w:rFonts w:ascii="Times New Roman" w:eastAsia="Times New Roman" w:hAnsi="Times New Roman" w:cs="Times New Roman"/>
                <w:kern w:val="0"/>
                <w:sz w:val="24"/>
                <w:szCs w:val="24"/>
                <w:lang w:val="en-CA" w:eastAsia="en-CA"/>
                <w14:ligatures w14:val="none"/>
              </w:rPr>
              <w:br/>
              <w:t xml:space="preserve">• Rates of depression </w:t>
            </w:r>
            <w:r w:rsidRPr="006E1C09">
              <w:rPr>
                <w:rFonts w:ascii="Times New Roman" w:eastAsia="Times New Roman" w:hAnsi="Times New Roman" w:cs="Times New Roman"/>
                <w:kern w:val="0"/>
                <w:sz w:val="24"/>
                <w:szCs w:val="24"/>
                <w:lang w:val="en-CA" w:eastAsia="en-CA"/>
                <w14:ligatures w14:val="none"/>
              </w:rPr>
              <w:lastRenderedPageBreak/>
              <w:t xml:space="preserve">were higher in women using hormonal contraceptive methods in comparison to non-hormonal birth control methods in the present study. The rate of moderate to severe depression was 30.6% in the hormonal contraception group compared </w:t>
            </w:r>
            <w:r w:rsidRPr="006E1C09">
              <w:rPr>
                <w:rFonts w:ascii="Times New Roman" w:eastAsia="Times New Roman" w:hAnsi="Times New Roman" w:cs="Times New Roman"/>
                <w:kern w:val="0"/>
                <w:sz w:val="24"/>
                <w:szCs w:val="24"/>
                <w:lang w:val="en-CA" w:eastAsia="en-CA"/>
                <w14:ligatures w14:val="none"/>
              </w:rPr>
              <w:lastRenderedPageBreak/>
              <w:t>to 25.8% in the group using non-hormonal contraceptives. Furthermore, hormonal group has 1.267 times higher risk to develop moderate to severe depression compared to non-hormonal contraceptive methods’ users</w:t>
            </w:r>
          </w:p>
        </w:tc>
      </w:tr>
      <w:tr w:rsidR="006E1C09" w:rsidRPr="00F87E76" w14:paraId="297D5757" w14:textId="77777777" w:rsidTr="006E1C09">
        <w:trPr>
          <w:trHeight w:val="315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7B92EA2"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Anderl et al., 2022</w:t>
            </w:r>
          </w:p>
        </w:tc>
        <w:tc>
          <w:tcPr>
            <w:tcW w:w="298" w:type="pct"/>
            <w:tcBorders>
              <w:top w:val="nil"/>
              <w:left w:val="nil"/>
              <w:bottom w:val="single" w:sz="4" w:space="0" w:color="auto"/>
              <w:right w:val="single" w:sz="4" w:space="0" w:color="auto"/>
            </w:tcBorders>
            <w:shd w:val="clear" w:color="000000" w:fill="FFFFFF"/>
            <w:vAlign w:val="center"/>
            <w:hideMark/>
          </w:tcPr>
          <w:p w14:paraId="163EF73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725 women ranging from 13-25 years old</w:t>
            </w:r>
          </w:p>
        </w:tc>
        <w:tc>
          <w:tcPr>
            <w:tcW w:w="576" w:type="pct"/>
            <w:tcBorders>
              <w:top w:val="nil"/>
              <w:left w:val="nil"/>
              <w:bottom w:val="single" w:sz="4" w:space="0" w:color="auto"/>
              <w:right w:val="single" w:sz="4" w:space="0" w:color="auto"/>
            </w:tcBorders>
            <w:shd w:val="clear" w:color="000000" w:fill="FFFFFF"/>
            <w:vAlign w:val="center"/>
            <w:hideMark/>
          </w:tcPr>
          <w:p w14:paraId="089E9DE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Prospective cohort study using data from the Dutch population survey TRAILS (TRacking Adolescents’ Individual Lives Survey)</w:t>
            </w:r>
          </w:p>
        </w:tc>
        <w:tc>
          <w:tcPr>
            <w:tcW w:w="487" w:type="pct"/>
            <w:tcBorders>
              <w:top w:val="nil"/>
              <w:left w:val="nil"/>
              <w:bottom w:val="single" w:sz="4" w:space="0" w:color="auto"/>
              <w:right w:val="single" w:sz="4" w:space="0" w:color="auto"/>
            </w:tcBorders>
            <w:shd w:val="clear" w:color="000000" w:fill="FFFFFF"/>
            <w:vAlign w:val="center"/>
            <w:hideMark/>
          </w:tcPr>
          <w:p w14:paraId="481D2F4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examine the association between adolescent OC use and subsequent depression risk in early adulthood analyzing all theoretically justifiable models</w:t>
            </w:r>
          </w:p>
        </w:tc>
        <w:tc>
          <w:tcPr>
            <w:tcW w:w="533" w:type="pct"/>
            <w:tcBorders>
              <w:top w:val="nil"/>
              <w:left w:val="nil"/>
              <w:bottom w:val="single" w:sz="4" w:space="0" w:color="auto"/>
              <w:right w:val="single" w:sz="4" w:space="0" w:color="auto"/>
            </w:tcBorders>
            <w:shd w:val="clear" w:color="000000" w:fill="FFFFFF"/>
            <w:vAlign w:val="center"/>
            <w:hideMark/>
          </w:tcPr>
          <w:p w14:paraId="22AB16F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Oral contraceptives (OC)</w:t>
            </w:r>
          </w:p>
        </w:tc>
        <w:tc>
          <w:tcPr>
            <w:tcW w:w="346" w:type="pct"/>
            <w:tcBorders>
              <w:top w:val="nil"/>
              <w:left w:val="nil"/>
              <w:bottom w:val="single" w:sz="4" w:space="0" w:color="auto"/>
              <w:right w:val="single" w:sz="4" w:space="0" w:color="auto"/>
            </w:tcBorders>
            <w:shd w:val="clear" w:color="000000" w:fill="FFFFFF"/>
            <w:vAlign w:val="center"/>
            <w:hideMark/>
          </w:tcPr>
          <w:p w14:paraId="189C3A8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Participants were followed from adolescence (ages 13–19) into early adulthood (ages 20–25). </w:t>
            </w:r>
          </w:p>
        </w:tc>
        <w:tc>
          <w:tcPr>
            <w:tcW w:w="484" w:type="pct"/>
            <w:tcBorders>
              <w:top w:val="nil"/>
              <w:left w:val="nil"/>
              <w:bottom w:val="single" w:sz="4" w:space="0" w:color="auto"/>
              <w:right w:val="single" w:sz="4" w:space="0" w:color="auto"/>
            </w:tcBorders>
            <w:shd w:val="clear" w:color="000000" w:fill="FFFFFF"/>
            <w:vAlign w:val="center"/>
            <w:hideMark/>
          </w:tcPr>
          <w:p w14:paraId="3C7EF7A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Adolescent oral contraceptive (OC) use is associated with an increased risk of experiencing major depressive disorder (MDD) later in life</w:t>
            </w:r>
          </w:p>
        </w:tc>
        <w:tc>
          <w:tcPr>
            <w:tcW w:w="372" w:type="pct"/>
            <w:tcBorders>
              <w:top w:val="nil"/>
              <w:left w:val="nil"/>
              <w:bottom w:val="single" w:sz="4" w:space="0" w:color="auto"/>
              <w:right w:val="single" w:sz="4" w:space="0" w:color="auto"/>
            </w:tcBorders>
            <w:shd w:val="clear" w:color="000000" w:fill="FFFFFF"/>
            <w:vAlign w:val="center"/>
            <w:hideMark/>
          </w:tcPr>
          <w:p w14:paraId="6DEED578"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7E8051B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Major depressive disorder (MDD) assessed by The World Health Organization Composite International Diagnostic Interview (CIDI) version 3.0 at age 19 and the LIDAS at age 25.</w:t>
            </w:r>
          </w:p>
        </w:tc>
        <w:tc>
          <w:tcPr>
            <w:tcW w:w="423" w:type="pct"/>
            <w:tcBorders>
              <w:top w:val="nil"/>
              <w:left w:val="nil"/>
              <w:bottom w:val="single" w:sz="4" w:space="0" w:color="auto"/>
              <w:right w:val="single" w:sz="4" w:space="0" w:color="auto"/>
            </w:tcBorders>
            <w:shd w:val="clear" w:color="000000" w:fill="FFFFFF"/>
            <w:vAlign w:val="center"/>
            <w:hideMark/>
          </w:tcPr>
          <w:p w14:paraId="1BCB630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History of MDD at age 19 : 33 (17.3%) non OC users; 109 (20.4%) OC users. Depressive symptoms at baseline : 0.29 +/- 0.27 for non users;  0.33 +/- 0.29 for users</w:t>
            </w:r>
          </w:p>
        </w:tc>
        <w:tc>
          <w:tcPr>
            <w:tcW w:w="538" w:type="pct"/>
            <w:tcBorders>
              <w:top w:val="single" w:sz="4" w:space="0" w:color="auto"/>
              <w:left w:val="nil"/>
              <w:bottom w:val="single" w:sz="4" w:space="0" w:color="auto"/>
              <w:right w:val="single" w:sz="4" w:space="0" w:color="auto"/>
            </w:tcBorders>
            <w:shd w:val="clear" w:color="000000" w:fill="FFFFFF"/>
            <w:hideMark/>
          </w:tcPr>
          <w:p w14:paraId="64A1AD2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There were no differences in the lifetime prevalence of comorbid psychiatric disorders between adolescent OC users and nonusers at the age of 25. Only panic and anxiety disorders were somewhat more prevalent in adolescent OC </w:t>
            </w:r>
            <w:r w:rsidRPr="006E1C09">
              <w:rPr>
                <w:rFonts w:ascii="Times New Roman" w:eastAsia="Times New Roman" w:hAnsi="Times New Roman" w:cs="Times New Roman"/>
                <w:kern w:val="0"/>
                <w:sz w:val="24"/>
                <w:szCs w:val="24"/>
                <w:lang w:val="en-CA" w:eastAsia="en-CA"/>
                <w14:ligatures w14:val="none"/>
              </w:rPr>
              <w:lastRenderedPageBreak/>
              <w:t>users than in nonusers (4.5% and 7.7% vs. 1.0% and 3.7%, respectively) but these differences were not statistically significant.</w:t>
            </w:r>
            <w:r w:rsidRPr="006E1C09">
              <w:rPr>
                <w:rFonts w:ascii="Times New Roman" w:eastAsia="Times New Roman" w:hAnsi="Times New Roman" w:cs="Times New Roman"/>
                <w:kern w:val="0"/>
                <w:sz w:val="24"/>
                <w:szCs w:val="24"/>
                <w:lang w:val="en-CA" w:eastAsia="en-CA"/>
                <w14:ligatures w14:val="none"/>
              </w:rPr>
              <w:br/>
              <w:t xml:space="preserve">• Notably, all ORs were larger than 1, indicating a higher MDD risk for adolescent OC users, with a median effect </w:t>
            </w:r>
            <w:r w:rsidRPr="006E1C09">
              <w:rPr>
                <w:rFonts w:ascii="Times New Roman" w:eastAsia="Times New Roman" w:hAnsi="Times New Roman" w:cs="Times New Roman"/>
                <w:kern w:val="0"/>
                <w:sz w:val="24"/>
                <w:szCs w:val="24"/>
                <w:lang w:val="en-CA" w:eastAsia="en-CA"/>
                <w14:ligatures w14:val="none"/>
              </w:rPr>
              <w:lastRenderedPageBreak/>
              <w:t>size of OR = 1.41. However, effect sizes varied considerably across specifications (ORmin = 1.08; ORmax = 2.18).</w:t>
            </w:r>
            <w:r w:rsidRPr="006E1C09">
              <w:rPr>
                <w:rFonts w:ascii="Times New Roman" w:eastAsia="Times New Roman" w:hAnsi="Times New Roman" w:cs="Times New Roman"/>
                <w:kern w:val="0"/>
                <w:sz w:val="24"/>
                <w:szCs w:val="24"/>
                <w:lang w:val="en-CA" w:eastAsia="en-CA"/>
                <w14:ligatures w14:val="none"/>
              </w:rPr>
              <w:br/>
              <w:t xml:space="preserve">• We found that women who had used OCs during adolescence showed an increased risk to experience an episode of MDD up to 6 years </w:t>
            </w:r>
            <w:r w:rsidRPr="006E1C09">
              <w:rPr>
                <w:rFonts w:ascii="Times New Roman" w:eastAsia="Times New Roman" w:hAnsi="Times New Roman" w:cs="Times New Roman"/>
                <w:kern w:val="0"/>
                <w:sz w:val="24"/>
                <w:szCs w:val="24"/>
                <w:lang w:val="en-CA" w:eastAsia="en-CA"/>
                <w14:ligatures w14:val="none"/>
              </w:rPr>
              <w:lastRenderedPageBreak/>
              <w:t>later. This finding was most pronounced in women who had not suffered from MDD before or during adolescence.</w:t>
            </w:r>
            <w:r w:rsidRPr="006E1C09">
              <w:rPr>
                <w:rFonts w:ascii="Times New Roman" w:eastAsia="Times New Roman" w:hAnsi="Times New Roman" w:cs="Times New Roman"/>
                <w:kern w:val="0"/>
                <w:sz w:val="24"/>
                <w:szCs w:val="24"/>
                <w:lang w:val="en-CA" w:eastAsia="en-CA"/>
                <w14:ligatures w14:val="none"/>
              </w:rPr>
              <w:br/>
              <w:t>• The relationship between adolescent OC use and MDD risk was less strong for women with a history of MDD at age 19. Adole</w:t>
            </w:r>
            <w:r w:rsidRPr="006E1C09">
              <w:rPr>
                <w:rFonts w:ascii="Times New Roman" w:eastAsia="Times New Roman" w:hAnsi="Times New Roman" w:cs="Times New Roman"/>
                <w:kern w:val="0"/>
                <w:sz w:val="24"/>
                <w:szCs w:val="24"/>
                <w:lang w:val="en-CA" w:eastAsia="en-CA"/>
                <w14:ligatures w14:val="none"/>
              </w:rPr>
              <w:lastRenderedPageBreak/>
              <w:t>scent OC use does not contribute strongly to a heightened risk for a future MDD episode if this risk is already heightened by a previous episode</w:t>
            </w:r>
          </w:p>
        </w:tc>
      </w:tr>
      <w:tr w:rsidR="006E1C09" w:rsidRPr="00F87E76" w14:paraId="3B0EFF0F" w14:textId="77777777" w:rsidTr="006E1C09">
        <w:trPr>
          <w:trHeight w:val="346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488C5CBA"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Doornweerd et al., 2022</w:t>
            </w:r>
          </w:p>
        </w:tc>
        <w:tc>
          <w:tcPr>
            <w:tcW w:w="298" w:type="pct"/>
            <w:tcBorders>
              <w:top w:val="nil"/>
              <w:left w:val="nil"/>
              <w:bottom w:val="single" w:sz="4" w:space="0" w:color="auto"/>
              <w:right w:val="single" w:sz="4" w:space="0" w:color="auto"/>
            </w:tcBorders>
            <w:shd w:val="clear" w:color="000000" w:fill="FFFFFF"/>
            <w:vAlign w:val="center"/>
            <w:hideMark/>
          </w:tcPr>
          <w:p w14:paraId="4BCE274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178 women (with a mean age of 12.99 (SD = </w:t>
            </w:r>
            <w:r w:rsidRPr="006E1C09">
              <w:rPr>
                <w:rFonts w:ascii="Times New Roman" w:eastAsia="Times New Roman" w:hAnsi="Times New Roman" w:cs="Times New Roman"/>
                <w:kern w:val="0"/>
                <w:sz w:val="24"/>
                <w:szCs w:val="24"/>
                <w:lang w:val="en-CA" w:eastAsia="en-CA"/>
                <w14:ligatures w14:val="none"/>
              </w:rPr>
              <w:lastRenderedPageBreak/>
              <w:t>0.43) at Wave 1 and 23.83 (SD = 0.43) at Wave 9)</w:t>
            </w:r>
          </w:p>
        </w:tc>
        <w:tc>
          <w:tcPr>
            <w:tcW w:w="576" w:type="pct"/>
            <w:tcBorders>
              <w:top w:val="nil"/>
              <w:left w:val="nil"/>
              <w:bottom w:val="single" w:sz="4" w:space="0" w:color="auto"/>
              <w:right w:val="single" w:sz="4" w:space="0" w:color="auto"/>
            </w:tcBorders>
            <w:shd w:val="clear" w:color="000000" w:fill="FFFFFF"/>
            <w:vAlign w:val="center"/>
            <w:hideMark/>
          </w:tcPr>
          <w:p w14:paraId="3EC5DB9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Longitudinal cohort study utilising data from the Research on Adolescent Development and Relationships (RAD</w:t>
            </w:r>
            <w:r w:rsidRPr="006E1C09">
              <w:rPr>
                <w:rFonts w:ascii="Times New Roman" w:eastAsia="Times New Roman" w:hAnsi="Times New Roman" w:cs="Times New Roman"/>
                <w:kern w:val="0"/>
                <w:sz w:val="24"/>
                <w:szCs w:val="24"/>
                <w:lang w:val="en-CA" w:eastAsia="en-CA"/>
                <w14:ligatures w14:val="none"/>
              </w:rPr>
              <w:lastRenderedPageBreak/>
              <w:t>AR-Y) younger cohort</w:t>
            </w:r>
          </w:p>
        </w:tc>
        <w:tc>
          <w:tcPr>
            <w:tcW w:w="487" w:type="pct"/>
            <w:tcBorders>
              <w:top w:val="nil"/>
              <w:left w:val="nil"/>
              <w:bottom w:val="single" w:sz="4" w:space="0" w:color="auto"/>
              <w:right w:val="single" w:sz="4" w:space="0" w:color="auto"/>
            </w:tcBorders>
            <w:shd w:val="clear" w:color="000000" w:fill="FFFFFF"/>
            <w:vAlign w:val="center"/>
            <w:hideMark/>
          </w:tcPr>
          <w:p w14:paraId="4785C89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To examine OC’s effect on both depression and anxiety symptoms throughout adole</w:t>
            </w:r>
            <w:r w:rsidRPr="006E1C09">
              <w:rPr>
                <w:rFonts w:ascii="Times New Roman" w:eastAsia="Times New Roman" w:hAnsi="Times New Roman" w:cs="Times New Roman"/>
                <w:kern w:val="0"/>
                <w:sz w:val="24"/>
                <w:szCs w:val="24"/>
                <w:lang w:val="en-CA" w:eastAsia="en-CA"/>
                <w14:ligatures w14:val="none"/>
              </w:rPr>
              <w:lastRenderedPageBreak/>
              <w:t>scence.</w:t>
            </w:r>
          </w:p>
        </w:tc>
        <w:tc>
          <w:tcPr>
            <w:tcW w:w="533" w:type="pct"/>
            <w:tcBorders>
              <w:top w:val="nil"/>
              <w:left w:val="nil"/>
              <w:bottom w:val="single" w:sz="4" w:space="0" w:color="auto"/>
              <w:right w:val="single" w:sz="4" w:space="0" w:color="auto"/>
            </w:tcBorders>
            <w:shd w:val="clear" w:color="000000" w:fill="FFFFFF"/>
            <w:vAlign w:val="center"/>
            <w:hideMark/>
          </w:tcPr>
          <w:p w14:paraId="726CD3B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contraceptives (specific types not detailed)</w:t>
            </w:r>
          </w:p>
        </w:tc>
        <w:tc>
          <w:tcPr>
            <w:tcW w:w="346" w:type="pct"/>
            <w:tcBorders>
              <w:top w:val="nil"/>
              <w:left w:val="nil"/>
              <w:bottom w:val="single" w:sz="4" w:space="0" w:color="auto"/>
              <w:right w:val="single" w:sz="4" w:space="0" w:color="auto"/>
            </w:tcBorders>
            <w:shd w:val="clear" w:color="000000" w:fill="FFFFFF"/>
            <w:vAlign w:val="center"/>
            <w:hideMark/>
          </w:tcPr>
          <w:p w14:paraId="540320A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Participants were assessed over nine waves from age</w:t>
            </w:r>
            <w:r w:rsidRPr="006E1C09">
              <w:rPr>
                <w:rFonts w:ascii="Times New Roman" w:eastAsia="Times New Roman" w:hAnsi="Times New Roman" w:cs="Times New Roman"/>
                <w:kern w:val="0"/>
                <w:sz w:val="24"/>
                <w:szCs w:val="24"/>
                <w:lang w:val="en-CA" w:eastAsia="en-CA"/>
                <w14:ligatures w14:val="none"/>
              </w:rPr>
              <w:lastRenderedPageBreak/>
              <w:t>s 13 to 24, with annual assessments until age 18, followed by biannual assessments.</w:t>
            </w:r>
          </w:p>
        </w:tc>
        <w:tc>
          <w:tcPr>
            <w:tcW w:w="484" w:type="pct"/>
            <w:tcBorders>
              <w:top w:val="nil"/>
              <w:left w:val="nil"/>
              <w:bottom w:val="single" w:sz="4" w:space="0" w:color="auto"/>
              <w:right w:val="single" w:sz="4" w:space="0" w:color="auto"/>
            </w:tcBorders>
            <w:shd w:val="clear" w:color="000000" w:fill="FFFFFF"/>
            <w:vAlign w:val="center"/>
            <w:hideMark/>
          </w:tcPr>
          <w:p w14:paraId="17083BE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Oral contraceptive (OC) use during adolescence is associated with a stable trajectory </w:t>
            </w:r>
            <w:r w:rsidRPr="006E1C09">
              <w:rPr>
                <w:rFonts w:ascii="Times New Roman" w:eastAsia="Times New Roman" w:hAnsi="Times New Roman" w:cs="Times New Roman"/>
                <w:kern w:val="0"/>
                <w:sz w:val="24"/>
                <w:szCs w:val="24"/>
                <w:lang w:val="en-CA" w:eastAsia="en-CA"/>
                <w14:ligatures w14:val="none"/>
              </w:rPr>
              <w:lastRenderedPageBreak/>
              <w:t>of depressive and anxiety symptoms throughout adolescence and young adulthood</w:t>
            </w:r>
          </w:p>
        </w:tc>
        <w:tc>
          <w:tcPr>
            <w:tcW w:w="372" w:type="pct"/>
            <w:tcBorders>
              <w:top w:val="nil"/>
              <w:left w:val="nil"/>
              <w:bottom w:val="single" w:sz="4" w:space="0" w:color="auto"/>
              <w:right w:val="single" w:sz="4" w:space="0" w:color="auto"/>
            </w:tcBorders>
            <w:shd w:val="clear" w:color="000000" w:fill="FFFFFF"/>
            <w:vAlign w:val="center"/>
            <w:hideMark/>
          </w:tcPr>
          <w:p w14:paraId="31EDC35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096C891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Depressive symptoms were assessed by the Dutch adjusted version of the Reynolds Adolescent Depres</w:t>
            </w:r>
            <w:r w:rsidRPr="006E1C09">
              <w:rPr>
                <w:rFonts w:ascii="Times New Roman" w:eastAsia="Times New Roman" w:hAnsi="Times New Roman" w:cs="Times New Roman"/>
                <w:kern w:val="0"/>
                <w:sz w:val="24"/>
                <w:szCs w:val="24"/>
                <w:lang w:val="en-CA" w:eastAsia="en-CA"/>
                <w14:ligatures w14:val="none"/>
              </w:rPr>
              <w:lastRenderedPageBreak/>
              <w:t>sion Scale, 2nd ed. (RADS-2). Anxiety symptoms were assessed with the Screen for Child Anxiety Related Emotional Disorders (SCARED).</w:t>
            </w:r>
          </w:p>
        </w:tc>
        <w:tc>
          <w:tcPr>
            <w:tcW w:w="423" w:type="pct"/>
            <w:tcBorders>
              <w:top w:val="nil"/>
              <w:left w:val="nil"/>
              <w:bottom w:val="single" w:sz="4" w:space="0" w:color="auto"/>
              <w:right w:val="single" w:sz="4" w:space="0" w:color="auto"/>
            </w:tcBorders>
            <w:shd w:val="clear" w:color="000000" w:fill="FFFFFF"/>
            <w:vAlign w:val="center"/>
            <w:hideMark/>
          </w:tcPr>
          <w:p w14:paraId="23D4546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23B6E8D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Depressive symptoms showed an overall increase in late adolescence with a significant main </w:t>
            </w:r>
            <w:r w:rsidRPr="006E1C09">
              <w:rPr>
                <w:rFonts w:ascii="Times New Roman" w:eastAsia="Times New Roman" w:hAnsi="Times New Roman" w:cs="Times New Roman"/>
                <w:kern w:val="0"/>
                <w:sz w:val="24"/>
                <w:szCs w:val="24"/>
                <w:lang w:val="en-CA" w:eastAsia="en-CA"/>
                <w14:ligatures w14:val="none"/>
              </w:rPr>
              <w:lastRenderedPageBreak/>
              <w:t>effect of slope 2 (p = 0.003). There was a significant interaction effect of slope 2 and OC use (p &lt; 0.001): never users of OC showed an increase in depressive symptoms in late adolescence, whereas OC users showed a stable trajectory of depressive sympt</w:t>
            </w:r>
            <w:r w:rsidRPr="006E1C09">
              <w:rPr>
                <w:rFonts w:ascii="Times New Roman" w:eastAsia="Times New Roman" w:hAnsi="Times New Roman" w:cs="Times New Roman"/>
                <w:kern w:val="0"/>
                <w:sz w:val="24"/>
                <w:szCs w:val="24"/>
                <w:lang w:val="en-CA" w:eastAsia="en-CA"/>
                <w14:ligatures w14:val="none"/>
              </w:rPr>
              <w:lastRenderedPageBreak/>
              <w:t>oms throughout adolescence and young adulthood.</w:t>
            </w:r>
            <w:r w:rsidRPr="006E1C09">
              <w:rPr>
                <w:rFonts w:ascii="Times New Roman" w:eastAsia="Times New Roman" w:hAnsi="Times New Roman" w:cs="Times New Roman"/>
                <w:kern w:val="0"/>
                <w:sz w:val="24"/>
                <w:szCs w:val="24"/>
                <w:lang w:val="en-CA" w:eastAsia="en-CA"/>
                <w14:ligatures w14:val="none"/>
              </w:rPr>
              <w:br/>
              <w:t xml:space="preserve">• The model adjusted for covariates showed similar results, with a significant main effect of age slope 2 (p = 0.001) and a significant interaction effect of age slope 2 and OC use (p &lt; 0.001), indicating a </w:t>
            </w:r>
            <w:r w:rsidRPr="006E1C09">
              <w:rPr>
                <w:rFonts w:ascii="Times New Roman" w:eastAsia="Times New Roman" w:hAnsi="Times New Roman" w:cs="Times New Roman"/>
                <w:kern w:val="0"/>
                <w:sz w:val="24"/>
                <w:szCs w:val="24"/>
                <w:lang w:val="en-CA" w:eastAsia="en-CA"/>
                <w14:ligatures w14:val="none"/>
              </w:rPr>
              <w:lastRenderedPageBreak/>
              <w:t>general increase in depressive symptoms in late adolescence for girls and women who have never used OCs.</w:t>
            </w:r>
            <w:r w:rsidRPr="006E1C09">
              <w:rPr>
                <w:rFonts w:ascii="Times New Roman" w:eastAsia="Times New Roman" w:hAnsi="Times New Roman" w:cs="Times New Roman"/>
                <w:kern w:val="0"/>
                <w:sz w:val="24"/>
                <w:szCs w:val="24"/>
                <w:lang w:val="en-CA" w:eastAsia="en-CA"/>
                <w14:ligatures w14:val="none"/>
              </w:rPr>
              <w:br/>
              <w:t xml:space="preserve">• In the crude model for anxiety symptoms, only the interaction effect between slope 2 and OC use was significant (p = 0.023). </w:t>
            </w:r>
            <w:r w:rsidRPr="006E1C09">
              <w:rPr>
                <w:rFonts w:ascii="Times New Roman" w:eastAsia="Times New Roman" w:hAnsi="Times New Roman" w:cs="Times New Roman"/>
                <w:kern w:val="0"/>
                <w:sz w:val="24"/>
                <w:szCs w:val="24"/>
                <w:lang w:val="en-CA" w:eastAsia="en-CA"/>
                <w14:ligatures w14:val="none"/>
              </w:rPr>
              <w:lastRenderedPageBreak/>
              <w:t>Again, an increase toward the end of adolescence and young adulthood was seen only for never users of OCs. OC users showed a slight decrease of anxiety symptoms in late adolescence. Adjusting for the covariates showed similar results</w:t>
            </w:r>
            <w:r w:rsidRPr="006E1C09">
              <w:rPr>
                <w:rFonts w:ascii="Times New Roman" w:eastAsia="Times New Roman" w:hAnsi="Times New Roman" w:cs="Times New Roman"/>
                <w:kern w:val="0"/>
                <w:sz w:val="24"/>
                <w:szCs w:val="24"/>
                <w:lang w:val="en-CA" w:eastAsia="en-CA"/>
                <w14:ligatures w14:val="none"/>
              </w:rPr>
              <w:lastRenderedPageBreak/>
              <w:t>, with a significant interaction effect of age slope 2 and OC use (p = 0.020)</w:t>
            </w:r>
            <w:r w:rsidRPr="006E1C09">
              <w:rPr>
                <w:rFonts w:ascii="Times New Roman" w:eastAsia="Times New Roman" w:hAnsi="Times New Roman" w:cs="Times New Roman"/>
                <w:kern w:val="0"/>
                <w:sz w:val="24"/>
                <w:szCs w:val="24"/>
                <w:lang w:val="en-CA" w:eastAsia="en-CA"/>
                <w14:ligatures w14:val="none"/>
              </w:rPr>
              <w:br/>
              <w:t xml:space="preserve">• An increase in depressive symptoms was shown for never users of OCs in late adolescence (&gt;16 years). Late pill users showed a stable trajectory throughout adolescence and </w:t>
            </w:r>
            <w:r w:rsidRPr="006E1C09">
              <w:rPr>
                <w:rFonts w:ascii="Times New Roman" w:eastAsia="Times New Roman" w:hAnsi="Times New Roman" w:cs="Times New Roman"/>
                <w:kern w:val="0"/>
                <w:sz w:val="24"/>
                <w:szCs w:val="24"/>
                <w:lang w:val="en-CA" w:eastAsia="en-CA"/>
                <w14:ligatures w14:val="none"/>
              </w:rPr>
              <w:lastRenderedPageBreak/>
              <w:t>early pill users showed a decrease in depressive symptoms after the age of 16. This effect remained after full adjustment for all covariates (p &lt; 0.001).</w:t>
            </w:r>
            <w:r w:rsidRPr="006E1C09">
              <w:rPr>
                <w:rFonts w:ascii="Times New Roman" w:eastAsia="Times New Roman" w:hAnsi="Times New Roman" w:cs="Times New Roman"/>
                <w:kern w:val="0"/>
                <w:sz w:val="24"/>
                <w:szCs w:val="24"/>
                <w:lang w:val="en-CA" w:eastAsia="en-CA"/>
                <w14:ligatures w14:val="none"/>
              </w:rPr>
              <w:br/>
              <w:t xml:space="preserve">• The growth model for anxiety did not show significant effects of age or OC use, the </w:t>
            </w:r>
            <w:r w:rsidRPr="006E1C09">
              <w:rPr>
                <w:rFonts w:ascii="Times New Roman" w:eastAsia="Times New Roman" w:hAnsi="Times New Roman" w:cs="Times New Roman"/>
                <w:kern w:val="0"/>
                <w:sz w:val="24"/>
                <w:szCs w:val="24"/>
                <w:lang w:val="en-CA" w:eastAsia="en-CA"/>
                <w14:ligatures w14:val="none"/>
              </w:rPr>
              <w:lastRenderedPageBreak/>
              <w:t>interaction effect of age slope 2 and OC use had a p-value of 0.112. Adjusting for covariates resulted in the same non-significant interaction effect of age slope 2 and OC use (p = 0.099).</w:t>
            </w:r>
            <w:r w:rsidRPr="006E1C09">
              <w:rPr>
                <w:rFonts w:ascii="Times New Roman" w:eastAsia="Times New Roman" w:hAnsi="Times New Roman" w:cs="Times New Roman"/>
                <w:kern w:val="0"/>
                <w:sz w:val="24"/>
                <w:szCs w:val="24"/>
                <w:lang w:val="en-CA" w:eastAsia="en-CA"/>
                <w14:ligatures w14:val="none"/>
              </w:rPr>
              <w:br/>
              <w:t xml:space="preserve">• OC users showed a stable course of depressive and </w:t>
            </w:r>
            <w:r w:rsidRPr="006E1C09">
              <w:rPr>
                <w:rFonts w:ascii="Times New Roman" w:eastAsia="Times New Roman" w:hAnsi="Times New Roman" w:cs="Times New Roman"/>
                <w:kern w:val="0"/>
                <w:sz w:val="24"/>
                <w:szCs w:val="24"/>
                <w:lang w:val="en-CA" w:eastAsia="en-CA"/>
                <w14:ligatures w14:val="none"/>
              </w:rPr>
              <w:lastRenderedPageBreak/>
              <w:t>anxiety symptoms throughout adolescence whereas never users showed an increase of internalizing symptoms in late adolescence.</w:t>
            </w:r>
          </w:p>
        </w:tc>
      </w:tr>
      <w:tr w:rsidR="006E1C09" w:rsidRPr="00F87E76" w14:paraId="5B0407FF" w14:textId="77777777" w:rsidTr="006E1C09">
        <w:trPr>
          <w:trHeight w:val="1602"/>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495BA775"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Edwards et al., 2022</w:t>
            </w:r>
          </w:p>
        </w:tc>
        <w:tc>
          <w:tcPr>
            <w:tcW w:w="298" w:type="pct"/>
            <w:tcBorders>
              <w:top w:val="nil"/>
              <w:left w:val="nil"/>
              <w:bottom w:val="single" w:sz="4" w:space="0" w:color="auto"/>
              <w:right w:val="single" w:sz="4" w:space="0" w:color="auto"/>
            </w:tcBorders>
            <w:shd w:val="clear" w:color="000000" w:fill="FFFFFF"/>
            <w:vAlign w:val="center"/>
            <w:hideMark/>
          </w:tcPr>
          <w:p w14:paraId="5C34188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216 702 women ranging from 15-22 years</w:t>
            </w:r>
          </w:p>
        </w:tc>
        <w:tc>
          <w:tcPr>
            <w:tcW w:w="576" w:type="pct"/>
            <w:tcBorders>
              <w:top w:val="nil"/>
              <w:left w:val="nil"/>
              <w:bottom w:val="single" w:sz="4" w:space="0" w:color="auto"/>
              <w:right w:val="single" w:sz="4" w:space="0" w:color="auto"/>
            </w:tcBorders>
            <w:shd w:val="clear" w:color="000000" w:fill="FFFFFF"/>
            <w:vAlign w:val="center"/>
            <w:hideMark/>
          </w:tcPr>
          <w:p w14:paraId="559D075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Population-based cohort study utilising Swedish national registries</w:t>
            </w:r>
          </w:p>
        </w:tc>
        <w:tc>
          <w:tcPr>
            <w:tcW w:w="487" w:type="pct"/>
            <w:tcBorders>
              <w:top w:val="nil"/>
              <w:left w:val="nil"/>
              <w:bottom w:val="single" w:sz="4" w:space="0" w:color="auto"/>
              <w:right w:val="single" w:sz="4" w:space="0" w:color="auto"/>
            </w:tcBorders>
            <w:shd w:val="clear" w:color="000000" w:fill="FFFFFF"/>
            <w:vAlign w:val="center"/>
            <w:hideMark/>
          </w:tcPr>
          <w:p w14:paraId="0430A0A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assess whether OC use among young women aged 15–22 is associated with risk of suicid</w:t>
            </w:r>
            <w:r w:rsidRPr="006E1C09">
              <w:rPr>
                <w:rFonts w:ascii="Times New Roman" w:eastAsia="Times New Roman" w:hAnsi="Times New Roman" w:cs="Times New Roman"/>
                <w:kern w:val="0"/>
                <w:sz w:val="24"/>
                <w:szCs w:val="24"/>
                <w:lang w:val="en-CA" w:eastAsia="en-CA"/>
                <w14:ligatures w14:val="none"/>
              </w:rPr>
              <w:lastRenderedPageBreak/>
              <w:t>al behavior.</w:t>
            </w:r>
          </w:p>
        </w:tc>
        <w:tc>
          <w:tcPr>
            <w:tcW w:w="533" w:type="pct"/>
            <w:tcBorders>
              <w:top w:val="nil"/>
              <w:left w:val="nil"/>
              <w:bottom w:val="single" w:sz="4" w:space="0" w:color="auto"/>
              <w:right w:val="single" w:sz="4" w:space="0" w:color="auto"/>
            </w:tcBorders>
            <w:shd w:val="clear" w:color="000000" w:fill="FFFFFF"/>
            <w:vAlign w:val="center"/>
            <w:hideMark/>
          </w:tcPr>
          <w:p w14:paraId="5890EC8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Combination oral contraceptives (COCs) and progestin-only pills (POPs)</w:t>
            </w:r>
          </w:p>
        </w:tc>
        <w:tc>
          <w:tcPr>
            <w:tcW w:w="346" w:type="pct"/>
            <w:tcBorders>
              <w:top w:val="nil"/>
              <w:left w:val="nil"/>
              <w:bottom w:val="single" w:sz="4" w:space="0" w:color="auto"/>
              <w:right w:val="single" w:sz="4" w:space="0" w:color="auto"/>
            </w:tcBorders>
            <w:shd w:val="clear" w:color="000000" w:fill="FFFFFF"/>
            <w:vAlign w:val="center"/>
            <w:hideMark/>
          </w:tcPr>
          <w:p w14:paraId="4ACEF58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Participants were followed from age 15 until the end of the follow-up </w:t>
            </w:r>
            <w:r w:rsidRPr="006E1C09">
              <w:rPr>
                <w:rFonts w:ascii="Times New Roman" w:eastAsia="Times New Roman" w:hAnsi="Times New Roman" w:cs="Times New Roman"/>
                <w:kern w:val="0"/>
                <w:sz w:val="24"/>
                <w:szCs w:val="24"/>
                <w:lang w:val="en-CA" w:eastAsia="en-CA"/>
                <w14:ligatures w14:val="none"/>
              </w:rPr>
              <w:lastRenderedPageBreak/>
              <w:t>period in 2014, with a maximum age of 22.4 years</w:t>
            </w:r>
          </w:p>
        </w:tc>
        <w:tc>
          <w:tcPr>
            <w:tcW w:w="484" w:type="pct"/>
            <w:tcBorders>
              <w:top w:val="nil"/>
              <w:left w:val="nil"/>
              <w:bottom w:val="single" w:sz="4" w:space="0" w:color="auto"/>
              <w:right w:val="single" w:sz="4" w:space="0" w:color="auto"/>
            </w:tcBorders>
            <w:shd w:val="clear" w:color="000000" w:fill="FFFFFF"/>
            <w:vAlign w:val="center"/>
            <w:hideMark/>
          </w:tcPr>
          <w:p w14:paraId="00ADE08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 (OC) use, particularly progestin-only pills, is associated with an increased risk of suicid</w:t>
            </w:r>
            <w:r w:rsidRPr="006E1C09">
              <w:rPr>
                <w:rFonts w:ascii="Times New Roman" w:eastAsia="Times New Roman" w:hAnsi="Times New Roman" w:cs="Times New Roman"/>
                <w:kern w:val="0"/>
                <w:sz w:val="24"/>
                <w:szCs w:val="24"/>
                <w:lang w:val="en-CA" w:eastAsia="en-CA"/>
                <w14:ligatures w14:val="none"/>
              </w:rPr>
              <w:lastRenderedPageBreak/>
              <w:t xml:space="preserve">al behavior, including both non-fatal attempts and deaths, particularly in the first month of use. </w:t>
            </w:r>
          </w:p>
        </w:tc>
        <w:tc>
          <w:tcPr>
            <w:tcW w:w="372" w:type="pct"/>
            <w:tcBorders>
              <w:top w:val="nil"/>
              <w:left w:val="nil"/>
              <w:bottom w:val="single" w:sz="4" w:space="0" w:color="auto"/>
              <w:right w:val="single" w:sz="4" w:space="0" w:color="auto"/>
            </w:tcBorders>
            <w:shd w:val="clear" w:color="000000" w:fill="FFFFFF"/>
            <w:vAlign w:val="center"/>
            <w:hideMark/>
          </w:tcPr>
          <w:p w14:paraId="298BACDB"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6E73132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w:t>
            </w:r>
          </w:p>
        </w:tc>
        <w:tc>
          <w:tcPr>
            <w:tcW w:w="423" w:type="pct"/>
            <w:tcBorders>
              <w:top w:val="nil"/>
              <w:left w:val="nil"/>
              <w:bottom w:val="single" w:sz="4" w:space="0" w:color="auto"/>
              <w:right w:val="single" w:sz="4" w:space="0" w:color="auto"/>
            </w:tcBorders>
            <w:shd w:val="clear" w:color="000000" w:fill="FFFFFF"/>
            <w:vAlign w:val="center"/>
            <w:hideMark/>
          </w:tcPr>
          <w:p w14:paraId="4FB3342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a suicidal event prior to age 15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28E457A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Across the observation period, there were 1395 suicidal events (1359 non-fatal attempts and 36 deaths), corres</w:t>
            </w:r>
            <w:r w:rsidRPr="006E1C09">
              <w:rPr>
                <w:rFonts w:ascii="Times New Roman" w:eastAsia="Times New Roman" w:hAnsi="Times New Roman" w:cs="Times New Roman"/>
                <w:kern w:val="0"/>
                <w:sz w:val="24"/>
                <w:szCs w:val="24"/>
                <w:lang w:val="en-CA" w:eastAsia="en-CA"/>
                <w14:ligatures w14:val="none"/>
              </w:rPr>
              <w:lastRenderedPageBreak/>
              <w:t>ponding to 15.50 suicidal events per 10 000 person years. The rate was 14.90 among those who never used hormonal contraception, 15.10 among those who used combination pills at the time of suicidal event, and 23.11 among wome</w:t>
            </w:r>
            <w:r w:rsidRPr="006E1C09">
              <w:rPr>
                <w:rFonts w:ascii="Times New Roman" w:eastAsia="Times New Roman" w:hAnsi="Times New Roman" w:cs="Times New Roman"/>
                <w:kern w:val="0"/>
                <w:sz w:val="24"/>
                <w:szCs w:val="24"/>
                <w:lang w:val="en-CA" w:eastAsia="en-CA"/>
                <w14:ligatures w14:val="none"/>
              </w:rPr>
              <w:lastRenderedPageBreak/>
              <w:t>n using progestin-only pills at the time of suicidal event. The mean age at suicidal event was 16.89.</w:t>
            </w:r>
            <w:r w:rsidRPr="006E1C09">
              <w:rPr>
                <w:rFonts w:ascii="Times New Roman" w:eastAsia="Times New Roman" w:hAnsi="Times New Roman" w:cs="Times New Roman"/>
                <w:kern w:val="0"/>
                <w:sz w:val="24"/>
                <w:szCs w:val="24"/>
                <w:lang w:val="en-CA" w:eastAsia="en-CA"/>
                <w14:ligatures w14:val="none"/>
              </w:rPr>
              <w:br/>
              <w:t xml:space="preserve">• OC use was positively associated with suicidal behavior for both combination pills [HR = 1.40 (95% CI 1.22–1.60)] and progestin-only </w:t>
            </w:r>
            <w:r w:rsidRPr="006E1C09">
              <w:rPr>
                <w:rFonts w:ascii="Times New Roman" w:eastAsia="Times New Roman" w:hAnsi="Times New Roman" w:cs="Times New Roman"/>
                <w:kern w:val="0"/>
                <w:sz w:val="24"/>
                <w:szCs w:val="24"/>
                <w:lang w:val="en-CA" w:eastAsia="en-CA"/>
                <w14:ligatures w14:val="none"/>
              </w:rPr>
              <w:lastRenderedPageBreak/>
              <w:t>pills [HR = 2.18 (1.81–2.62)].</w:t>
            </w:r>
            <w:r w:rsidRPr="006E1C09">
              <w:rPr>
                <w:rFonts w:ascii="Times New Roman" w:eastAsia="Times New Roman" w:hAnsi="Times New Roman" w:cs="Times New Roman"/>
                <w:kern w:val="0"/>
                <w:sz w:val="24"/>
                <w:szCs w:val="24"/>
                <w:lang w:val="en-CA" w:eastAsia="en-CA"/>
                <w14:ligatures w14:val="none"/>
              </w:rPr>
              <w:br/>
              <w:t xml:space="preserve">• In the crude model, women who used hormonal contraceptives (combination or progestin-only pills) were at increased risk of suicidal events: 1 month after onset of OC use, for combination pills the HR </w:t>
            </w:r>
            <w:r w:rsidRPr="006E1C09">
              <w:rPr>
                <w:rFonts w:ascii="Times New Roman" w:eastAsia="Times New Roman" w:hAnsi="Times New Roman" w:cs="Times New Roman"/>
                <w:kern w:val="0"/>
                <w:sz w:val="24"/>
                <w:szCs w:val="24"/>
                <w:lang w:val="en-CA" w:eastAsia="en-CA"/>
                <w14:ligatures w14:val="none"/>
              </w:rPr>
              <w:lastRenderedPageBreak/>
              <w:t>was 1.73 (1.44–2.08) and for progestin-only pills, the HR was 2.78 (2.14–3.62). Risk of suicidal behavior declined substantially with increased duration of OC use but remained elevated 1 year beyond the initiation of use [combinatio</w:t>
            </w:r>
            <w:r w:rsidRPr="006E1C09">
              <w:rPr>
                <w:rFonts w:ascii="Times New Roman" w:eastAsia="Times New Roman" w:hAnsi="Times New Roman" w:cs="Times New Roman"/>
                <w:kern w:val="0"/>
                <w:sz w:val="24"/>
                <w:szCs w:val="24"/>
                <w:lang w:val="en-CA" w:eastAsia="en-CA"/>
                <w14:ligatures w14:val="none"/>
              </w:rPr>
              <w:lastRenderedPageBreak/>
              <w:t>n pills HR = 1.25 (1.06–1.47); progestin-only pills HR = 1.82 (1.44–2.31)].</w:t>
            </w:r>
            <w:r w:rsidRPr="006E1C09">
              <w:rPr>
                <w:rFonts w:ascii="Times New Roman" w:eastAsia="Times New Roman" w:hAnsi="Times New Roman" w:cs="Times New Roman"/>
                <w:kern w:val="0"/>
                <w:sz w:val="24"/>
                <w:szCs w:val="24"/>
                <w:lang w:val="en-CA" w:eastAsia="en-CA"/>
                <w14:ligatures w14:val="none"/>
              </w:rPr>
              <w:br/>
              <w:t xml:space="preserve">• Suicidal behavior is more common among those using oral contraceptives, and that risk declines nonlinearly with increased duration of use. Progestin-only </w:t>
            </w:r>
            <w:r w:rsidRPr="006E1C09">
              <w:rPr>
                <w:rFonts w:ascii="Times New Roman" w:eastAsia="Times New Roman" w:hAnsi="Times New Roman" w:cs="Times New Roman"/>
                <w:kern w:val="0"/>
                <w:sz w:val="24"/>
                <w:szCs w:val="24"/>
                <w:lang w:val="en-CA" w:eastAsia="en-CA"/>
                <w14:ligatures w14:val="none"/>
              </w:rPr>
              <w:lastRenderedPageBreak/>
              <w:t>pills were more strongly associated with risk than combination pills; for the latter, no significant association with suicidal behavior was observed beyond approximately 1.5 years of OC use.</w:t>
            </w:r>
          </w:p>
        </w:tc>
      </w:tr>
      <w:tr w:rsidR="006E1C09" w:rsidRPr="00F87E76" w14:paraId="38124EFF" w14:textId="77777777" w:rsidTr="006E1C09">
        <w:trPr>
          <w:trHeight w:val="283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44B3A96A"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Masama et al., 2022</w:t>
            </w:r>
          </w:p>
        </w:tc>
        <w:tc>
          <w:tcPr>
            <w:tcW w:w="298" w:type="pct"/>
            <w:tcBorders>
              <w:top w:val="nil"/>
              <w:left w:val="nil"/>
              <w:bottom w:val="single" w:sz="4" w:space="0" w:color="auto"/>
              <w:right w:val="single" w:sz="4" w:space="0" w:color="auto"/>
            </w:tcBorders>
            <w:shd w:val="clear" w:color="000000" w:fill="FFFFFF"/>
            <w:vAlign w:val="center"/>
            <w:hideMark/>
          </w:tcPr>
          <w:p w14:paraId="3B7710F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388 women ranging from 17-29 years</w:t>
            </w:r>
          </w:p>
        </w:tc>
        <w:tc>
          <w:tcPr>
            <w:tcW w:w="576" w:type="pct"/>
            <w:tcBorders>
              <w:top w:val="nil"/>
              <w:left w:val="nil"/>
              <w:bottom w:val="single" w:sz="4" w:space="0" w:color="auto"/>
              <w:right w:val="single" w:sz="4" w:space="0" w:color="auto"/>
            </w:tcBorders>
            <w:shd w:val="clear" w:color="000000" w:fill="FFFFFF"/>
            <w:vAlign w:val="center"/>
            <w:hideMark/>
          </w:tcPr>
          <w:p w14:paraId="61D1A15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Observational study</w:t>
            </w:r>
          </w:p>
        </w:tc>
        <w:tc>
          <w:tcPr>
            <w:tcW w:w="487" w:type="pct"/>
            <w:tcBorders>
              <w:top w:val="nil"/>
              <w:left w:val="nil"/>
              <w:bottom w:val="single" w:sz="4" w:space="0" w:color="auto"/>
              <w:right w:val="single" w:sz="4" w:space="0" w:color="auto"/>
            </w:tcBorders>
            <w:shd w:val="clear" w:color="000000" w:fill="FFFFFF"/>
            <w:hideMark/>
          </w:tcPr>
          <w:p w14:paraId="4226DAB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examine the link between hormone contraceptive use, and menstrual cycle phase with stress and mental health symptomologies, such as depression and anxiety scores, as well as circulating cortisol, inflammatory </w:t>
            </w:r>
            <w:r w:rsidRPr="006E1C09">
              <w:rPr>
                <w:rFonts w:ascii="Times New Roman" w:eastAsia="Times New Roman" w:hAnsi="Times New Roman" w:cs="Times New Roman"/>
                <w:kern w:val="0"/>
                <w:sz w:val="24"/>
                <w:szCs w:val="24"/>
                <w:lang w:val="en-CA" w:eastAsia="en-CA"/>
                <w14:ligatures w14:val="none"/>
              </w:rPr>
              <w:lastRenderedPageBreak/>
              <w:t>(CRP) and cytokine levels (IL-6, TNF-α).</w:t>
            </w:r>
          </w:p>
        </w:tc>
        <w:tc>
          <w:tcPr>
            <w:tcW w:w="533" w:type="pct"/>
            <w:tcBorders>
              <w:top w:val="nil"/>
              <w:left w:val="nil"/>
              <w:bottom w:val="single" w:sz="4" w:space="0" w:color="auto"/>
              <w:right w:val="single" w:sz="4" w:space="0" w:color="auto"/>
            </w:tcBorders>
            <w:shd w:val="clear" w:color="000000" w:fill="FFFFFF"/>
            <w:vAlign w:val="center"/>
            <w:hideMark/>
          </w:tcPr>
          <w:p w14:paraId="67A0CDE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Standard combined OC pill, Depo-Provera shot, Hormonal intrauterine device (IUD), Progesterone-only Mini-Pill, Evra Patch, and NuvaRing.</w:t>
            </w:r>
          </w:p>
        </w:tc>
        <w:tc>
          <w:tcPr>
            <w:tcW w:w="346" w:type="pct"/>
            <w:tcBorders>
              <w:top w:val="nil"/>
              <w:left w:val="nil"/>
              <w:bottom w:val="single" w:sz="4" w:space="0" w:color="auto"/>
              <w:right w:val="single" w:sz="4" w:space="0" w:color="auto"/>
            </w:tcBorders>
            <w:shd w:val="clear" w:color="000000" w:fill="FFFFFF"/>
            <w:vAlign w:val="center"/>
            <w:hideMark/>
          </w:tcPr>
          <w:p w14:paraId="1F09198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The study does not specify the duration of hormonal contraceptive use among participants</w:t>
            </w:r>
          </w:p>
        </w:tc>
        <w:tc>
          <w:tcPr>
            <w:tcW w:w="484" w:type="pct"/>
            <w:tcBorders>
              <w:top w:val="nil"/>
              <w:left w:val="nil"/>
              <w:bottom w:val="single" w:sz="4" w:space="0" w:color="auto"/>
              <w:right w:val="single" w:sz="4" w:space="0" w:color="auto"/>
            </w:tcBorders>
            <w:shd w:val="clear" w:color="000000" w:fill="FFFFFF"/>
            <w:vAlign w:val="center"/>
            <w:hideMark/>
          </w:tcPr>
          <w:p w14:paraId="3B25F3E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hormonal contraceptives showed significantly elevated stress and depression scores compared to non-users. However, the relationship between hormonal contraceptive use and depressive symptoms beca</w:t>
            </w:r>
            <w:r w:rsidRPr="006E1C09">
              <w:rPr>
                <w:rFonts w:ascii="Times New Roman" w:eastAsia="Times New Roman" w:hAnsi="Times New Roman" w:cs="Times New Roman"/>
                <w:kern w:val="0"/>
                <w:sz w:val="24"/>
                <w:szCs w:val="24"/>
                <w:lang w:val="en-CA" w:eastAsia="en-CA"/>
                <w14:ligatures w14:val="none"/>
              </w:rPr>
              <w:lastRenderedPageBreak/>
              <w:t>me non-significant when analyzing only users of oral contraceptives.</w:t>
            </w:r>
          </w:p>
        </w:tc>
        <w:tc>
          <w:tcPr>
            <w:tcW w:w="372" w:type="pct"/>
            <w:tcBorders>
              <w:top w:val="nil"/>
              <w:left w:val="nil"/>
              <w:bottom w:val="single" w:sz="4" w:space="0" w:color="auto"/>
              <w:right w:val="single" w:sz="4" w:space="0" w:color="auto"/>
            </w:tcBorders>
            <w:shd w:val="clear" w:color="000000" w:fill="FFFFFF"/>
            <w:vAlign w:val="center"/>
            <w:hideMark/>
          </w:tcPr>
          <w:p w14:paraId="3A0A381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3517728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Depressive symptoms were assessed by Beck Depression Inventory (BDI). Anxiety symptoms were assessed using the 21-item Beck Anxiety Inventory (BAI). The Depression, Anxiety and Stress Scale (DASS-21) was also used.</w:t>
            </w:r>
          </w:p>
        </w:tc>
        <w:tc>
          <w:tcPr>
            <w:tcW w:w="423" w:type="pct"/>
            <w:tcBorders>
              <w:top w:val="nil"/>
              <w:left w:val="nil"/>
              <w:bottom w:val="single" w:sz="4" w:space="0" w:color="auto"/>
              <w:right w:val="single" w:sz="4" w:space="0" w:color="auto"/>
            </w:tcBorders>
            <w:shd w:val="clear" w:color="000000" w:fill="FFFFFF"/>
            <w:vAlign w:val="center"/>
            <w:hideMark/>
          </w:tcPr>
          <w:p w14:paraId="5F923FAC"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08A1890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While anxiety scores did not differ according to hormonal contraceptives, F (1, 369) = 1.22, p = .27, depression scores were significantly elevated among women using hormonal contraceptives compared to non-users, F(1, </w:t>
            </w:r>
            <w:r w:rsidRPr="006E1C09">
              <w:rPr>
                <w:rFonts w:ascii="Times New Roman" w:eastAsia="Times New Roman" w:hAnsi="Times New Roman" w:cs="Times New Roman"/>
                <w:kern w:val="0"/>
                <w:sz w:val="24"/>
                <w:szCs w:val="24"/>
                <w:lang w:val="en-CA" w:eastAsia="en-CA"/>
                <w14:ligatures w14:val="none"/>
              </w:rPr>
              <w:lastRenderedPageBreak/>
              <w:t xml:space="preserve">369) = 4.44, p = .04, η2 = 0.01. </w:t>
            </w:r>
            <w:r w:rsidRPr="006E1C09">
              <w:rPr>
                <w:rFonts w:ascii="Times New Roman" w:eastAsia="Times New Roman" w:hAnsi="Times New Roman" w:cs="Times New Roman"/>
                <w:kern w:val="0"/>
                <w:sz w:val="24"/>
                <w:szCs w:val="24"/>
                <w:lang w:val="en-CA" w:eastAsia="en-CA"/>
                <w14:ligatures w14:val="none"/>
              </w:rPr>
              <w:br/>
              <w:t>• Hormone contraceptive users also displayed elevated stress scores compared to non-users, F (1, 369) = 5.25, p = .02, η2 = 0.01.</w:t>
            </w:r>
            <w:r w:rsidRPr="006E1C09">
              <w:rPr>
                <w:rFonts w:ascii="Times New Roman" w:eastAsia="Times New Roman" w:hAnsi="Times New Roman" w:cs="Times New Roman"/>
                <w:kern w:val="0"/>
                <w:sz w:val="24"/>
                <w:szCs w:val="24"/>
                <w:lang w:val="en-CA" w:eastAsia="en-CA"/>
                <w14:ligatures w14:val="none"/>
              </w:rPr>
              <w:br/>
              <w:t>• Repeated ANOVAS : Anxiety scores continued to be non-</w:t>
            </w:r>
            <w:r w:rsidRPr="006E1C09">
              <w:rPr>
                <w:rFonts w:ascii="Times New Roman" w:eastAsia="Times New Roman" w:hAnsi="Times New Roman" w:cs="Times New Roman"/>
                <w:kern w:val="0"/>
                <w:sz w:val="24"/>
                <w:szCs w:val="24"/>
                <w:lang w:val="en-CA" w:eastAsia="en-CA"/>
                <w14:ligatures w14:val="none"/>
              </w:rPr>
              <w:lastRenderedPageBreak/>
              <w:t xml:space="preserve">significant, F(1, 351) = 0.46, p = .50. When assessing depression scores only among OC users, the effect approached significance, F(1, 351) = 3.31, p = .07, η2 = 0.01, with contraceptive users showing slightly higher depression scores (M = </w:t>
            </w:r>
            <w:r w:rsidRPr="006E1C09">
              <w:rPr>
                <w:rFonts w:ascii="Times New Roman" w:eastAsia="Times New Roman" w:hAnsi="Times New Roman" w:cs="Times New Roman"/>
                <w:kern w:val="0"/>
                <w:sz w:val="24"/>
                <w:szCs w:val="24"/>
                <w:lang w:val="en-CA" w:eastAsia="en-CA"/>
                <w14:ligatures w14:val="none"/>
              </w:rPr>
              <w:lastRenderedPageBreak/>
              <w:t>14.82 ± 0.72) than non-users (M = 13.11 ± 0.61). However, OC users continued to show elevated stress scores (M = 15.05 ± 0.76) compared to non-users (M = 13.07 ± 0.64), F(1, 351) = 3.98, p = .047, η2 = 0.01.</w:t>
            </w:r>
            <w:r w:rsidRPr="006E1C09">
              <w:rPr>
                <w:rFonts w:ascii="Times New Roman" w:eastAsia="Times New Roman" w:hAnsi="Times New Roman" w:cs="Times New Roman"/>
                <w:kern w:val="0"/>
                <w:sz w:val="24"/>
                <w:szCs w:val="24"/>
                <w:lang w:val="en-CA" w:eastAsia="en-CA"/>
                <w14:ligatures w14:val="none"/>
              </w:rPr>
              <w:br/>
              <w:t xml:space="preserve">• Of all women, </w:t>
            </w:r>
            <w:r w:rsidRPr="006E1C09">
              <w:rPr>
                <w:rFonts w:ascii="Times New Roman" w:eastAsia="Times New Roman" w:hAnsi="Times New Roman" w:cs="Times New Roman"/>
                <w:kern w:val="0"/>
                <w:sz w:val="24"/>
                <w:szCs w:val="24"/>
                <w:lang w:val="en-CA" w:eastAsia="en-CA"/>
                <w14:ligatures w14:val="none"/>
              </w:rPr>
              <w:lastRenderedPageBreak/>
              <w:t>25.3 % (n = 98) were in the follicular phase, while 16.0 % (n = 62) were in the luteal phase of their menstrual cycle. Upon assessing mood outcomes, anxiety, F(2, 323) = 0.87, p = .42, depression, F(2, 323) = 1.68, p = .19, and stress scores</w:t>
            </w:r>
            <w:r w:rsidRPr="006E1C09">
              <w:rPr>
                <w:rFonts w:ascii="Times New Roman" w:eastAsia="Times New Roman" w:hAnsi="Times New Roman" w:cs="Times New Roman"/>
                <w:kern w:val="0"/>
                <w:sz w:val="24"/>
                <w:szCs w:val="24"/>
                <w:lang w:val="en-CA" w:eastAsia="en-CA"/>
                <w14:ligatures w14:val="none"/>
              </w:rPr>
              <w:lastRenderedPageBreak/>
              <w:t>, F(2, 323) = 1.35, p = .26, did not differ across the three groups.</w:t>
            </w:r>
            <w:r w:rsidRPr="006E1C09">
              <w:rPr>
                <w:rFonts w:ascii="Times New Roman" w:eastAsia="Times New Roman" w:hAnsi="Times New Roman" w:cs="Times New Roman"/>
                <w:kern w:val="0"/>
                <w:sz w:val="24"/>
                <w:szCs w:val="24"/>
                <w:lang w:val="en-CA" w:eastAsia="en-CA"/>
                <w14:ligatures w14:val="none"/>
              </w:rPr>
              <w:br/>
              <w:t xml:space="preserve">• Increased levels of stress and depressive symptoms, but not anxiety scores, were reported among hormone contraceptives users. While this effect remained </w:t>
            </w:r>
            <w:r w:rsidRPr="006E1C09">
              <w:rPr>
                <w:rFonts w:ascii="Times New Roman" w:eastAsia="Times New Roman" w:hAnsi="Times New Roman" w:cs="Times New Roman"/>
                <w:kern w:val="0"/>
                <w:sz w:val="24"/>
                <w:szCs w:val="24"/>
                <w:lang w:val="en-CA" w:eastAsia="en-CA"/>
                <w14:ligatures w14:val="none"/>
              </w:rPr>
              <w:lastRenderedPageBreak/>
              <w:t xml:space="preserve">for stress scores, when analyzing OC users specifically, the relation between OC use and depressive symptoms became non-significant (i.e., in effect when women taking other forms of hormone contraceptives such as the Evra Patch, IUD, </w:t>
            </w:r>
            <w:r w:rsidRPr="006E1C09">
              <w:rPr>
                <w:rFonts w:ascii="Times New Roman" w:eastAsia="Times New Roman" w:hAnsi="Times New Roman" w:cs="Times New Roman"/>
                <w:kern w:val="0"/>
                <w:sz w:val="24"/>
                <w:szCs w:val="24"/>
                <w:lang w:val="en-CA" w:eastAsia="en-CA"/>
                <w14:ligatures w14:val="none"/>
              </w:rPr>
              <w:lastRenderedPageBreak/>
              <w:t xml:space="preserve">Depo-Provera shot, NuvaRing were removed from the analyses). </w:t>
            </w:r>
          </w:p>
        </w:tc>
      </w:tr>
      <w:tr w:rsidR="006E1C09" w:rsidRPr="00F87E76" w14:paraId="398C5447"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316D5FBC"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S.D. Newman, 2022</w:t>
            </w:r>
          </w:p>
        </w:tc>
        <w:tc>
          <w:tcPr>
            <w:tcW w:w="298" w:type="pct"/>
            <w:tcBorders>
              <w:top w:val="nil"/>
              <w:left w:val="nil"/>
              <w:bottom w:val="single" w:sz="4" w:space="0" w:color="auto"/>
              <w:right w:val="single" w:sz="4" w:space="0" w:color="auto"/>
            </w:tcBorders>
            <w:shd w:val="clear" w:color="000000" w:fill="FFFFFF"/>
            <w:vAlign w:val="center"/>
            <w:hideMark/>
          </w:tcPr>
          <w:p w14:paraId="4BFE73A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3 320 women (mean age 19 years old)</w:t>
            </w:r>
          </w:p>
        </w:tc>
        <w:tc>
          <w:tcPr>
            <w:tcW w:w="576" w:type="pct"/>
            <w:tcBorders>
              <w:top w:val="nil"/>
              <w:left w:val="nil"/>
              <w:bottom w:val="single" w:sz="4" w:space="0" w:color="auto"/>
              <w:right w:val="single" w:sz="4" w:space="0" w:color="auto"/>
            </w:tcBorders>
            <w:shd w:val="clear" w:color="000000" w:fill="FFFFFF"/>
            <w:vAlign w:val="center"/>
            <w:hideMark/>
          </w:tcPr>
          <w:p w14:paraId="7BA6DA8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survey study</w:t>
            </w:r>
          </w:p>
        </w:tc>
        <w:tc>
          <w:tcPr>
            <w:tcW w:w="487" w:type="pct"/>
            <w:tcBorders>
              <w:top w:val="nil"/>
              <w:left w:val="nil"/>
              <w:bottom w:val="single" w:sz="4" w:space="0" w:color="auto"/>
              <w:right w:val="single" w:sz="4" w:space="0" w:color="auto"/>
            </w:tcBorders>
            <w:shd w:val="clear" w:color="000000" w:fill="FFFFFF"/>
            <w:vAlign w:val="center"/>
            <w:hideMark/>
          </w:tcPr>
          <w:p w14:paraId="4B1959B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explore the relationship between HBC use, substance use (alcohol and cannabis) and depressive symptoms in a group of emerging adult women.</w:t>
            </w:r>
          </w:p>
        </w:tc>
        <w:tc>
          <w:tcPr>
            <w:tcW w:w="533" w:type="pct"/>
            <w:tcBorders>
              <w:top w:val="nil"/>
              <w:left w:val="nil"/>
              <w:bottom w:val="single" w:sz="4" w:space="0" w:color="auto"/>
              <w:right w:val="single" w:sz="4" w:space="0" w:color="auto"/>
            </w:tcBorders>
            <w:shd w:val="clear" w:color="000000" w:fill="FFFFFF"/>
            <w:vAlign w:val="center"/>
            <w:hideMark/>
          </w:tcPr>
          <w:p w14:paraId="2694573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Progestin only and combination estrogen/progestin pills</w:t>
            </w:r>
          </w:p>
        </w:tc>
        <w:tc>
          <w:tcPr>
            <w:tcW w:w="346" w:type="pct"/>
            <w:tcBorders>
              <w:top w:val="nil"/>
              <w:left w:val="nil"/>
              <w:bottom w:val="single" w:sz="4" w:space="0" w:color="auto"/>
              <w:right w:val="single" w:sz="4" w:space="0" w:color="auto"/>
            </w:tcBorders>
            <w:shd w:val="clear" w:color="000000" w:fill="FFFFFF"/>
            <w:vAlign w:val="center"/>
            <w:hideMark/>
          </w:tcPr>
          <w:p w14:paraId="23E3A61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Over a two-year period</w:t>
            </w:r>
          </w:p>
        </w:tc>
        <w:tc>
          <w:tcPr>
            <w:tcW w:w="484" w:type="pct"/>
            <w:tcBorders>
              <w:top w:val="nil"/>
              <w:left w:val="nil"/>
              <w:bottom w:val="single" w:sz="4" w:space="0" w:color="auto"/>
              <w:right w:val="single" w:sz="4" w:space="0" w:color="auto"/>
            </w:tcBorders>
            <w:shd w:val="clear" w:color="000000" w:fill="FFFFFF"/>
            <w:vAlign w:val="center"/>
            <w:hideMark/>
          </w:tcPr>
          <w:p w14:paraId="6F68700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Women using hormonal birth control (HBC) had lower PHQ-9 scores and a lower prevalence of depressive symptoms. Interactions between HBC use and subst</w:t>
            </w:r>
            <w:r w:rsidRPr="006E1C09">
              <w:rPr>
                <w:rFonts w:ascii="Times New Roman" w:eastAsia="Times New Roman" w:hAnsi="Times New Roman" w:cs="Times New Roman"/>
                <w:kern w:val="0"/>
                <w:sz w:val="24"/>
                <w:szCs w:val="24"/>
                <w:lang w:val="en-CA" w:eastAsia="en-CA"/>
                <w14:ligatures w14:val="none"/>
              </w:rPr>
              <w:lastRenderedPageBreak/>
              <w:t>ance use patterns were observed</w:t>
            </w:r>
          </w:p>
        </w:tc>
        <w:tc>
          <w:tcPr>
            <w:tcW w:w="372" w:type="pct"/>
            <w:tcBorders>
              <w:top w:val="nil"/>
              <w:left w:val="nil"/>
              <w:bottom w:val="single" w:sz="4" w:space="0" w:color="auto"/>
              <w:right w:val="single" w:sz="4" w:space="0" w:color="auto"/>
            </w:tcBorders>
            <w:shd w:val="clear" w:color="000000" w:fill="FFFFFF"/>
            <w:vAlign w:val="center"/>
            <w:hideMark/>
          </w:tcPr>
          <w:p w14:paraId="149F10BE"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hideMark/>
          </w:tcPr>
          <w:p w14:paraId="35520C1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Panic disorder, anxiety disorders and depressive disorders assessed by the PHQ-9. Alcohol consumption, drinking behaviors, and alcohol-related problems assessed by Alcohol Use </w:t>
            </w:r>
            <w:r w:rsidRPr="006E1C09">
              <w:rPr>
                <w:rFonts w:ascii="Times New Roman" w:eastAsia="Times New Roman" w:hAnsi="Times New Roman" w:cs="Times New Roman"/>
                <w:kern w:val="0"/>
                <w:sz w:val="24"/>
                <w:szCs w:val="24"/>
                <w:lang w:val="en-CA" w:eastAsia="en-CA"/>
                <w14:ligatures w14:val="none"/>
              </w:rPr>
              <w:lastRenderedPageBreak/>
              <w:t>Disorders Identification Test (AUDIT). Cases of DSM-5 cannabis use disorder (CUD) assessed by the CUDIT.</w:t>
            </w:r>
          </w:p>
        </w:tc>
        <w:tc>
          <w:tcPr>
            <w:tcW w:w="423" w:type="pct"/>
            <w:tcBorders>
              <w:top w:val="nil"/>
              <w:left w:val="nil"/>
              <w:bottom w:val="single" w:sz="4" w:space="0" w:color="auto"/>
              <w:right w:val="single" w:sz="4" w:space="0" w:color="auto"/>
            </w:tcBorders>
            <w:shd w:val="clear" w:color="000000" w:fill="FFFFFF"/>
            <w:vAlign w:val="center"/>
            <w:hideMark/>
          </w:tcPr>
          <w:p w14:paraId="27A6714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375456A2" w14:textId="65F577FF"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The results revealed that individuals taking hormonal birth control (HBC) had lower overall PHQ- 9 scores than did those not taking HBC [F(1,3302) = 12.45, p = 0.000</w:t>
            </w:r>
            <w:r w:rsidRPr="006E1C09">
              <w:rPr>
                <w:rFonts w:ascii="Times New Roman" w:eastAsia="Times New Roman" w:hAnsi="Times New Roman" w:cs="Times New Roman"/>
                <w:kern w:val="0"/>
                <w:sz w:val="24"/>
                <w:szCs w:val="24"/>
                <w:lang w:val="en-CA" w:eastAsia="en-CA"/>
                <w14:ligatures w14:val="none"/>
              </w:rPr>
              <w:lastRenderedPageBreak/>
              <w:t>4, η2 = 0.0037].</w:t>
            </w:r>
            <w:r w:rsidRPr="006E1C09">
              <w:rPr>
                <w:rFonts w:ascii="Times New Roman" w:eastAsia="Times New Roman" w:hAnsi="Times New Roman" w:cs="Times New Roman"/>
                <w:kern w:val="0"/>
                <w:sz w:val="24"/>
                <w:szCs w:val="24"/>
                <w:lang w:val="en-CA" w:eastAsia="en-CA"/>
                <w14:ligatures w14:val="none"/>
              </w:rPr>
              <w:br/>
              <w:t xml:space="preserve">• Individuals who were classified by the PHQ-9 as having depressive symptoms (i.e., classified with either major or other depressive symptoms), 15.2% (9.9% classified as major depression) of non-HBC users had depressive </w:t>
            </w:r>
            <w:r w:rsidRPr="006E1C09">
              <w:rPr>
                <w:rFonts w:ascii="Times New Roman" w:eastAsia="Times New Roman" w:hAnsi="Times New Roman" w:cs="Times New Roman"/>
                <w:kern w:val="0"/>
                <w:sz w:val="24"/>
                <w:szCs w:val="24"/>
                <w:lang w:val="en-CA" w:eastAsia="en-CA"/>
                <w14:ligatures w14:val="none"/>
              </w:rPr>
              <w:lastRenderedPageBreak/>
              <w:t xml:space="preserve">symptoms while 12.1% (7.6% classified as major depression) of those in the birth control group had depressive symptoms. </w:t>
            </w:r>
            <w:r w:rsidRPr="006E1C09">
              <w:rPr>
                <w:rFonts w:ascii="Times New Roman" w:eastAsia="Times New Roman" w:hAnsi="Times New Roman" w:cs="Times New Roman"/>
                <w:kern w:val="0"/>
                <w:sz w:val="24"/>
                <w:szCs w:val="24"/>
                <w:lang w:val="en-CA" w:eastAsia="en-CA"/>
                <w14:ligatures w14:val="none"/>
              </w:rPr>
              <w:br/>
              <w:t xml:space="preserve">• PHQ-9 score significantly varied with CUDIT classification with it being lowest for individuals classified as safe (with low </w:t>
            </w:r>
            <w:r w:rsidRPr="006E1C09">
              <w:rPr>
                <w:rFonts w:ascii="Times New Roman" w:eastAsia="Times New Roman" w:hAnsi="Times New Roman" w:cs="Times New Roman"/>
                <w:kern w:val="0"/>
                <w:sz w:val="24"/>
                <w:szCs w:val="24"/>
                <w:lang w:val="en-CA" w:eastAsia="en-CA"/>
                <w14:ligatures w14:val="none"/>
              </w:rPr>
              <w:lastRenderedPageBreak/>
              <w:t>scores) and highest for those classified as disordered (highest scores) [F(2,3302) = 16.97, p &lt; 0.001, η2 = 0.01]. A similar finding was observed for AUDIT [F(2,3302) = 16.31, p &lt; 0.001, η2 = 0.0096].</w:t>
            </w:r>
            <w:r w:rsidRPr="006E1C09">
              <w:rPr>
                <w:rFonts w:ascii="Times New Roman" w:eastAsia="Times New Roman" w:hAnsi="Times New Roman" w:cs="Times New Roman"/>
                <w:kern w:val="0"/>
                <w:sz w:val="24"/>
                <w:szCs w:val="24"/>
                <w:lang w:val="en-CA" w:eastAsia="en-CA"/>
                <w14:ligatures w14:val="none"/>
              </w:rPr>
              <w:br/>
              <w:t xml:space="preserve">• There was an interaction </w:t>
            </w:r>
            <w:r w:rsidRPr="006E1C09">
              <w:rPr>
                <w:rFonts w:ascii="Times New Roman" w:eastAsia="Times New Roman" w:hAnsi="Times New Roman" w:cs="Times New Roman"/>
                <w:kern w:val="0"/>
                <w:sz w:val="24"/>
                <w:szCs w:val="24"/>
                <w:lang w:val="en-CA" w:eastAsia="en-CA"/>
                <w14:ligatures w14:val="none"/>
              </w:rPr>
              <w:lastRenderedPageBreak/>
              <w:t>between HBC use and CUDIT [F(2,3302) = 6.02, p = 0.0025, η2 = 0.0035]</w:t>
            </w:r>
            <w:r w:rsidRPr="006E1C09">
              <w:rPr>
                <w:rFonts w:ascii="Times New Roman" w:eastAsia="Times New Roman" w:hAnsi="Times New Roman" w:cs="Times New Roman"/>
                <w:kern w:val="0"/>
                <w:sz w:val="24"/>
                <w:szCs w:val="24"/>
                <w:lang w:val="en-CA" w:eastAsia="en-CA"/>
                <w14:ligatures w14:val="none"/>
              </w:rPr>
              <w:br/>
              <w:t xml:space="preserve">• For the CUDIT safe group PHQ-9 score was higher for non-HBC user than users (t = 4.3, p &lt; 0.0001) but for the hazard group the reverse was </w:t>
            </w:r>
            <w:r w:rsidRPr="006E1C09">
              <w:rPr>
                <w:rFonts w:ascii="Times New Roman" w:eastAsia="Times New Roman" w:hAnsi="Times New Roman" w:cs="Times New Roman"/>
                <w:kern w:val="0"/>
                <w:sz w:val="24"/>
                <w:szCs w:val="24"/>
                <w:lang w:val="en-CA" w:eastAsia="en-CA"/>
                <w14:ligatures w14:val="none"/>
              </w:rPr>
              <w:lastRenderedPageBreak/>
              <w:t>found (t = 2.06, p = 0.041). There was no significant difference for the disordered group (t = 1.09, p = 0.28).</w:t>
            </w:r>
            <w:r w:rsidRPr="006E1C09">
              <w:rPr>
                <w:rFonts w:ascii="Times New Roman" w:eastAsia="Times New Roman" w:hAnsi="Times New Roman" w:cs="Times New Roman"/>
                <w:kern w:val="0"/>
                <w:sz w:val="24"/>
                <w:szCs w:val="24"/>
                <w:lang w:val="en-CA" w:eastAsia="en-CA"/>
                <w14:ligatures w14:val="none"/>
              </w:rPr>
              <w:br/>
              <w:t>• The interaction between HBC use and AUDIT was not significant (F &lt; 1; planned contrasts: safe</w:t>
            </w:r>
            <w:r w:rsidR="000C3CAF">
              <w:rPr>
                <w:rFonts w:ascii="Times New Roman" w:eastAsia="Times New Roman" w:hAnsi="Times New Roman" w:cs="Times New Roman"/>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t = 2.66, p = 0.007</w:t>
            </w:r>
            <w:r w:rsidRPr="006E1C09">
              <w:rPr>
                <w:rFonts w:ascii="Times New Roman" w:eastAsia="Times New Roman" w:hAnsi="Times New Roman" w:cs="Times New Roman"/>
                <w:kern w:val="0"/>
                <w:sz w:val="24"/>
                <w:szCs w:val="24"/>
                <w:lang w:val="en-CA" w:eastAsia="en-CA"/>
                <w14:ligatures w14:val="none"/>
              </w:rPr>
              <w:lastRenderedPageBreak/>
              <w:t>9; hazard</w:t>
            </w:r>
            <w:r w:rsidR="000C3CAF">
              <w:rPr>
                <w:rFonts w:ascii="Times New Roman" w:eastAsia="Times New Roman" w:hAnsi="Times New Roman" w:cs="Times New Roman"/>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t = 2.61, p = 0.0094; dependent</w:t>
            </w:r>
            <w:r w:rsidR="000C3CAF">
              <w:rPr>
                <w:rFonts w:ascii="Times New Roman" w:eastAsia="Times New Roman" w:hAnsi="Times New Roman" w:cs="Times New Roman"/>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 xml:space="preserve">t = 1.42, p = 0.16). </w:t>
            </w:r>
            <w:r w:rsidRPr="006E1C09">
              <w:rPr>
                <w:rFonts w:ascii="Times New Roman" w:eastAsia="Times New Roman" w:hAnsi="Times New Roman" w:cs="Times New Roman"/>
                <w:kern w:val="0"/>
                <w:sz w:val="24"/>
                <w:szCs w:val="24"/>
                <w:lang w:val="en-CA" w:eastAsia="en-CA"/>
                <w14:ligatures w14:val="none"/>
              </w:rPr>
              <w:br/>
              <w:t>• The 3- way interaction between HBC use, CUDIT and AUDIT was also significant [F(4,3302) = 3.24, p = 0.012, η2 = 0.0038].</w:t>
            </w:r>
            <w:r w:rsidRPr="006E1C09">
              <w:rPr>
                <w:rFonts w:ascii="Times New Roman" w:eastAsia="Times New Roman" w:hAnsi="Times New Roman" w:cs="Times New Roman"/>
                <w:kern w:val="0"/>
                <w:sz w:val="24"/>
                <w:szCs w:val="24"/>
                <w:lang w:val="en-CA" w:eastAsia="en-CA"/>
                <w14:ligatures w14:val="none"/>
              </w:rPr>
              <w:br/>
              <w:t>• HBC users had higher scores on the AUDI</w:t>
            </w:r>
            <w:r w:rsidRPr="006E1C09">
              <w:rPr>
                <w:rFonts w:ascii="Times New Roman" w:eastAsia="Times New Roman" w:hAnsi="Times New Roman" w:cs="Times New Roman"/>
                <w:kern w:val="0"/>
                <w:sz w:val="24"/>
                <w:szCs w:val="24"/>
                <w:lang w:val="en-CA" w:eastAsia="en-CA"/>
                <w14:ligatures w14:val="none"/>
              </w:rPr>
              <w:lastRenderedPageBreak/>
              <w:t>T and CUDIT [AUDIT: F(1,3319) = 25.15, p &lt; 0.0001, η2 = 0.0075; CUDIT: F(1,3319) = 4.71, p = 0.03; η2 = 0.0014]. In fact, the reported frequency of CB use as indicated on the CUDIT was higher [F(1,3319) = 21.39, p &lt; 0.000</w:t>
            </w:r>
            <w:r w:rsidRPr="006E1C09">
              <w:rPr>
                <w:rFonts w:ascii="Times New Roman" w:eastAsia="Times New Roman" w:hAnsi="Times New Roman" w:cs="Times New Roman"/>
                <w:kern w:val="0"/>
                <w:sz w:val="24"/>
                <w:szCs w:val="24"/>
                <w:lang w:val="en-CA" w:eastAsia="en-CA"/>
                <w14:ligatures w14:val="none"/>
              </w:rPr>
              <w:lastRenderedPageBreak/>
              <w:t>1; η2 = 0.0064] for the HBC user group.</w:t>
            </w:r>
            <w:r w:rsidRPr="006E1C09">
              <w:rPr>
                <w:rFonts w:ascii="Times New Roman" w:eastAsia="Times New Roman" w:hAnsi="Times New Roman" w:cs="Times New Roman"/>
                <w:kern w:val="0"/>
                <w:sz w:val="24"/>
                <w:szCs w:val="24"/>
                <w:lang w:val="en-CA" w:eastAsia="en-CA"/>
                <w14:ligatures w14:val="none"/>
              </w:rPr>
              <w:br/>
              <w:t>• Only CB use interacted with HBC use</w:t>
            </w:r>
            <w:r w:rsidRPr="006E1C09">
              <w:rPr>
                <w:rFonts w:ascii="Times New Roman" w:eastAsia="Times New Roman" w:hAnsi="Times New Roman" w:cs="Times New Roman"/>
                <w:kern w:val="0"/>
                <w:sz w:val="24"/>
                <w:szCs w:val="24"/>
                <w:lang w:val="en-CA" w:eastAsia="en-CA"/>
                <w14:ligatures w14:val="none"/>
              </w:rPr>
              <w:br/>
              <w:t xml:space="preserve">• The results do show a relationship such that those who take HBC have lower PHQ-9 scores and fewer individuals with scores categorized as major depressive </w:t>
            </w:r>
            <w:r w:rsidRPr="006E1C09">
              <w:rPr>
                <w:rFonts w:ascii="Times New Roman" w:eastAsia="Times New Roman" w:hAnsi="Times New Roman" w:cs="Times New Roman"/>
                <w:kern w:val="0"/>
                <w:sz w:val="24"/>
                <w:szCs w:val="24"/>
                <w:lang w:val="en-CA" w:eastAsia="en-CA"/>
                <w14:ligatures w14:val="none"/>
              </w:rPr>
              <w:lastRenderedPageBreak/>
              <w:t>symptoms than those who do not take HBC. Substance use also varied with PHQ-9 score such that individuals with high PHQ-9 scores also had higher AUDIT and CUDIT scores.</w:t>
            </w:r>
            <w:r w:rsidRPr="006E1C09">
              <w:rPr>
                <w:rFonts w:ascii="Times New Roman" w:eastAsia="Times New Roman" w:hAnsi="Times New Roman" w:cs="Times New Roman"/>
                <w:kern w:val="0"/>
                <w:sz w:val="24"/>
                <w:szCs w:val="24"/>
                <w:lang w:val="en-CA" w:eastAsia="en-CA"/>
                <w14:ligatures w14:val="none"/>
              </w:rPr>
              <w:br/>
              <w:t xml:space="preserve">• Taking HBC reduces depressive symptoms as </w:t>
            </w:r>
            <w:r w:rsidRPr="006E1C09">
              <w:rPr>
                <w:rFonts w:ascii="Times New Roman" w:eastAsia="Times New Roman" w:hAnsi="Times New Roman" w:cs="Times New Roman"/>
                <w:kern w:val="0"/>
                <w:sz w:val="24"/>
                <w:szCs w:val="24"/>
                <w:lang w:val="en-CA" w:eastAsia="en-CA"/>
                <w14:ligatures w14:val="none"/>
              </w:rPr>
              <w:lastRenderedPageBreak/>
              <w:t>measured by the PHQ-9, at least in emerging adult women</w:t>
            </w:r>
          </w:p>
        </w:tc>
      </w:tr>
      <w:tr w:rsidR="006E1C09" w:rsidRPr="00F87E76" w14:paraId="56D3FEE3" w14:textId="77777777" w:rsidTr="006E1C09">
        <w:trPr>
          <w:trHeight w:val="409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5789EFF3"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Stewart et al., 2022</w:t>
            </w:r>
          </w:p>
        </w:tc>
        <w:tc>
          <w:tcPr>
            <w:tcW w:w="298" w:type="pct"/>
            <w:tcBorders>
              <w:top w:val="nil"/>
              <w:left w:val="nil"/>
              <w:bottom w:val="single" w:sz="4" w:space="0" w:color="auto"/>
              <w:right w:val="single" w:sz="4" w:space="0" w:color="auto"/>
            </w:tcBorders>
            <w:shd w:val="clear" w:color="000000" w:fill="FFFFFF"/>
            <w:vAlign w:val="center"/>
            <w:hideMark/>
          </w:tcPr>
          <w:p w14:paraId="61C7140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 = 1 431 women ranging from 18-24 years </w:t>
            </w:r>
          </w:p>
        </w:tc>
        <w:tc>
          <w:tcPr>
            <w:tcW w:w="576" w:type="pct"/>
            <w:tcBorders>
              <w:top w:val="nil"/>
              <w:left w:val="nil"/>
              <w:bottom w:val="single" w:sz="4" w:space="0" w:color="auto"/>
              <w:right w:val="single" w:sz="4" w:space="0" w:color="auto"/>
            </w:tcBorders>
            <w:shd w:val="clear" w:color="000000" w:fill="FFFFFF"/>
            <w:vAlign w:val="center"/>
            <w:hideMark/>
          </w:tcPr>
          <w:p w14:paraId="2D58D0E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survey study</w:t>
            </w:r>
          </w:p>
        </w:tc>
        <w:tc>
          <w:tcPr>
            <w:tcW w:w="487" w:type="pct"/>
            <w:tcBorders>
              <w:top w:val="nil"/>
              <w:left w:val="nil"/>
              <w:bottom w:val="single" w:sz="4" w:space="0" w:color="auto"/>
              <w:right w:val="single" w:sz="4" w:space="0" w:color="auto"/>
            </w:tcBorders>
            <w:shd w:val="clear" w:color="000000" w:fill="FFFFFF"/>
            <w:hideMark/>
          </w:tcPr>
          <w:p w14:paraId="4351E3E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estimate the prevalence of HC use and type among premenopausal college women; identify the nature of the influence HC use has on smoking-relate</w:t>
            </w:r>
            <w:r w:rsidRPr="006E1C09">
              <w:rPr>
                <w:rFonts w:ascii="Times New Roman" w:eastAsia="Times New Roman" w:hAnsi="Times New Roman" w:cs="Times New Roman"/>
                <w:kern w:val="0"/>
                <w:sz w:val="24"/>
                <w:szCs w:val="24"/>
                <w:lang w:val="en-CA" w:eastAsia="en-CA"/>
                <w14:ligatures w14:val="none"/>
              </w:rPr>
              <w:lastRenderedPageBreak/>
              <w:t>d behavior, including smoking rate, negative affect (including anxiety), and cessation attempts; and explore whether this influence differs by HC type (progestin-only versus combined estrogen and progestin).</w:t>
            </w:r>
          </w:p>
        </w:tc>
        <w:tc>
          <w:tcPr>
            <w:tcW w:w="533" w:type="pct"/>
            <w:tcBorders>
              <w:top w:val="nil"/>
              <w:left w:val="nil"/>
              <w:bottom w:val="single" w:sz="4" w:space="0" w:color="auto"/>
              <w:right w:val="single" w:sz="4" w:space="0" w:color="auto"/>
            </w:tcBorders>
            <w:shd w:val="clear" w:color="000000" w:fill="FFFFFF"/>
            <w:vAlign w:val="center"/>
            <w:hideMark/>
          </w:tcPr>
          <w:p w14:paraId="37A146E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IUD, injection, implant, insert, patch, OC (progestin-only; combined monophasic, biphasic, triphasic, extended cycle, unknown)</w:t>
            </w:r>
          </w:p>
        </w:tc>
        <w:tc>
          <w:tcPr>
            <w:tcW w:w="346" w:type="pct"/>
            <w:tcBorders>
              <w:top w:val="nil"/>
              <w:left w:val="nil"/>
              <w:bottom w:val="single" w:sz="4" w:space="0" w:color="auto"/>
              <w:right w:val="single" w:sz="4" w:space="0" w:color="auto"/>
            </w:tcBorders>
            <w:shd w:val="clear" w:color="000000" w:fill="FFFFFF"/>
            <w:vAlign w:val="center"/>
            <w:hideMark/>
          </w:tcPr>
          <w:p w14:paraId="4128C21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The study does not specify the duration of HC use among participants</w:t>
            </w:r>
          </w:p>
        </w:tc>
        <w:tc>
          <w:tcPr>
            <w:tcW w:w="484" w:type="pct"/>
            <w:tcBorders>
              <w:top w:val="nil"/>
              <w:left w:val="nil"/>
              <w:bottom w:val="single" w:sz="4" w:space="0" w:color="auto"/>
              <w:right w:val="single" w:sz="4" w:space="0" w:color="auto"/>
            </w:tcBorders>
            <w:shd w:val="clear" w:color="000000" w:fill="FFFFFF"/>
            <w:vAlign w:val="center"/>
            <w:hideMark/>
          </w:tcPr>
          <w:p w14:paraId="53A9AC9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hormonal contraception (HC) had lower state anxiety scores compared to non-users.</w:t>
            </w:r>
          </w:p>
        </w:tc>
        <w:tc>
          <w:tcPr>
            <w:tcW w:w="372" w:type="pct"/>
            <w:tcBorders>
              <w:top w:val="nil"/>
              <w:left w:val="nil"/>
              <w:bottom w:val="single" w:sz="4" w:space="0" w:color="auto"/>
              <w:right w:val="single" w:sz="4" w:space="0" w:color="auto"/>
            </w:tcBorders>
            <w:shd w:val="clear" w:color="000000" w:fill="FFFFFF"/>
            <w:vAlign w:val="center"/>
            <w:hideMark/>
          </w:tcPr>
          <w:p w14:paraId="2F4FE3D8"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26E4A30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Trait and state anxiety assessed by The State-Trait Anxiety Inventory (STAI). Positive and negative affect assessed by the PANAS.</w:t>
            </w:r>
          </w:p>
        </w:tc>
        <w:tc>
          <w:tcPr>
            <w:tcW w:w="423" w:type="pct"/>
            <w:tcBorders>
              <w:top w:val="nil"/>
              <w:left w:val="nil"/>
              <w:bottom w:val="single" w:sz="4" w:space="0" w:color="auto"/>
              <w:right w:val="single" w:sz="4" w:space="0" w:color="auto"/>
            </w:tcBorders>
            <w:shd w:val="clear" w:color="000000" w:fill="FFFFFF"/>
            <w:vAlign w:val="center"/>
            <w:hideMark/>
          </w:tcPr>
          <w:p w14:paraId="2C4ED09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66A4AED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Women currently using HC (including long-acting) were more likely to be smoking (13.5%; n = 103) as compared to women not currently using HC (10.9%; n = 73), </w:t>
            </w:r>
            <w:r w:rsidRPr="006E1C09">
              <w:rPr>
                <w:rFonts w:ascii="Times New Roman" w:eastAsia="Times New Roman" w:hAnsi="Times New Roman" w:cs="Times New Roman"/>
                <w:kern w:val="0"/>
                <w:sz w:val="24"/>
                <w:szCs w:val="24"/>
                <w:lang w:val="en-CA" w:eastAsia="en-CA"/>
                <w14:ligatures w14:val="none"/>
              </w:rPr>
              <w:lastRenderedPageBreak/>
              <w:t>X 2 (1) = 2.30, p = .04, phi = 0.08</w:t>
            </w:r>
            <w:r w:rsidRPr="006E1C09">
              <w:rPr>
                <w:rFonts w:ascii="Times New Roman" w:eastAsia="Times New Roman" w:hAnsi="Times New Roman" w:cs="Times New Roman"/>
                <w:kern w:val="0"/>
                <w:sz w:val="24"/>
                <w:szCs w:val="24"/>
                <w:lang w:val="en-CA" w:eastAsia="en-CA"/>
                <w14:ligatures w14:val="none"/>
              </w:rPr>
              <w:br/>
              <w:t xml:space="preserve">• The main effect for HC use on state anxiety was significant, F (1, 1132) = 7.90, p = .005, </w:t>
            </w:r>
            <w:r w:rsidRPr="006E1C09">
              <w:rPr>
                <w:rFonts w:ascii="Cambria Math" w:eastAsia="Times New Roman" w:hAnsi="Cambria Math" w:cs="Cambria Math"/>
                <w:kern w:val="0"/>
                <w:sz w:val="24"/>
                <w:szCs w:val="24"/>
                <w:lang w:val="en-CA" w:eastAsia="en-CA"/>
                <w14:ligatures w14:val="none"/>
              </w:rPr>
              <w:t>𝜂</w:t>
            </w:r>
            <w:r w:rsidRPr="006E1C09">
              <w:rPr>
                <w:rFonts w:ascii="Times New Roman" w:eastAsia="Times New Roman" w:hAnsi="Times New Roman" w:cs="Times New Roman"/>
                <w:kern w:val="0"/>
                <w:sz w:val="24"/>
                <w:szCs w:val="24"/>
                <w:lang w:val="en-CA" w:eastAsia="en-CA"/>
                <w14:ligatures w14:val="none"/>
              </w:rPr>
              <w:t xml:space="preserve">p 2 = 0.007, with women who used HC having lower state anxiety scores ( M = 44.6; SD = 8.3) as com- pared to </w:t>
            </w:r>
            <w:r w:rsidRPr="006E1C09">
              <w:rPr>
                <w:rFonts w:ascii="Times New Roman" w:eastAsia="Times New Roman" w:hAnsi="Times New Roman" w:cs="Times New Roman"/>
                <w:kern w:val="0"/>
                <w:sz w:val="24"/>
                <w:szCs w:val="24"/>
                <w:lang w:val="en-CA" w:eastAsia="en-CA"/>
                <w14:ligatures w14:val="none"/>
              </w:rPr>
              <w:lastRenderedPageBreak/>
              <w:t xml:space="preserve">those who were not using HC ( M = 45.2; SD = 8.1). The HC use by smoking status interaction for state anxiety was also significant, F (1, 1132) = 6.70, p = .010, </w:t>
            </w:r>
            <w:r w:rsidRPr="006E1C09">
              <w:rPr>
                <w:rFonts w:ascii="Cambria Math" w:eastAsia="Times New Roman" w:hAnsi="Cambria Math" w:cs="Cambria Math"/>
                <w:kern w:val="0"/>
                <w:sz w:val="24"/>
                <w:szCs w:val="24"/>
                <w:lang w:val="en-CA" w:eastAsia="en-CA"/>
                <w14:ligatures w14:val="none"/>
              </w:rPr>
              <w:t>𝜂</w:t>
            </w:r>
            <w:r w:rsidRPr="006E1C09">
              <w:rPr>
                <w:rFonts w:ascii="Times New Roman" w:eastAsia="Times New Roman" w:hAnsi="Times New Roman" w:cs="Times New Roman"/>
                <w:kern w:val="0"/>
                <w:sz w:val="24"/>
                <w:szCs w:val="24"/>
                <w:lang w:val="en-CA" w:eastAsia="en-CA"/>
                <w14:ligatures w14:val="none"/>
              </w:rPr>
              <w:t>p 2 = 0.007, such that women who smoked and used HC had the lowest state anxiet</w:t>
            </w:r>
            <w:r w:rsidRPr="006E1C09">
              <w:rPr>
                <w:rFonts w:ascii="Times New Roman" w:eastAsia="Times New Roman" w:hAnsi="Times New Roman" w:cs="Times New Roman"/>
                <w:kern w:val="0"/>
                <w:sz w:val="24"/>
                <w:szCs w:val="24"/>
                <w:lang w:val="en-CA" w:eastAsia="en-CA"/>
                <w14:ligatures w14:val="none"/>
              </w:rPr>
              <w:lastRenderedPageBreak/>
              <w:t>y scores ( M = 42.8; SD = 8.9).</w:t>
            </w:r>
            <w:r w:rsidRPr="006E1C09">
              <w:rPr>
                <w:rFonts w:ascii="Times New Roman" w:eastAsia="Times New Roman" w:hAnsi="Times New Roman" w:cs="Times New Roman"/>
                <w:kern w:val="0"/>
                <w:sz w:val="24"/>
                <w:szCs w:val="24"/>
                <w:lang w:val="en-CA" w:eastAsia="en-CA"/>
                <w14:ligatures w14:val="none"/>
              </w:rPr>
              <w:br/>
              <w:t xml:space="preserve">• Women who smoke to have higher negative affect ( M = 17.0; SD = 7.3) than those who didn’t smoke ( M = 16.2; SD = 6.6); F (1, 1239) = 3.1, p = .08, </w:t>
            </w:r>
            <w:r w:rsidRPr="006E1C09">
              <w:rPr>
                <w:rFonts w:ascii="Cambria Math" w:eastAsia="Times New Roman" w:hAnsi="Cambria Math" w:cs="Cambria Math"/>
                <w:kern w:val="0"/>
                <w:sz w:val="24"/>
                <w:szCs w:val="24"/>
                <w:lang w:val="en-CA" w:eastAsia="en-CA"/>
                <w14:ligatures w14:val="none"/>
              </w:rPr>
              <w:t>𝜂</w:t>
            </w:r>
            <w:r w:rsidRPr="006E1C09">
              <w:rPr>
                <w:rFonts w:ascii="Times New Roman" w:eastAsia="Times New Roman" w:hAnsi="Times New Roman" w:cs="Times New Roman"/>
                <w:kern w:val="0"/>
                <w:sz w:val="24"/>
                <w:szCs w:val="24"/>
                <w:lang w:val="en-CA" w:eastAsia="en-CA"/>
                <w14:ligatures w14:val="none"/>
              </w:rPr>
              <w:t xml:space="preserve">p 2 = 0.002, and for a HC use by smoking status interaction, </w:t>
            </w:r>
            <w:r w:rsidRPr="006E1C09">
              <w:rPr>
                <w:rFonts w:ascii="Times New Roman" w:eastAsia="Times New Roman" w:hAnsi="Times New Roman" w:cs="Times New Roman"/>
                <w:kern w:val="0"/>
                <w:sz w:val="24"/>
                <w:szCs w:val="24"/>
                <w:lang w:val="en-CA" w:eastAsia="en-CA"/>
                <w14:ligatures w14:val="none"/>
              </w:rPr>
              <w:lastRenderedPageBreak/>
              <w:t xml:space="preserve">F (1, 1239) = 3.0, p = .08, </w:t>
            </w:r>
            <w:r w:rsidRPr="006E1C09">
              <w:rPr>
                <w:rFonts w:ascii="Cambria Math" w:eastAsia="Times New Roman" w:hAnsi="Cambria Math" w:cs="Cambria Math"/>
                <w:kern w:val="0"/>
                <w:sz w:val="24"/>
                <w:szCs w:val="24"/>
                <w:lang w:val="en-CA" w:eastAsia="en-CA"/>
                <w14:ligatures w14:val="none"/>
              </w:rPr>
              <w:t>𝜂</w:t>
            </w:r>
            <w:r w:rsidRPr="006E1C09">
              <w:rPr>
                <w:rFonts w:ascii="Times New Roman" w:eastAsia="Times New Roman" w:hAnsi="Times New Roman" w:cs="Times New Roman"/>
                <w:kern w:val="0"/>
                <w:sz w:val="24"/>
                <w:szCs w:val="24"/>
                <w:lang w:val="en-CA" w:eastAsia="en-CA"/>
                <w14:ligatures w14:val="none"/>
              </w:rPr>
              <w:t>p 2 = 0.002, whereby women who smoked and used HC had lower negative affect scores ( M = 16.4; SD = 6.8) as compared to women who smoked but were not using HC ( M = 17.84; SD = 7.9).</w:t>
            </w:r>
            <w:r w:rsidRPr="006E1C09">
              <w:rPr>
                <w:rFonts w:ascii="Times New Roman" w:eastAsia="Times New Roman" w:hAnsi="Times New Roman" w:cs="Times New Roman"/>
                <w:kern w:val="0"/>
                <w:sz w:val="24"/>
                <w:szCs w:val="24"/>
                <w:lang w:val="en-CA" w:eastAsia="en-CA"/>
                <w14:ligatures w14:val="none"/>
              </w:rPr>
              <w:br/>
              <w:t>• There were no signifi</w:t>
            </w:r>
            <w:r w:rsidRPr="006E1C09">
              <w:rPr>
                <w:rFonts w:ascii="Times New Roman" w:eastAsia="Times New Roman" w:hAnsi="Times New Roman" w:cs="Times New Roman"/>
                <w:kern w:val="0"/>
                <w:sz w:val="24"/>
                <w:szCs w:val="24"/>
                <w:lang w:val="en-CA" w:eastAsia="en-CA"/>
                <w14:ligatures w14:val="none"/>
              </w:rPr>
              <w:lastRenderedPageBreak/>
              <w:t xml:space="preserve">cant differences across HC groups on state anxiety scores, F (1, 1132) = 1.21, p = .30, </w:t>
            </w:r>
            <w:r w:rsidRPr="006E1C09">
              <w:rPr>
                <w:rFonts w:ascii="Cambria Math" w:eastAsia="Times New Roman" w:hAnsi="Cambria Math" w:cs="Cambria Math"/>
                <w:kern w:val="0"/>
                <w:sz w:val="24"/>
                <w:szCs w:val="24"/>
                <w:lang w:val="en-CA" w:eastAsia="en-CA"/>
                <w14:ligatures w14:val="none"/>
              </w:rPr>
              <w:t>𝜂</w:t>
            </w:r>
            <w:r w:rsidRPr="006E1C09">
              <w:rPr>
                <w:rFonts w:ascii="Times New Roman" w:eastAsia="Times New Roman" w:hAnsi="Times New Roman" w:cs="Times New Roman"/>
                <w:kern w:val="0"/>
                <w:sz w:val="24"/>
                <w:szCs w:val="24"/>
                <w:lang w:val="en-CA" w:eastAsia="en-CA"/>
                <w14:ligatures w14:val="none"/>
              </w:rPr>
              <w:t xml:space="preserve">p 2 = 0.002. State anxiety scores were M = 45.8 ( SD = 8.1) among women using progestin-only HC, M = 44.5 ( SD = 8.2) among women using </w:t>
            </w:r>
            <w:r w:rsidRPr="006E1C09">
              <w:rPr>
                <w:rFonts w:ascii="Times New Roman" w:eastAsia="Times New Roman" w:hAnsi="Times New Roman" w:cs="Times New Roman"/>
                <w:kern w:val="0"/>
                <w:sz w:val="24"/>
                <w:szCs w:val="24"/>
                <w:lang w:val="en-CA" w:eastAsia="en-CA"/>
                <w14:ligatures w14:val="none"/>
              </w:rPr>
              <w:lastRenderedPageBreak/>
              <w:t>combination HC, and M = 45.2 ( SD = 8.3) among women not using HC.</w:t>
            </w:r>
            <w:r w:rsidRPr="006E1C09">
              <w:rPr>
                <w:rFonts w:ascii="Times New Roman" w:eastAsia="Times New Roman" w:hAnsi="Times New Roman" w:cs="Times New Roman"/>
                <w:kern w:val="0"/>
                <w:sz w:val="24"/>
                <w:szCs w:val="24"/>
                <w:lang w:val="en-CA" w:eastAsia="en-CA"/>
                <w14:ligatures w14:val="none"/>
              </w:rPr>
              <w:br/>
              <w:t xml:space="preserve">• Women who used HC had lower state anxiety scores as compared to women not using HC. In addition, women who smoked and used HC had the lowest state </w:t>
            </w:r>
            <w:r w:rsidRPr="006E1C09">
              <w:rPr>
                <w:rFonts w:ascii="Times New Roman" w:eastAsia="Times New Roman" w:hAnsi="Times New Roman" w:cs="Times New Roman"/>
                <w:kern w:val="0"/>
                <w:sz w:val="24"/>
                <w:szCs w:val="24"/>
                <w:lang w:val="en-CA" w:eastAsia="en-CA"/>
                <w14:ligatures w14:val="none"/>
              </w:rPr>
              <w:lastRenderedPageBreak/>
              <w:t>anxiety scores overall.</w:t>
            </w:r>
            <w:r w:rsidRPr="006E1C09">
              <w:rPr>
                <w:rFonts w:ascii="Times New Roman" w:eastAsia="Times New Roman" w:hAnsi="Times New Roman" w:cs="Times New Roman"/>
                <w:kern w:val="0"/>
                <w:sz w:val="24"/>
                <w:szCs w:val="24"/>
                <w:lang w:val="en-CA" w:eastAsia="en-CA"/>
                <w14:ligatures w14:val="none"/>
              </w:rPr>
              <w:br/>
              <w:t>• Present analyses exhibited no significant differences among varying types of hormonal contraceptives regarding their effect on negative affect and current and past cessation attempts</w:t>
            </w:r>
          </w:p>
        </w:tc>
      </w:tr>
      <w:tr w:rsidR="006E1C09" w:rsidRPr="00F87E76" w14:paraId="07148C0C" w14:textId="77777777" w:rsidTr="006E1C09">
        <w:trPr>
          <w:trHeight w:val="220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1DE63EA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Yang et al., 2022</w:t>
            </w:r>
          </w:p>
        </w:tc>
        <w:tc>
          <w:tcPr>
            <w:tcW w:w="298" w:type="pct"/>
            <w:tcBorders>
              <w:top w:val="nil"/>
              <w:left w:val="nil"/>
              <w:bottom w:val="single" w:sz="4" w:space="0" w:color="auto"/>
              <w:right w:val="single" w:sz="4" w:space="0" w:color="auto"/>
            </w:tcBorders>
            <w:shd w:val="clear" w:color="000000" w:fill="FFFFFF"/>
            <w:vAlign w:val="center"/>
            <w:hideMark/>
          </w:tcPr>
          <w:p w14:paraId="24FF687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23 029 women ranging from 15–52 years</w:t>
            </w:r>
          </w:p>
        </w:tc>
        <w:tc>
          <w:tcPr>
            <w:tcW w:w="576" w:type="pct"/>
            <w:tcBorders>
              <w:top w:val="nil"/>
              <w:left w:val="nil"/>
              <w:bottom w:val="single" w:sz="4" w:space="0" w:color="auto"/>
              <w:right w:val="single" w:sz="4" w:space="0" w:color="auto"/>
            </w:tcBorders>
            <w:shd w:val="clear" w:color="000000" w:fill="FFFFFF"/>
            <w:vAlign w:val="center"/>
            <w:hideMark/>
          </w:tcPr>
          <w:p w14:paraId="75583DA0"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Nationwide register-based cohort study </w:t>
            </w:r>
          </w:p>
        </w:tc>
        <w:tc>
          <w:tcPr>
            <w:tcW w:w="487" w:type="pct"/>
            <w:tcBorders>
              <w:top w:val="nil"/>
              <w:left w:val="nil"/>
              <w:bottom w:val="single" w:sz="4" w:space="0" w:color="auto"/>
              <w:right w:val="single" w:sz="4" w:space="0" w:color="auto"/>
            </w:tcBorders>
            <w:shd w:val="clear" w:color="000000" w:fill="FFFFFF"/>
            <w:vAlign w:val="center"/>
            <w:hideMark/>
          </w:tcPr>
          <w:p w14:paraId="5541287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study the association between use of hormonal contraceptives or antidepressants and subsequent risks of suicidal behavior and accidents among women with PMDs</w:t>
            </w:r>
          </w:p>
        </w:tc>
        <w:tc>
          <w:tcPr>
            <w:tcW w:w="533" w:type="pct"/>
            <w:tcBorders>
              <w:top w:val="nil"/>
              <w:left w:val="nil"/>
              <w:bottom w:val="single" w:sz="4" w:space="0" w:color="auto"/>
              <w:right w:val="single" w:sz="4" w:space="0" w:color="auto"/>
            </w:tcBorders>
            <w:shd w:val="clear" w:color="000000" w:fill="FFFFFF"/>
            <w:vAlign w:val="center"/>
            <w:hideMark/>
          </w:tcPr>
          <w:p w14:paraId="3FBB764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Combined products (estrogen and progestin) and progestin-only products</w:t>
            </w:r>
          </w:p>
        </w:tc>
        <w:tc>
          <w:tcPr>
            <w:tcW w:w="346" w:type="pct"/>
            <w:tcBorders>
              <w:top w:val="nil"/>
              <w:left w:val="nil"/>
              <w:bottom w:val="single" w:sz="4" w:space="0" w:color="auto"/>
              <w:right w:val="single" w:sz="4" w:space="0" w:color="auto"/>
            </w:tcBorders>
            <w:shd w:val="clear" w:color="000000" w:fill="FFFFFF"/>
            <w:vAlign w:val="center"/>
            <w:hideMark/>
          </w:tcPr>
          <w:p w14:paraId="15B4D84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Participants were followed for a median of 6.2 years</w:t>
            </w:r>
          </w:p>
        </w:tc>
        <w:tc>
          <w:tcPr>
            <w:tcW w:w="484" w:type="pct"/>
            <w:tcBorders>
              <w:top w:val="nil"/>
              <w:left w:val="nil"/>
              <w:bottom w:val="single" w:sz="4" w:space="0" w:color="auto"/>
              <w:right w:val="single" w:sz="4" w:space="0" w:color="auto"/>
            </w:tcBorders>
            <w:shd w:val="clear" w:color="000000" w:fill="FFFFFF"/>
            <w:vAlign w:val="center"/>
            <w:hideMark/>
          </w:tcPr>
          <w:p w14:paraId="55DA2A3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The use of combined hormonal contraceptives (but not progestin-only products) was associated with a statistically significant lower risk of suicidal behavior compared to periods of non-use</w:t>
            </w:r>
          </w:p>
        </w:tc>
        <w:tc>
          <w:tcPr>
            <w:tcW w:w="372" w:type="pct"/>
            <w:tcBorders>
              <w:top w:val="nil"/>
              <w:left w:val="nil"/>
              <w:bottom w:val="single" w:sz="4" w:space="0" w:color="auto"/>
              <w:right w:val="single" w:sz="4" w:space="0" w:color="auto"/>
            </w:tcBorders>
            <w:shd w:val="clear" w:color="000000" w:fill="FFFFFF"/>
            <w:vAlign w:val="center"/>
            <w:hideMark/>
          </w:tcPr>
          <w:p w14:paraId="2D92FEB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7B43625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 Suicidal behavior (completed suicide and suicide attempt) and accidents was determined by a hospital visit or death</w:t>
            </w:r>
          </w:p>
        </w:tc>
        <w:tc>
          <w:tcPr>
            <w:tcW w:w="423" w:type="pct"/>
            <w:tcBorders>
              <w:top w:val="nil"/>
              <w:left w:val="nil"/>
              <w:bottom w:val="single" w:sz="4" w:space="0" w:color="auto"/>
              <w:right w:val="single" w:sz="4" w:space="0" w:color="auto"/>
            </w:tcBorders>
            <w:shd w:val="clear" w:color="000000" w:fill="FFFFFF"/>
            <w:vAlign w:val="center"/>
            <w:hideMark/>
          </w:tcPr>
          <w:p w14:paraId="631F861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11.1% of hormonal contraceptive users had a psychiatric comorbidity (unspecified)</w:t>
            </w:r>
          </w:p>
        </w:tc>
        <w:tc>
          <w:tcPr>
            <w:tcW w:w="538" w:type="pct"/>
            <w:tcBorders>
              <w:top w:val="single" w:sz="4" w:space="0" w:color="auto"/>
              <w:left w:val="nil"/>
              <w:bottom w:val="single" w:sz="4" w:space="0" w:color="auto"/>
              <w:right w:val="single" w:sz="4" w:space="0" w:color="auto"/>
            </w:tcBorders>
            <w:shd w:val="clear" w:color="000000" w:fill="FFFFFF"/>
            <w:hideMark/>
          </w:tcPr>
          <w:p w14:paraId="4B689B2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We found a statistically significant lower risk of suicidal behavior when using contraceptives of combined products, compared to no-use periods, in both between- and within-individual analyses. Such risk reduction was evident regard</w:t>
            </w:r>
            <w:r w:rsidRPr="006E1C09">
              <w:rPr>
                <w:rFonts w:ascii="Times New Roman" w:eastAsia="Times New Roman" w:hAnsi="Times New Roman" w:cs="Times New Roman"/>
                <w:kern w:val="0"/>
                <w:sz w:val="24"/>
                <w:szCs w:val="24"/>
                <w:lang w:val="en-CA" w:eastAsia="en-CA"/>
                <w14:ligatures w14:val="none"/>
              </w:rPr>
              <w:lastRenderedPageBreak/>
              <w:t>less of psychiatric comorbidities and was most pronounced after 3 months since the prescription claim.</w:t>
            </w:r>
            <w:r w:rsidRPr="006E1C09">
              <w:rPr>
                <w:rFonts w:ascii="Times New Roman" w:eastAsia="Times New Roman" w:hAnsi="Times New Roman" w:cs="Times New Roman"/>
                <w:kern w:val="0"/>
                <w:sz w:val="24"/>
                <w:szCs w:val="24"/>
                <w:lang w:val="en-CA" w:eastAsia="en-CA"/>
                <w14:ligatures w14:val="none"/>
              </w:rPr>
              <w:br/>
              <w:t xml:space="preserve">• Compared to no use, use of hormonal contraceptives was associated with a lower risk of suicidal behavior in both between- and within individual </w:t>
            </w:r>
            <w:r w:rsidRPr="006E1C09">
              <w:rPr>
                <w:rFonts w:ascii="Times New Roman" w:eastAsia="Times New Roman" w:hAnsi="Times New Roman" w:cs="Times New Roman"/>
                <w:kern w:val="0"/>
                <w:sz w:val="24"/>
                <w:szCs w:val="24"/>
                <w:lang w:val="en-CA" w:eastAsia="en-CA"/>
                <w14:ligatures w14:val="none"/>
              </w:rPr>
              <w:lastRenderedPageBreak/>
              <w:t>analyses (adjusted IRR 0.76, 95% CI 0.43–1.34; IRR 0.65, 0.51–0.83 respectively)</w:t>
            </w:r>
            <w:r w:rsidRPr="006E1C09">
              <w:rPr>
                <w:rFonts w:ascii="Times New Roman" w:eastAsia="Times New Roman" w:hAnsi="Times New Roman" w:cs="Times New Roman"/>
                <w:kern w:val="0"/>
                <w:sz w:val="24"/>
                <w:szCs w:val="24"/>
                <w:lang w:val="en-CA" w:eastAsia="en-CA"/>
                <w14:ligatures w14:val="none"/>
              </w:rPr>
              <w:br/>
              <w:t>• Use of contraceptives was associated with a slightly higher risk of accidents in between-individual analysis (IRR 1.13, 1.01–1.27), but not in within-indivi</w:t>
            </w:r>
            <w:r w:rsidRPr="006E1C09">
              <w:rPr>
                <w:rFonts w:ascii="Times New Roman" w:eastAsia="Times New Roman" w:hAnsi="Times New Roman" w:cs="Times New Roman"/>
                <w:kern w:val="0"/>
                <w:sz w:val="24"/>
                <w:szCs w:val="24"/>
                <w:lang w:val="en-CA" w:eastAsia="en-CA"/>
                <w14:ligatures w14:val="none"/>
              </w:rPr>
              <w:lastRenderedPageBreak/>
              <w:t>dual analysis (IRR 1.01, 0.92–1.11)</w:t>
            </w:r>
            <w:r w:rsidRPr="006E1C09">
              <w:rPr>
                <w:rFonts w:ascii="Times New Roman" w:eastAsia="Times New Roman" w:hAnsi="Times New Roman" w:cs="Times New Roman"/>
                <w:kern w:val="0"/>
                <w:sz w:val="24"/>
                <w:szCs w:val="24"/>
                <w:lang w:val="en-CA" w:eastAsia="en-CA"/>
                <w14:ligatures w14:val="none"/>
              </w:rPr>
              <w:br/>
              <w:t>• Lower risk of suicidal behavior when using contraceptives was confined to combined products (IRR 0.18, 0.07–0.47 in between-individual analysis and 0.19, 0.08–0.42 in within-individual analys</w:t>
            </w:r>
            <w:r w:rsidRPr="006E1C09">
              <w:rPr>
                <w:rFonts w:ascii="Times New Roman" w:eastAsia="Times New Roman" w:hAnsi="Times New Roman" w:cs="Times New Roman"/>
                <w:kern w:val="0"/>
                <w:sz w:val="24"/>
                <w:szCs w:val="24"/>
                <w:lang w:val="en-CA" w:eastAsia="en-CA"/>
                <w14:ligatures w14:val="none"/>
              </w:rPr>
              <w:lastRenderedPageBreak/>
              <w:t>is) but not progestin-only products</w:t>
            </w:r>
            <w:r w:rsidRPr="006E1C09">
              <w:rPr>
                <w:rFonts w:ascii="Times New Roman" w:eastAsia="Times New Roman" w:hAnsi="Times New Roman" w:cs="Times New Roman"/>
                <w:kern w:val="0"/>
                <w:sz w:val="24"/>
                <w:szCs w:val="24"/>
                <w:lang w:val="en-CA" w:eastAsia="en-CA"/>
                <w14:ligatures w14:val="none"/>
              </w:rPr>
              <w:br/>
              <w:t>• The lower risk of suicidal behavior with use of contraceptives was noted among PMDs patients with/without psychiatric comorbidities in the within-individual analysis (p for interaction 0.043)</w:t>
            </w:r>
            <w:r w:rsidRPr="006E1C09">
              <w:rPr>
                <w:rFonts w:ascii="Times New Roman" w:eastAsia="Times New Roman" w:hAnsi="Times New Roman" w:cs="Times New Roman"/>
                <w:kern w:val="0"/>
                <w:sz w:val="24"/>
                <w:szCs w:val="24"/>
                <w:lang w:val="en-CA" w:eastAsia="en-CA"/>
                <w14:ligatures w14:val="none"/>
              </w:rPr>
              <w:br/>
              <w:t xml:space="preserve">• The </w:t>
            </w:r>
            <w:r w:rsidRPr="006E1C09">
              <w:rPr>
                <w:rFonts w:ascii="Times New Roman" w:eastAsia="Times New Roman" w:hAnsi="Times New Roman" w:cs="Times New Roman"/>
                <w:kern w:val="0"/>
                <w:sz w:val="24"/>
                <w:szCs w:val="24"/>
                <w:lang w:val="en-CA" w:eastAsia="en-CA"/>
                <w14:ligatures w14:val="none"/>
              </w:rPr>
              <w:lastRenderedPageBreak/>
              <w:t>lower risk of suicidal behavior with contraceptives use among women with PMDs was not statistically significant within the first three months in a prescribed period in between- and within-individual analyses. Such association became signifi</w:t>
            </w:r>
            <w:r w:rsidRPr="006E1C09">
              <w:rPr>
                <w:rFonts w:ascii="Times New Roman" w:eastAsia="Times New Roman" w:hAnsi="Times New Roman" w:cs="Times New Roman"/>
                <w:kern w:val="0"/>
                <w:sz w:val="24"/>
                <w:szCs w:val="24"/>
                <w:lang w:val="en-CA" w:eastAsia="en-CA"/>
                <w14:ligatures w14:val="none"/>
              </w:rPr>
              <w:lastRenderedPageBreak/>
              <w:t>cant from three months onwards in the within-individual analysis.</w:t>
            </w:r>
          </w:p>
        </w:tc>
      </w:tr>
      <w:tr w:rsidR="006E1C09" w:rsidRPr="00F87E76" w14:paraId="28962142" w14:textId="77777777" w:rsidTr="006E1C09">
        <w:trPr>
          <w:trHeight w:val="189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3A4D6547"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Caruso et al., 2023</w:t>
            </w:r>
          </w:p>
        </w:tc>
        <w:tc>
          <w:tcPr>
            <w:tcW w:w="298" w:type="pct"/>
            <w:tcBorders>
              <w:top w:val="nil"/>
              <w:left w:val="nil"/>
              <w:bottom w:val="single" w:sz="4" w:space="0" w:color="auto"/>
              <w:right w:val="single" w:sz="4" w:space="0" w:color="auto"/>
            </w:tcBorders>
            <w:shd w:val="clear" w:color="000000" w:fill="FFFFFF"/>
            <w:vAlign w:val="center"/>
            <w:hideMark/>
          </w:tcPr>
          <w:p w14:paraId="4633221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184 postpartum women ranging from 18-38 years</w:t>
            </w:r>
          </w:p>
        </w:tc>
        <w:tc>
          <w:tcPr>
            <w:tcW w:w="576" w:type="pct"/>
            <w:tcBorders>
              <w:top w:val="nil"/>
              <w:left w:val="nil"/>
              <w:bottom w:val="single" w:sz="4" w:space="0" w:color="auto"/>
              <w:right w:val="single" w:sz="4" w:space="0" w:color="auto"/>
            </w:tcBorders>
            <w:shd w:val="clear" w:color="000000" w:fill="FFFFFF"/>
            <w:vAlign w:val="center"/>
            <w:hideMark/>
          </w:tcPr>
          <w:p w14:paraId="32B0C41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Non-randomized, open-label, prospective comparative pilot study</w:t>
            </w:r>
          </w:p>
        </w:tc>
        <w:tc>
          <w:tcPr>
            <w:tcW w:w="487" w:type="pct"/>
            <w:tcBorders>
              <w:top w:val="nil"/>
              <w:left w:val="nil"/>
              <w:bottom w:val="single" w:sz="4" w:space="0" w:color="auto"/>
              <w:right w:val="single" w:sz="4" w:space="0" w:color="auto"/>
            </w:tcBorders>
            <w:shd w:val="clear" w:color="000000" w:fill="FFFFFF"/>
            <w:vAlign w:val="center"/>
            <w:hideMark/>
          </w:tcPr>
          <w:p w14:paraId="4260B05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assess the effect of Drospirenone-only pill (DOP) 4 mg, in a 24 active/4 placebo regimen, on the mood of postpartum women who wanted to </w:t>
            </w:r>
            <w:r w:rsidRPr="006E1C09">
              <w:rPr>
                <w:rFonts w:ascii="Times New Roman" w:eastAsia="Times New Roman" w:hAnsi="Times New Roman" w:cs="Times New Roman"/>
                <w:kern w:val="0"/>
                <w:sz w:val="24"/>
                <w:szCs w:val="24"/>
                <w:lang w:val="en-CA" w:eastAsia="en-CA"/>
                <w14:ligatures w14:val="none"/>
              </w:rPr>
              <w:lastRenderedPageBreak/>
              <w:t>use a hormonal contraceptive.</w:t>
            </w:r>
          </w:p>
        </w:tc>
        <w:tc>
          <w:tcPr>
            <w:tcW w:w="533" w:type="pct"/>
            <w:tcBorders>
              <w:top w:val="nil"/>
              <w:left w:val="nil"/>
              <w:bottom w:val="single" w:sz="4" w:space="0" w:color="auto"/>
              <w:right w:val="single" w:sz="4" w:space="0" w:color="auto"/>
            </w:tcBorders>
            <w:shd w:val="clear" w:color="000000" w:fill="FFFFFF"/>
            <w:vAlign w:val="center"/>
            <w:hideMark/>
          </w:tcPr>
          <w:p w14:paraId="125962E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Drospirenone-only pill (DOP) 4 mg, administered in a 24 active/4 placebo regimen. </w:t>
            </w:r>
          </w:p>
        </w:tc>
        <w:tc>
          <w:tcPr>
            <w:tcW w:w="346" w:type="pct"/>
            <w:tcBorders>
              <w:top w:val="nil"/>
              <w:left w:val="nil"/>
              <w:bottom w:val="single" w:sz="4" w:space="0" w:color="auto"/>
              <w:right w:val="single" w:sz="4" w:space="0" w:color="auto"/>
            </w:tcBorders>
            <w:shd w:val="clear" w:color="000000" w:fill="FFFFFF"/>
            <w:vAlign w:val="center"/>
            <w:hideMark/>
          </w:tcPr>
          <w:p w14:paraId="0A34105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Participants were followed for 24 weeks postpartum, with assessments at childbirth preparation (T0</w:t>
            </w:r>
            <w:r w:rsidRPr="006E1C09">
              <w:rPr>
                <w:rFonts w:ascii="Times New Roman" w:eastAsia="Times New Roman" w:hAnsi="Times New Roman" w:cs="Times New Roman"/>
                <w:kern w:val="0"/>
                <w:sz w:val="24"/>
                <w:szCs w:val="24"/>
                <w:lang w:val="en-CA" w:eastAsia="en-CA"/>
                <w14:ligatures w14:val="none"/>
              </w:rPr>
              <w:lastRenderedPageBreak/>
              <w:t xml:space="preserve">), and at 2 (T1), 12 (T2), and 24 (T3) weeks postpartum. </w:t>
            </w:r>
          </w:p>
        </w:tc>
        <w:tc>
          <w:tcPr>
            <w:tcW w:w="484" w:type="pct"/>
            <w:tcBorders>
              <w:top w:val="nil"/>
              <w:left w:val="nil"/>
              <w:bottom w:val="single" w:sz="4" w:space="0" w:color="auto"/>
              <w:right w:val="single" w:sz="4" w:space="0" w:color="auto"/>
            </w:tcBorders>
            <w:shd w:val="clear" w:color="000000" w:fill="FFFFFF"/>
            <w:vAlign w:val="center"/>
            <w:hideMark/>
          </w:tcPr>
          <w:p w14:paraId="0A63739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Women using DOP (Depot Medroxyprogesterone Acetate) showed a more significant reduction in Edinburgh Postnatal Depression Scale (EPDS) scores over time</w:t>
            </w:r>
          </w:p>
        </w:tc>
        <w:tc>
          <w:tcPr>
            <w:tcW w:w="372" w:type="pct"/>
            <w:tcBorders>
              <w:top w:val="nil"/>
              <w:left w:val="nil"/>
              <w:bottom w:val="single" w:sz="4" w:space="0" w:color="auto"/>
              <w:right w:val="single" w:sz="4" w:space="0" w:color="auto"/>
            </w:tcBorders>
            <w:shd w:val="clear" w:color="000000" w:fill="FFFFFF"/>
            <w:vAlign w:val="center"/>
            <w:hideMark/>
          </w:tcPr>
          <w:p w14:paraId="2456DC46"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334D308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The depression score was assessed by the self-administrated Edinburgh Postnatal Depression Scale (EPDS).</w:t>
            </w:r>
          </w:p>
        </w:tc>
        <w:tc>
          <w:tcPr>
            <w:tcW w:w="423" w:type="pct"/>
            <w:tcBorders>
              <w:top w:val="nil"/>
              <w:left w:val="nil"/>
              <w:bottom w:val="single" w:sz="4" w:space="0" w:color="auto"/>
              <w:right w:val="single" w:sz="4" w:space="0" w:color="auto"/>
            </w:tcBorders>
            <w:shd w:val="clear" w:color="000000" w:fill="FFFFFF"/>
            <w:hideMark/>
          </w:tcPr>
          <w:p w14:paraId="334BE01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Adverse pregnancy outcomes, pre and during pregnancy of depression symptoms and/or psychotropic medication usage, were </w:t>
            </w:r>
            <w:r w:rsidRPr="006E1C09">
              <w:rPr>
                <w:rFonts w:ascii="Times New Roman" w:eastAsia="Times New Roman" w:hAnsi="Times New Roman" w:cs="Times New Roman"/>
                <w:kern w:val="0"/>
                <w:sz w:val="24"/>
                <w:szCs w:val="24"/>
                <w:lang w:val="en-CA" w:eastAsia="en-CA"/>
                <w14:ligatures w14:val="none"/>
              </w:rPr>
              <w:lastRenderedPageBreak/>
              <w:t>among the exclusion criteria</w:t>
            </w:r>
          </w:p>
        </w:tc>
        <w:tc>
          <w:tcPr>
            <w:tcW w:w="538" w:type="pct"/>
            <w:tcBorders>
              <w:top w:val="single" w:sz="4" w:space="0" w:color="auto"/>
              <w:left w:val="nil"/>
              <w:bottom w:val="single" w:sz="4" w:space="0" w:color="auto"/>
              <w:right w:val="single" w:sz="4" w:space="0" w:color="auto"/>
            </w:tcBorders>
            <w:shd w:val="clear" w:color="000000" w:fill="FFFFFF"/>
            <w:hideMark/>
          </w:tcPr>
          <w:p w14:paraId="00DFE66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More evident reduction of the EPDS score in the women who were on DOP than in the control group</w:t>
            </w:r>
            <w:r w:rsidRPr="006E1C09">
              <w:rPr>
                <w:rFonts w:ascii="Times New Roman" w:eastAsia="Times New Roman" w:hAnsi="Times New Roman" w:cs="Times New Roman"/>
                <w:kern w:val="0"/>
                <w:sz w:val="24"/>
                <w:szCs w:val="24"/>
                <w:lang w:val="en-CA" w:eastAsia="en-CA"/>
                <w14:ligatures w14:val="none"/>
              </w:rPr>
              <w:br/>
              <w:t xml:space="preserve">• From T0 to T1 an increase in the scores was observed in both </w:t>
            </w:r>
            <w:r w:rsidRPr="006E1C09">
              <w:rPr>
                <w:rFonts w:ascii="Times New Roman" w:eastAsia="Times New Roman" w:hAnsi="Times New Roman" w:cs="Times New Roman"/>
                <w:kern w:val="0"/>
                <w:sz w:val="24"/>
                <w:szCs w:val="24"/>
                <w:lang w:val="en-CA" w:eastAsia="en-CA"/>
                <w14:ligatures w14:val="none"/>
              </w:rPr>
              <w:lastRenderedPageBreak/>
              <w:t xml:space="preserve">groups; particularly, in the study group from 9.2 ± 2.5 to 10.1 ± 2.4 (p = 0.02), and in the control group from 8.7 ± 2.7 to 10.3 ± 2.2 (p &lt; 0.001). At the T2 follow-up, the EPDS score reduction was statistically significant in the study group (p &lt; 0.001) but </w:t>
            </w:r>
            <w:r w:rsidRPr="006E1C09">
              <w:rPr>
                <w:rFonts w:ascii="Times New Roman" w:eastAsia="Times New Roman" w:hAnsi="Times New Roman" w:cs="Times New Roman"/>
                <w:kern w:val="0"/>
                <w:sz w:val="24"/>
                <w:szCs w:val="24"/>
                <w:lang w:val="en-CA" w:eastAsia="en-CA"/>
                <w14:ligatures w14:val="none"/>
              </w:rPr>
              <w:lastRenderedPageBreak/>
              <w:t>not in the control group (p = 0.16). Similarly, at the T3 follow-up, the score was statistically reduced in the study (p &lt; 0.01), but not in the control group (p = 0.35).</w:t>
            </w:r>
            <w:r w:rsidRPr="006E1C09">
              <w:rPr>
                <w:rFonts w:ascii="Times New Roman" w:eastAsia="Times New Roman" w:hAnsi="Times New Roman" w:cs="Times New Roman"/>
                <w:kern w:val="0"/>
                <w:sz w:val="24"/>
                <w:szCs w:val="24"/>
                <w:lang w:val="en-CA" w:eastAsia="en-CA"/>
                <w14:ligatures w14:val="none"/>
              </w:rPr>
              <w:br/>
              <w:t xml:space="preserve">• Intergroup statistical analysis at each follow-up. At T0 (p = 0.19) and at T1 (p </w:t>
            </w:r>
            <w:r w:rsidRPr="006E1C09">
              <w:rPr>
                <w:rFonts w:ascii="Times New Roman" w:eastAsia="Times New Roman" w:hAnsi="Times New Roman" w:cs="Times New Roman"/>
                <w:kern w:val="0"/>
                <w:sz w:val="24"/>
                <w:szCs w:val="24"/>
                <w:lang w:val="en-CA" w:eastAsia="en-CA"/>
                <w14:ligatures w14:val="none"/>
              </w:rPr>
              <w:lastRenderedPageBreak/>
              <w:t>= 0.55), there were no differences between groups. Instead, they were statistically significant at T2 and T3 (p &lt; 0.001)</w:t>
            </w:r>
            <w:r w:rsidRPr="006E1C09">
              <w:rPr>
                <w:rFonts w:ascii="Times New Roman" w:eastAsia="Times New Roman" w:hAnsi="Times New Roman" w:cs="Times New Roman"/>
                <w:kern w:val="0"/>
                <w:sz w:val="24"/>
                <w:szCs w:val="24"/>
                <w:lang w:val="en-CA" w:eastAsia="en-CA"/>
                <w14:ligatures w14:val="none"/>
              </w:rPr>
              <w:br/>
              <w:t xml:space="preserve">• We observed that the social status of a single, and low educational level may be associated with increased levels </w:t>
            </w:r>
            <w:r w:rsidRPr="006E1C09">
              <w:rPr>
                <w:rFonts w:ascii="Times New Roman" w:eastAsia="Times New Roman" w:hAnsi="Times New Roman" w:cs="Times New Roman"/>
                <w:kern w:val="0"/>
                <w:sz w:val="24"/>
                <w:szCs w:val="24"/>
                <w:lang w:val="en-CA" w:eastAsia="en-CA"/>
                <w14:ligatures w14:val="none"/>
              </w:rPr>
              <w:lastRenderedPageBreak/>
              <w:t>of postpartum mood disorders</w:t>
            </w:r>
          </w:p>
        </w:tc>
      </w:tr>
      <w:tr w:rsidR="006E1C09" w:rsidRPr="00F87E76" w14:paraId="5A130B2E" w14:textId="77777777" w:rsidTr="006E1C09">
        <w:trPr>
          <w:trHeight w:val="567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2286AAC9"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Larsen et al., 2023</w:t>
            </w:r>
          </w:p>
        </w:tc>
        <w:tc>
          <w:tcPr>
            <w:tcW w:w="298" w:type="pct"/>
            <w:tcBorders>
              <w:top w:val="nil"/>
              <w:left w:val="nil"/>
              <w:bottom w:val="single" w:sz="4" w:space="0" w:color="auto"/>
              <w:right w:val="single" w:sz="4" w:space="0" w:color="auto"/>
            </w:tcBorders>
            <w:shd w:val="clear" w:color="000000" w:fill="FFFFFF"/>
            <w:vAlign w:val="center"/>
            <w:hideMark/>
          </w:tcPr>
          <w:p w14:paraId="23529CC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188 648 women ranging from 18–39 years</w:t>
            </w:r>
          </w:p>
        </w:tc>
        <w:tc>
          <w:tcPr>
            <w:tcW w:w="576" w:type="pct"/>
            <w:tcBorders>
              <w:top w:val="nil"/>
              <w:left w:val="nil"/>
              <w:bottom w:val="single" w:sz="4" w:space="0" w:color="auto"/>
              <w:right w:val="single" w:sz="4" w:space="0" w:color="auto"/>
            </w:tcBorders>
            <w:shd w:val="clear" w:color="000000" w:fill="FFFFFF"/>
            <w:vAlign w:val="center"/>
            <w:hideMark/>
          </w:tcPr>
          <w:p w14:paraId="33553F8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Population-based cohort study based on health care data from Danish national registers.</w:t>
            </w:r>
          </w:p>
        </w:tc>
        <w:tc>
          <w:tcPr>
            <w:tcW w:w="487" w:type="pct"/>
            <w:tcBorders>
              <w:top w:val="nil"/>
              <w:left w:val="nil"/>
              <w:bottom w:val="single" w:sz="4" w:space="0" w:color="auto"/>
              <w:right w:val="single" w:sz="4" w:space="0" w:color="auto"/>
            </w:tcBorders>
            <w:shd w:val="clear" w:color="000000" w:fill="FFFFFF"/>
            <w:hideMark/>
          </w:tcPr>
          <w:p w14:paraId="68729C8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evaluate the existence of a subgroup of women who are prone to develop depressive episodes across hormonal transitions, including transitions induced by exogenous hormoneexposure </w:t>
            </w:r>
            <w:r w:rsidRPr="006E1C09">
              <w:rPr>
                <w:rFonts w:ascii="Times New Roman" w:eastAsia="Times New Roman" w:hAnsi="Times New Roman" w:cs="Times New Roman"/>
                <w:kern w:val="0"/>
                <w:sz w:val="24"/>
                <w:szCs w:val="24"/>
                <w:lang w:val="en-CA" w:eastAsia="en-CA"/>
                <w14:ligatures w14:val="none"/>
              </w:rPr>
              <w:lastRenderedPageBreak/>
              <w:t>interms of HC. Whether such depressive episodes are associated with one another across a woman’s reproductive life span; specifically, whether a history of a depressive episode associated with initiation of HC poses a highe</w:t>
            </w:r>
            <w:r w:rsidRPr="006E1C09">
              <w:rPr>
                <w:rFonts w:ascii="Times New Roman" w:eastAsia="Times New Roman" w:hAnsi="Times New Roman" w:cs="Times New Roman"/>
                <w:kern w:val="0"/>
                <w:sz w:val="24"/>
                <w:szCs w:val="24"/>
                <w:lang w:val="en-CA" w:eastAsia="en-CA"/>
                <w14:ligatures w14:val="none"/>
              </w:rPr>
              <w:lastRenderedPageBreak/>
              <w:t>r risk for later PPD compared with a history of depression not associated with HC initiation</w:t>
            </w:r>
          </w:p>
        </w:tc>
        <w:tc>
          <w:tcPr>
            <w:tcW w:w="533" w:type="pct"/>
            <w:tcBorders>
              <w:top w:val="nil"/>
              <w:left w:val="nil"/>
              <w:bottom w:val="single" w:sz="4" w:space="0" w:color="auto"/>
              <w:right w:val="single" w:sz="4" w:space="0" w:color="auto"/>
            </w:tcBorders>
            <w:shd w:val="clear" w:color="000000" w:fill="FFFFFF"/>
            <w:vAlign w:val="center"/>
            <w:hideMark/>
          </w:tcPr>
          <w:p w14:paraId="0FEAF87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Combined oral contraceptives, progestin-only pills, and other hormonal methods</w:t>
            </w:r>
          </w:p>
        </w:tc>
        <w:tc>
          <w:tcPr>
            <w:tcW w:w="346" w:type="pct"/>
            <w:tcBorders>
              <w:top w:val="nil"/>
              <w:left w:val="nil"/>
              <w:bottom w:val="single" w:sz="4" w:space="0" w:color="auto"/>
              <w:right w:val="single" w:sz="4" w:space="0" w:color="auto"/>
            </w:tcBorders>
            <w:shd w:val="clear" w:color="000000" w:fill="FFFFFF"/>
            <w:vAlign w:val="center"/>
            <w:hideMark/>
          </w:tcPr>
          <w:p w14:paraId="444B99B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Data collected from January 1, 1995, through December 31, 2017</w:t>
            </w:r>
          </w:p>
        </w:tc>
        <w:tc>
          <w:tcPr>
            <w:tcW w:w="484" w:type="pct"/>
            <w:tcBorders>
              <w:top w:val="nil"/>
              <w:left w:val="nil"/>
              <w:bottom w:val="single" w:sz="4" w:space="0" w:color="auto"/>
              <w:right w:val="single" w:sz="4" w:space="0" w:color="auto"/>
            </w:tcBorders>
            <w:shd w:val="clear" w:color="000000" w:fill="FFFFFF"/>
            <w:vAlign w:val="center"/>
            <w:hideMark/>
          </w:tcPr>
          <w:p w14:paraId="235403A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HC-associated depression had more frequent depressive episodes and a significantly increased risk of PPD</w:t>
            </w:r>
          </w:p>
        </w:tc>
        <w:tc>
          <w:tcPr>
            <w:tcW w:w="372" w:type="pct"/>
            <w:tcBorders>
              <w:top w:val="nil"/>
              <w:left w:val="nil"/>
              <w:bottom w:val="single" w:sz="4" w:space="0" w:color="auto"/>
              <w:right w:val="single" w:sz="4" w:space="0" w:color="auto"/>
            </w:tcBorders>
            <w:shd w:val="clear" w:color="000000" w:fill="FFFFFF"/>
            <w:vAlign w:val="center"/>
            <w:hideMark/>
          </w:tcPr>
          <w:p w14:paraId="691DDEA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39F3D8E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None mentioned. Prior depression associated with initiation of HC defined as a depressive episode that developed within 6 months after the start of HC exposure. A depressive episode was defined as filling a prescription of </w:t>
            </w:r>
            <w:r w:rsidRPr="006E1C09">
              <w:rPr>
                <w:rFonts w:ascii="Times New Roman" w:eastAsia="Times New Roman" w:hAnsi="Times New Roman" w:cs="Times New Roman"/>
                <w:kern w:val="0"/>
                <w:sz w:val="24"/>
                <w:szCs w:val="24"/>
                <w:lang w:val="en-CA" w:eastAsia="en-CA"/>
                <w14:ligatures w14:val="none"/>
              </w:rPr>
              <w:t xml:space="preserve">antidepressant medication or obtaining a depression discharge diagnosis from an inpatient or outpatient psychiatric clinic with the admission day. PPD was defined as filling a prescription for antidepressant medication or obtaining a hospital discharge diagnosis of </w:t>
            </w:r>
            <w:r w:rsidRPr="006E1C09">
              <w:rPr>
                <w:rFonts w:ascii="Times New Roman" w:eastAsia="Times New Roman" w:hAnsi="Times New Roman" w:cs="Times New Roman"/>
                <w:kern w:val="0"/>
                <w:sz w:val="24"/>
                <w:szCs w:val="24"/>
                <w:lang w:val="en-CA" w:eastAsia="en-CA"/>
                <w14:ligatures w14:val="none"/>
              </w:rPr>
              <w:lastRenderedPageBreak/>
              <w:t>depression within 6 months after first childbirth.</w:t>
            </w:r>
          </w:p>
        </w:tc>
        <w:tc>
          <w:tcPr>
            <w:tcW w:w="423" w:type="pct"/>
            <w:tcBorders>
              <w:top w:val="nil"/>
              <w:left w:val="nil"/>
              <w:bottom w:val="single" w:sz="4" w:space="0" w:color="auto"/>
              <w:right w:val="single" w:sz="4" w:space="0" w:color="auto"/>
            </w:tcBorders>
            <w:shd w:val="clear" w:color="000000" w:fill="FFFFFF"/>
            <w:vAlign w:val="center"/>
            <w:hideMark/>
          </w:tcPr>
          <w:p w14:paraId="5AD5ECA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Women excluded if they had a depressive episode before 1996 or within 12 months prior to delivery. Other unspecified major psychiatric disorder (n = </w:t>
            </w:r>
            <w:r w:rsidRPr="006E1C09">
              <w:rPr>
                <w:rFonts w:ascii="Times New Roman" w:eastAsia="Times New Roman" w:hAnsi="Times New Roman" w:cs="Times New Roman"/>
                <w:kern w:val="0"/>
                <w:sz w:val="24"/>
                <w:szCs w:val="24"/>
                <w:lang w:val="en-CA" w:eastAsia="en-CA"/>
                <w14:ligatures w14:val="none"/>
              </w:rPr>
              <w:t>5 908)</w:t>
            </w:r>
          </w:p>
        </w:tc>
        <w:tc>
          <w:tcPr>
            <w:tcW w:w="538" w:type="pct"/>
            <w:tcBorders>
              <w:top w:val="single" w:sz="4" w:space="0" w:color="auto"/>
              <w:left w:val="nil"/>
              <w:bottom w:val="single" w:sz="4" w:space="0" w:color="auto"/>
              <w:right w:val="single" w:sz="4" w:space="0" w:color="auto"/>
            </w:tcBorders>
            <w:shd w:val="clear" w:color="000000" w:fill="FFFFFF"/>
            <w:hideMark/>
          </w:tcPr>
          <w:p w14:paraId="5BE422A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Women with a history of depression associated with HC initiation had a higher risk of developing a depressive episode during pregnancy and after childbirth compared with women with a history of depres</w:t>
            </w:r>
            <w:r w:rsidRPr="006E1C09">
              <w:rPr>
                <w:rFonts w:ascii="Times New Roman" w:eastAsia="Times New Roman" w:hAnsi="Times New Roman" w:cs="Times New Roman"/>
                <w:kern w:val="0"/>
                <w:sz w:val="24"/>
                <w:szCs w:val="24"/>
                <w:lang w:val="en-CA" w:eastAsia="en-CA"/>
                <w14:ligatures w14:val="none"/>
              </w:rPr>
              <w:lastRenderedPageBreak/>
              <w:t>sion not associated with HC initiation.</w:t>
            </w:r>
            <w:r w:rsidRPr="006E1C09">
              <w:rPr>
                <w:rFonts w:ascii="Times New Roman" w:eastAsia="Times New Roman" w:hAnsi="Times New Roman" w:cs="Times New Roman"/>
                <w:kern w:val="0"/>
                <w:sz w:val="24"/>
                <w:szCs w:val="24"/>
                <w:lang w:val="en-CA" w:eastAsia="en-CA"/>
                <w14:ligatures w14:val="none"/>
              </w:rPr>
              <w:br/>
              <w:t>• Depression associated with HC use can indicate postpartum depression susceptibility</w:t>
            </w:r>
            <w:r w:rsidRPr="006E1C09">
              <w:rPr>
                <w:rFonts w:ascii="Times New Roman" w:eastAsia="Times New Roman" w:hAnsi="Times New Roman" w:cs="Times New Roman"/>
                <w:kern w:val="0"/>
                <w:sz w:val="24"/>
                <w:szCs w:val="24"/>
                <w:lang w:val="en-CA" w:eastAsia="en-CA"/>
                <w14:ligatures w14:val="none"/>
              </w:rPr>
              <w:br/>
              <w:t xml:space="preserve">• New evidence for an association between depressive episodes across hormonal transitions in the reproductive </w:t>
            </w:r>
            <w:r w:rsidRPr="006E1C09">
              <w:rPr>
                <w:rFonts w:ascii="Times New Roman" w:eastAsia="Times New Roman" w:hAnsi="Times New Roman" w:cs="Times New Roman"/>
                <w:kern w:val="0"/>
                <w:sz w:val="24"/>
                <w:szCs w:val="24"/>
                <w:lang w:val="en-CA" w:eastAsia="en-CA"/>
                <w14:ligatures w14:val="none"/>
              </w:rPr>
              <w:lastRenderedPageBreak/>
              <w:t>life span, supporting the existence of a hormone- sensitive subgroup of women</w:t>
            </w:r>
            <w:r w:rsidRPr="006E1C09">
              <w:rPr>
                <w:rFonts w:ascii="Times New Roman" w:eastAsia="Times New Roman" w:hAnsi="Times New Roman" w:cs="Times New Roman"/>
                <w:kern w:val="0"/>
                <w:sz w:val="24"/>
                <w:szCs w:val="24"/>
                <w:lang w:val="en-CA" w:eastAsia="en-CA"/>
                <w14:ligatures w14:val="none"/>
              </w:rPr>
              <w:br/>
              <w:t>• Association between PPD and the retrospective reporting of experienced mood deterioration associated with HC use.</w:t>
            </w:r>
            <w:r w:rsidRPr="006E1C09">
              <w:rPr>
                <w:rFonts w:ascii="Times New Roman" w:eastAsia="Times New Roman" w:hAnsi="Times New Roman" w:cs="Times New Roman"/>
                <w:kern w:val="0"/>
                <w:sz w:val="24"/>
                <w:szCs w:val="24"/>
                <w:lang w:val="en-CA" w:eastAsia="en-CA"/>
                <w14:ligatures w14:val="none"/>
              </w:rPr>
              <w:br/>
              <w:t xml:space="preserve">• Both the pregnancy (ie, during </w:t>
            </w:r>
            <w:r w:rsidRPr="006E1C09">
              <w:rPr>
                <w:rFonts w:ascii="Times New Roman" w:eastAsia="Times New Roman" w:hAnsi="Times New Roman" w:cs="Times New Roman"/>
                <w:kern w:val="0"/>
                <w:sz w:val="24"/>
                <w:szCs w:val="24"/>
                <w:lang w:val="en-CA" w:eastAsia="en-CA"/>
                <w14:ligatures w14:val="none"/>
              </w:rPr>
              <w:lastRenderedPageBreak/>
              <w:t>high hormone levels) and postnatal (ie, during abrupt hormone decline) states contribute to the mechanisms by which depression emerges in women who may be sensitive to HC exposure</w:t>
            </w:r>
            <w:r w:rsidRPr="006E1C09">
              <w:rPr>
                <w:rFonts w:ascii="Times New Roman" w:eastAsia="Times New Roman" w:hAnsi="Times New Roman" w:cs="Times New Roman"/>
                <w:kern w:val="0"/>
                <w:sz w:val="24"/>
                <w:szCs w:val="24"/>
                <w:lang w:val="en-CA" w:eastAsia="en-CA"/>
                <w14:ligatures w14:val="none"/>
              </w:rPr>
              <w:br/>
              <w:t xml:space="preserve">• 2 457 developed PPD, corresponding to an incidence rate of </w:t>
            </w:r>
            <w:r w:rsidRPr="006E1C09">
              <w:rPr>
                <w:rFonts w:ascii="Times New Roman" w:eastAsia="Times New Roman" w:hAnsi="Times New Roman" w:cs="Times New Roman"/>
                <w:kern w:val="0"/>
                <w:sz w:val="24"/>
                <w:szCs w:val="24"/>
                <w:lang w:val="en-CA" w:eastAsia="en-CA"/>
                <w14:ligatures w14:val="none"/>
              </w:rPr>
              <w:lastRenderedPageBreak/>
              <w:t>1.3%.</w:t>
            </w:r>
            <w:r w:rsidRPr="006E1C09">
              <w:rPr>
                <w:rFonts w:ascii="Times New Roman" w:eastAsia="Times New Roman" w:hAnsi="Times New Roman" w:cs="Times New Roman"/>
                <w:kern w:val="0"/>
                <w:sz w:val="24"/>
                <w:szCs w:val="24"/>
                <w:lang w:val="en-CA" w:eastAsia="en-CA"/>
                <w14:ligatures w14:val="none"/>
              </w:rPr>
              <w:br/>
              <w:t>• Women with HC associated depression had more depressive episodes than women with non–HC-associated depression, with 63.4% vs 38.6% having had more than 1 episode, respectively</w:t>
            </w:r>
            <w:r w:rsidRPr="006E1C09">
              <w:rPr>
                <w:rFonts w:ascii="Times New Roman" w:eastAsia="Times New Roman" w:hAnsi="Times New Roman" w:cs="Times New Roman"/>
                <w:kern w:val="0"/>
                <w:sz w:val="24"/>
                <w:szCs w:val="24"/>
                <w:lang w:val="en-CA" w:eastAsia="en-CA"/>
                <w14:ligatures w14:val="none"/>
              </w:rPr>
              <w:br/>
              <w:t xml:space="preserve">• Women with a history of HC-associated </w:t>
            </w:r>
            <w:r w:rsidRPr="006E1C09">
              <w:rPr>
                <w:rFonts w:ascii="Times New Roman" w:eastAsia="Times New Roman" w:hAnsi="Times New Roman" w:cs="Times New Roman"/>
                <w:kern w:val="0"/>
                <w:sz w:val="24"/>
                <w:szCs w:val="24"/>
                <w:lang w:val="en-CA" w:eastAsia="en-CA"/>
                <w14:ligatures w14:val="none"/>
              </w:rPr>
              <w:lastRenderedPageBreak/>
              <w:t>depression had a higher risk of PPD than women with a history of non–HC associated depression, with a crude OR of 1.42 (95% CI, 1.24-1.64) and an adjusted OR of 1.35 (95% CI, 1.17-1.56).</w:t>
            </w:r>
            <w:r w:rsidRPr="006E1C09">
              <w:rPr>
                <w:rFonts w:ascii="Times New Roman" w:eastAsia="Times New Roman" w:hAnsi="Times New Roman" w:cs="Times New Roman"/>
                <w:kern w:val="0"/>
                <w:sz w:val="24"/>
                <w:szCs w:val="24"/>
                <w:lang w:val="en-CA" w:eastAsia="en-CA"/>
                <w14:ligatures w14:val="none"/>
              </w:rPr>
              <w:br/>
              <w:t>• When exposure was classified based on wome</w:t>
            </w:r>
            <w:r w:rsidRPr="006E1C09">
              <w:rPr>
                <w:rFonts w:ascii="Times New Roman" w:eastAsia="Times New Roman" w:hAnsi="Times New Roman" w:cs="Times New Roman"/>
                <w:kern w:val="0"/>
                <w:sz w:val="24"/>
                <w:szCs w:val="24"/>
                <w:lang w:val="en-CA" w:eastAsia="en-CA"/>
                <w14:ligatures w14:val="none"/>
              </w:rPr>
              <w:lastRenderedPageBreak/>
              <w:t>n’s first depressive episode, 3792 (2.0%) and 20 361 (10.8%) women were classified as having a history of HC-associated vs non–HC associated depression</w:t>
            </w:r>
            <w:r w:rsidRPr="006E1C09">
              <w:rPr>
                <w:rFonts w:ascii="Times New Roman" w:eastAsia="Times New Roman" w:hAnsi="Times New Roman" w:cs="Times New Roman"/>
                <w:kern w:val="0"/>
                <w:sz w:val="24"/>
                <w:szCs w:val="24"/>
                <w:lang w:val="en-CA" w:eastAsia="en-CA"/>
                <w14:ligatures w14:val="none"/>
              </w:rPr>
              <w:br/>
              <w:t xml:space="preserve">• When the 90-day and 180-day treatment-free intervals were </w:t>
            </w:r>
            <w:r w:rsidRPr="006E1C09">
              <w:rPr>
                <w:rFonts w:ascii="Times New Roman" w:eastAsia="Times New Roman" w:hAnsi="Times New Roman" w:cs="Times New Roman"/>
                <w:kern w:val="0"/>
                <w:sz w:val="24"/>
                <w:szCs w:val="24"/>
                <w:lang w:val="en-CA" w:eastAsia="en-CA"/>
                <w14:ligatures w14:val="none"/>
              </w:rPr>
              <w:lastRenderedPageBreak/>
              <w:t>used to distinguish depressive episodes, the proportions of women with more than 1 depressive episode were 27.6% vs 49.7% and 22.1% vs 41.3% in those with prior non–HC-associated vs HC-associated depression, respectively</w:t>
            </w:r>
            <w:r w:rsidRPr="006E1C09">
              <w:rPr>
                <w:rFonts w:ascii="Times New Roman" w:eastAsia="Times New Roman" w:hAnsi="Times New Roman" w:cs="Times New Roman"/>
                <w:kern w:val="0"/>
                <w:sz w:val="24"/>
                <w:szCs w:val="24"/>
                <w:lang w:val="en-CA" w:eastAsia="en-CA"/>
                <w14:ligatures w14:val="none"/>
              </w:rPr>
              <w:br/>
              <w:t xml:space="preserve">• The adjusted OR </w:t>
            </w:r>
            <w:r w:rsidRPr="006E1C09">
              <w:rPr>
                <w:rFonts w:ascii="Times New Roman" w:eastAsia="Times New Roman" w:hAnsi="Times New Roman" w:cs="Times New Roman"/>
                <w:kern w:val="0"/>
                <w:sz w:val="24"/>
                <w:szCs w:val="24"/>
                <w:lang w:val="en-CA" w:eastAsia="en-CA"/>
                <w14:ligatures w14:val="none"/>
              </w:rPr>
              <w:lastRenderedPageBreak/>
              <w:t>for developing PPD was 1.19 (95% CI, 1.00-1.40) and for perinatal depression, 1.18 (95%CI, 1.01-1.38)</w:t>
            </w:r>
          </w:p>
        </w:tc>
      </w:tr>
      <w:tr w:rsidR="006E1C09" w:rsidRPr="00F87E76" w14:paraId="78CD5A12" w14:textId="77777777" w:rsidTr="006E1C09">
        <w:trPr>
          <w:trHeight w:val="441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27A0D6BA"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Déa et al., 2024</w:t>
            </w:r>
          </w:p>
        </w:tc>
        <w:tc>
          <w:tcPr>
            <w:tcW w:w="298" w:type="pct"/>
            <w:tcBorders>
              <w:top w:val="nil"/>
              <w:left w:val="nil"/>
              <w:bottom w:val="single" w:sz="4" w:space="0" w:color="auto"/>
              <w:right w:val="single" w:sz="4" w:space="0" w:color="auto"/>
            </w:tcBorders>
            <w:shd w:val="clear" w:color="000000" w:fill="FFFFFF"/>
            <w:vAlign w:val="center"/>
            <w:hideMark/>
          </w:tcPr>
          <w:p w14:paraId="605A707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315 women ranging from 18-45 years</w:t>
            </w:r>
          </w:p>
        </w:tc>
        <w:tc>
          <w:tcPr>
            <w:tcW w:w="576" w:type="pct"/>
            <w:tcBorders>
              <w:top w:val="nil"/>
              <w:left w:val="nil"/>
              <w:bottom w:val="single" w:sz="4" w:space="0" w:color="auto"/>
              <w:right w:val="single" w:sz="4" w:space="0" w:color="auto"/>
            </w:tcBorders>
            <w:shd w:val="clear" w:color="000000" w:fill="FFFFFF"/>
            <w:vAlign w:val="center"/>
            <w:hideMark/>
          </w:tcPr>
          <w:p w14:paraId="089874D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w:t>
            </w:r>
          </w:p>
        </w:tc>
        <w:tc>
          <w:tcPr>
            <w:tcW w:w="487" w:type="pct"/>
            <w:tcBorders>
              <w:top w:val="nil"/>
              <w:left w:val="nil"/>
              <w:bottom w:val="single" w:sz="4" w:space="0" w:color="auto"/>
              <w:right w:val="single" w:sz="4" w:space="0" w:color="auto"/>
            </w:tcBorders>
            <w:shd w:val="clear" w:color="000000" w:fill="FFFFFF"/>
            <w:vAlign w:val="bottom"/>
            <w:hideMark/>
          </w:tcPr>
          <w:p w14:paraId="5BC75B7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To compare the prevalence of dyspareunia, sexual function, sexual satisfaction, quality of life, anxiety, and </w:t>
            </w:r>
            <w:r w:rsidRPr="006E1C09">
              <w:rPr>
                <w:rFonts w:ascii="Times New Roman" w:eastAsia="Times New Roman" w:hAnsi="Times New Roman" w:cs="Times New Roman"/>
                <w:kern w:val="0"/>
                <w:sz w:val="24"/>
                <w:szCs w:val="24"/>
                <w:lang w:val="en-CA" w:eastAsia="en-CA"/>
                <w14:ligatures w14:val="none"/>
              </w:rPr>
              <w:lastRenderedPageBreak/>
              <w:t>depression between the three contraceptive groups.</w:t>
            </w:r>
            <w:r w:rsidRPr="006E1C09">
              <w:rPr>
                <w:rFonts w:ascii="Times New Roman" w:eastAsia="Times New Roman" w:hAnsi="Times New Roman" w:cs="Times New Roman"/>
                <w:kern w:val="0"/>
                <w:sz w:val="24"/>
                <w:szCs w:val="24"/>
                <w:lang w:val="en-CA" w:eastAsia="en-CA"/>
                <w14:ligatures w14:val="none"/>
              </w:rPr>
              <w:br/>
              <w:t>To compare sexual function, sexual satisfaction, anxiety, and depression among the most commonly used contraceptive methods: oral contraceptives (OC), barrie</w:t>
            </w:r>
            <w:r w:rsidRPr="006E1C09">
              <w:rPr>
                <w:rFonts w:ascii="Times New Roman" w:eastAsia="Times New Roman" w:hAnsi="Times New Roman" w:cs="Times New Roman"/>
                <w:kern w:val="0"/>
                <w:sz w:val="24"/>
                <w:szCs w:val="24"/>
                <w:lang w:val="en-CA" w:eastAsia="en-CA"/>
                <w14:ligatures w14:val="none"/>
              </w:rPr>
              <w:lastRenderedPageBreak/>
              <w:t>r methods (BM), copper IUD (c-IUD), and hormonal IUD (h-IUD)</w:t>
            </w:r>
          </w:p>
        </w:tc>
        <w:tc>
          <w:tcPr>
            <w:tcW w:w="533" w:type="pct"/>
            <w:tcBorders>
              <w:top w:val="nil"/>
              <w:left w:val="nil"/>
              <w:bottom w:val="single" w:sz="4" w:space="0" w:color="auto"/>
              <w:right w:val="single" w:sz="4" w:space="0" w:color="auto"/>
            </w:tcBorders>
            <w:shd w:val="clear" w:color="000000" w:fill="FFFFFF"/>
            <w:vAlign w:val="center"/>
            <w:hideMark/>
          </w:tcPr>
          <w:p w14:paraId="0A0D75CC"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Hormonal methods (HCMs): Oral contraceptives (OCs), hormonal injections, implants, vaginal rings, contraceptive patche</w:t>
            </w:r>
            <w:r w:rsidRPr="006E1C09">
              <w:rPr>
                <w:rFonts w:ascii="Times New Roman" w:eastAsia="Times New Roman" w:hAnsi="Times New Roman" w:cs="Times New Roman"/>
                <w:kern w:val="0"/>
                <w:sz w:val="24"/>
                <w:szCs w:val="24"/>
                <w:lang w:val="en-CA" w:eastAsia="en-CA"/>
                <w14:ligatures w14:val="none"/>
              </w:rPr>
              <w:t>s, hormonal IUDs (h-IUD).</w:t>
            </w:r>
            <w:r w:rsidRPr="006E1C09">
              <w:rPr>
                <w:rFonts w:ascii="Times New Roman" w:eastAsia="Times New Roman" w:hAnsi="Times New Roman" w:cs="Times New Roman"/>
                <w:kern w:val="0"/>
                <w:sz w:val="24"/>
                <w:szCs w:val="24"/>
                <w:lang w:val="en-CA" w:eastAsia="en-CA"/>
                <w14:ligatures w14:val="none"/>
              </w:rPr>
              <w:br/>
              <w:t>Non-hormonal methods (non-HCMs): Barrier methods (BMs) such as condoms, copper IUD (c-IUD), vasectomy, tubal ligation.</w:t>
            </w:r>
          </w:p>
        </w:tc>
        <w:tc>
          <w:tcPr>
            <w:tcW w:w="346" w:type="pct"/>
            <w:tcBorders>
              <w:top w:val="nil"/>
              <w:left w:val="nil"/>
              <w:bottom w:val="single" w:sz="4" w:space="0" w:color="auto"/>
              <w:right w:val="single" w:sz="4" w:space="0" w:color="auto"/>
            </w:tcBorders>
            <w:shd w:val="clear" w:color="000000" w:fill="FFFFFF"/>
            <w:vAlign w:val="center"/>
            <w:hideMark/>
          </w:tcPr>
          <w:p w14:paraId="416CCD1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1 year</w:t>
            </w:r>
          </w:p>
        </w:tc>
        <w:tc>
          <w:tcPr>
            <w:tcW w:w="484" w:type="pct"/>
            <w:tcBorders>
              <w:top w:val="nil"/>
              <w:left w:val="nil"/>
              <w:bottom w:val="single" w:sz="4" w:space="0" w:color="auto"/>
              <w:right w:val="single" w:sz="4" w:space="0" w:color="auto"/>
            </w:tcBorders>
            <w:shd w:val="clear" w:color="000000" w:fill="FFFFFF"/>
            <w:vAlign w:val="center"/>
            <w:hideMark/>
          </w:tcPr>
          <w:p w14:paraId="06054EE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using hormonal contraceptives (HCG group) reported higher levels of anxiety and depression compared to non-</w:t>
            </w:r>
            <w:r w:rsidRPr="006E1C09">
              <w:rPr>
                <w:rFonts w:ascii="Times New Roman" w:eastAsia="Times New Roman" w:hAnsi="Times New Roman" w:cs="Times New Roman"/>
                <w:kern w:val="0"/>
                <w:sz w:val="24"/>
                <w:szCs w:val="24"/>
                <w:lang w:val="en-CA" w:eastAsia="en-CA"/>
                <w14:ligatures w14:val="none"/>
              </w:rPr>
              <w:lastRenderedPageBreak/>
              <w:t>hormonal contraceptive users (n-HCG group)</w:t>
            </w:r>
          </w:p>
        </w:tc>
        <w:tc>
          <w:tcPr>
            <w:tcW w:w="372" w:type="pct"/>
            <w:tcBorders>
              <w:top w:val="nil"/>
              <w:left w:val="nil"/>
              <w:bottom w:val="single" w:sz="4" w:space="0" w:color="auto"/>
              <w:right w:val="single" w:sz="4" w:space="0" w:color="auto"/>
            </w:tcBorders>
            <w:shd w:val="clear" w:color="000000" w:fill="FFFFFF"/>
            <w:vAlign w:val="center"/>
            <w:hideMark/>
          </w:tcPr>
          <w:p w14:paraId="14B13323"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6D038E2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Anxiety and depression assessed by the Hospital Anxiety and Depression Scale (HADS). Sexual function was assessed using the Female Sexual Functio</w:t>
            </w:r>
            <w:r w:rsidRPr="006E1C09">
              <w:rPr>
                <w:rFonts w:ascii="Times New Roman" w:eastAsia="Times New Roman" w:hAnsi="Times New Roman" w:cs="Times New Roman"/>
                <w:kern w:val="0"/>
                <w:sz w:val="24"/>
                <w:szCs w:val="24"/>
                <w:lang w:val="en-CA" w:eastAsia="en-CA"/>
                <w14:ligatures w14:val="none"/>
              </w:rPr>
              <w:lastRenderedPageBreak/>
              <w:t>n Index (FSFI). Sexual satisfaction was assessed using the Sexual Quotient–Feminine version (SQ-F). The Medical Outcomes Study 12-item Short Form Health Survey (SF-12) was used for quality of life.</w:t>
            </w:r>
          </w:p>
        </w:tc>
        <w:tc>
          <w:tcPr>
            <w:tcW w:w="423" w:type="pct"/>
            <w:tcBorders>
              <w:top w:val="nil"/>
              <w:left w:val="nil"/>
              <w:bottom w:val="single" w:sz="4" w:space="0" w:color="auto"/>
              <w:right w:val="single" w:sz="4" w:space="0" w:color="auto"/>
            </w:tcBorders>
            <w:shd w:val="clear" w:color="000000" w:fill="FFFFFF"/>
            <w:noWrap/>
            <w:vAlign w:val="center"/>
            <w:hideMark/>
          </w:tcPr>
          <w:p w14:paraId="3C71FA4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7B9AB2E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Higher levels of anxiety (p=0,009) and depression (p=0,01) were reported in the HCG group compared to the n-HCG </w:t>
            </w:r>
            <w:r w:rsidRPr="006E1C09">
              <w:rPr>
                <w:rFonts w:ascii="Times New Roman" w:eastAsia="Times New Roman" w:hAnsi="Times New Roman" w:cs="Times New Roman"/>
                <w:kern w:val="0"/>
                <w:sz w:val="24"/>
                <w:szCs w:val="24"/>
                <w:lang w:val="en-CA" w:eastAsia="en-CA"/>
                <w14:ligatures w14:val="none"/>
              </w:rPr>
              <w:lastRenderedPageBreak/>
              <w:t>group.</w:t>
            </w:r>
            <w:r w:rsidRPr="006E1C09">
              <w:rPr>
                <w:rFonts w:ascii="Times New Roman" w:eastAsia="Times New Roman" w:hAnsi="Times New Roman" w:cs="Times New Roman"/>
                <w:kern w:val="0"/>
                <w:sz w:val="24"/>
                <w:szCs w:val="24"/>
                <w:lang w:val="en-CA" w:eastAsia="en-CA"/>
                <w14:ligatures w14:val="none"/>
              </w:rPr>
              <w:br/>
              <w:t>• OC and h-IUD users had higher anxiety levels than c-IUD et n-HCG users.</w:t>
            </w:r>
            <w:r w:rsidRPr="006E1C09">
              <w:rPr>
                <w:rFonts w:ascii="Times New Roman" w:eastAsia="Times New Roman" w:hAnsi="Times New Roman" w:cs="Times New Roman"/>
                <w:kern w:val="0"/>
                <w:sz w:val="24"/>
                <w:szCs w:val="24"/>
                <w:lang w:val="en-CA" w:eastAsia="en-CA"/>
                <w14:ligatures w14:val="none"/>
              </w:rPr>
              <w:br/>
              <w:t>• h-IUD users had higher depression levels than BM and c-IUD users</w:t>
            </w:r>
            <w:r w:rsidRPr="006E1C09">
              <w:rPr>
                <w:rFonts w:ascii="Times New Roman" w:eastAsia="Times New Roman" w:hAnsi="Times New Roman" w:cs="Times New Roman"/>
                <w:kern w:val="0"/>
                <w:sz w:val="24"/>
                <w:szCs w:val="24"/>
                <w:lang w:val="en-CA" w:eastAsia="en-CA"/>
                <w14:ligatures w14:val="none"/>
              </w:rPr>
              <w:br/>
              <w:t>• Women in the HCG had worse sexual function (p = 0,003) and satisfaction (p = 0,01), report</w:t>
            </w:r>
            <w:r w:rsidRPr="006E1C09">
              <w:rPr>
                <w:rFonts w:ascii="Times New Roman" w:eastAsia="Times New Roman" w:hAnsi="Times New Roman" w:cs="Times New Roman"/>
                <w:kern w:val="0"/>
                <w:sz w:val="24"/>
                <w:szCs w:val="24"/>
                <w:lang w:val="en-CA" w:eastAsia="en-CA"/>
                <w14:ligatures w14:val="none"/>
              </w:rPr>
              <w:lastRenderedPageBreak/>
              <w:t>ing higher pain levels (p = 0,01) and lower arousal (p &lt; 0,001) compared to those in the n-HCG group.</w:t>
            </w:r>
            <w:r w:rsidRPr="006E1C09">
              <w:rPr>
                <w:rFonts w:ascii="Times New Roman" w:eastAsia="Times New Roman" w:hAnsi="Times New Roman" w:cs="Times New Roman"/>
                <w:kern w:val="0"/>
                <w:sz w:val="24"/>
                <w:szCs w:val="24"/>
                <w:lang w:val="en-CA" w:eastAsia="en-CA"/>
                <w14:ligatures w14:val="none"/>
              </w:rPr>
              <w:br/>
              <w:t>• OC users had worse sexual function (p=0,02) and lower arousal than c-IUD users.</w:t>
            </w:r>
            <w:r w:rsidRPr="006E1C09">
              <w:rPr>
                <w:rFonts w:ascii="Times New Roman" w:eastAsia="Times New Roman" w:hAnsi="Times New Roman" w:cs="Times New Roman"/>
                <w:kern w:val="0"/>
                <w:sz w:val="24"/>
                <w:szCs w:val="24"/>
                <w:lang w:val="en-CA" w:eastAsia="en-CA"/>
                <w14:ligatures w14:val="none"/>
              </w:rPr>
              <w:br/>
              <w:t>• OC users had lower arousal than the BM and c-IUD users</w:t>
            </w:r>
            <w:r w:rsidRPr="006E1C09">
              <w:rPr>
                <w:rFonts w:ascii="Times New Roman" w:eastAsia="Times New Roman" w:hAnsi="Times New Roman" w:cs="Times New Roman"/>
                <w:kern w:val="0"/>
                <w:sz w:val="24"/>
                <w:szCs w:val="24"/>
                <w:lang w:val="en-CA" w:eastAsia="en-CA"/>
                <w14:ligatures w14:val="none"/>
              </w:rPr>
              <w:br/>
              <w:t>• c-</w:t>
            </w:r>
            <w:r w:rsidRPr="006E1C09">
              <w:rPr>
                <w:rFonts w:ascii="Times New Roman" w:eastAsia="Times New Roman" w:hAnsi="Times New Roman" w:cs="Times New Roman"/>
                <w:kern w:val="0"/>
                <w:sz w:val="24"/>
                <w:szCs w:val="24"/>
                <w:lang w:val="en-CA" w:eastAsia="en-CA"/>
                <w14:ligatures w14:val="none"/>
              </w:rPr>
              <w:lastRenderedPageBreak/>
              <w:t>IUD users had lower anxiety levels compared to OC (p=0,004) and h-IUD users (p=0.01).</w:t>
            </w:r>
            <w:r w:rsidRPr="006E1C09">
              <w:rPr>
                <w:rFonts w:ascii="Times New Roman" w:eastAsia="Times New Roman" w:hAnsi="Times New Roman" w:cs="Times New Roman"/>
                <w:kern w:val="0"/>
                <w:sz w:val="24"/>
                <w:szCs w:val="24"/>
                <w:lang w:val="en-CA" w:eastAsia="en-CA"/>
                <w14:ligatures w14:val="none"/>
              </w:rPr>
              <w:br/>
              <w:t>• h-IUD users had higher depression levels compared to BM (p=0,02) and c-IUD users (p=0,01)</w:t>
            </w:r>
          </w:p>
        </w:tc>
      </w:tr>
      <w:tr w:rsidR="006E1C09" w:rsidRPr="00F87E76" w14:paraId="570EC4C3"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90559F3"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Gawronska et al., 2024</w:t>
            </w:r>
          </w:p>
        </w:tc>
        <w:tc>
          <w:tcPr>
            <w:tcW w:w="298" w:type="pct"/>
            <w:tcBorders>
              <w:top w:val="nil"/>
              <w:left w:val="nil"/>
              <w:bottom w:val="single" w:sz="4" w:space="0" w:color="auto"/>
              <w:right w:val="single" w:sz="4" w:space="0" w:color="auto"/>
            </w:tcBorders>
            <w:shd w:val="clear" w:color="000000" w:fill="FFFFFF"/>
            <w:vAlign w:val="center"/>
            <w:hideMark/>
          </w:tcPr>
          <w:p w14:paraId="5D58B16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6 239 women ranging fro</w:t>
            </w:r>
            <w:r w:rsidRPr="006E1C09">
              <w:rPr>
                <w:rFonts w:ascii="Times New Roman" w:eastAsia="Times New Roman" w:hAnsi="Times New Roman" w:cs="Times New Roman"/>
                <w:kern w:val="0"/>
                <w:sz w:val="24"/>
                <w:szCs w:val="24"/>
                <w:lang w:val="en-CA" w:eastAsia="en-CA"/>
                <w14:ligatures w14:val="none"/>
              </w:rPr>
              <w:lastRenderedPageBreak/>
              <w:t>m 18–55 years</w:t>
            </w:r>
          </w:p>
        </w:tc>
        <w:tc>
          <w:tcPr>
            <w:tcW w:w="576" w:type="pct"/>
            <w:tcBorders>
              <w:top w:val="nil"/>
              <w:left w:val="nil"/>
              <w:bottom w:val="single" w:sz="4" w:space="0" w:color="auto"/>
              <w:right w:val="single" w:sz="4" w:space="0" w:color="auto"/>
            </w:tcBorders>
            <w:shd w:val="clear" w:color="000000" w:fill="FFFFFF"/>
            <w:vAlign w:val="center"/>
            <w:hideMark/>
          </w:tcPr>
          <w:p w14:paraId="2E9A3BBF"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Cross-sectional study using data from the National Health </w:t>
            </w:r>
            <w:r w:rsidRPr="006E1C09">
              <w:rPr>
                <w:rFonts w:ascii="Times New Roman" w:eastAsia="Times New Roman" w:hAnsi="Times New Roman" w:cs="Times New Roman"/>
                <w:kern w:val="0"/>
                <w:sz w:val="24"/>
                <w:szCs w:val="24"/>
                <w:lang w:val="en-CA" w:eastAsia="en-CA"/>
                <w14:ligatures w14:val="none"/>
              </w:rPr>
              <w:lastRenderedPageBreak/>
              <w:t>and Nutrition Examination Survey (NHANES)</w:t>
            </w:r>
          </w:p>
        </w:tc>
        <w:tc>
          <w:tcPr>
            <w:tcW w:w="487" w:type="pct"/>
            <w:tcBorders>
              <w:top w:val="nil"/>
              <w:left w:val="nil"/>
              <w:bottom w:val="single" w:sz="4" w:space="0" w:color="auto"/>
              <w:right w:val="single" w:sz="4" w:space="0" w:color="auto"/>
            </w:tcBorders>
            <w:shd w:val="clear" w:color="000000" w:fill="FFFFFF"/>
            <w:vAlign w:val="center"/>
            <w:hideMark/>
          </w:tcPr>
          <w:p w14:paraId="6DF2CFD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To explore the cross-sectional association between OCP </w:t>
            </w:r>
            <w:r w:rsidRPr="006E1C09">
              <w:rPr>
                <w:rFonts w:ascii="Times New Roman" w:eastAsia="Times New Roman" w:hAnsi="Times New Roman" w:cs="Times New Roman"/>
                <w:kern w:val="0"/>
                <w:sz w:val="24"/>
                <w:szCs w:val="24"/>
                <w:lang w:val="en-CA" w:eastAsia="en-CA"/>
                <w14:ligatures w14:val="none"/>
              </w:rPr>
              <w:lastRenderedPageBreak/>
              <w:t>use and suicidal ideation, in adult women in the USA, while considering the potential interaction in the relationship via several socio‐demographic and behavioral factors</w:t>
            </w:r>
          </w:p>
        </w:tc>
        <w:tc>
          <w:tcPr>
            <w:tcW w:w="533" w:type="pct"/>
            <w:tcBorders>
              <w:top w:val="nil"/>
              <w:left w:val="nil"/>
              <w:bottom w:val="single" w:sz="4" w:space="0" w:color="auto"/>
              <w:right w:val="single" w:sz="4" w:space="0" w:color="auto"/>
            </w:tcBorders>
            <w:shd w:val="clear" w:color="000000" w:fill="FFFFFF"/>
            <w:vAlign w:val="center"/>
            <w:hideMark/>
          </w:tcPr>
          <w:p w14:paraId="171D94C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Combined oral contraceptives (COC), Progestin-only </w:t>
            </w:r>
            <w:r w:rsidRPr="006E1C09">
              <w:rPr>
                <w:rFonts w:ascii="Times New Roman" w:eastAsia="Times New Roman" w:hAnsi="Times New Roman" w:cs="Times New Roman"/>
                <w:kern w:val="0"/>
                <w:sz w:val="24"/>
                <w:szCs w:val="24"/>
                <w:lang w:val="en-CA" w:eastAsia="en-CA"/>
                <w14:ligatures w14:val="none"/>
              </w:rPr>
              <w:lastRenderedPageBreak/>
              <w:t>pills (POP)</w:t>
            </w:r>
          </w:p>
        </w:tc>
        <w:tc>
          <w:tcPr>
            <w:tcW w:w="346" w:type="pct"/>
            <w:tcBorders>
              <w:top w:val="nil"/>
              <w:left w:val="nil"/>
              <w:bottom w:val="single" w:sz="4" w:space="0" w:color="auto"/>
              <w:right w:val="single" w:sz="4" w:space="0" w:color="auto"/>
            </w:tcBorders>
            <w:shd w:val="clear" w:color="000000" w:fill="FFFFFF"/>
            <w:vAlign w:val="center"/>
            <w:hideMark/>
          </w:tcPr>
          <w:p w14:paraId="64E1460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From 2005 to 2012</w:t>
            </w:r>
          </w:p>
        </w:tc>
        <w:tc>
          <w:tcPr>
            <w:tcW w:w="484" w:type="pct"/>
            <w:tcBorders>
              <w:top w:val="nil"/>
              <w:left w:val="nil"/>
              <w:bottom w:val="single" w:sz="4" w:space="0" w:color="auto"/>
              <w:right w:val="single" w:sz="4" w:space="0" w:color="auto"/>
            </w:tcBorders>
            <w:shd w:val="clear" w:color="000000" w:fill="FFFFFF"/>
            <w:vAlign w:val="center"/>
            <w:hideMark/>
          </w:tcPr>
          <w:p w14:paraId="314822B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Current oral contraceptive pill (OCP) users had a </w:t>
            </w:r>
            <w:r w:rsidRPr="006E1C09">
              <w:rPr>
                <w:rFonts w:ascii="Times New Roman" w:eastAsia="Times New Roman" w:hAnsi="Times New Roman" w:cs="Times New Roman"/>
                <w:kern w:val="0"/>
                <w:sz w:val="24"/>
                <w:szCs w:val="24"/>
                <w:lang w:val="en-CA" w:eastAsia="en-CA"/>
                <w14:ligatures w14:val="none"/>
              </w:rPr>
              <w:lastRenderedPageBreak/>
              <w:t>lower prevalence of suicidal ideation.</w:t>
            </w:r>
          </w:p>
        </w:tc>
        <w:tc>
          <w:tcPr>
            <w:tcW w:w="372" w:type="pct"/>
            <w:tcBorders>
              <w:top w:val="nil"/>
              <w:left w:val="nil"/>
              <w:bottom w:val="single" w:sz="4" w:space="0" w:color="auto"/>
              <w:right w:val="single" w:sz="4" w:space="0" w:color="auto"/>
            </w:tcBorders>
            <w:shd w:val="clear" w:color="000000" w:fill="FFFFFF"/>
            <w:vAlign w:val="center"/>
            <w:hideMark/>
          </w:tcPr>
          <w:p w14:paraId="37683B04"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Women taking antidepressants were </w:t>
            </w:r>
            <w:r w:rsidRPr="006E1C09">
              <w:rPr>
                <w:rFonts w:ascii="Times New Roman" w:eastAsia="Times New Roman" w:hAnsi="Times New Roman" w:cs="Times New Roman"/>
                <w:kern w:val="0"/>
                <w:sz w:val="24"/>
                <w:szCs w:val="24"/>
                <w:lang w:val="en-CA" w:eastAsia="en-CA"/>
                <w14:ligatures w14:val="none"/>
              </w:rPr>
              <w:lastRenderedPageBreak/>
              <w:t>more likely to experience suicidal ideation, regardless of their OCP usage history</w:t>
            </w:r>
          </w:p>
        </w:tc>
        <w:tc>
          <w:tcPr>
            <w:tcW w:w="611" w:type="pct"/>
            <w:tcBorders>
              <w:top w:val="nil"/>
              <w:left w:val="nil"/>
              <w:bottom w:val="single" w:sz="4" w:space="0" w:color="auto"/>
              <w:right w:val="single" w:sz="4" w:space="0" w:color="auto"/>
            </w:tcBorders>
            <w:shd w:val="clear" w:color="000000" w:fill="FFFFFF"/>
            <w:vAlign w:val="center"/>
            <w:hideMark/>
          </w:tcPr>
          <w:p w14:paraId="34ACEA4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Depression and suicidal ideation assessed by Patient Health </w:t>
            </w:r>
            <w:r w:rsidRPr="006E1C09">
              <w:rPr>
                <w:rFonts w:ascii="Times New Roman" w:eastAsia="Times New Roman" w:hAnsi="Times New Roman" w:cs="Times New Roman"/>
                <w:kern w:val="0"/>
                <w:sz w:val="24"/>
                <w:szCs w:val="24"/>
                <w:lang w:val="en-CA" w:eastAsia="en-CA"/>
                <w14:ligatures w14:val="none"/>
              </w:rPr>
              <w:lastRenderedPageBreak/>
              <w:t>Questionnaire (PHQ‐9)</w:t>
            </w:r>
          </w:p>
        </w:tc>
        <w:tc>
          <w:tcPr>
            <w:tcW w:w="423" w:type="pct"/>
            <w:tcBorders>
              <w:top w:val="nil"/>
              <w:left w:val="nil"/>
              <w:bottom w:val="single" w:sz="4" w:space="0" w:color="auto"/>
              <w:right w:val="single" w:sz="4" w:space="0" w:color="auto"/>
            </w:tcBorders>
            <w:shd w:val="clear" w:color="000000" w:fill="FFFFFF"/>
            <w:vAlign w:val="center"/>
            <w:hideMark/>
          </w:tcPr>
          <w:p w14:paraId="68A5BB1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14.9% with a current antidepressant use</w:t>
            </w:r>
          </w:p>
        </w:tc>
        <w:tc>
          <w:tcPr>
            <w:tcW w:w="538" w:type="pct"/>
            <w:tcBorders>
              <w:top w:val="single" w:sz="4" w:space="0" w:color="auto"/>
              <w:left w:val="nil"/>
              <w:bottom w:val="single" w:sz="4" w:space="0" w:color="auto"/>
              <w:right w:val="single" w:sz="4" w:space="0" w:color="auto"/>
            </w:tcBorders>
            <w:shd w:val="clear" w:color="000000" w:fill="FFFFFF"/>
            <w:hideMark/>
          </w:tcPr>
          <w:p w14:paraId="3906DB10"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Current users of OCP had a lower prevalence of </w:t>
            </w:r>
            <w:r w:rsidRPr="006E1C09">
              <w:rPr>
                <w:rFonts w:ascii="Times New Roman" w:eastAsia="Times New Roman" w:hAnsi="Times New Roman" w:cs="Times New Roman"/>
                <w:kern w:val="0"/>
                <w:sz w:val="24"/>
                <w:szCs w:val="24"/>
                <w:lang w:val="en-CA" w:eastAsia="en-CA"/>
                <w14:ligatures w14:val="none"/>
              </w:rPr>
              <w:lastRenderedPageBreak/>
              <w:t xml:space="preserve">suicidal ideation (2.1%; 95% CI, 1.0−4.5) compared to never users of OCP (4.3%; 95% CI, 3.3−5.6) and former users of OCP (3.7%; 95% CI, 3.0−4.5). Prevalence of suicidal ideation was not significantly different between </w:t>
            </w:r>
            <w:r w:rsidRPr="006E1C09">
              <w:rPr>
                <w:rFonts w:ascii="Times New Roman" w:eastAsia="Times New Roman" w:hAnsi="Times New Roman" w:cs="Times New Roman"/>
                <w:kern w:val="0"/>
                <w:sz w:val="24"/>
                <w:szCs w:val="24"/>
                <w:lang w:val="en-CA" w:eastAsia="en-CA"/>
                <w14:ligatures w14:val="none"/>
              </w:rPr>
              <w:lastRenderedPageBreak/>
              <w:t>OCP use groups</w:t>
            </w:r>
            <w:r w:rsidRPr="006E1C09">
              <w:rPr>
                <w:rFonts w:ascii="Times New Roman" w:eastAsia="Times New Roman" w:hAnsi="Times New Roman" w:cs="Times New Roman"/>
                <w:kern w:val="0"/>
                <w:sz w:val="24"/>
                <w:szCs w:val="24"/>
                <w:lang w:val="en-CA" w:eastAsia="en-CA"/>
                <w14:ligatures w14:val="none"/>
              </w:rPr>
              <w:br/>
              <w:t xml:space="preserve">• 18−24 years old never users of OCP (OR, 0.27; 95% CI, 0.96−0.76) and 25−34 years old never users of OCP (OR, 0.23; 95% CI, 0.85−0.62) were less likely to experience suicidal ideation compared to 45−55 </w:t>
            </w:r>
            <w:r w:rsidRPr="006E1C09">
              <w:rPr>
                <w:rFonts w:ascii="Times New Roman" w:eastAsia="Times New Roman" w:hAnsi="Times New Roman" w:cs="Times New Roman"/>
                <w:kern w:val="0"/>
                <w:sz w:val="24"/>
                <w:szCs w:val="24"/>
                <w:lang w:val="en-CA" w:eastAsia="en-CA"/>
                <w14:ligatures w14:val="none"/>
              </w:rPr>
              <w:lastRenderedPageBreak/>
              <w:t>years old never users of OCP after controlling for socioeconomic and lifestyle factors. No statistically significant differences in suicidal ideation between age groups in former and current users of OCP</w:t>
            </w:r>
            <w:r w:rsidRPr="006E1C09">
              <w:rPr>
                <w:rFonts w:ascii="Times New Roman" w:eastAsia="Times New Roman" w:hAnsi="Times New Roman" w:cs="Times New Roman"/>
                <w:kern w:val="0"/>
                <w:sz w:val="24"/>
                <w:szCs w:val="24"/>
                <w:lang w:val="en-CA" w:eastAsia="en-CA"/>
                <w14:ligatures w14:val="none"/>
              </w:rPr>
              <w:br/>
              <w:t xml:space="preserve">• Women taking antidepressants </w:t>
            </w:r>
            <w:r w:rsidRPr="006E1C09">
              <w:rPr>
                <w:rFonts w:ascii="Times New Roman" w:eastAsia="Times New Roman" w:hAnsi="Times New Roman" w:cs="Times New Roman"/>
                <w:kern w:val="0"/>
                <w:sz w:val="24"/>
                <w:szCs w:val="24"/>
                <w:lang w:val="en-CA" w:eastAsia="en-CA"/>
                <w14:ligatures w14:val="none"/>
              </w:rPr>
              <w:lastRenderedPageBreak/>
              <w:t>had a higher likelihood of experiencing suicidal ideation compared to women not using antidepressants in the never user of OCP group (OR, 3.25; 95% CI, 1.71−6.19) and the former user of OCP (OR, 2.85; 95% CI, 1.73−4.70)</w:t>
            </w:r>
          </w:p>
        </w:tc>
      </w:tr>
      <w:tr w:rsidR="006E1C09" w:rsidRPr="00F87E76" w14:paraId="6B7E3B16"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C9F3F69"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Gawronska et al., 2024</w:t>
            </w:r>
          </w:p>
        </w:tc>
        <w:tc>
          <w:tcPr>
            <w:tcW w:w="298" w:type="pct"/>
            <w:tcBorders>
              <w:top w:val="nil"/>
              <w:left w:val="nil"/>
              <w:bottom w:val="single" w:sz="4" w:space="0" w:color="auto"/>
              <w:right w:val="single" w:sz="4" w:space="0" w:color="auto"/>
            </w:tcBorders>
            <w:shd w:val="clear" w:color="000000" w:fill="FFFFFF"/>
            <w:vAlign w:val="center"/>
            <w:hideMark/>
          </w:tcPr>
          <w:p w14:paraId="34507F6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6 239 women ranging from 18–55 years</w:t>
            </w:r>
          </w:p>
        </w:tc>
        <w:tc>
          <w:tcPr>
            <w:tcW w:w="576" w:type="pct"/>
            <w:tcBorders>
              <w:top w:val="nil"/>
              <w:left w:val="nil"/>
              <w:bottom w:val="single" w:sz="4" w:space="0" w:color="auto"/>
              <w:right w:val="single" w:sz="4" w:space="0" w:color="auto"/>
            </w:tcBorders>
            <w:shd w:val="clear" w:color="000000" w:fill="FFFFFF"/>
            <w:vAlign w:val="center"/>
            <w:hideMark/>
          </w:tcPr>
          <w:p w14:paraId="0F35622D"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Cross-sectional study using data from the National Health and Nutrition Examination Survey (NHANES)</w:t>
            </w:r>
          </w:p>
        </w:tc>
        <w:tc>
          <w:tcPr>
            <w:tcW w:w="487" w:type="pct"/>
            <w:tcBorders>
              <w:top w:val="nil"/>
              <w:left w:val="nil"/>
              <w:bottom w:val="single" w:sz="4" w:space="0" w:color="auto"/>
              <w:right w:val="single" w:sz="4" w:space="0" w:color="auto"/>
            </w:tcBorders>
            <w:shd w:val="clear" w:color="000000" w:fill="FFFFFF"/>
            <w:vAlign w:val="center"/>
            <w:hideMark/>
          </w:tcPr>
          <w:p w14:paraId="0E04093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estimate the prevalence of major depression in women using OCP and to investigate the correlates of depression by type of OCP use.</w:t>
            </w:r>
          </w:p>
        </w:tc>
        <w:tc>
          <w:tcPr>
            <w:tcW w:w="533" w:type="pct"/>
            <w:tcBorders>
              <w:top w:val="nil"/>
              <w:left w:val="nil"/>
              <w:bottom w:val="single" w:sz="4" w:space="0" w:color="auto"/>
              <w:right w:val="single" w:sz="4" w:space="0" w:color="auto"/>
            </w:tcBorders>
            <w:shd w:val="clear" w:color="000000" w:fill="FFFFFF"/>
            <w:vAlign w:val="center"/>
            <w:hideMark/>
          </w:tcPr>
          <w:p w14:paraId="4BE1D3D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Combined oral contraceptives (COC), Progestin-only pills (POP)</w:t>
            </w:r>
          </w:p>
        </w:tc>
        <w:tc>
          <w:tcPr>
            <w:tcW w:w="346" w:type="pct"/>
            <w:tcBorders>
              <w:top w:val="nil"/>
              <w:left w:val="nil"/>
              <w:bottom w:val="single" w:sz="4" w:space="0" w:color="auto"/>
              <w:right w:val="single" w:sz="4" w:space="0" w:color="auto"/>
            </w:tcBorders>
            <w:shd w:val="clear" w:color="000000" w:fill="FFFFFF"/>
            <w:vAlign w:val="center"/>
            <w:hideMark/>
          </w:tcPr>
          <w:p w14:paraId="3189225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From 2005 to 2012</w:t>
            </w:r>
          </w:p>
        </w:tc>
        <w:tc>
          <w:tcPr>
            <w:tcW w:w="484" w:type="pct"/>
            <w:tcBorders>
              <w:top w:val="nil"/>
              <w:left w:val="nil"/>
              <w:bottom w:val="single" w:sz="4" w:space="0" w:color="auto"/>
              <w:right w:val="single" w:sz="4" w:space="0" w:color="auto"/>
            </w:tcBorders>
            <w:shd w:val="clear" w:color="000000" w:fill="FFFFFF"/>
            <w:vAlign w:val="center"/>
            <w:hideMark/>
          </w:tcPr>
          <w:p w14:paraId="74F8579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Current oral contraceptive pill (OCP) users are less likely to experience depressive symptoms and have a lower prevalence of major depression</w:t>
            </w:r>
          </w:p>
        </w:tc>
        <w:tc>
          <w:tcPr>
            <w:tcW w:w="372" w:type="pct"/>
            <w:tcBorders>
              <w:top w:val="nil"/>
              <w:left w:val="nil"/>
              <w:bottom w:val="single" w:sz="4" w:space="0" w:color="auto"/>
              <w:right w:val="single" w:sz="4" w:space="0" w:color="auto"/>
            </w:tcBorders>
            <w:shd w:val="clear" w:color="000000" w:fill="FFFFFF"/>
            <w:vAlign w:val="center"/>
            <w:hideMark/>
          </w:tcPr>
          <w:p w14:paraId="7646690B"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taking antidepressants had a higher prevalence of major depression, regardless of their OCP usage history</w:t>
            </w:r>
          </w:p>
        </w:tc>
        <w:tc>
          <w:tcPr>
            <w:tcW w:w="611" w:type="pct"/>
            <w:tcBorders>
              <w:top w:val="nil"/>
              <w:left w:val="nil"/>
              <w:bottom w:val="single" w:sz="4" w:space="0" w:color="auto"/>
              <w:right w:val="single" w:sz="4" w:space="0" w:color="auto"/>
            </w:tcBorders>
            <w:shd w:val="clear" w:color="000000" w:fill="FFFFFF"/>
            <w:vAlign w:val="center"/>
            <w:hideMark/>
          </w:tcPr>
          <w:p w14:paraId="0638B59F"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Depressive symptoms assessed by Patient Health Questionnaire (PHQ‐9)</w:t>
            </w:r>
          </w:p>
        </w:tc>
        <w:tc>
          <w:tcPr>
            <w:tcW w:w="423" w:type="pct"/>
            <w:tcBorders>
              <w:top w:val="nil"/>
              <w:left w:val="nil"/>
              <w:bottom w:val="single" w:sz="4" w:space="0" w:color="auto"/>
              <w:right w:val="single" w:sz="4" w:space="0" w:color="auto"/>
            </w:tcBorders>
            <w:shd w:val="clear" w:color="000000" w:fill="FFFFFF"/>
            <w:vAlign w:val="center"/>
            <w:hideMark/>
          </w:tcPr>
          <w:p w14:paraId="489C5A8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14.9% with a current antidepressant use</w:t>
            </w:r>
          </w:p>
        </w:tc>
        <w:tc>
          <w:tcPr>
            <w:tcW w:w="538" w:type="pct"/>
            <w:tcBorders>
              <w:top w:val="single" w:sz="4" w:space="0" w:color="auto"/>
              <w:left w:val="nil"/>
              <w:bottom w:val="single" w:sz="4" w:space="0" w:color="auto"/>
              <w:right w:val="single" w:sz="4" w:space="0" w:color="auto"/>
            </w:tcBorders>
            <w:shd w:val="clear" w:color="000000" w:fill="FFFFFF"/>
            <w:hideMark/>
          </w:tcPr>
          <w:p w14:paraId="31497E47"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OCP users are less likely to experience depressive symptoms</w:t>
            </w:r>
            <w:r w:rsidRPr="006E1C09">
              <w:rPr>
                <w:rFonts w:ascii="Times New Roman" w:eastAsia="Times New Roman" w:hAnsi="Times New Roman" w:cs="Times New Roman"/>
                <w:kern w:val="0"/>
                <w:sz w:val="24"/>
                <w:szCs w:val="24"/>
                <w:lang w:val="en-CA" w:eastAsia="en-CA"/>
                <w14:ligatures w14:val="none"/>
              </w:rPr>
              <w:br/>
              <w:t xml:space="preserve">• Former OCP users (11.4%; 95% CI, 10.1 to 12.9) had a slightly higher prevalence of major depression compared to current users (4.6%; 95% CI, 3.2 to 6.6) and never users </w:t>
            </w:r>
            <w:r w:rsidRPr="006E1C09">
              <w:rPr>
                <w:rFonts w:ascii="Times New Roman" w:eastAsia="Times New Roman" w:hAnsi="Times New Roman" w:cs="Times New Roman"/>
                <w:kern w:val="0"/>
                <w:sz w:val="24"/>
                <w:szCs w:val="24"/>
                <w:lang w:val="en-CA" w:eastAsia="en-CA"/>
                <w14:ligatures w14:val="none"/>
              </w:rPr>
              <w:lastRenderedPageBreak/>
              <w:t>(10%; 95% CI, 8.3 to 12.1).</w:t>
            </w:r>
            <w:r w:rsidRPr="006E1C09">
              <w:rPr>
                <w:rFonts w:ascii="Times New Roman" w:eastAsia="Times New Roman" w:hAnsi="Times New Roman" w:cs="Times New Roman"/>
                <w:kern w:val="0"/>
                <w:sz w:val="24"/>
                <w:szCs w:val="24"/>
                <w:lang w:val="en-CA" w:eastAsia="en-CA"/>
                <w14:ligatures w14:val="none"/>
              </w:rPr>
              <w:br/>
              <w:t xml:space="preserve">• Current users of OCP were significantly less likely to report major depression compared to former users of OCP (OR, 0.59; 95CI%, 0.39 to 0.90) after adjusting for socioeconomic and behavioural </w:t>
            </w:r>
            <w:r w:rsidRPr="006E1C09">
              <w:rPr>
                <w:rFonts w:ascii="Times New Roman" w:eastAsia="Times New Roman" w:hAnsi="Times New Roman" w:cs="Times New Roman"/>
                <w:kern w:val="0"/>
                <w:sz w:val="24"/>
                <w:szCs w:val="24"/>
                <w:lang w:val="en-CA" w:eastAsia="en-CA"/>
                <w14:ligatures w14:val="none"/>
              </w:rPr>
              <w:lastRenderedPageBreak/>
              <w:t>characteristics as well as chronic conditions.</w:t>
            </w:r>
            <w:r w:rsidRPr="006E1C09">
              <w:rPr>
                <w:rFonts w:ascii="Times New Roman" w:eastAsia="Times New Roman" w:hAnsi="Times New Roman" w:cs="Times New Roman"/>
                <w:kern w:val="0"/>
                <w:sz w:val="24"/>
                <w:szCs w:val="24"/>
                <w:lang w:val="en-CA" w:eastAsia="en-CA"/>
                <w14:ligatures w14:val="none"/>
              </w:rPr>
              <w:br/>
              <w:t>• No statistically significant difference in major depression between current users of OCP and never users of OCP, nor between former users of OCP and never users of OCP</w:t>
            </w:r>
            <w:r w:rsidRPr="006E1C09">
              <w:rPr>
                <w:rFonts w:ascii="Times New Roman" w:eastAsia="Times New Roman" w:hAnsi="Times New Roman" w:cs="Times New Roman"/>
                <w:kern w:val="0"/>
                <w:sz w:val="24"/>
                <w:szCs w:val="24"/>
                <w:lang w:val="en-CA" w:eastAsia="en-CA"/>
                <w14:ligatures w14:val="none"/>
              </w:rPr>
              <w:br/>
              <w:t>• No statisti</w:t>
            </w:r>
            <w:r w:rsidRPr="006E1C09">
              <w:rPr>
                <w:rFonts w:ascii="Times New Roman" w:eastAsia="Times New Roman" w:hAnsi="Times New Roman" w:cs="Times New Roman"/>
                <w:kern w:val="0"/>
                <w:sz w:val="24"/>
                <w:szCs w:val="24"/>
                <w:lang w:val="en-CA" w:eastAsia="en-CA"/>
                <w14:ligatures w14:val="none"/>
              </w:rPr>
              <w:lastRenderedPageBreak/>
              <w:t>cally significant effect of age on the association between major depression and OCP use</w:t>
            </w:r>
            <w:r w:rsidRPr="006E1C09">
              <w:rPr>
                <w:rFonts w:ascii="Times New Roman" w:eastAsia="Times New Roman" w:hAnsi="Times New Roman" w:cs="Times New Roman"/>
                <w:kern w:val="0"/>
                <w:sz w:val="24"/>
                <w:szCs w:val="24"/>
                <w:lang w:val="en-CA" w:eastAsia="en-CA"/>
                <w14:ligatures w14:val="none"/>
              </w:rPr>
              <w:br/>
              <w:t xml:space="preserve">• Women taking antidepressants had higher prevalence of major depression than their non-using counterparts in the never user of OCP group (OR, 2.84; </w:t>
            </w:r>
            <w:r w:rsidRPr="006E1C09">
              <w:rPr>
                <w:rFonts w:ascii="Times New Roman" w:eastAsia="Times New Roman" w:hAnsi="Times New Roman" w:cs="Times New Roman"/>
                <w:kern w:val="0"/>
                <w:sz w:val="24"/>
                <w:szCs w:val="24"/>
                <w:lang w:val="en-CA" w:eastAsia="en-CA"/>
                <w14:ligatures w14:val="none"/>
              </w:rPr>
              <w:lastRenderedPageBreak/>
              <w:t>95CI% 1.44 to 5.58) and the former user of OCP group (OR, 4.05; 95CI%, 3.08 to 5.33).</w:t>
            </w:r>
          </w:p>
        </w:tc>
      </w:tr>
      <w:tr w:rsidR="006E1C09" w:rsidRPr="00F87E76" w14:paraId="1D375C53" w14:textId="77777777" w:rsidTr="006E1C09">
        <w:trPr>
          <w:trHeight w:val="157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4ADBE44"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Kowalczyk  et al., 2024</w:t>
            </w:r>
          </w:p>
        </w:tc>
        <w:tc>
          <w:tcPr>
            <w:tcW w:w="298" w:type="pct"/>
            <w:tcBorders>
              <w:top w:val="nil"/>
              <w:left w:val="nil"/>
              <w:bottom w:val="single" w:sz="4" w:space="0" w:color="auto"/>
              <w:right w:val="single" w:sz="4" w:space="0" w:color="auto"/>
            </w:tcBorders>
            <w:shd w:val="clear" w:color="000000" w:fill="FFFFFF"/>
            <w:vAlign w:val="center"/>
            <w:hideMark/>
          </w:tcPr>
          <w:p w14:paraId="7869198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908 women ranging from 18-45 years</w:t>
            </w:r>
          </w:p>
        </w:tc>
        <w:tc>
          <w:tcPr>
            <w:tcW w:w="576" w:type="pct"/>
            <w:tcBorders>
              <w:top w:val="nil"/>
              <w:left w:val="nil"/>
              <w:bottom w:val="single" w:sz="4" w:space="0" w:color="auto"/>
              <w:right w:val="single" w:sz="4" w:space="0" w:color="auto"/>
            </w:tcBorders>
            <w:shd w:val="clear" w:color="000000" w:fill="FFFFFF"/>
            <w:vAlign w:val="center"/>
            <w:hideMark/>
          </w:tcPr>
          <w:p w14:paraId="730566A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Observational cross-sectional study</w:t>
            </w:r>
          </w:p>
        </w:tc>
        <w:tc>
          <w:tcPr>
            <w:tcW w:w="487" w:type="pct"/>
            <w:tcBorders>
              <w:top w:val="nil"/>
              <w:left w:val="nil"/>
              <w:bottom w:val="single" w:sz="4" w:space="0" w:color="auto"/>
              <w:right w:val="single" w:sz="4" w:space="0" w:color="auto"/>
            </w:tcBorders>
            <w:shd w:val="clear" w:color="000000" w:fill="FFFFFF"/>
            <w:vAlign w:val="bottom"/>
            <w:hideMark/>
          </w:tcPr>
          <w:p w14:paraId="313FCC0B"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test whether the types of OC affect the link between anxiety and its main maintenance factors: worry and perce</w:t>
            </w:r>
            <w:r w:rsidRPr="006E1C09">
              <w:rPr>
                <w:rFonts w:ascii="Times New Roman" w:eastAsia="Times New Roman" w:hAnsi="Times New Roman" w:cs="Times New Roman"/>
                <w:kern w:val="0"/>
                <w:sz w:val="24"/>
                <w:szCs w:val="24"/>
                <w:lang w:val="en-CA" w:eastAsia="en-CA"/>
                <w14:ligatures w14:val="none"/>
              </w:rPr>
              <w:lastRenderedPageBreak/>
              <w:t>ived stress</w:t>
            </w:r>
          </w:p>
        </w:tc>
        <w:tc>
          <w:tcPr>
            <w:tcW w:w="533" w:type="pct"/>
            <w:tcBorders>
              <w:top w:val="nil"/>
              <w:left w:val="nil"/>
              <w:bottom w:val="single" w:sz="4" w:space="0" w:color="auto"/>
              <w:right w:val="single" w:sz="4" w:space="0" w:color="auto"/>
            </w:tcBorders>
            <w:shd w:val="clear" w:color="000000" w:fill="FFFFFF"/>
            <w:vAlign w:val="center"/>
            <w:hideMark/>
          </w:tcPr>
          <w:p w14:paraId="77837E76"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Oral contraceptive (OC) : anti-androgenic and androgenic</w:t>
            </w:r>
          </w:p>
        </w:tc>
        <w:tc>
          <w:tcPr>
            <w:tcW w:w="346" w:type="pct"/>
            <w:tcBorders>
              <w:top w:val="nil"/>
              <w:left w:val="nil"/>
              <w:bottom w:val="single" w:sz="4" w:space="0" w:color="auto"/>
              <w:right w:val="single" w:sz="4" w:space="0" w:color="auto"/>
            </w:tcBorders>
            <w:shd w:val="clear" w:color="000000" w:fill="FFFFFF"/>
            <w:vAlign w:val="center"/>
            <w:hideMark/>
          </w:tcPr>
          <w:p w14:paraId="0A97651D"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Between February and November 2022</w:t>
            </w:r>
          </w:p>
        </w:tc>
        <w:tc>
          <w:tcPr>
            <w:tcW w:w="484" w:type="pct"/>
            <w:tcBorders>
              <w:top w:val="nil"/>
              <w:left w:val="nil"/>
              <w:bottom w:val="single" w:sz="4" w:space="0" w:color="auto"/>
              <w:right w:val="single" w:sz="4" w:space="0" w:color="auto"/>
            </w:tcBorders>
            <w:shd w:val="clear" w:color="000000" w:fill="FFFFFF"/>
            <w:vAlign w:val="center"/>
            <w:hideMark/>
          </w:tcPr>
          <w:p w14:paraId="6D0EC0E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taking anti-androgenic oral contraceptives (OC) had significantly higher levels of worry</w:t>
            </w:r>
          </w:p>
        </w:tc>
        <w:tc>
          <w:tcPr>
            <w:tcW w:w="372" w:type="pct"/>
            <w:tcBorders>
              <w:top w:val="nil"/>
              <w:left w:val="nil"/>
              <w:bottom w:val="single" w:sz="4" w:space="0" w:color="auto"/>
              <w:right w:val="single" w:sz="4" w:space="0" w:color="auto"/>
            </w:tcBorders>
            <w:shd w:val="clear" w:color="000000" w:fill="FFFFFF"/>
            <w:vAlign w:val="center"/>
            <w:hideMark/>
          </w:tcPr>
          <w:p w14:paraId="6A0B670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w:t>
            </w:r>
          </w:p>
        </w:tc>
        <w:tc>
          <w:tcPr>
            <w:tcW w:w="611" w:type="pct"/>
            <w:tcBorders>
              <w:top w:val="nil"/>
              <w:left w:val="nil"/>
              <w:bottom w:val="single" w:sz="4" w:space="0" w:color="auto"/>
              <w:right w:val="single" w:sz="4" w:space="0" w:color="auto"/>
            </w:tcBorders>
            <w:shd w:val="clear" w:color="000000" w:fill="FFFFFF"/>
            <w:vAlign w:val="center"/>
            <w:hideMark/>
          </w:tcPr>
          <w:p w14:paraId="527CADB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Perception of stress assessed by Perceived Stress Scale (PSS). Anxiety assessed by GAD-7 scale</w:t>
            </w:r>
          </w:p>
        </w:tc>
        <w:tc>
          <w:tcPr>
            <w:tcW w:w="423" w:type="pct"/>
            <w:tcBorders>
              <w:top w:val="nil"/>
              <w:left w:val="nil"/>
              <w:bottom w:val="single" w:sz="4" w:space="0" w:color="auto"/>
              <w:right w:val="single" w:sz="4" w:space="0" w:color="auto"/>
            </w:tcBorders>
            <w:shd w:val="clear" w:color="000000" w:fill="FFFFFF"/>
            <w:vAlign w:val="center"/>
            <w:hideMark/>
          </w:tcPr>
          <w:p w14:paraId="14204EF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reported</w:t>
            </w:r>
          </w:p>
        </w:tc>
        <w:tc>
          <w:tcPr>
            <w:tcW w:w="538" w:type="pct"/>
            <w:tcBorders>
              <w:top w:val="single" w:sz="4" w:space="0" w:color="auto"/>
              <w:left w:val="nil"/>
              <w:bottom w:val="single" w:sz="4" w:space="0" w:color="auto"/>
              <w:right w:val="single" w:sz="4" w:space="0" w:color="auto"/>
            </w:tcBorders>
            <w:shd w:val="clear" w:color="000000" w:fill="FFFFFF"/>
            <w:hideMark/>
          </w:tcPr>
          <w:p w14:paraId="3681661E"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No differences between groups on all the measures</w:t>
            </w:r>
            <w:r w:rsidRPr="006E1C09">
              <w:rPr>
                <w:rFonts w:ascii="Times New Roman" w:eastAsia="Times New Roman" w:hAnsi="Times New Roman" w:cs="Times New Roman"/>
                <w:kern w:val="0"/>
                <w:sz w:val="24"/>
                <w:szCs w:val="24"/>
                <w:lang w:val="en-CA" w:eastAsia="en-CA"/>
                <w14:ligatures w14:val="none"/>
              </w:rPr>
              <w:br/>
              <w:t>• No differences between groups in anxiety levels, F(2, 904) = 1.81, p =.165, worry</w:t>
            </w:r>
            <w:r w:rsidRPr="006E1C09">
              <w:rPr>
                <w:rFonts w:ascii="Times New Roman" w:eastAsia="Times New Roman" w:hAnsi="Times New Roman" w:cs="Times New Roman"/>
                <w:kern w:val="0"/>
                <w:sz w:val="24"/>
                <w:szCs w:val="24"/>
                <w:lang w:val="en-CA" w:eastAsia="en-CA"/>
                <w14:ligatures w14:val="none"/>
              </w:rPr>
              <w:lastRenderedPageBreak/>
              <w:t>, F(2, 904) = 1.15, p = .318, or perceived stress, F(2, 904) = 1,58, p = .207.</w:t>
            </w:r>
            <w:r w:rsidRPr="006E1C09">
              <w:rPr>
                <w:rFonts w:ascii="Times New Roman" w:eastAsia="Times New Roman" w:hAnsi="Times New Roman" w:cs="Times New Roman"/>
                <w:kern w:val="0"/>
                <w:sz w:val="24"/>
                <w:szCs w:val="24"/>
                <w:lang w:val="en-CA" w:eastAsia="en-CA"/>
                <w14:ligatures w14:val="none"/>
              </w:rPr>
              <w:br/>
              <w:t xml:space="preserve">• After controlling for the levels of anxiety and age, the difference in the levels of worry between groups was not significant, F(2, 903) = 1.18, p = </w:t>
            </w:r>
            <w:r w:rsidRPr="006E1C09">
              <w:rPr>
                <w:rFonts w:ascii="Times New Roman" w:eastAsia="Times New Roman" w:hAnsi="Times New Roman" w:cs="Times New Roman"/>
                <w:kern w:val="0"/>
                <w:sz w:val="24"/>
                <w:szCs w:val="24"/>
                <w:lang w:val="en-CA" w:eastAsia="en-CA"/>
                <w14:ligatures w14:val="none"/>
              </w:rPr>
              <w:lastRenderedPageBreak/>
              <w:t>.307.</w:t>
            </w:r>
            <w:r w:rsidRPr="006E1C09">
              <w:rPr>
                <w:rFonts w:ascii="Times New Roman" w:eastAsia="Times New Roman" w:hAnsi="Times New Roman" w:cs="Times New Roman"/>
                <w:kern w:val="0"/>
                <w:sz w:val="24"/>
                <w:szCs w:val="24"/>
                <w:lang w:val="en-CA" w:eastAsia="en-CA"/>
                <w14:ligatures w14:val="none"/>
              </w:rPr>
              <w:br/>
              <w:t xml:space="preserve">• After controlling for the levels of stress and age, a significant difference in levels of worry between groups emerged, F(2, 903) = 3.12, p = .045 Women taking anti-androgenic OC had significantly higher levels of worry </w:t>
            </w:r>
            <w:r w:rsidRPr="006E1C09">
              <w:rPr>
                <w:rFonts w:ascii="Times New Roman" w:eastAsia="Times New Roman" w:hAnsi="Times New Roman" w:cs="Times New Roman"/>
                <w:kern w:val="0"/>
                <w:sz w:val="24"/>
                <w:szCs w:val="24"/>
                <w:lang w:val="en-CA" w:eastAsia="en-CA"/>
                <w14:ligatures w14:val="none"/>
              </w:rPr>
              <w:lastRenderedPageBreak/>
              <w:t>(M = 56.62, SD = 13.75) than NC women (M = 54.64, SD = 14.01) (p = .023).</w:t>
            </w:r>
          </w:p>
        </w:tc>
      </w:tr>
      <w:tr w:rsidR="006E1C09" w:rsidRPr="00F87E76" w14:paraId="54A59CDF" w14:textId="77777777" w:rsidTr="006E1C09">
        <w:trPr>
          <w:trHeight w:val="1575"/>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6FDDA44E"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Skovlund et al., 2024</w:t>
            </w:r>
          </w:p>
        </w:tc>
        <w:tc>
          <w:tcPr>
            <w:tcW w:w="298" w:type="pct"/>
            <w:tcBorders>
              <w:top w:val="nil"/>
              <w:left w:val="nil"/>
              <w:bottom w:val="single" w:sz="4" w:space="0" w:color="auto"/>
              <w:right w:val="single" w:sz="4" w:space="0" w:color="auto"/>
            </w:tcBorders>
            <w:shd w:val="clear" w:color="000000" w:fill="FFFFFF"/>
            <w:vAlign w:val="center"/>
            <w:hideMark/>
          </w:tcPr>
          <w:p w14:paraId="24F54178"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46 565 women ranging from 15-34 years</w:t>
            </w:r>
          </w:p>
        </w:tc>
        <w:tc>
          <w:tcPr>
            <w:tcW w:w="576" w:type="pct"/>
            <w:tcBorders>
              <w:top w:val="nil"/>
              <w:left w:val="nil"/>
              <w:bottom w:val="single" w:sz="4" w:space="0" w:color="auto"/>
              <w:right w:val="single" w:sz="4" w:space="0" w:color="auto"/>
            </w:tcBorders>
            <w:shd w:val="clear" w:color="000000" w:fill="FFFFFF"/>
            <w:vAlign w:val="center"/>
            <w:hideMark/>
          </w:tcPr>
          <w:p w14:paraId="6FDD5941"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Nationwide cohort study using Danish national registries</w:t>
            </w:r>
          </w:p>
        </w:tc>
        <w:tc>
          <w:tcPr>
            <w:tcW w:w="487" w:type="pct"/>
            <w:tcBorders>
              <w:top w:val="nil"/>
              <w:left w:val="nil"/>
              <w:bottom w:val="single" w:sz="4" w:space="0" w:color="auto"/>
              <w:right w:val="single" w:sz="4" w:space="0" w:color="auto"/>
            </w:tcBorders>
            <w:shd w:val="clear" w:color="000000" w:fill="FFFFFF"/>
            <w:vAlign w:val="center"/>
            <w:hideMark/>
          </w:tcPr>
          <w:p w14:paraId="19B6097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examine associations between use of different doses of LNG-IUS and risk of depression.</w:t>
            </w:r>
          </w:p>
        </w:tc>
        <w:tc>
          <w:tcPr>
            <w:tcW w:w="533" w:type="pct"/>
            <w:tcBorders>
              <w:top w:val="nil"/>
              <w:left w:val="nil"/>
              <w:bottom w:val="single" w:sz="4" w:space="0" w:color="auto"/>
              <w:right w:val="single" w:sz="4" w:space="0" w:color="auto"/>
            </w:tcBorders>
            <w:shd w:val="clear" w:color="000000" w:fill="FFFFFF"/>
            <w:vAlign w:val="center"/>
            <w:hideMark/>
          </w:tcPr>
          <w:p w14:paraId="77955DE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High-dose 52 mg LNG-IUS, low-dose LNG-IUS containing 19,5 mg and 13,5 mg levonorgestrel</w:t>
            </w:r>
          </w:p>
        </w:tc>
        <w:tc>
          <w:tcPr>
            <w:tcW w:w="346" w:type="pct"/>
            <w:tcBorders>
              <w:top w:val="nil"/>
              <w:left w:val="nil"/>
              <w:bottom w:val="single" w:sz="4" w:space="0" w:color="auto"/>
              <w:right w:val="single" w:sz="4" w:space="0" w:color="auto"/>
            </w:tcBorders>
            <w:shd w:val="clear" w:color="000000" w:fill="FFFFFF"/>
            <w:vAlign w:val="center"/>
            <w:hideMark/>
          </w:tcPr>
          <w:p w14:paraId="3840AB6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1 January 2001–30 June 2021. Duration of contraceptive : 6 months, one year, 2 years and 3 years</w:t>
            </w:r>
          </w:p>
        </w:tc>
        <w:tc>
          <w:tcPr>
            <w:tcW w:w="484" w:type="pct"/>
            <w:tcBorders>
              <w:top w:val="nil"/>
              <w:left w:val="nil"/>
              <w:bottom w:val="single" w:sz="4" w:space="0" w:color="auto"/>
              <w:right w:val="single" w:sz="4" w:space="0" w:color="auto"/>
            </w:tcBorders>
            <w:shd w:val="clear" w:color="000000" w:fill="FFFFFF"/>
            <w:vAlign w:val="center"/>
            <w:hideMark/>
          </w:tcPr>
          <w:p w14:paraId="23FB8C4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The use of low-dose levonorgestrel intrauterine systems was associated with a significantly lower risk of first-time antidepressant use compared to the </w:t>
            </w:r>
            <w:r w:rsidRPr="006E1C09">
              <w:rPr>
                <w:rFonts w:ascii="Times New Roman" w:eastAsia="Times New Roman" w:hAnsi="Times New Roman" w:cs="Times New Roman"/>
                <w:kern w:val="0"/>
                <w:sz w:val="24"/>
                <w:szCs w:val="24"/>
                <w:lang w:val="en-CA" w:eastAsia="en-CA"/>
                <w14:ligatures w14:val="none"/>
              </w:rPr>
              <w:lastRenderedPageBreak/>
              <w:t>high-dose.</w:t>
            </w:r>
          </w:p>
        </w:tc>
        <w:tc>
          <w:tcPr>
            <w:tcW w:w="372" w:type="pct"/>
            <w:tcBorders>
              <w:top w:val="nil"/>
              <w:left w:val="nil"/>
              <w:bottom w:val="single" w:sz="4" w:space="0" w:color="auto"/>
              <w:right w:val="single" w:sz="4" w:space="0" w:color="auto"/>
            </w:tcBorders>
            <w:shd w:val="clear" w:color="000000" w:fill="FFFFFF"/>
            <w:vAlign w:val="center"/>
            <w:hideMark/>
          </w:tcPr>
          <w:p w14:paraId="0440F95A"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4BAAB3B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None mentioned. An incident depression was defined as a first redeemed prescription of an antidepressant from the Danish Prescription Registry</w:t>
            </w:r>
          </w:p>
        </w:tc>
        <w:tc>
          <w:tcPr>
            <w:tcW w:w="423" w:type="pct"/>
            <w:tcBorders>
              <w:top w:val="nil"/>
              <w:left w:val="nil"/>
              <w:bottom w:val="single" w:sz="4" w:space="0" w:color="auto"/>
              <w:right w:val="single" w:sz="4" w:space="0" w:color="auto"/>
            </w:tcBorders>
            <w:shd w:val="clear" w:color="000000" w:fill="FFFFFF"/>
            <w:vAlign w:val="center"/>
            <w:hideMark/>
          </w:tcPr>
          <w:p w14:paraId="6EBD0191"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with history of depression, major psychiatric disease and antidepressant use were excluded</w:t>
            </w:r>
          </w:p>
        </w:tc>
        <w:tc>
          <w:tcPr>
            <w:tcW w:w="538" w:type="pct"/>
            <w:tcBorders>
              <w:top w:val="single" w:sz="4" w:space="0" w:color="auto"/>
              <w:left w:val="nil"/>
              <w:bottom w:val="single" w:sz="4" w:space="0" w:color="auto"/>
              <w:right w:val="single" w:sz="4" w:space="0" w:color="auto"/>
            </w:tcBorders>
            <w:shd w:val="clear" w:color="000000" w:fill="FFFFFF"/>
            <w:hideMark/>
          </w:tcPr>
          <w:p w14:paraId="63F1F73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Use of low-dose 13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and 19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LNG-IUS was associated with significantly lower risk of first-time antidepressant use compared to use of the high-dose 52 mg LNG-</w:t>
            </w:r>
            <w:r w:rsidRPr="006E1C09">
              <w:rPr>
                <w:rFonts w:ascii="Times New Roman" w:eastAsia="Times New Roman" w:hAnsi="Times New Roman" w:cs="Times New Roman"/>
                <w:kern w:val="0"/>
                <w:sz w:val="24"/>
                <w:szCs w:val="24"/>
                <w:lang w:val="en-CA" w:eastAsia="en-CA"/>
                <w14:ligatures w14:val="none"/>
              </w:rPr>
              <w:lastRenderedPageBreak/>
              <w:t>IUS</w:t>
            </w:r>
            <w:r w:rsidRPr="006E1C09">
              <w:rPr>
                <w:rFonts w:ascii="Times New Roman" w:eastAsia="Times New Roman" w:hAnsi="Times New Roman" w:cs="Times New Roman"/>
                <w:kern w:val="0"/>
                <w:sz w:val="24"/>
                <w:szCs w:val="24"/>
                <w:lang w:val="en-CA" w:eastAsia="en-CA"/>
                <w14:ligatures w14:val="none"/>
              </w:rPr>
              <w:br/>
              <w:t>• No difference in depression risk was observed between the 13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low-dose LNG-IUS and the 19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low-dose LNG-IUS</w:t>
            </w:r>
            <w:r w:rsidRPr="006E1C09">
              <w:rPr>
                <w:rFonts w:ascii="Times New Roman" w:eastAsia="Times New Roman" w:hAnsi="Times New Roman" w:cs="Times New Roman"/>
                <w:kern w:val="0"/>
                <w:sz w:val="24"/>
                <w:szCs w:val="24"/>
                <w:lang w:val="en-CA" w:eastAsia="en-CA"/>
                <w14:ligatures w14:val="none"/>
              </w:rPr>
              <w:br/>
              <w:t>• 1,531 events of a first antidepressant use were detected</w:t>
            </w:r>
            <w:r w:rsidRPr="006E1C09">
              <w:rPr>
                <w:rFonts w:ascii="Times New Roman" w:eastAsia="Times New Roman" w:hAnsi="Times New Roman" w:cs="Times New Roman"/>
                <w:kern w:val="0"/>
                <w:sz w:val="24"/>
                <w:szCs w:val="24"/>
                <w:lang w:val="en-CA" w:eastAsia="en-CA"/>
                <w14:ligatures w14:val="none"/>
              </w:rPr>
              <w:br/>
              <w:t xml:space="preserve">• Across the maximum duration of use of </w:t>
            </w:r>
            <w:r w:rsidRPr="006E1C09">
              <w:rPr>
                <w:rFonts w:ascii="Times New Roman" w:eastAsia="Times New Roman" w:hAnsi="Times New Roman" w:cs="Times New Roman"/>
                <w:kern w:val="0"/>
                <w:sz w:val="24"/>
                <w:szCs w:val="24"/>
                <w:lang w:val="en-CA" w:eastAsia="en-CA"/>
                <w14:ligatures w14:val="none"/>
              </w:rPr>
              <w:lastRenderedPageBreak/>
              <w:t>the high dose 52 mg LNG-IUS, the standardised number of depressions was 30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8 (95% CI 23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6–39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per 1,000 person-years.</w:t>
            </w:r>
            <w:r w:rsidRPr="006E1C09">
              <w:rPr>
                <w:rFonts w:ascii="Times New Roman" w:eastAsia="Times New Roman" w:hAnsi="Times New Roman" w:cs="Times New Roman"/>
                <w:kern w:val="0"/>
                <w:sz w:val="24"/>
                <w:szCs w:val="24"/>
                <w:lang w:val="en-CA" w:eastAsia="en-CA"/>
                <w14:ligatures w14:val="none"/>
              </w:rPr>
              <w:br/>
              <w:t>• For the low-dose LNG-IUS, the corresponding number was 19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8 (95% CI 16</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1–24</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 xml:space="preserve">0) per 1,000 person-years </w:t>
            </w:r>
            <w:r w:rsidRPr="006E1C09">
              <w:rPr>
                <w:rFonts w:ascii="Times New Roman" w:eastAsia="Times New Roman" w:hAnsi="Times New Roman" w:cs="Times New Roman"/>
                <w:kern w:val="0"/>
                <w:sz w:val="24"/>
                <w:szCs w:val="24"/>
                <w:lang w:val="en-CA" w:eastAsia="en-CA"/>
                <w14:ligatures w14:val="none"/>
              </w:rPr>
              <w:lastRenderedPageBreak/>
              <w:t>for the 19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LNG-IUS and 17</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7 (95% CI 14</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4–21</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per 1,000 person-years for the lowdose 13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LNG-IUS, respectively</w:t>
            </w:r>
            <w:r w:rsidRPr="006E1C09">
              <w:rPr>
                <w:rFonts w:ascii="Times New Roman" w:eastAsia="Times New Roman" w:hAnsi="Times New Roman" w:cs="Times New Roman"/>
                <w:kern w:val="0"/>
                <w:sz w:val="24"/>
                <w:szCs w:val="24"/>
                <w:lang w:val="en-CA" w:eastAsia="en-CA"/>
                <w14:ligatures w14:val="none"/>
              </w:rPr>
              <w:br/>
              <w:t xml:space="preserve">• Compared to the high-dose 52 mg LNG-IUS, the estimated number of avoided depressions with </w:t>
            </w:r>
            <w:r w:rsidRPr="006E1C09">
              <w:rPr>
                <w:rFonts w:ascii="Times New Roman" w:eastAsia="Times New Roman" w:hAnsi="Times New Roman" w:cs="Times New Roman"/>
                <w:kern w:val="0"/>
                <w:sz w:val="24"/>
                <w:szCs w:val="24"/>
                <w:lang w:val="en-CA" w:eastAsia="en-CA"/>
                <w14:ligatures w14:val="none"/>
              </w:rPr>
              <w:lastRenderedPageBreak/>
              <w:t>use of the 19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LNG-IUS was 11</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0 (95% CI 7</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1–14</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 xml:space="preserve">9) per 1,000 person-years when women were considered using the LNG-IUS for the maximum approved duration of use. The corresponding adjusted relative rate ratio was </w:t>
            </w:r>
            <w:r w:rsidRPr="006E1C09">
              <w:rPr>
                <w:rFonts w:ascii="Times New Roman" w:eastAsia="Times New Roman" w:hAnsi="Times New Roman" w:cs="Times New Roman"/>
                <w:kern w:val="0"/>
                <w:sz w:val="24"/>
                <w:szCs w:val="24"/>
                <w:lang w:val="en-CA" w:eastAsia="en-CA"/>
                <w14:ligatures w14:val="none"/>
              </w:rPr>
              <w:lastRenderedPageBreak/>
              <w:t>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77 (95% CI 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68–0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88)</w:t>
            </w:r>
            <w:r w:rsidRPr="006E1C09">
              <w:rPr>
                <w:rFonts w:ascii="Times New Roman" w:eastAsia="Times New Roman" w:hAnsi="Times New Roman" w:cs="Times New Roman"/>
                <w:kern w:val="0"/>
                <w:sz w:val="24"/>
                <w:szCs w:val="24"/>
                <w:lang w:val="en-CA" w:eastAsia="en-CA"/>
                <w14:ligatures w14:val="none"/>
              </w:rPr>
              <w:br/>
              <w:t>• For the 13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5 mg LNG-IUS, the corresponding number of avoided depressions was 13</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1 (95% CI 9</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6–16</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 xml:space="preserve">6) per 1,000 person-years compared to use of the high-dose 52 mg LNG-IUS, yielding a relative rate ratio </w:t>
            </w:r>
            <w:r w:rsidRPr="006E1C09">
              <w:rPr>
                <w:rFonts w:ascii="Times New Roman" w:eastAsia="Times New Roman" w:hAnsi="Times New Roman" w:cs="Times New Roman"/>
                <w:kern w:val="0"/>
                <w:sz w:val="24"/>
                <w:szCs w:val="24"/>
                <w:lang w:val="en-CA" w:eastAsia="en-CA"/>
                <w14:ligatures w14:val="none"/>
              </w:rPr>
              <w:lastRenderedPageBreak/>
              <w:t>of 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85 (95% CI 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75–0</w:t>
            </w:r>
            <w:r w:rsidRPr="006E1C09">
              <w:rPr>
                <w:rFonts w:ascii="Cambria Math" w:eastAsia="Times New Roman" w:hAnsi="Cambria Math" w:cs="Cambria Math"/>
                <w:kern w:val="0"/>
                <w:sz w:val="24"/>
                <w:szCs w:val="24"/>
                <w:lang w:val="en-CA" w:eastAsia="en-CA"/>
                <w14:ligatures w14:val="none"/>
              </w:rPr>
              <w:t>⋅</w:t>
            </w:r>
            <w:r w:rsidRPr="006E1C09">
              <w:rPr>
                <w:rFonts w:ascii="Times New Roman" w:eastAsia="Times New Roman" w:hAnsi="Times New Roman" w:cs="Times New Roman"/>
                <w:kern w:val="0"/>
                <w:sz w:val="24"/>
                <w:szCs w:val="24"/>
                <w:lang w:val="en-CA" w:eastAsia="en-CA"/>
                <w14:ligatures w14:val="none"/>
              </w:rPr>
              <w:t>96).</w:t>
            </w:r>
          </w:p>
        </w:tc>
      </w:tr>
      <w:tr w:rsidR="006E1C09" w:rsidRPr="00F87E76" w14:paraId="372F7A65" w14:textId="77777777" w:rsidTr="006E1C09">
        <w:trPr>
          <w:trHeight w:val="2520"/>
        </w:trPr>
        <w:tc>
          <w:tcPr>
            <w:tcW w:w="333" w:type="pct"/>
            <w:tcBorders>
              <w:top w:val="nil"/>
              <w:left w:val="single" w:sz="4" w:space="0" w:color="auto"/>
              <w:bottom w:val="single" w:sz="4" w:space="0" w:color="auto"/>
              <w:right w:val="single" w:sz="4" w:space="0" w:color="auto"/>
            </w:tcBorders>
            <w:shd w:val="clear" w:color="000000" w:fill="FFFFFF"/>
            <w:noWrap/>
            <w:vAlign w:val="center"/>
            <w:hideMark/>
          </w:tcPr>
          <w:p w14:paraId="707FF113" w14:textId="77777777" w:rsidR="006E1C09" w:rsidRPr="006E1C09" w:rsidRDefault="006E1C09" w:rsidP="006E1C09">
            <w:pPr>
              <w:spacing w:after="0" w:line="240" w:lineRule="auto"/>
              <w:jc w:val="center"/>
              <w:rPr>
                <w:rFonts w:ascii="Times New Roman" w:eastAsia="Times New Roman" w:hAnsi="Times New Roman" w:cs="Times New Roman"/>
                <w:b/>
                <w:bCs/>
                <w:kern w:val="0"/>
                <w:sz w:val="24"/>
                <w:szCs w:val="24"/>
                <w:lang w:val="en-CA" w:eastAsia="en-CA"/>
                <w14:ligatures w14:val="none"/>
              </w:rPr>
            </w:pPr>
            <w:r w:rsidRPr="006E1C09">
              <w:rPr>
                <w:rFonts w:ascii="Times New Roman" w:eastAsia="Times New Roman" w:hAnsi="Times New Roman" w:cs="Times New Roman"/>
                <w:b/>
                <w:bCs/>
                <w:kern w:val="0"/>
                <w:sz w:val="24"/>
                <w:szCs w:val="24"/>
                <w:lang w:val="en-CA" w:eastAsia="en-CA"/>
                <w14:ligatures w14:val="none"/>
              </w:rPr>
              <w:lastRenderedPageBreak/>
              <w:t>Yusuf et al., 2024</w:t>
            </w:r>
          </w:p>
        </w:tc>
        <w:tc>
          <w:tcPr>
            <w:tcW w:w="298" w:type="pct"/>
            <w:tcBorders>
              <w:top w:val="nil"/>
              <w:left w:val="nil"/>
              <w:bottom w:val="single" w:sz="4" w:space="0" w:color="auto"/>
              <w:right w:val="single" w:sz="4" w:space="0" w:color="auto"/>
            </w:tcBorders>
            <w:shd w:val="clear" w:color="000000" w:fill="FFFFFF"/>
            <w:vAlign w:val="center"/>
            <w:hideMark/>
          </w:tcPr>
          <w:p w14:paraId="77504C7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n = 227 women ranging from 15-49 years</w:t>
            </w:r>
          </w:p>
        </w:tc>
        <w:tc>
          <w:tcPr>
            <w:tcW w:w="576" w:type="pct"/>
            <w:tcBorders>
              <w:top w:val="nil"/>
              <w:left w:val="nil"/>
              <w:bottom w:val="single" w:sz="4" w:space="0" w:color="auto"/>
              <w:right w:val="single" w:sz="4" w:space="0" w:color="auto"/>
            </w:tcBorders>
            <w:shd w:val="clear" w:color="000000" w:fill="FFFFFF"/>
            <w:vAlign w:val="center"/>
            <w:hideMark/>
          </w:tcPr>
          <w:p w14:paraId="5E92D7C9"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Analytical cross-sectional study</w:t>
            </w:r>
          </w:p>
        </w:tc>
        <w:tc>
          <w:tcPr>
            <w:tcW w:w="487" w:type="pct"/>
            <w:tcBorders>
              <w:top w:val="nil"/>
              <w:left w:val="nil"/>
              <w:bottom w:val="single" w:sz="4" w:space="0" w:color="auto"/>
              <w:right w:val="single" w:sz="4" w:space="0" w:color="auto"/>
            </w:tcBorders>
            <w:shd w:val="clear" w:color="000000" w:fill="FFFFFF"/>
            <w:vAlign w:val="center"/>
            <w:hideMark/>
          </w:tcPr>
          <w:p w14:paraId="426D1069"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To investigate the connection between the use of hormonal contraceptive methods and depression</w:t>
            </w:r>
          </w:p>
        </w:tc>
        <w:tc>
          <w:tcPr>
            <w:tcW w:w="533" w:type="pct"/>
            <w:tcBorders>
              <w:top w:val="nil"/>
              <w:left w:val="nil"/>
              <w:bottom w:val="single" w:sz="4" w:space="0" w:color="auto"/>
              <w:right w:val="single" w:sz="4" w:space="0" w:color="auto"/>
            </w:tcBorders>
            <w:shd w:val="clear" w:color="000000" w:fill="FFFFFF"/>
            <w:vAlign w:val="center"/>
            <w:hideMark/>
          </w:tcPr>
          <w:p w14:paraId="6D1B768A"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Implant (3 years), Norplant, oral contraceptive pills</w:t>
            </w:r>
          </w:p>
        </w:tc>
        <w:tc>
          <w:tcPr>
            <w:tcW w:w="346" w:type="pct"/>
            <w:tcBorders>
              <w:top w:val="nil"/>
              <w:left w:val="nil"/>
              <w:bottom w:val="single" w:sz="4" w:space="0" w:color="auto"/>
              <w:right w:val="single" w:sz="4" w:space="0" w:color="auto"/>
            </w:tcBorders>
            <w:shd w:val="clear" w:color="000000" w:fill="FFFFFF"/>
            <w:vAlign w:val="center"/>
            <w:hideMark/>
          </w:tcPr>
          <w:p w14:paraId="519F89A3"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Between July and September 2022. 44.1% of participants had been using hormonal contraceptives for family planning for over one </w:t>
            </w:r>
            <w:r w:rsidRPr="006E1C09">
              <w:rPr>
                <w:rFonts w:ascii="Times New Roman" w:eastAsia="Times New Roman" w:hAnsi="Times New Roman" w:cs="Times New Roman"/>
                <w:kern w:val="0"/>
                <w:sz w:val="24"/>
                <w:szCs w:val="24"/>
                <w:lang w:val="en-CA" w:eastAsia="en-CA"/>
                <w14:ligatures w14:val="none"/>
              </w:rPr>
              <w:lastRenderedPageBreak/>
              <w:t>year, while 53.9% had used them for less than six months.</w:t>
            </w:r>
          </w:p>
        </w:tc>
        <w:tc>
          <w:tcPr>
            <w:tcW w:w="484" w:type="pct"/>
            <w:tcBorders>
              <w:top w:val="nil"/>
              <w:left w:val="nil"/>
              <w:bottom w:val="single" w:sz="4" w:space="0" w:color="auto"/>
              <w:right w:val="single" w:sz="4" w:space="0" w:color="auto"/>
            </w:tcBorders>
            <w:shd w:val="clear" w:color="000000" w:fill="FFFFFF"/>
            <w:vAlign w:val="center"/>
            <w:hideMark/>
          </w:tcPr>
          <w:p w14:paraId="707015A4"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 xml:space="preserve">Women using hormonal contraceptives (HC), particularly oral contraceptive pills and implant methods, are more likely to experience depression. The duration of HC use is also associated with depression </w:t>
            </w:r>
            <w:r w:rsidRPr="006E1C09">
              <w:rPr>
                <w:rFonts w:ascii="Times New Roman" w:eastAsia="Times New Roman" w:hAnsi="Times New Roman" w:cs="Times New Roman"/>
                <w:kern w:val="0"/>
                <w:sz w:val="24"/>
                <w:szCs w:val="24"/>
                <w:lang w:val="en-CA" w:eastAsia="en-CA"/>
                <w14:ligatures w14:val="none"/>
              </w:rPr>
              <w:lastRenderedPageBreak/>
              <w:t>risk, with those using hormonal contraceptives for less than three months or around six months having a higher risk of developing depression.</w:t>
            </w:r>
          </w:p>
        </w:tc>
        <w:tc>
          <w:tcPr>
            <w:tcW w:w="372" w:type="pct"/>
            <w:tcBorders>
              <w:top w:val="nil"/>
              <w:left w:val="nil"/>
              <w:bottom w:val="single" w:sz="4" w:space="0" w:color="auto"/>
              <w:right w:val="single" w:sz="4" w:space="0" w:color="auto"/>
            </w:tcBorders>
            <w:shd w:val="clear" w:color="000000" w:fill="FFFFFF"/>
            <w:vAlign w:val="center"/>
            <w:hideMark/>
          </w:tcPr>
          <w:p w14:paraId="16FB3635" w14:textId="77777777" w:rsidR="006E1C09" w:rsidRPr="006E1C09" w:rsidRDefault="006E1C09" w:rsidP="006E1C09">
            <w:pPr>
              <w:spacing w:after="0" w:line="240" w:lineRule="auto"/>
              <w:jc w:val="center"/>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lastRenderedPageBreak/>
              <w:t>N/A</w:t>
            </w:r>
          </w:p>
        </w:tc>
        <w:tc>
          <w:tcPr>
            <w:tcW w:w="611" w:type="pct"/>
            <w:tcBorders>
              <w:top w:val="nil"/>
              <w:left w:val="nil"/>
              <w:bottom w:val="single" w:sz="4" w:space="0" w:color="auto"/>
              <w:right w:val="single" w:sz="4" w:space="0" w:color="auto"/>
            </w:tcBorders>
            <w:shd w:val="clear" w:color="000000" w:fill="FFFFFF"/>
            <w:vAlign w:val="center"/>
            <w:hideMark/>
          </w:tcPr>
          <w:p w14:paraId="3E5B4C0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Depression was assessed using Patient Health Questionnaire-9 (PHQ-9).</w:t>
            </w:r>
          </w:p>
        </w:tc>
        <w:tc>
          <w:tcPr>
            <w:tcW w:w="423" w:type="pct"/>
            <w:tcBorders>
              <w:top w:val="nil"/>
              <w:left w:val="nil"/>
              <w:bottom w:val="single" w:sz="4" w:space="0" w:color="auto"/>
              <w:right w:val="single" w:sz="4" w:space="0" w:color="auto"/>
            </w:tcBorders>
            <w:shd w:val="clear" w:color="000000" w:fill="FFFFFF"/>
            <w:vAlign w:val="center"/>
            <w:hideMark/>
          </w:tcPr>
          <w:p w14:paraId="4F804192"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Women who had been diagnosed with common mental illnesses, such as schizophrenia, were excluded from the study. 39.6% took depression therapy in the past</w:t>
            </w:r>
          </w:p>
        </w:tc>
        <w:tc>
          <w:tcPr>
            <w:tcW w:w="538" w:type="pct"/>
            <w:tcBorders>
              <w:top w:val="single" w:sz="4" w:space="0" w:color="auto"/>
              <w:left w:val="nil"/>
              <w:bottom w:val="single" w:sz="4" w:space="0" w:color="auto"/>
              <w:right w:val="single" w:sz="4" w:space="0" w:color="auto"/>
            </w:tcBorders>
            <w:shd w:val="clear" w:color="000000" w:fill="FFFFFF"/>
            <w:hideMark/>
          </w:tcPr>
          <w:p w14:paraId="06604B25" w14:textId="77777777" w:rsidR="006E1C09" w:rsidRPr="006E1C09" w:rsidRDefault="006E1C09" w:rsidP="006E1C09">
            <w:pPr>
              <w:spacing w:after="0" w:line="240" w:lineRule="auto"/>
              <w:rPr>
                <w:rFonts w:ascii="Times New Roman" w:eastAsia="Times New Roman" w:hAnsi="Times New Roman" w:cs="Times New Roman"/>
                <w:kern w:val="0"/>
                <w:sz w:val="24"/>
                <w:szCs w:val="24"/>
                <w:lang w:val="en-CA" w:eastAsia="en-CA"/>
                <w14:ligatures w14:val="none"/>
              </w:rPr>
            </w:pPr>
            <w:r w:rsidRPr="006E1C09">
              <w:rPr>
                <w:rFonts w:ascii="Times New Roman" w:eastAsia="Times New Roman" w:hAnsi="Times New Roman" w:cs="Times New Roman"/>
                <w:kern w:val="0"/>
                <w:sz w:val="24"/>
                <w:szCs w:val="24"/>
                <w:lang w:val="en-CA" w:eastAsia="en-CA"/>
                <w14:ligatures w14:val="none"/>
              </w:rPr>
              <w:t xml:space="preserve">• There is a higher likelihood of women experiencing depression when utilizing the implant technique or oral pills compared to those who use Norplant. The adjusted odds ratio (AOR) for the implant </w:t>
            </w:r>
            <w:r w:rsidRPr="006E1C09">
              <w:rPr>
                <w:rFonts w:ascii="Times New Roman" w:eastAsia="Times New Roman" w:hAnsi="Times New Roman" w:cs="Times New Roman"/>
                <w:kern w:val="0"/>
                <w:sz w:val="24"/>
                <w:szCs w:val="24"/>
                <w:lang w:val="en-CA" w:eastAsia="en-CA"/>
                <w14:ligatures w14:val="none"/>
              </w:rPr>
              <w:lastRenderedPageBreak/>
              <w:t>method is 2.26 (95% CI=1.11–4.63), while the AOR for oral pills is 2.25 (95% CI=1.18–4.32).</w:t>
            </w:r>
            <w:r w:rsidRPr="006E1C09">
              <w:rPr>
                <w:rFonts w:ascii="Times New Roman" w:eastAsia="Times New Roman" w:hAnsi="Times New Roman" w:cs="Times New Roman"/>
                <w:kern w:val="0"/>
                <w:sz w:val="24"/>
                <w:szCs w:val="24"/>
                <w:lang w:val="en-CA" w:eastAsia="en-CA"/>
                <w14:ligatures w14:val="none"/>
              </w:rPr>
              <w:br/>
              <w:t>• The prevalence of depression among study participants who used HC was 33.5%</w:t>
            </w:r>
            <w:r w:rsidRPr="006E1C09">
              <w:rPr>
                <w:rFonts w:ascii="Times New Roman" w:eastAsia="Times New Roman" w:hAnsi="Times New Roman" w:cs="Times New Roman"/>
                <w:kern w:val="0"/>
                <w:sz w:val="24"/>
                <w:szCs w:val="24"/>
                <w:lang w:val="en-CA" w:eastAsia="en-CA"/>
                <w14:ligatures w14:val="none"/>
              </w:rPr>
              <w:br/>
              <w:t xml:space="preserve">• Mothers who use hormonal contraceptives for one </w:t>
            </w:r>
            <w:r w:rsidRPr="006E1C09">
              <w:rPr>
                <w:rFonts w:ascii="Times New Roman" w:eastAsia="Times New Roman" w:hAnsi="Times New Roman" w:cs="Times New Roman"/>
                <w:kern w:val="0"/>
                <w:sz w:val="24"/>
                <w:szCs w:val="24"/>
                <w:lang w:val="en-CA" w:eastAsia="en-CA"/>
                <w14:ligatures w14:val="none"/>
              </w:rPr>
              <w:lastRenderedPageBreak/>
              <w:t>year or more had less chance of getting depression compared with those who use hormonal contraceptives for approximately three months or six months, with AOR 0.3 (95% CI=0.15–0.60), and AOR 0.30 (95% CI=0.15–0.60).</w:t>
            </w:r>
            <w:r w:rsidRPr="006E1C09">
              <w:rPr>
                <w:rFonts w:ascii="Times New Roman" w:eastAsia="Times New Roman" w:hAnsi="Times New Roman" w:cs="Times New Roman"/>
                <w:kern w:val="0"/>
                <w:sz w:val="24"/>
                <w:szCs w:val="24"/>
                <w:lang w:val="en-CA" w:eastAsia="en-CA"/>
                <w14:ligatures w14:val="none"/>
              </w:rPr>
              <w:br/>
              <w:t xml:space="preserve">• The </w:t>
            </w:r>
            <w:r w:rsidRPr="006E1C09">
              <w:rPr>
                <w:rFonts w:ascii="Times New Roman" w:eastAsia="Times New Roman" w:hAnsi="Times New Roman" w:cs="Times New Roman"/>
                <w:kern w:val="0"/>
                <w:sz w:val="24"/>
                <w:szCs w:val="24"/>
                <w:lang w:val="en-CA" w:eastAsia="en-CA"/>
                <w14:ligatures w14:val="none"/>
              </w:rPr>
              <w:lastRenderedPageBreak/>
              <w:t xml:space="preserve">majority of the respondents, 27%, had moderate depression based on the PHQ-9 scale, while 22% had mild depression. Moreover, 19% of the participants experienced moderately severe and severe depression respectively and the lowest rate of depression was </w:t>
            </w:r>
            <w:r w:rsidRPr="006E1C09">
              <w:rPr>
                <w:rFonts w:ascii="Times New Roman" w:eastAsia="Times New Roman" w:hAnsi="Times New Roman" w:cs="Times New Roman"/>
                <w:kern w:val="0"/>
                <w:sz w:val="24"/>
                <w:szCs w:val="24"/>
                <w:lang w:val="en-CA" w:eastAsia="en-CA"/>
                <w14:ligatures w14:val="none"/>
              </w:rPr>
              <w:lastRenderedPageBreak/>
              <w:t>observed in 13.1% of the participants</w:t>
            </w:r>
            <w:r w:rsidRPr="006E1C09">
              <w:rPr>
                <w:rFonts w:ascii="Times New Roman" w:eastAsia="Times New Roman" w:hAnsi="Times New Roman" w:cs="Times New Roman"/>
                <w:kern w:val="0"/>
                <w:sz w:val="24"/>
                <w:szCs w:val="24"/>
                <w:lang w:val="en-CA" w:eastAsia="en-CA"/>
                <w14:ligatures w14:val="none"/>
              </w:rPr>
              <w:br/>
              <w:t xml:space="preserve">• The type of hormonal methods was adjusted and statistically reported significance for both oral contraceptive pills with AOR 2.25 (95% CI=1.18–4.32) and implant methods performed AOR 2.26 (95% </w:t>
            </w:r>
            <w:r w:rsidRPr="006E1C09">
              <w:rPr>
                <w:rFonts w:ascii="Times New Roman" w:eastAsia="Times New Roman" w:hAnsi="Times New Roman" w:cs="Times New Roman"/>
                <w:kern w:val="0"/>
                <w:sz w:val="24"/>
                <w:szCs w:val="24"/>
                <w:lang w:val="en-CA" w:eastAsia="en-CA"/>
                <w14:ligatures w14:val="none"/>
              </w:rPr>
              <w:lastRenderedPageBreak/>
              <w:t>CI=1.11, 4.63). The oral contraceptive pills p-value was recorded as 0.014. Similarly, implant methods ranged in a p-value less than 0.024</w:t>
            </w:r>
            <w:r w:rsidRPr="006E1C09">
              <w:rPr>
                <w:rFonts w:ascii="Times New Roman" w:eastAsia="Times New Roman" w:hAnsi="Times New Roman" w:cs="Times New Roman"/>
                <w:kern w:val="0"/>
                <w:sz w:val="24"/>
                <w:szCs w:val="24"/>
                <w:lang w:val="en-CA" w:eastAsia="en-CA"/>
                <w14:ligatures w14:val="none"/>
              </w:rPr>
              <w:br/>
              <w:t xml:space="preserve">• Duration was confirmed to be significantly strongly associated with depression of mothers </w:t>
            </w:r>
            <w:r w:rsidRPr="006E1C09">
              <w:rPr>
                <w:rFonts w:ascii="Times New Roman" w:eastAsia="Times New Roman" w:hAnsi="Times New Roman" w:cs="Times New Roman"/>
                <w:kern w:val="0"/>
                <w:sz w:val="24"/>
                <w:szCs w:val="24"/>
                <w:lang w:val="en-CA" w:eastAsia="en-CA"/>
                <w14:ligatures w14:val="none"/>
              </w:rPr>
              <w:lastRenderedPageBreak/>
              <w:t xml:space="preserve">who used hormonal contraceptives. Less than three months duration of performed hormonal contraceptives was a high risk of developing depression AOR 0.35 (95% CI=0.19–0.64) with a p-value of 0.001, and six-month duration was AOR </w:t>
            </w:r>
            <w:r w:rsidRPr="006E1C09">
              <w:rPr>
                <w:rFonts w:ascii="Times New Roman" w:eastAsia="Times New Roman" w:hAnsi="Times New Roman" w:cs="Times New Roman"/>
                <w:kern w:val="0"/>
                <w:sz w:val="24"/>
                <w:szCs w:val="24"/>
                <w:lang w:val="en-CA" w:eastAsia="en-CA"/>
                <w14:ligatures w14:val="none"/>
              </w:rPr>
              <w:lastRenderedPageBreak/>
              <w:t>0.30 (95% CI= 0.15–0.60) presented p-value for 0.001</w:t>
            </w:r>
          </w:p>
        </w:tc>
      </w:tr>
    </w:tbl>
    <w:p w14:paraId="3F0CBB3D" w14:textId="3F964339" w:rsidR="00C66337" w:rsidRDefault="00287D5E" w:rsidP="004C42C4">
      <w:pPr>
        <w:spacing w:line="480" w:lineRule="auto"/>
        <w:jc w:val="both"/>
        <w:rPr>
          <w:rFonts w:ascii="Times New Roman" w:hAnsi="Times New Roman" w:cs="Times New Roman"/>
          <w:sz w:val="24"/>
          <w:szCs w:val="24"/>
          <w:lang w:val="en-CA"/>
        </w:rPr>
      </w:pPr>
      <w:r>
        <w:rPr>
          <w:rFonts w:ascii="Times New Roman" w:hAnsi="Times New Roman" w:cs="Times New Roman"/>
          <w:sz w:val="24"/>
          <w:szCs w:val="24"/>
          <w:lang w:val="en-CA"/>
        </w:rPr>
        <w:lastRenderedPageBreak/>
        <w:fldChar w:fldCharType="begin">
          <w:fldData xml:space="preserve">d29yZD48a2V5d29yZD5oZWFkYWNoZS9zaSBbU2lkZSBFZmZlY3RdPC9rZXl3b3JkPjxrZXl3b3Jk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</w:fldData>
        </w:fldChar>
      </w:r>
      <w:r w:rsidR="007314A4">
        <w:rPr>
          <w:rFonts w:ascii="Times New Roman" w:hAnsi="Times New Roman" w:cs="Times New Roman"/>
          <w:sz w:val="24"/>
          <w:szCs w:val="24"/>
          <w:lang w:val="en-CA"/>
        </w:rPr>
        <w:instrText xml:space="preserve"> ADDIN EN.CITE </w:instrText>
      </w:r>
      <w:r w:rsidR="007314A4">
        <w:rPr>
          <w:rFonts w:ascii="Times New Roman" w:hAnsi="Times New Roman" w:cs="Times New Roman"/>
          <w:sz w:val="24"/>
          <w:szCs w:val="24"/>
          <w:lang w:val="en-CA"/>
        </w:rPr>
        <w:fldChar w:fldCharType="begin">
          <w:fldData xml:space="preserve">PEVuZE5vdGU+PENpdGUgRXhjbHVkZUF1dGg9IjEiIEV4Y2x1ZGVZZWFyPSIxIiBIaWRkZW49IjEi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==
</w:fldData>
        </w:fldChar>
      </w:r>
      <w:r w:rsidR="007314A4">
        <w:rPr>
          <w:rFonts w:ascii="Times New Roman" w:hAnsi="Times New Roman" w:cs="Times New Roman"/>
          <w:sz w:val="24"/>
          <w:szCs w:val="24"/>
          <w:lang w:val="en-CA"/>
        </w:rPr>
        <w:instrText xml:space="preserve"> ADDIN EN.CITE.DATA </w:instrText>
      </w:r>
      <w:r w:rsidR="007314A4">
        <w:rPr>
          <w:rFonts w:ascii="Times New Roman" w:hAnsi="Times New Roman" w:cs="Times New Roman"/>
          <w:sz w:val="24"/>
          <w:szCs w:val="24"/>
          <w:lang w:val="en-CA"/>
        </w:rPr>
      </w:r>
      <w:r w:rsidR="007314A4">
        <w:rPr>
          <w:rFonts w:ascii="Times New Roman" w:hAnsi="Times New Roman" w:cs="Times New Roman"/>
          <w:sz w:val="24"/>
          <w:szCs w:val="24"/>
          <w:lang w:val="en-CA"/>
        </w:rPr>
        <w:fldChar w:fldCharType="end"/>
      </w:r>
      <w:r w:rsidR="007314A4">
        <w:rPr>
          <w:rFonts w:ascii="Times New Roman" w:hAnsi="Times New Roman" w:cs="Times New Roman"/>
          <w:sz w:val="24"/>
          <w:szCs w:val="24"/>
          <w:lang w:val="en-CA"/>
        </w:rPr>
        <w:fldChar w:fldCharType="begin">
          <w:fldData xml:space="preserve">d29yZD48a2V5d29yZD5oZWFkYWNoZS9zaSBbU2lkZSBFZmZlY3RdPC9rZXl3b3JkPjxrZXl3b3Jk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</w:fldData>
        </w:fldChar>
      </w:r>
      <w:r w:rsidR="007314A4">
        <w:rPr>
          <w:rFonts w:ascii="Times New Roman" w:hAnsi="Times New Roman" w:cs="Times New Roman"/>
          <w:sz w:val="24"/>
          <w:szCs w:val="24"/>
          <w:lang w:val="en-CA"/>
        </w:rPr>
        <w:instrText xml:space="preserve"> ADDIN EN.CITE.DATA </w:instrText>
      </w:r>
      <w:r w:rsidR="007314A4">
        <w:rPr>
          <w:rFonts w:ascii="Times New Roman" w:hAnsi="Times New Roman" w:cs="Times New Roman"/>
          <w:sz w:val="24"/>
          <w:szCs w:val="24"/>
          <w:lang w:val="en-CA"/>
        </w:rPr>
      </w:r>
      <w:r w:rsidR="007314A4">
        <w:rPr>
          <w:rFonts w:ascii="Times New Roman" w:hAnsi="Times New Roman" w:cs="Times New Roman"/>
          <w:sz w:val="24"/>
          <w:szCs w:val="24"/>
          <w:lang w:val="en-CA"/>
        </w:rPr>
        <w:fldChar w:fldCharType="end"/>
      </w:r>
      <w:r>
        <w:rPr>
          <w:rFonts w:ascii="Times New Roman" w:hAnsi="Times New Roman" w:cs="Times New Roman"/>
          <w:sz w:val="24"/>
          <w:szCs w:val="24"/>
          <w:lang w:val="en-CA"/>
        </w:rPr>
      </w:r>
      <w:r>
        <w:rPr>
          <w:rFonts w:ascii="Times New Roman" w:hAnsi="Times New Roman" w:cs="Times New Roman"/>
          <w:sz w:val="24"/>
          <w:szCs w:val="24"/>
          <w:lang w:val="en-CA"/>
        </w:rPr>
        <w:fldChar w:fldCharType="separate"/>
      </w:r>
      <w:r>
        <w:rPr>
          <w:rFonts w:ascii="Times New Roman" w:hAnsi="Times New Roman" w:cs="Times New Roman"/>
          <w:sz w:val="24"/>
          <w:szCs w:val="24"/>
          <w:lang w:val="en-CA"/>
        </w:rPr>
        <w:fldChar w:fldCharType="end"/>
      </w:r>
    </w:p>
    <w:sectPr w:rsidR="00C66337" w:rsidSect="00927413">
      <w:footerReference w:type="default" r:id="rId11"/>
      <w:pgSz w:w="12240" w:h="15840"/>
      <w:pgMar w:top="1440" w:right="1800" w:bottom="1440" w:left="180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6B3ED9" w14:textId="77777777" w:rsidR="00716055" w:rsidRDefault="00716055" w:rsidP="00927413">
      <w:pPr>
        <w:spacing w:after="0" w:line="240" w:lineRule="auto"/>
      </w:pPr>
      <w:r>
        <w:separator/>
      </w:r>
    </w:p>
  </w:endnote>
  <w:endnote w:type="continuationSeparator" w:id="0">
    <w:p w14:paraId="6DEEF5ED" w14:textId="77777777" w:rsidR="00716055" w:rsidRDefault="00716055" w:rsidP="009274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7302540"/>
      <w:docPartObj>
        <w:docPartGallery w:val="Page Numbers (Bottom of Page)"/>
        <w:docPartUnique/>
      </w:docPartObj>
    </w:sdtPr>
    <w:sdtEndPr>
      <w:rPr>
        <w:rFonts w:ascii="Times New Roman" w:hAnsi="Times New Roman" w:cs="Times New Roman"/>
        <w:noProof/>
        <w:sz w:val="24"/>
        <w:szCs w:val="24"/>
      </w:rPr>
    </w:sdtEndPr>
    <w:sdtContent>
      <w:p w14:paraId="65344217" w14:textId="508FB50C" w:rsidR="00927413" w:rsidRPr="00927413" w:rsidRDefault="00927413">
        <w:pPr>
          <w:pStyle w:val="Footer"/>
          <w:jc w:val="right"/>
          <w:rPr>
            <w:rFonts w:ascii="Times New Roman" w:hAnsi="Times New Roman" w:cs="Times New Roman"/>
            <w:sz w:val="24"/>
            <w:szCs w:val="24"/>
          </w:rPr>
        </w:pPr>
        <w:r w:rsidRPr="00927413">
          <w:rPr>
            <w:rFonts w:ascii="Times New Roman" w:hAnsi="Times New Roman" w:cs="Times New Roman"/>
            <w:sz w:val="24"/>
            <w:szCs w:val="24"/>
          </w:rPr>
          <w:fldChar w:fldCharType="begin"/>
        </w:r>
        <w:r w:rsidRPr="00927413">
          <w:rPr>
            <w:rFonts w:ascii="Times New Roman" w:hAnsi="Times New Roman" w:cs="Times New Roman"/>
            <w:sz w:val="24"/>
            <w:szCs w:val="24"/>
          </w:rPr>
          <w:instrText xml:space="preserve"> PAGE   \* MERGEFORMAT </w:instrText>
        </w:r>
        <w:r w:rsidRPr="00927413">
          <w:rPr>
            <w:rFonts w:ascii="Times New Roman" w:hAnsi="Times New Roman" w:cs="Times New Roman"/>
            <w:sz w:val="24"/>
            <w:szCs w:val="24"/>
          </w:rPr>
          <w:fldChar w:fldCharType="separate"/>
        </w:r>
        <w:r w:rsidRPr="00927413">
          <w:rPr>
            <w:rFonts w:ascii="Times New Roman" w:hAnsi="Times New Roman" w:cs="Times New Roman"/>
            <w:noProof/>
            <w:sz w:val="24"/>
            <w:szCs w:val="24"/>
          </w:rPr>
          <w:t>2</w:t>
        </w:r>
        <w:r w:rsidRPr="00927413">
          <w:rPr>
            <w:rFonts w:ascii="Times New Roman" w:hAnsi="Times New Roman" w:cs="Times New Roman"/>
            <w:noProof/>
            <w:sz w:val="24"/>
            <w:szCs w:val="24"/>
          </w:rPr>
          <w:fldChar w:fldCharType="end"/>
        </w:r>
      </w:p>
    </w:sdtContent>
  </w:sdt>
  <w:p w14:paraId="235F3DA3" w14:textId="77777777" w:rsidR="00927413" w:rsidRDefault="009274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C1863" w14:textId="77777777" w:rsidR="00716055" w:rsidRDefault="00716055" w:rsidP="00927413">
      <w:pPr>
        <w:spacing w:after="0" w:line="240" w:lineRule="auto"/>
      </w:pPr>
      <w:r>
        <w:separator/>
      </w:r>
    </w:p>
  </w:footnote>
  <w:footnote w:type="continuationSeparator" w:id="0">
    <w:p w14:paraId="2640D51A" w14:textId="77777777" w:rsidR="00716055" w:rsidRDefault="00716055" w:rsidP="0092741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521FE"/>
    <w:multiLevelType w:val="hybridMultilevel"/>
    <w:tmpl w:val="79D6ABB2"/>
    <w:lvl w:ilvl="0" w:tplc="1009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A1F0477"/>
    <w:multiLevelType w:val="multilevel"/>
    <w:tmpl w:val="D696B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C35DFF"/>
    <w:multiLevelType w:val="hybridMultilevel"/>
    <w:tmpl w:val="A8AEA8B6"/>
    <w:lvl w:ilvl="0" w:tplc="E44E1078">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3" w15:restartNumberingAfterBreak="0">
    <w:nsid w:val="0CD45CEF"/>
    <w:multiLevelType w:val="multilevel"/>
    <w:tmpl w:val="F87C55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1CE940A8"/>
    <w:multiLevelType w:val="hybridMultilevel"/>
    <w:tmpl w:val="52E22EBE"/>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5" w15:restartNumberingAfterBreak="0">
    <w:nsid w:val="1F9F54F9"/>
    <w:multiLevelType w:val="multilevel"/>
    <w:tmpl w:val="4E0446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48564A"/>
    <w:multiLevelType w:val="multilevel"/>
    <w:tmpl w:val="3972192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3E3A702F"/>
    <w:multiLevelType w:val="multilevel"/>
    <w:tmpl w:val="383A7E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DF56D58"/>
    <w:multiLevelType w:val="multilevel"/>
    <w:tmpl w:val="0EBA47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65B2D97"/>
    <w:multiLevelType w:val="multilevel"/>
    <w:tmpl w:val="5A726404"/>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5E6062E9"/>
    <w:multiLevelType w:val="multilevel"/>
    <w:tmpl w:val="B7189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0465F4"/>
    <w:multiLevelType w:val="multilevel"/>
    <w:tmpl w:val="DEA030D4"/>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2" w15:restartNumberingAfterBreak="0">
    <w:nsid w:val="624B27B6"/>
    <w:multiLevelType w:val="hybridMultilevel"/>
    <w:tmpl w:val="7C7ACBA2"/>
    <w:lvl w:ilvl="0" w:tplc="1009000D">
      <w:start w:val="1"/>
      <w:numFmt w:val="bullet"/>
      <w:lvlText w:val=""/>
      <w:lvlJc w:val="left"/>
      <w:pPr>
        <w:ind w:left="720" w:hanging="360"/>
      </w:pPr>
      <w:rPr>
        <w:rFonts w:ascii="Wingdings" w:hAnsi="Wingdings"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6472347B"/>
    <w:multiLevelType w:val="hybridMultilevel"/>
    <w:tmpl w:val="369AFB7A"/>
    <w:lvl w:ilvl="0" w:tplc="1009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4" w15:restartNumberingAfterBreak="0">
    <w:nsid w:val="6AFB003E"/>
    <w:multiLevelType w:val="multilevel"/>
    <w:tmpl w:val="DD942C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32106D1"/>
    <w:multiLevelType w:val="hybridMultilevel"/>
    <w:tmpl w:val="FCF28EF6"/>
    <w:lvl w:ilvl="0" w:tplc="80D63192">
      <w:numFmt w:val="bullet"/>
      <w:lvlText w:val="-"/>
      <w:lvlJc w:val="left"/>
      <w:pPr>
        <w:ind w:left="720" w:hanging="360"/>
      </w:pPr>
      <w:rPr>
        <w:rFonts w:ascii="Aptos" w:eastAsiaTheme="minorHAnsi" w:hAnsi="Aptos" w:cstheme="minorBidi"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num w:numId="1" w16cid:durableId="21243132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46373639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8956923">
    <w:abstractNumId w:val="14"/>
  </w:num>
  <w:num w:numId="4" w16cid:durableId="2073694327">
    <w:abstractNumId w:val="13"/>
  </w:num>
  <w:num w:numId="5" w16cid:durableId="1604803615">
    <w:abstractNumId w:val="12"/>
  </w:num>
  <w:num w:numId="6" w16cid:durableId="1381632351">
    <w:abstractNumId w:val="15"/>
  </w:num>
  <w:num w:numId="7" w16cid:durableId="1189031838">
    <w:abstractNumId w:val="2"/>
  </w:num>
  <w:num w:numId="8" w16cid:durableId="510995789">
    <w:abstractNumId w:val="4"/>
  </w:num>
  <w:num w:numId="9" w16cid:durableId="76832445">
    <w:abstractNumId w:val="11"/>
  </w:num>
  <w:num w:numId="10" w16cid:durableId="1335036821">
    <w:abstractNumId w:val="8"/>
  </w:num>
  <w:num w:numId="11" w16cid:durableId="1586065802">
    <w:abstractNumId w:val="7"/>
  </w:num>
  <w:num w:numId="12" w16cid:durableId="762607540">
    <w:abstractNumId w:val="0"/>
  </w:num>
  <w:num w:numId="13" w16cid:durableId="691541075">
    <w:abstractNumId w:val="9"/>
  </w:num>
  <w:num w:numId="14" w16cid:durableId="1550604315">
    <w:abstractNumId w:val="10"/>
  </w:num>
  <w:num w:numId="15" w16cid:durableId="1031995911">
    <w:abstractNumId w:val="5"/>
  </w:num>
  <w:num w:numId="16" w16cid:durableId="102001354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2&lt;/LineSpacing&gt;&lt;SpaceAfter&gt;0&lt;/SpaceAfter&gt;&lt;HyperlinksEnabled&gt;0&lt;/HyperlinksEnabled&gt;&lt;HyperlinksVisible&gt;0&lt;/HyperlinksVisible&gt;&lt;EnableBibliographyCategories&gt;0&lt;/EnableBibliographyCategories&gt;&lt;/ENLayout&gt;"/>
    <w:docVar w:name="EN.Libraries" w:val="&lt;Libraries&gt;&lt;item db-id=&quot;xx9552pvu2wptaez2v0pearxzaaxwzzdatds&quot;&gt;Contraception_SM (ABSTRACTS)&lt;record-ids&gt;&lt;item&gt;5907&lt;/item&gt;&lt;item&gt;5908&lt;/item&gt;&lt;item&gt;5925&lt;/item&gt;&lt;item&gt;5937&lt;/item&gt;&lt;item&gt;5947&lt;/item&gt;&lt;item&gt;5950&lt;/item&gt;&lt;item&gt;5996&lt;/item&gt;&lt;item&gt;6077&lt;/item&gt;&lt;item&gt;6079&lt;/item&gt;&lt;item&gt;6081&lt;/item&gt;&lt;item&gt;6094&lt;/item&gt;&lt;item&gt;6097&lt;/item&gt;&lt;item&gt;6158&lt;/item&gt;&lt;item&gt;6186&lt;/item&gt;&lt;item&gt;6371&lt;/item&gt;&lt;item&gt;6564&lt;/item&gt;&lt;item&gt;6577&lt;/item&gt;&lt;item&gt;6596&lt;/item&gt;&lt;item&gt;6673&lt;/item&gt;&lt;item&gt;6674&lt;/item&gt;&lt;item&gt;6678&lt;/item&gt;&lt;item&gt;6679&lt;/item&gt;&lt;item&gt;6703&lt;/item&gt;&lt;item&gt;6731&lt;/item&gt;&lt;item&gt;6778&lt;/item&gt;&lt;item&gt;6825&lt;/item&gt;&lt;item&gt;6864&lt;/item&gt;&lt;item&gt;6921&lt;/item&gt;&lt;item&gt;6964&lt;/item&gt;&lt;item&gt;7011&lt;/item&gt;&lt;item&gt;7059&lt;/item&gt;&lt;item&gt;7067&lt;/item&gt;&lt;item&gt;7076&lt;/item&gt;&lt;item&gt;7237&lt;/item&gt;&lt;item&gt;7271&lt;/item&gt;&lt;item&gt;7286&lt;/item&gt;&lt;item&gt;7287&lt;/item&gt;&lt;item&gt;7301&lt;/item&gt;&lt;item&gt;7334&lt;/item&gt;&lt;item&gt;7427&lt;/item&gt;&lt;item&gt;7445&lt;/item&gt;&lt;item&gt;7466&lt;/item&gt;&lt;item&gt;7487&lt;/item&gt;&lt;item&gt;7556&lt;/item&gt;&lt;item&gt;7634&lt;/item&gt;&lt;item&gt;7731&lt;/item&gt;&lt;item&gt;7734&lt;/item&gt;&lt;item&gt;7880&lt;/item&gt;&lt;item&gt;7994&lt;/item&gt;&lt;item&gt;8062&lt;/item&gt;&lt;item&gt;8099&lt;/item&gt;&lt;item&gt;8334&lt;/item&gt;&lt;item&gt;8404&lt;/item&gt;&lt;item&gt;8444&lt;/item&gt;&lt;item&gt;8538&lt;/item&gt;&lt;item&gt;9302&lt;/item&gt;&lt;item&gt;9442&lt;/item&gt;&lt;item&gt;10130&lt;/item&gt;&lt;item&gt;11740&lt;/item&gt;&lt;item&gt;11741&lt;/item&gt;&lt;item&gt;11742&lt;/item&gt;&lt;item&gt;11743&lt;/item&gt;&lt;item&gt;11746&lt;/item&gt;&lt;item&gt;11747&lt;/item&gt;&lt;item&gt;11748&lt;/item&gt;&lt;/record-ids&gt;&lt;/item&gt;&lt;/Libraries&gt;"/>
    <w:docVar w:name="EN.UseJSCitationFormat" w:val="False"/>
  </w:docVars>
  <w:rsids>
    <w:rsidRoot w:val="00EB4C60"/>
    <w:rsid w:val="00002316"/>
    <w:rsid w:val="00006438"/>
    <w:rsid w:val="00012A5F"/>
    <w:rsid w:val="00017EF4"/>
    <w:rsid w:val="00027C80"/>
    <w:rsid w:val="00034CA7"/>
    <w:rsid w:val="000474E9"/>
    <w:rsid w:val="000528B1"/>
    <w:rsid w:val="0005350F"/>
    <w:rsid w:val="00061B52"/>
    <w:rsid w:val="00064BD7"/>
    <w:rsid w:val="00065086"/>
    <w:rsid w:val="00073C69"/>
    <w:rsid w:val="00082131"/>
    <w:rsid w:val="00082AED"/>
    <w:rsid w:val="000839A6"/>
    <w:rsid w:val="00087D2F"/>
    <w:rsid w:val="000904D5"/>
    <w:rsid w:val="00091FA2"/>
    <w:rsid w:val="00092594"/>
    <w:rsid w:val="00092AA2"/>
    <w:rsid w:val="00094070"/>
    <w:rsid w:val="0009664E"/>
    <w:rsid w:val="000A0605"/>
    <w:rsid w:val="000B0F9B"/>
    <w:rsid w:val="000B6308"/>
    <w:rsid w:val="000C3619"/>
    <w:rsid w:val="000C3CAF"/>
    <w:rsid w:val="000C605C"/>
    <w:rsid w:val="000C60FE"/>
    <w:rsid w:val="000E0CFC"/>
    <w:rsid w:val="000E3F46"/>
    <w:rsid w:val="000E3F97"/>
    <w:rsid w:val="000E51CE"/>
    <w:rsid w:val="00104373"/>
    <w:rsid w:val="00106CC2"/>
    <w:rsid w:val="001079D3"/>
    <w:rsid w:val="001132DC"/>
    <w:rsid w:val="001152A4"/>
    <w:rsid w:val="0011594F"/>
    <w:rsid w:val="001462C9"/>
    <w:rsid w:val="00150FD6"/>
    <w:rsid w:val="001533FE"/>
    <w:rsid w:val="001573D3"/>
    <w:rsid w:val="001609D9"/>
    <w:rsid w:val="001672A2"/>
    <w:rsid w:val="00171ED3"/>
    <w:rsid w:val="00172851"/>
    <w:rsid w:val="001734F5"/>
    <w:rsid w:val="00182FD8"/>
    <w:rsid w:val="00183ED8"/>
    <w:rsid w:val="00187953"/>
    <w:rsid w:val="0019076C"/>
    <w:rsid w:val="00193C6E"/>
    <w:rsid w:val="00193FAA"/>
    <w:rsid w:val="001A31D2"/>
    <w:rsid w:val="001A39EC"/>
    <w:rsid w:val="001A4F1F"/>
    <w:rsid w:val="001B2FB5"/>
    <w:rsid w:val="001B546A"/>
    <w:rsid w:val="001B5502"/>
    <w:rsid w:val="001B7F5F"/>
    <w:rsid w:val="001C3172"/>
    <w:rsid w:val="001C3C57"/>
    <w:rsid w:val="001C6775"/>
    <w:rsid w:val="001C6CD9"/>
    <w:rsid w:val="001C71AE"/>
    <w:rsid w:val="001D0117"/>
    <w:rsid w:val="001D3BB2"/>
    <w:rsid w:val="001D424C"/>
    <w:rsid w:val="001E2253"/>
    <w:rsid w:val="001F23EF"/>
    <w:rsid w:val="001F32DE"/>
    <w:rsid w:val="001F35FE"/>
    <w:rsid w:val="00203934"/>
    <w:rsid w:val="002061D3"/>
    <w:rsid w:val="00210036"/>
    <w:rsid w:val="002129FA"/>
    <w:rsid w:val="002211C9"/>
    <w:rsid w:val="00225337"/>
    <w:rsid w:val="00227A21"/>
    <w:rsid w:val="00232004"/>
    <w:rsid w:val="00236C8F"/>
    <w:rsid w:val="00242EB7"/>
    <w:rsid w:val="00252DD5"/>
    <w:rsid w:val="00257AE1"/>
    <w:rsid w:val="00263E5C"/>
    <w:rsid w:val="002728B4"/>
    <w:rsid w:val="002771A6"/>
    <w:rsid w:val="00280F78"/>
    <w:rsid w:val="00281F28"/>
    <w:rsid w:val="0028276A"/>
    <w:rsid w:val="00287D5E"/>
    <w:rsid w:val="00292612"/>
    <w:rsid w:val="00292E72"/>
    <w:rsid w:val="002A5FCF"/>
    <w:rsid w:val="002A6207"/>
    <w:rsid w:val="002C3D17"/>
    <w:rsid w:val="002C70B4"/>
    <w:rsid w:val="002E283F"/>
    <w:rsid w:val="002E29CF"/>
    <w:rsid w:val="002E40A4"/>
    <w:rsid w:val="002F098D"/>
    <w:rsid w:val="002F19B1"/>
    <w:rsid w:val="002F2E52"/>
    <w:rsid w:val="003103D0"/>
    <w:rsid w:val="0031503E"/>
    <w:rsid w:val="00321430"/>
    <w:rsid w:val="00324F99"/>
    <w:rsid w:val="00326263"/>
    <w:rsid w:val="00332508"/>
    <w:rsid w:val="0033695D"/>
    <w:rsid w:val="003432B2"/>
    <w:rsid w:val="00353BB1"/>
    <w:rsid w:val="0035485B"/>
    <w:rsid w:val="00357137"/>
    <w:rsid w:val="003639A0"/>
    <w:rsid w:val="0036513E"/>
    <w:rsid w:val="0037138E"/>
    <w:rsid w:val="0038077C"/>
    <w:rsid w:val="0038110A"/>
    <w:rsid w:val="00382063"/>
    <w:rsid w:val="00384081"/>
    <w:rsid w:val="00392636"/>
    <w:rsid w:val="00397E9B"/>
    <w:rsid w:val="003A06D3"/>
    <w:rsid w:val="003A19E9"/>
    <w:rsid w:val="003A4CED"/>
    <w:rsid w:val="003B08EE"/>
    <w:rsid w:val="003B43C7"/>
    <w:rsid w:val="003C15F5"/>
    <w:rsid w:val="003C1C6D"/>
    <w:rsid w:val="003C5B43"/>
    <w:rsid w:val="003D3383"/>
    <w:rsid w:val="003D5DFB"/>
    <w:rsid w:val="003E0ED2"/>
    <w:rsid w:val="003F4022"/>
    <w:rsid w:val="00401BF0"/>
    <w:rsid w:val="00407FC3"/>
    <w:rsid w:val="004127DD"/>
    <w:rsid w:val="00413D5A"/>
    <w:rsid w:val="00415783"/>
    <w:rsid w:val="00417B32"/>
    <w:rsid w:val="00442F1E"/>
    <w:rsid w:val="004453B9"/>
    <w:rsid w:val="00446FC0"/>
    <w:rsid w:val="00451790"/>
    <w:rsid w:val="00452DDB"/>
    <w:rsid w:val="00453F5C"/>
    <w:rsid w:val="00457EAC"/>
    <w:rsid w:val="00462C61"/>
    <w:rsid w:val="00464854"/>
    <w:rsid w:val="00465EB0"/>
    <w:rsid w:val="00475A14"/>
    <w:rsid w:val="00484A0F"/>
    <w:rsid w:val="004860F2"/>
    <w:rsid w:val="00487355"/>
    <w:rsid w:val="004A58F0"/>
    <w:rsid w:val="004A7378"/>
    <w:rsid w:val="004A7D23"/>
    <w:rsid w:val="004B3ACB"/>
    <w:rsid w:val="004B635E"/>
    <w:rsid w:val="004C42C4"/>
    <w:rsid w:val="004C6E40"/>
    <w:rsid w:val="004C71BC"/>
    <w:rsid w:val="004D18E7"/>
    <w:rsid w:val="004D4AFC"/>
    <w:rsid w:val="004D7394"/>
    <w:rsid w:val="004F0C35"/>
    <w:rsid w:val="004F5A0E"/>
    <w:rsid w:val="005004F5"/>
    <w:rsid w:val="0051056E"/>
    <w:rsid w:val="005110C7"/>
    <w:rsid w:val="00511C7C"/>
    <w:rsid w:val="0051338C"/>
    <w:rsid w:val="0051622C"/>
    <w:rsid w:val="00517BD2"/>
    <w:rsid w:val="0052106D"/>
    <w:rsid w:val="00521C89"/>
    <w:rsid w:val="00527467"/>
    <w:rsid w:val="005311B4"/>
    <w:rsid w:val="005322BE"/>
    <w:rsid w:val="00534ED4"/>
    <w:rsid w:val="00536A73"/>
    <w:rsid w:val="00536F81"/>
    <w:rsid w:val="00541426"/>
    <w:rsid w:val="0054693A"/>
    <w:rsid w:val="005469AD"/>
    <w:rsid w:val="0056044C"/>
    <w:rsid w:val="005740CA"/>
    <w:rsid w:val="00581D77"/>
    <w:rsid w:val="00586B73"/>
    <w:rsid w:val="005948F2"/>
    <w:rsid w:val="00596906"/>
    <w:rsid w:val="005B2558"/>
    <w:rsid w:val="005B3965"/>
    <w:rsid w:val="005B4C1D"/>
    <w:rsid w:val="005B5D90"/>
    <w:rsid w:val="005C2A94"/>
    <w:rsid w:val="005C7216"/>
    <w:rsid w:val="005D2B58"/>
    <w:rsid w:val="005D6B1E"/>
    <w:rsid w:val="005D7F59"/>
    <w:rsid w:val="005E0211"/>
    <w:rsid w:val="005E301B"/>
    <w:rsid w:val="005E7BC4"/>
    <w:rsid w:val="005F307F"/>
    <w:rsid w:val="00600AC6"/>
    <w:rsid w:val="00602197"/>
    <w:rsid w:val="0060563E"/>
    <w:rsid w:val="00621B29"/>
    <w:rsid w:val="00627C5B"/>
    <w:rsid w:val="00630D0A"/>
    <w:rsid w:val="00633444"/>
    <w:rsid w:val="006417E2"/>
    <w:rsid w:val="0064286B"/>
    <w:rsid w:val="00643474"/>
    <w:rsid w:val="006454A6"/>
    <w:rsid w:val="00656B41"/>
    <w:rsid w:val="006611D8"/>
    <w:rsid w:val="00662332"/>
    <w:rsid w:val="00680516"/>
    <w:rsid w:val="0068373B"/>
    <w:rsid w:val="00683D8E"/>
    <w:rsid w:val="006853F1"/>
    <w:rsid w:val="0069116B"/>
    <w:rsid w:val="006922BA"/>
    <w:rsid w:val="006A662A"/>
    <w:rsid w:val="006B148A"/>
    <w:rsid w:val="006C3D8F"/>
    <w:rsid w:val="006C5430"/>
    <w:rsid w:val="006C655E"/>
    <w:rsid w:val="006C7F70"/>
    <w:rsid w:val="006D07DA"/>
    <w:rsid w:val="006D45CA"/>
    <w:rsid w:val="006E0CCB"/>
    <w:rsid w:val="006E1C09"/>
    <w:rsid w:val="006F0682"/>
    <w:rsid w:val="006F2C20"/>
    <w:rsid w:val="006F4E34"/>
    <w:rsid w:val="00710757"/>
    <w:rsid w:val="00712CAD"/>
    <w:rsid w:val="00713131"/>
    <w:rsid w:val="00716055"/>
    <w:rsid w:val="00721E31"/>
    <w:rsid w:val="007228C4"/>
    <w:rsid w:val="007314A4"/>
    <w:rsid w:val="007335E2"/>
    <w:rsid w:val="00734198"/>
    <w:rsid w:val="00736BFC"/>
    <w:rsid w:val="007457AE"/>
    <w:rsid w:val="007607B9"/>
    <w:rsid w:val="00764E10"/>
    <w:rsid w:val="0076559A"/>
    <w:rsid w:val="0076580B"/>
    <w:rsid w:val="0077640A"/>
    <w:rsid w:val="00780343"/>
    <w:rsid w:val="007926EA"/>
    <w:rsid w:val="00792C3C"/>
    <w:rsid w:val="007A255D"/>
    <w:rsid w:val="007A770C"/>
    <w:rsid w:val="007B0940"/>
    <w:rsid w:val="007B09F6"/>
    <w:rsid w:val="007B72E1"/>
    <w:rsid w:val="007C7DB5"/>
    <w:rsid w:val="007D6066"/>
    <w:rsid w:val="007E6742"/>
    <w:rsid w:val="007F53BF"/>
    <w:rsid w:val="007F65C4"/>
    <w:rsid w:val="007F68D6"/>
    <w:rsid w:val="00803D12"/>
    <w:rsid w:val="0080665C"/>
    <w:rsid w:val="0081773A"/>
    <w:rsid w:val="00822C63"/>
    <w:rsid w:val="0082630E"/>
    <w:rsid w:val="00827CA1"/>
    <w:rsid w:val="00831BFF"/>
    <w:rsid w:val="008361C4"/>
    <w:rsid w:val="00852460"/>
    <w:rsid w:val="00853684"/>
    <w:rsid w:val="00853D8D"/>
    <w:rsid w:val="00856AB2"/>
    <w:rsid w:val="00860BC6"/>
    <w:rsid w:val="00860FDB"/>
    <w:rsid w:val="00864DC4"/>
    <w:rsid w:val="0086537E"/>
    <w:rsid w:val="00870470"/>
    <w:rsid w:val="00870F40"/>
    <w:rsid w:val="008747C8"/>
    <w:rsid w:val="008925E3"/>
    <w:rsid w:val="00892718"/>
    <w:rsid w:val="00893C92"/>
    <w:rsid w:val="00894117"/>
    <w:rsid w:val="00895A8A"/>
    <w:rsid w:val="008A0938"/>
    <w:rsid w:val="008A517F"/>
    <w:rsid w:val="008A77A7"/>
    <w:rsid w:val="008B7953"/>
    <w:rsid w:val="008C1E54"/>
    <w:rsid w:val="008D5D31"/>
    <w:rsid w:val="008E3DE7"/>
    <w:rsid w:val="008E703F"/>
    <w:rsid w:val="008F4327"/>
    <w:rsid w:val="00910BE1"/>
    <w:rsid w:val="00920620"/>
    <w:rsid w:val="00924531"/>
    <w:rsid w:val="00927413"/>
    <w:rsid w:val="0093178E"/>
    <w:rsid w:val="00937102"/>
    <w:rsid w:val="009376C7"/>
    <w:rsid w:val="00944177"/>
    <w:rsid w:val="00944946"/>
    <w:rsid w:val="0095223F"/>
    <w:rsid w:val="00953EB8"/>
    <w:rsid w:val="00954FF9"/>
    <w:rsid w:val="009652B8"/>
    <w:rsid w:val="00966F39"/>
    <w:rsid w:val="00967208"/>
    <w:rsid w:val="009754E4"/>
    <w:rsid w:val="00975709"/>
    <w:rsid w:val="0097668A"/>
    <w:rsid w:val="009845E5"/>
    <w:rsid w:val="0098493D"/>
    <w:rsid w:val="00990606"/>
    <w:rsid w:val="009916EE"/>
    <w:rsid w:val="009A40A1"/>
    <w:rsid w:val="009B6F9B"/>
    <w:rsid w:val="009C2E8A"/>
    <w:rsid w:val="009C5A15"/>
    <w:rsid w:val="009D1187"/>
    <w:rsid w:val="009D1370"/>
    <w:rsid w:val="009D2F80"/>
    <w:rsid w:val="009E6502"/>
    <w:rsid w:val="009F3C5A"/>
    <w:rsid w:val="009F4D9F"/>
    <w:rsid w:val="00A00DEC"/>
    <w:rsid w:val="00A06A74"/>
    <w:rsid w:val="00A10694"/>
    <w:rsid w:val="00A233B2"/>
    <w:rsid w:val="00A35F46"/>
    <w:rsid w:val="00A369E7"/>
    <w:rsid w:val="00A40DDB"/>
    <w:rsid w:val="00A4278B"/>
    <w:rsid w:val="00A44C54"/>
    <w:rsid w:val="00A458D0"/>
    <w:rsid w:val="00A4751F"/>
    <w:rsid w:val="00A51EB8"/>
    <w:rsid w:val="00A56F75"/>
    <w:rsid w:val="00A67635"/>
    <w:rsid w:val="00A7259D"/>
    <w:rsid w:val="00A72658"/>
    <w:rsid w:val="00A743B0"/>
    <w:rsid w:val="00A75E66"/>
    <w:rsid w:val="00A90A9D"/>
    <w:rsid w:val="00AA5C73"/>
    <w:rsid w:val="00AA78A0"/>
    <w:rsid w:val="00AB3E82"/>
    <w:rsid w:val="00AD0D33"/>
    <w:rsid w:val="00AD11EC"/>
    <w:rsid w:val="00AE0572"/>
    <w:rsid w:val="00AE09E7"/>
    <w:rsid w:val="00AE6560"/>
    <w:rsid w:val="00AE6F3A"/>
    <w:rsid w:val="00AF03ED"/>
    <w:rsid w:val="00AF1EA0"/>
    <w:rsid w:val="00AF4E83"/>
    <w:rsid w:val="00AF65A8"/>
    <w:rsid w:val="00B00BD9"/>
    <w:rsid w:val="00B038B4"/>
    <w:rsid w:val="00B1073B"/>
    <w:rsid w:val="00B11A5B"/>
    <w:rsid w:val="00B12155"/>
    <w:rsid w:val="00B260D7"/>
    <w:rsid w:val="00B2780B"/>
    <w:rsid w:val="00B400C1"/>
    <w:rsid w:val="00B4018D"/>
    <w:rsid w:val="00B407A7"/>
    <w:rsid w:val="00B43862"/>
    <w:rsid w:val="00B45298"/>
    <w:rsid w:val="00B51AE9"/>
    <w:rsid w:val="00B528E2"/>
    <w:rsid w:val="00B669FF"/>
    <w:rsid w:val="00B673B5"/>
    <w:rsid w:val="00B7026D"/>
    <w:rsid w:val="00B716D4"/>
    <w:rsid w:val="00B73665"/>
    <w:rsid w:val="00B87059"/>
    <w:rsid w:val="00B92395"/>
    <w:rsid w:val="00B940B7"/>
    <w:rsid w:val="00B94204"/>
    <w:rsid w:val="00B952CD"/>
    <w:rsid w:val="00BA3C22"/>
    <w:rsid w:val="00BA4425"/>
    <w:rsid w:val="00BA59CD"/>
    <w:rsid w:val="00BA5BA2"/>
    <w:rsid w:val="00BA6658"/>
    <w:rsid w:val="00BB0482"/>
    <w:rsid w:val="00BC428F"/>
    <w:rsid w:val="00BD7474"/>
    <w:rsid w:val="00BE12B4"/>
    <w:rsid w:val="00BE1ED1"/>
    <w:rsid w:val="00BF0E53"/>
    <w:rsid w:val="00BF34DE"/>
    <w:rsid w:val="00BF40E9"/>
    <w:rsid w:val="00C11AB8"/>
    <w:rsid w:val="00C21AA5"/>
    <w:rsid w:val="00C21B7C"/>
    <w:rsid w:val="00C24B74"/>
    <w:rsid w:val="00C30285"/>
    <w:rsid w:val="00C30C34"/>
    <w:rsid w:val="00C3591F"/>
    <w:rsid w:val="00C3691F"/>
    <w:rsid w:val="00C37F83"/>
    <w:rsid w:val="00C42FAA"/>
    <w:rsid w:val="00C4695C"/>
    <w:rsid w:val="00C5281D"/>
    <w:rsid w:val="00C53396"/>
    <w:rsid w:val="00C5468A"/>
    <w:rsid w:val="00C564F9"/>
    <w:rsid w:val="00C5727C"/>
    <w:rsid w:val="00C64EE9"/>
    <w:rsid w:val="00C66337"/>
    <w:rsid w:val="00C7316D"/>
    <w:rsid w:val="00C74D31"/>
    <w:rsid w:val="00C81E5A"/>
    <w:rsid w:val="00C840D8"/>
    <w:rsid w:val="00C87DD3"/>
    <w:rsid w:val="00CA0C13"/>
    <w:rsid w:val="00CA3C24"/>
    <w:rsid w:val="00CA5CB7"/>
    <w:rsid w:val="00CB0202"/>
    <w:rsid w:val="00CC26C4"/>
    <w:rsid w:val="00CC6883"/>
    <w:rsid w:val="00CC7CBB"/>
    <w:rsid w:val="00CD11EE"/>
    <w:rsid w:val="00CD47DB"/>
    <w:rsid w:val="00CD4950"/>
    <w:rsid w:val="00CD59C2"/>
    <w:rsid w:val="00CE48A8"/>
    <w:rsid w:val="00CF6F64"/>
    <w:rsid w:val="00CF7934"/>
    <w:rsid w:val="00D0092F"/>
    <w:rsid w:val="00D01626"/>
    <w:rsid w:val="00D03DA6"/>
    <w:rsid w:val="00D04BA7"/>
    <w:rsid w:val="00D11E66"/>
    <w:rsid w:val="00D20B7C"/>
    <w:rsid w:val="00D262F4"/>
    <w:rsid w:val="00D26CA3"/>
    <w:rsid w:val="00D26D80"/>
    <w:rsid w:val="00D279AB"/>
    <w:rsid w:val="00D459F1"/>
    <w:rsid w:val="00D46BE7"/>
    <w:rsid w:val="00D52685"/>
    <w:rsid w:val="00D53A8F"/>
    <w:rsid w:val="00D61E93"/>
    <w:rsid w:val="00D65B4A"/>
    <w:rsid w:val="00D67025"/>
    <w:rsid w:val="00D704C4"/>
    <w:rsid w:val="00D72D2C"/>
    <w:rsid w:val="00D74492"/>
    <w:rsid w:val="00D74CAB"/>
    <w:rsid w:val="00D74D5B"/>
    <w:rsid w:val="00D77289"/>
    <w:rsid w:val="00DA156C"/>
    <w:rsid w:val="00DA49CF"/>
    <w:rsid w:val="00DB3966"/>
    <w:rsid w:val="00DB69DD"/>
    <w:rsid w:val="00DC3550"/>
    <w:rsid w:val="00DD127F"/>
    <w:rsid w:val="00DD15AC"/>
    <w:rsid w:val="00DD3F4F"/>
    <w:rsid w:val="00DD4268"/>
    <w:rsid w:val="00DE1998"/>
    <w:rsid w:val="00DE6947"/>
    <w:rsid w:val="00DE7324"/>
    <w:rsid w:val="00DF1678"/>
    <w:rsid w:val="00DF380D"/>
    <w:rsid w:val="00DF3E79"/>
    <w:rsid w:val="00DF3EE8"/>
    <w:rsid w:val="00E02CB1"/>
    <w:rsid w:val="00E05B4B"/>
    <w:rsid w:val="00E05D86"/>
    <w:rsid w:val="00E21A2D"/>
    <w:rsid w:val="00E2633E"/>
    <w:rsid w:val="00E30AA9"/>
    <w:rsid w:val="00E33ADB"/>
    <w:rsid w:val="00E33F46"/>
    <w:rsid w:val="00E37363"/>
    <w:rsid w:val="00E4109C"/>
    <w:rsid w:val="00E47E59"/>
    <w:rsid w:val="00E54116"/>
    <w:rsid w:val="00E556FD"/>
    <w:rsid w:val="00E63AE6"/>
    <w:rsid w:val="00E64530"/>
    <w:rsid w:val="00E674D6"/>
    <w:rsid w:val="00E73A1E"/>
    <w:rsid w:val="00E75D0E"/>
    <w:rsid w:val="00E8787E"/>
    <w:rsid w:val="00E96B80"/>
    <w:rsid w:val="00EA351C"/>
    <w:rsid w:val="00EA747F"/>
    <w:rsid w:val="00EB2536"/>
    <w:rsid w:val="00EB4C60"/>
    <w:rsid w:val="00EB6468"/>
    <w:rsid w:val="00EE1768"/>
    <w:rsid w:val="00EE1B19"/>
    <w:rsid w:val="00EF3032"/>
    <w:rsid w:val="00EF3799"/>
    <w:rsid w:val="00F07D52"/>
    <w:rsid w:val="00F13C33"/>
    <w:rsid w:val="00F14FE1"/>
    <w:rsid w:val="00F161DD"/>
    <w:rsid w:val="00F17F1B"/>
    <w:rsid w:val="00F21A87"/>
    <w:rsid w:val="00F24D78"/>
    <w:rsid w:val="00F37126"/>
    <w:rsid w:val="00F40684"/>
    <w:rsid w:val="00F42B3C"/>
    <w:rsid w:val="00F42DDD"/>
    <w:rsid w:val="00F450AC"/>
    <w:rsid w:val="00F50823"/>
    <w:rsid w:val="00F51052"/>
    <w:rsid w:val="00F53453"/>
    <w:rsid w:val="00F6235F"/>
    <w:rsid w:val="00F72AEF"/>
    <w:rsid w:val="00F77D59"/>
    <w:rsid w:val="00F810D4"/>
    <w:rsid w:val="00F82C13"/>
    <w:rsid w:val="00F83021"/>
    <w:rsid w:val="00F83C91"/>
    <w:rsid w:val="00F87E76"/>
    <w:rsid w:val="00F93935"/>
    <w:rsid w:val="00FB0456"/>
    <w:rsid w:val="00FB23DE"/>
    <w:rsid w:val="00FB4862"/>
    <w:rsid w:val="00FB5B9E"/>
    <w:rsid w:val="00FC1D84"/>
    <w:rsid w:val="00FC6319"/>
    <w:rsid w:val="00FD3EED"/>
    <w:rsid w:val="00FD5523"/>
    <w:rsid w:val="00FD5D90"/>
    <w:rsid w:val="00FE2340"/>
    <w:rsid w:val="00FE606B"/>
    <w:rsid w:val="00FE6905"/>
    <w:rsid w:val="00FF0B69"/>
    <w:rsid w:val="00FF243B"/>
    <w:rsid w:val="00FF280E"/>
    <w:rsid w:val="00FF6462"/>
    <w:rsid w:val="00FF7900"/>
    <w:rsid w:val="00FF7B30"/>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CAB04"/>
  <w15:chartTrackingRefBased/>
  <w15:docId w15:val="{7FF936B4-0C61-4AD4-BC9C-C4A2CC490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474E9"/>
  </w:style>
  <w:style w:type="paragraph" w:styleId="Heading1">
    <w:name w:val="heading 1"/>
    <w:basedOn w:val="Normal"/>
    <w:next w:val="Normal"/>
    <w:link w:val="Heading1Char"/>
    <w:uiPriority w:val="9"/>
    <w:qFormat/>
    <w:rsid w:val="00EB4C6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B4C6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C6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C6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C6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C6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C6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C6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C6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C6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B4C6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C6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C6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C6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C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C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C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C60"/>
    <w:rPr>
      <w:rFonts w:eastAsiaTheme="majorEastAsia" w:cstheme="majorBidi"/>
      <w:color w:val="272727" w:themeColor="text1" w:themeTint="D8"/>
    </w:rPr>
  </w:style>
  <w:style w:type="paragraph" w:styleId="Title">
    <w:name w:val="Title"/>
    <w:basedOn w:val="Normal"/>
    <w:next w:val="Normal"/>
    <w:link w:val="TitleChar"/>
    <w:uiPriority w:val="10"/>
    <w:qFormat/>
    <w:rsid w:val="00EB4C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C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C6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C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C60"/>
    <w:pPr>
      <w:spacing w:before="160"/>
      <w:jc w:val="center"/>
    </w:pPr>
    <w:rPr>
      <w:i/>
      <w:iCs/>
      <w:color w:val="404040" w:themeColor="text1" w:themeTint="BF"/>
    </w:rPr>
  </w:style>
  <w:style w:type="character" w:customStyle="1" w:styleId="QuoteChar">
    <w:name w:val="Quote Char"/>
    <w:basedOn w:val="DefaultParagraphFont"/>
    <w:link w:val="Quote"/>
    <w:uiPriority w:val="29"/>
    <w:rsid w:val="00EB4C60"/>
    <w:rPr>
      <w:i/>
      <w:iCs/>
      <w:color w:val="404040" w:themeColor="text1" w:themeTint="BF"/>
    </w:rPr>
  </w:style>
  <w:style w:type="paragraph" w:styleId="ListParagraph">
    <w:name w:val="List Paragraph"/>
    <w:basedOn w:val="Normal"/>
    <w:uiPriority w:val="34"/>
    <w:qFormat/>
    <w:rsid w:val="00EB4C60"/>
    <w:pPr>
      <w:ind w:left="720"/>
      <w:contextualSpacing/>
    </w:pPr>
  </w:style>
  <w:style w:type="character" w:styleId="IntenseEmphasis">
    <w:name w:val="Intense Emphasis"/>
    <w:basedOn w:val="DefaultParagraphFont"/>
    <w:uiPriority w:val="21"/>
    <w:qFormat/>
    <w:rsid w:val="00EB4C60"/>
    <w:rPr>
      <w:i/>
      <w:iCs/>
      <w:color w:val="0F4761" w:themeColor="accent1" w:themeShade="BF"/>
    </w:rPr>
  </w:style>
  <w:style w:type="paragraph" w:styleId="IntenseQuote">
    <w:name w:val="Intense Quote"/>
    <w:basedOn w:val="Normal"/>
    <w:next w:val="Normal"/>
    <w:link w:val="IntenseQuoteChar"/>
    <w:uiPriority w:val="30"/>
    <w:qFormat/>
    <w:rsid w:val="00EB4C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C60"/>
    <w:rPr>
      <w:i/>
      <w:iCs/>
      <w:color w:val="0F4761" w:themeColor="accent1" w:themeShade="BF"/>
    </w:rPr>
  </w:style>
  <w:style w:type="character" w:styleId="IntenseReference">
    <w:name w:val="Intense Reference"/>
    <w:basedOn w:val="DefaultParagraphFont"/>
    <w:uiPriority w:val="32"/>
    <w:qFormat/>
    <w:rsid w:val="00EB4C60"/>
    <w:rPr>
      <w:b/>
      <w:bCs/>
      <w:smallCaps/>
      <w:color w:val="0F4761" w:themeColor="accent1" w:themeShade="BF"/>
      <w:spacing w:val="5"/>
    </w:rPr>
  </w:style>
  <w:style w:type="paragraph" w:styleId="NormalWeb">
    <w:name w:val="Normal (Web)"/>
    <w:basedOn w:val="Normal"/>
    <w:link w:val="NormalWebChar"/>
    <w:uiPriority w:val="99"/>
    <w:unhideWhenUsed/>
    <w:rsid w:val="00B2780B"/>
    <w:pPr>
      <w:spacing w:before="100" w:beforeAutospacing="1" w:after="100" w:afterAutospacing="1" w:line="240" w:lineRule="auto"/>
    </w:pPr>
    <w:rPr>
      <w:rFonts w:ascii="Times New Roman" w:eastAsia="Times New Roman" w:hAnsi="Times New Roman" w:cs="Times New Roman"/>
      <w:kern w:val="0"/>
      <w:sz w:val="24"/>
      <w:szCs w:val="24"/>
      <w:lang w:eastAsia="fr-CA"/>
      <w14:ligatures w14:val="none"/>
    </w:rPr>
  </w:style>
  <w:style w:type="character" w:styleId="Hyperlink">
    <w:name w:val="Hyperlink"/>
    <w:basedOn w:val="DefaultParagraphFont"/>
    <w:uiPriority w:val="99"/>
    <w:unhideWhenUsed/>
    <w:rsid w:val="00792C3C"/>
    <w:rPr>
      <w:color w:val="467886" w:themeColor="hyperlink"/>
      <w:u w:val="single"/>
    </w:rPr>
  </w:style>
  <w:style w:type="character" w:styleId="UnresolvedMention">
    <w:name w:val="Unresolved Mention"/>
    <w:basedOn w:val="DefaultParagraphFont"/>
    <w:uiPriority w:val="99"/>
    <w:semiHidden/>
    <w:unhideWhenUsed/>
    <w:rsid w:val="00792C3C"/>
    <w:rPr>
      <w:color w:val="605E5C"/>
      <w:shd w:val="clear" w:color="auto" w:fill="E1DFDD"/>
    </w:rPr>
  </w:style>
  <w:style w:type="character" w:styleId="CommentReference">
    <w:name w:val="annotation reference"/>
    <w:basedOn w:val="DefaultParagraphFont"/>
    <w:uiPriority w:val="99"/>
    <w:semiHidden/>
    <w:unhideWhenUsed/>
    <w:rsid w:val="00B87059"/>
    <w:rPr>
      <w:sz w:val="16"/>
      <w:szCs w:val="16"/>
    </w:rPr>
  </w:style>
  <w:style w:type="paragraph" w:styleId="CommentText">
    <w:name w:val="annotation text"/>
    <w:basedOn w:val="Normal"/>
    <w:link w:val="CommentTextChar"/>
    <w:uiPriority w:val="99"/>
    <w:unhideWhenUsed/>
    <w:rsid w:val="00B87059"/>
    <w:pPr>
      <w:spacing w:line="240" w:lineRule="auto"/>
    </w:pPr>
    <w:rPr>
      <w:sz w:val="20"/>
      <w:szCs w:val="20"/>
    </w:rPr>
  </w:style>
  <w:style w:type="character" w:customStyle="1" w:styleId="CommentTextChar">
    <w:name w:val="Comment Text Char"/>
    <w:basedOn w:val="DefaultParagraphFont"/>
    <w:link w:val="CommentText"/>
    <w:uiPriority w:val="99"/>
    <w:rsid w:val="00B87059"/>
    <w:rPr>
      <w:sz w:val="20"/>
      <w:szCs w:val="20"/>
    </w:rPr>
  </w:style>
  <w:style w:type="paragraph" w:styleId="CommentSubject">
    <w:name w:val="annotation subject"/>
    <w:basedOn w:val="CommentText"/>
    <w:next w:val="CommentText"/>
    <w:link w:val="CommentSubjectChar"/>
    <w:uiPriority w:val="99"/>
    <w:semiHidden/>
    <w:unhideWhenUsed/>
    <w:rsid w:val="00B87059"/>
    <w:rPr>
      <w:b/>
      <w:bCs/>
    </w:rPr>
  </w:style>
  <w:style w:type="character" w:customStyle="1" w:styleId="CommentSubjectChar">
    <w:name w:val="Comment Subject Char"/>
    <w:basedOn w:val="CommentTextChar"/>
    <w:link w:val="CommentSubject"/>
    <w:uiPriority w:val="99"/>
    <w:semiHidden/>
    <w:rsid w:val="00B87059"/>
    <w:rPr>
      <w:b/>
      <w:bCs/>
      <w:sz w:val="20"/>
      <w:szCs w:val="20"/>
    </w:rPr>
  </w:style>
  <w:style w:type="paragraph" w:styleId="Revision">
    <w:name w:val="Revision"/>
    <w:hidden/>
    <w:uiPriority w:val="99"/>
    <w:semiHidden/>
    <w:rsid w:val="007A770C"/>
    <w:pPr>
      <w:spacing w:after="0" w:line="240" w:lineRule="auto"/>
    </w:pPr>
  </w:style>
  <w:style w:type="character" w:styleId="LineNumber">
    <w:name w:val="line number"/>
    <w:basedOn w:val="DefaultParagraphFont"/>
    <w:uiPriority w:val="99"/>
    <w:semiHidden/>
    <w:unhideWhenUsed/>
    <w:rsid w:val="00927413"/>
  </w:style>
  <w:style w:type="paragraph" w:styleId="Header">
    <w:name w:val="header"/>
    <w:basedOn w:val="Normal"/>
    <w:link w:val="HeaderChar"/>
    <w:uiPriority w:val="99"/>
    <w:unhideWhenUsed/>
    <w:rsid w:val="00927413"/>
    <w:pPr>
      <w:tabs>
        <w:tab w:val="center" w:pos="4320"/>
        <w:tab w:val="right" w:pos="8640"/>
      </w:tabs>
      <w:spacing w:after="0" w:line="240" w:lineRule="auto"/>
    </w:pPr>
  </w:style>
  <w:style w:type="character" w:customStyle="1" w:styleId="HeaderChar">
    <w:name w:val="Header Char"/>
    <w:basedOn w:val="DefaultParagraphFont"/>
    <w:link w:val="Header"/>
    <w:uiPriority w:val="99"/>
    <w:rsid w:val="00927413"/>
  </w:style>
  <w:style w:type="paragraph" w:styleId="Footer">
    <w:name w:val="footer"/>
    <w:basedOn w:val="Normal"/>
    <w:link w:val="FooterChar"/>
    <w:uiPriority w:val="99"/>
    <w:unhideWhenUsed/>
    <w:rsid w:val="00927413"/>
    <w:pPr>
      <w:tabs>
        <w:tab w:val="center" w:pos="4320"/>
        <w:tab w:val="right" w:pos="8640"/>
      </w:tabs>
      <w:spacing w:after="0" w:line="240" w:lineRule="auto"/>
    </w:pPr>
  </w:style>
  <w:style w:type="character" w:customStyle="1" w:styleId="FooterChar">
    <w:name w:val="Footer Char"/>
    <w:basedOn w:val="DefaultParagraphFont"/>
    <w:link w:val="Footer"/>
    <w:uiPriority w:val="99"/>
    <w:rsid w:val="00927413"/>
  </w:style>
  <w:style w:type="paragraph" w:customStyle="1" w:styleId="EndNoteBibliographyTitle">
    <w:name w:val="EndNote Bibliography Title"/>
    <w:basedOn w:val="Normal"/>
    <w:link w:val="EndNoteBibliographyTitleChar"/>
    <w:rsid w:val="004B635E"/>
    <w:pPr>
      <w:spacing w:after="0"/>
      <w:jc w:val="center"/>
    </w:pPr>
    <w:rPr>
      <w:rFonts w:ascii="Times New Roman" w:hAnsi="Times New Roman" w:cs="Times New Roman"/>
      <w:noProof/>
      <w:sz w:val="24"/>
      <w:lang w:val="en-US"/>
    </w:rPr>
  </w:style>
  <w:style w:type="character" w:customStyle="1" w:styleId="NormalWebChar">
    <w:name w:val="Normal (Web) Char"/>
    <w:basedOn w:val="DefaultParagraphFont"/>
    <w:link w:val="NormalWeb"/>
    <w:uiPriority w:val="99"/>
    <w:rsid w:val="004B635E"/>
    <w:rPr>
      <w:rFonts w:ascii="Times New Roman" w:eastAsia="Times New Roman" w:hAnsi="Times New Roman" w:cs="Times New Roman"/>
      <w:kern w:val="0"/>
      <w:sz w:val="24"/>
      <w:szCs w:val="24"/>
      <w:lang w:eastAsia="fr-CA"/>
      <w14:ligatures w14:val="none"/>
    </w:rPr>
  </w:style>
  <w:style w:type="character" w:customStyle="1" w:styleId="EndNoteBibliographyTitleChar">
    <w:name w:val="EndNote Bibliography Title Char"/>
    <w:basedOn w:val="NormalWebChar"/>
    <w:link w:val="EndNoteBibliographyTitle"/>
    <w:rsid w:val="004B635E"/>
    <w:rPr>
      <w:rFonts w:ascii="Times New Roman" w:eastAsia="Times New Roman" w:hAnsi="Times New Roman" w:cs="Times New Roman"/>
      <w:noProof/>
      <w:kern w:val="0"/>
      <w:sz w:val="24"/>
      <w:szCs w:val="24"/>
      <w:lang w:val="en-US" w:eastAsia="fr-CA"/>
      <w14:ligatures w14:val="none"/>
    </w:rPr>
  </w:style>
  <w:style w:type="paragraph" w:customStyle="1" w:styleId="EndNoteBibliography">
    <w:name w:val="EndNote Bibliography"/>
    <w:basedOn w:val="Normal"/>
    <w:link w:val="EndNoteBibliographyChar"/>
    <w:rsid w:val="004B635E"/>
    <w:pPr>
      <w:spacing w:line="480" w:lineRule="auto"/>
      <w:jc w:val="both"/>
    </w:pPr>
    <w:rPr>
      <w:rFonts w:ascii="Times New Roman" w:hAnsi="Times New Roman" w:cs="Times New Roman"/>
      <w:noProof/>
      <w:sz w:val="24"/>
      <w:lang w:val="en-US"/>
    </w:rPr>
  </w:style>
  <w:style w:type="character" w:customStyle="1" w:styleId="EndNoteBibliographyChar">
    <w:name w:val="EndNote Bibliography Char"/>
    <w:basedOn w:val="NormalWebChar"/>
    <w:link w:val="EndNoteBibliography"/>
    <w:rsid w:val="004B635E"/>
    <w:rPr>
      <w:rFonts w:ascii="Times New Roman" w:eastAsia="Times New Roman" w:hAnsi="Times New Roman" w:cs="Times New Roman"/>
      <w:noProof/>
      <w:kern w:val="0"/>
      <w:sz w:val="24"/>
      <w:szCs w:val="24"/>
      <w:lang w:val="en-US" w:eastAsia="fr-CA"/>
      <w14:ligatures w14:val="none"/>
    </w:rPr>
  </w:style>
  <w:style w:type="character" w:styleId="FollowedHyperlink">
    <w:name w:val="FollowedHyperlink"/>
    <w:basedOn w:val="DefaultParagraphFont"/>
    <w:uiPriority w:val="99"/>
    <w:semiHidden/>
    <w:unhideWhenUsed/>
    <w:rsid w:val="002129FA"/>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8719">
      <w:bodyDiv w:val="1"/>
      <w:marLeft w:val="0"/>
      <w:marRight w:val="0"/>
      <w:marTop w:val="0"/>
      <w:marBottom w:val="0"/>
      <w:divBdr>
        <w:top w:val="none" w:sz="0" w:space="0" w:color="auto"/>
        <w:left w:val="none" w:sz="0" w:space="0" w:color="auto"/>
        <w:bottom w:val="none" w:sz="0" w:space="0" w:color="auto"/>
        <w:right w:val="none" w:sz="0" w:space="0" w:color="auto"/>
      </w:divBdr>
    </w:div>
    <w:div w:id="7217075">
      <w:bodyDiv w:val="1"/>
      <w:marLeft w:val="0"/>
      <w:marRight w:val="0"/>
      <w:marTop w:val="0"/>
      <w:marBottom w:val="0"/>
      <w:divBdr>
        <w:top w:val="none" w:sz="0" w:space="0" w:color="auto"/>
        <w:left w:val="none" w:sz="0" w:space="0" w:color="auto"/>
        <w:bottom w:val="none" w:sz="0" w:space="0" w:color="auto"/>
        <w:right w:val="none" w:sz="0" w:space="0" w:color="auto"/>
      </w:divBdr>
    </w:div>
    <w:div w:id="36052434">
      <w:bodyDiv w:val="1"/>
      <w:marLeft w:val="0"/>
      <w:marRight w:val="0"/>
      <w:marTop w:val="0"/>
      <w:marBottom w:val="0"/>
      <w:divBdr>
        <w:top w:val="none" w:sz="0" w:space="0" w:color="auto"/>
        <w:left w:val="none" w:sz="0" w:space="0" w:color="auto"/>
        <w:bottom w:val="none" w:sz="0" w:space="0" w:color="auto"/>
        <w:right w:val="none" w:sz="0" w:space="0" w:color="auto"/>
      </w:divBdr>
    </w:div>
    <w:div w:id="85733947">
      <w:bodyDiv w:val="1"/>
      <w:marLeft w:val="0"/>
      <w:marRight w:val="0"/>
      <w:marTop w:val="0"/>
      <w:marBottom w:val="0"/>
      <w:divBdr>
        <w:top w:val="none" w:sz="0" w:space="0" w:color="auto"/>
        <w:left w:val="none" w:sz="0" w:space="0" w:color="auto"/>
        <w:bottom w:val="none" w:sz="0" w:space="0" w:color="auto"/>
        <w:right w:val="none" w:sz="0" w:space="0" w:color="auto"/>
      </w:divBdr>
      <w:divsChild>
        <w:div w:id="1105928557">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86273451">
      <w:bodyDiv w:val="1"/>
      <w:marLeft w:val="0"/>
      <w:marRight w:val="0"/>
      <w:marTop w:val="0"/>
      <w:marBottom w:val="0"/>
      <w:divBdr>
        <w:top w:val="none" w:sz="0" w:space="0" w:color="auto"/>
        <w:left w:val="none" w:sz="0" w:space="0" w:color="auto"/>
        <w:bottom w:val="none" w:sz="0" w:space="0" w:color="auto"/>
        <w:right w:val="none" w:sz="0" w:space="0" w:color="auto"/>
      </w:divBdr>
    </w:div>
    <w:div w:id="115682261">
      <w:bodyDiv w:val="1"/>
      <w:marLeft w:val="0"/>
      <w:marRight w:val="0"/>
      <w:marTop w:val="0"/>
      <w:marBottom w:val="0"/>
      <w:divBdr>
        <w:top w:val="none" w:sz="0" w:space="0" w:color="auto"/>
        <w:left w:val="none" w:sz="0" w:space="0" w:color="auto"/>
        <w:bottom w:val="none" w:sz="0" w:space="0" w:color="auto"/>
        <w:right w:val="none" w:sz="0" w:space="0" w:color="auto"/>
      </w:divBdr>
    </w:div>
    <w:div w:id="144860877">
      <w:bodyDiv w:val="1"/>
      <w:marLeft w:val="0"/>
      <w:marRight w:val="0"/>
      <w:marTop w:val="0"/>
      <w:marBottom w:val="0"/>
      <w:divBdr>
        <w:top w:val="none" w:sz="0" w:space="0" w:color="auto"/>
        <w:left w:val="none" w:sz="0" w:space="0" w:color="auto"/>
        <w:bottom w:val="none" w:sz="0" w:space="0" w:color="auto"/>
        <w:right w:val="none" w:sz="0" w:space="0" w:color="auto"/>
      </w:divBdr>
    </w:div>
    <w:div w:id="152071767">
      <w:bodyDiv w:val="1"/>
      <w:marLeft w:val="0"/>
      <w:marRight w:val="0"/>
      <w:marTop w:val="0"/>
      <w:marBottom w:val="0"/>
      <w:divBdr>
        <w:top w:val="none" w:sz="0" w:space="0" w:color="auto"/>
        <w:left w:val="none" w:sz="0" w:space="0" w:color="auto"/>
        <w:bottom w:val="none" w:sz="0" w:space="0" w:color="auto"/>
        <w:right w:val="none" w:sz="0" w:space="0" w:color="auto"/>
      </w:divBdr>
    </w:div>
    <w:div w:id="155653456">
      <w:bodyDiv w:val="1"/>
      <w:marLeft w:val="0"/>
      <w:marRight w:val="0"/>
      <w:marTop w:val="0"/>
      <w:marBottom w:val="0"/>
      <w:divBdr>
        <w:top w:val="none" w:sz="0" w:space="0" w:color="auto"/>
        <w:left w:val="none" w:sz="0" w:space="0" w:color="auto"/>
        <w:bottom w:val="none" w:sz="0" w:space="0" w:color="auto"/>
        <w:right w:val="none" w:sz="0" w:space="0" w:color="auto"/>
      </w:divBdr>
    </w:div>
    <w:div w:id="157039144">
      <w:bodyDiv w:val="1"/>
      <w:marLeft w:val="0"/>
      <w:marRight w:val="0"/>
      <w:marTop w:val="0"/>
      <w:marBottom w:val="0"/>
      <w:divBdr>
        <w:top w:val="none" w:sz="0" w:space="0" w:color="auto"/>
        <w:left w:val="none" w:sz="0" w:space="0" w:color="auto"/>
        <w:bottom w:val="none" w:sz="0" w:space="0" w:color="auto"/>
        <w:right w:val="none" w:sz="0" w:space="0" w:color="auto"/>
      </w:divBdr>
    </w:div>
    <w:div w:id="205215958">
      <w:bodyDiv w:val="1"/>
      <w:marLeft w:val="0"/>
      <w:marRight w:val="0"/>
      <w:marTop w:val="0"/>
      <w:marBottom w:val="0"/>
      <w:divBdr>
        <w:top w:val="none" w:sz="0" w:space="0" w:color="auto"/>
        <w:left w:val="none" w:sz="0" w:space="0" w:color="auto"/>
        <w:bottom w:val="none" w:sz="0" w:space="0" w:color="auto"/>
        <w:right w:val="none" w:sz="0" w:space="0" w:color="auto"/>
      </w:divBdr>
    </w:div>
    <w:div w:id="247226882">
      <w:bodyDiv w:val="1"/>
      <w:marLeft w:val="0"/>
      <w:marRight w:val="0"/>
      <w:marTop w:val="0"/>
      <w:marBottom w:val="0"/>
      <w:divBdr>
        <w:top w:val="none" w:sz="0" w:space="0" w:color="auto"/>
        <w:left w:val="none" w:sz="0" w:space="0" w:color="auto"/>
        <w:bottom w:val="none" w:sz="0" w:space="0" w:color="auto"/>
        <w:right w:val="none" w:sz="0" w:space="0" w:color="auto"/>
      </w:divBdr>
    </w:div>
    <w:div w:id="263540533">
      <w:bodyDiv w:val="1"/>
      <w:marLeft w:val="0"/>
      <w:marRight w:val="0"/>
      <w:marTop w:val="0"/>
      <w:marBottom w:val="0"/>
      <w:divBdr>
        <w:top w:val="none" w:sz="0" w:space="0" w:color="auto"/>
        <w:left w:val="none" w:sz="0" w:space="0" w:color="auto"/>
        <w:bottom w:val="none" w:sz="0" w:space="0" w:color="auto"/>
        <w:right w:val="none" w:sz="0" w:space="0" w:color="auto"/>
      </w:divBdr>
      <w:divsChild>
        <w:div w:id="2144031779">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68703484">
      <w:bodyDiv w:val="1"/>
      <w:marLeft w:val="0"/>
      <w:marRight w:val="0"/>
      <w:marTop w:val="0"/>
      <w:marBottom w:val="0"/>
      <w:divBdr>
        <w:top w:val="none" w:sz="0" w:space="0" w:color="auto"/>
        <w:left w:val="none" w:sz="0" w:space="0" w:color="auto"/>
        <w:bottom w:val="none" w:sz="0" w:space="0" w:color="auto"/>
        <w:right w:val="none" w:sz="0" w:space="0" w:color="auto"/>
      </w:divBdr>
    </w:div>
    <w:div w:id="280183920">
      <w:bodyDiv w:val="1"/>
      <w:marLeft w:val="0"/>
      <w:marRight w:val="0"/>
      <w:marTop w:val="0"/>
      <w:marBottom w:val="0"/>
      <w:divBdr>
        <w:top w:val="none" w:sz="0" w:space="0" w:color="auto"/>
        <w:left w:val="none" w:sz="0" w:space="0" w:color="auto"/>
        <w:bottom w:val="none" w:sz="0" w:space="0" w:color="auto"/>
        <w:right w:val="none" w:sz="0" w:space="0" w:color="auto"/>
      </w:divBdr>
    </w:div>
    <w:div w:id="287589985">
      <w:bodyDiv w:val="1"/>
      <w:marLeft w:val="0"/>
      <w:marRight w:val="0"/>
      <w:marTop w:val="0"/>
      <w:marBottom w:val="0"/>
      <w:divBdr>
        <w:top w:val="none" w:sz="0" w:space="0" w:color="auto"/>
        <w:left w:val="none" w:sz="0" w:space="0" w:color="auto"/>
        <w:bottom w:val="none" w:sz="0" w:space="0" w:color="auto"/>
        <w:right w:val="none" w:sz="0" w:space="0" w:color="auto"/>
      </w:divBdr>
      <w:divsChild>
        <w:div w:id="40468819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87593501">
      <w:bodyDiv w:val="1"/>
      <w:marLeft w:val="0"/>
      <w:marRight w:val="0"/>
      <w:marTop w:val="0"/>
      <w:marBottom w:val="0"/>
      <w:divBdr>
        <w:top w:val="none" w:sz="0" w:space="0" w:color="auto"/>
        <w:left w:val="none" w:sz="0" w:space="0" w:color="auto"/>
        <w:bottom w:val="none" w:sz="0" w:space="0" w:color="auto"/>
        <w:right w:val="none" w:sz="0" w:space="0" w:color="auto"/>
      </w:divBdr>
      <w:divsChild>
        <w:div w:id="763920104">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296254283">
      <w:bodyDiv w:val="1"/>
      <w:marLeft w:val="0"/>
      <w:marRight w:val="0"/>
      <w:marTop w:val="0"/>
      <w:marBottom w:val="0"/>
      <w:divBdr>
        <w:top w:val="none" w:sz="0" w:space="0" w:color="auto"/>
        <w:left w:val="none" w:sz="0" w:space="0" w:color="auto"/>
        <w:bottom w:val="none" w:sz="0" w:space="0" w:color="auto"/>
        <w:right w:val="none" w:sz="0" w:space="0" w:color="auto"/>
      </w:divBdr>
    </w:div>
    <w:div w:id="335614360">
      <w:bodyDiv w:val="1"/>
      <w:marLeft w:val="0"/>
      <w:marRight w:val="0"/>
      <w:marTop w:val="0"/>
      <w:marBottom w:val="0"/>
      <w:divBdr>
        <w:top w:val="none" w:sz="0" w:space="0" w:color="auto"/>
        <w:left w:val="none" w:sz="0" w:space="0" w:color="auto"/>
        <w:bottom w:val="none" w:sz="0" w:space="0" w:color="auto"/>
        <w:right w:val="none" w:sz="0" w:space="0" w:color="auto"/>
      </w:divBdr>
      <w:divsChild>
        <w:div w:id="1777602044">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395738625">
      <w:bodyDiv w:val="1"/>
      <w:marLeft w:val="0"/>
      <w:marRight w:val="0"/>
      <w:marTop w:val="0"/>
      <w:marBottom w:val="0"/>
      <w:divBdr>
        <w:top w:val="none" w:sz="0" w:space="0" w:color="auto"/>
        <w:left w:val="none" w:sz="0" w:space="0" w:color="auto"/>
        <w:bottom w:val="none" w:sz="0" w:space="0" w:color="auto"/>
        <w:right w:val="none" w:sz="0" w:space="0" w:color="auto"/>
      </w:divBdr>
      <w:divsChild>
        <w:div w:id="1143306993">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408313668">
      <w:bodyDiv w:val="1"/>
      <w:marLeft w:val="0"/>
      <w:marRight w:val="0"/>
      <w:marTop w:val="0"/>
      <w:marBottom w:val="0"/>
      <w:divBdr>
        <w:top w:val="none" w:sz="0" w:space="0" w:color="auto"/>
        <w:left w:val="none" w:sz="0" w:space="0" w:color="auto"/>
        <w:bottom w:val="none" w:sz="0" w:space="0" w:color="auto"/>
        <w:right w:val="none" w:sz="0" w:space="0" w:color="auto"/>
      </w:divBdr>
      <w:divsChild>
        <w:div w:id="1598516744">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421416756">
      <w:bodyDiv w:val="1"/>
      <w:marLeft w:val="0"/>
      <w:marRight w:val="0"/>
      <w:marTop w:val="0"/>
      <w:marBottom w:val="0"/>
      <w:divBdr>
        <w:top w:val="none" w:sz="0" w:space="0" w:color="auto"/>
        <w:left w:val="none" w:sz="0" w:space="0" w:color="auto"/>
        <w:bottom w:val="none" w:sz="0" w:space="0" w:color="auto"/>
        <w:right w:val="none" w:sz="0" w:space="0" w:color="auto"/>
      </w:divBdr>
      <w:divsChild>
        <w:div w:id="1031342304">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439421755">
      <w:bodyDiv w:val="1"/>
      <w:marLeft w:val="0"/>
      <w:marRight w:val="0"/>
      <w:marTop w:val="0"/>
      <w:marBottom w:val="0"/>
      <w:divBdr>
        <w:top w:val="none" w:sz="0" w:space="0" w:color="auto"/>
        <w:left w:val="none" w:sz="0" w:space="0" w:color="auto"/>
        <w:bottom w:val="none" w:sz="0" w:space="0" w:color="auto"/>
        <w:right w:val="none" w:sz="0" w:space="0" w:color="auto"/>
      </w:divBdr>
    </w:div>
    <w:div w:id="441609089">
      <w:bodyDiv w:val="1"/>
      <w:marLeft w:val="0"/>
      <w:marRight w:val="0"/>
      <w:marTop w:val="0"/>
      <w:marBottom w:val="0"/>
      <w:divBdr>
        <w:top w:val="none" w:sz="0" w:space="0" w:color="auto"/>
        <w:left w:val="none" w:sz="0" w:space="0" w:color="auto"/>
        <w:bottom w:val="none" w:sz="0" w:space="0" w:color="auto"/>
        <w:right w:val="none" w:sz="0" w:space="0" w:color="auto"/>
      </w:divBdr>
    </w:div>
    <w:div w:id="467284709">
      <w:bodyDiv w:val="1"/>
      <w:marLeft w:val="0"/>
      <w:marRight w:val="0"/>
      <w:marTop w:val="0"/>
      <w:marBottom w:val="0"/>
      <w:divBdr>
        <w:top w:val="none" w:sz="0" w:space="0" w:color="auto"/>
        <w:left w:val="none" w:sz="0" w:space="0" w:color="auto"/>
        <w:bottom w:val="none" w:sz="0" w:space="0" w:color="auto"/>
        <w:right w:val="none" w:sz="0" w:space="0" w:color="auto"/>
      </w:divBdr>
      <w:divsChild>
        <w:div w:id="889078216">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469714782">
      <w:bodyDiv w:val="1"/>
      <w:marLeft w:val="0"/>
      <w:marRight w:val="0"/>
      <w:marTop w:val="0"/>
      <w:marBottom w:val="0"/>
      <w:divBdr>
        <w:top w:val="none" w:sz="0" w:space="0" w:color="auto"/>
        <w:left w:val="none" w:sz="0" w:space="0" w:color="auto"/>
        <w:bottom w:val="none" w:sz="0" w:space="0" w:color="auto"/>
        <w:right w:val="none" w:sz="0" w:space="0" w:color="auto"/>
      </w:divBdr>
      <w:divsChild>
        <w:div w:id="1668435777">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476382829">
      <w:bodyDiv w:val="1"/>
      <w:marLeft w:val="0"/>
      <w:marRight w:val="0"/>
      <w:marTop w:val="0"/>
      <w:marBottom w:val="0"/>
      <w:divBdr>
        <w:top w:val="none" w:sz="0" w:space="0" w:color="auto"/>
        <w:left w:val="none" w:sz="0" w:space="0" w:color="auto"/>
        <w:bottom w:val="none" w:sz="0" w:space="0" w:color="auto"/>
        <w:right w:val="none" w:sz="0" w:space="0" w:color="auto"/>
      </w:divBdr>
      <w:divsChild>
        <w:div w:id="243344526">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521089224">
      <w:bodyDiv w:val="1"/>
      <w:marLeft w:val="0"/>
      <w:marRight w:val="0"/>
      <w:marTop w:val="0"/>
      <w:marBottom w:val="0"/>
      <w:divBdr>
        <w:top w:val="none" w:sz="0" w:space="0" w:color="auto"/>
        <w:left w:val="none" w:sz="0" w:space="0" w:color="auto"/>
        <w:bottom w:val="none" w:sz="0" w:space="0" w:color="auto"/>
        <w:right w:val="none" w:sz="0" w:space="0" w:color="auto"/>
      </w:divBdr>
      <w:divsChild>
        <w:div w:id="302394614">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547763405">
      <w:bodyDiv w:val="1"/>
      <w:marLeft w:val="0"/>
      <w:marRight w:val="0"/>
      <w:marTop w:val="0"/>
      <w:marBottom w:val="0"/>
      <w:divBdr>
        <w:top w:val="none" w:sz="0" w:space="0" w:color="auto"/>
        <w:left w:val="none" w:sz="0" w:space="0" w:color="auto"/>
        <w:bottom w:val="none" w:sz="0" w:space="0" w:color="auto"/>
        <w:right w:val="none" w:sz="0" w:space="0" w:color="auto"/>
      </w:divBdr>
      <w:divsChild>
        <w:div w:id="157766429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610432683">
      <w:bodyDiv w:val="1"/>
      <w:marLeft w:val="0"/>
      <w:marRight w:val="0"/>
      <w:marTop w:val="0"/>
      <w:marBottom w:val="0"/>
      <w:divBdr>
        <w:top w:val="none" w:sz="0" w:space="0" w:color="auto"/>
        <w:left w:val="none" w:sz="0" w:space="0" w:color="auto"/>
        <w:bottom w:val="none" w:sz="0" w:space="0" w:color="auto"/>
        <w:right w:val="none" w:sz="0" w:space="0" w:color="auto"/>
      </w:divBdr>
    </w:div>
    <w:div w:id="615677611">
      <w:bodyDiv w:val="1"/>
      <w:marLeft w:val="0"/>
      <w:marRight w:val="0"/>
      <w:marTop w:val="0"/>
      <w:marBottom w:val="0"/>
      <w:divBdr>
        <w:top w:val="none" w:sz="0" w:space="0" w:color="auto"/>
        <w:left w:val="none" w:sz="0" w:space="0" w:color="auto"/>
        <w:bottom w:val="none" w:sz="0" w:space="0" w:color="auto"/>
        <w:right w:val="none" w:sz="0" w:space="0" w:color="auto"/>
      </w:divBdr>
    </w:div>
    <w:div w:id="631012806">
      <w:bodyDiv w:val="1"/>
      <w:marLeft w:val="0"/>
      <w:marRight w:val="0"/>
      <w:marTop w:val="0"/>
      <w:marBottom w:val="0"/>
      <w:divBdr>
        <w:top w:val="none" w:sz="0" w:space="0" w:color="auto"/>
        <w:left w:val="none" w:sz="0" w:space="0" w:color="auto"/>
        <w:bottom w:val="none" w:sz="0" w:space="0" w:color="auto"/>
        <w:right w:val="none" w:sz="0" w:space="0" w:color="auto"/>
      </w:divBdr>
    </w:div>
    <w:div w:id="638607140">
      <w:bodyDiv w:val="1"/>
      <w:marLeft w:val="0"/>
      <w:marRight w:val="0"/>
      <w:marTop w:val="0"/>
      <w:marBottom w:val="0"/>
      <w:divBdr>
        <w:top w:val="none" w:sz="0" w:space="0" w:color="auto"/>
        <w:left w:val="none" w:sz="0" w:space="0" w:color="auto"/>
        <w:bottom w:val="none" w:sz="0" w:space="0" w:color="auto"/>
        <w:right w:val="none" w:sz="0" w:space="0" w:color="auto"/>
      </w:divBdr>
      <w:divsChild>
        <w:div w:id="100717648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646394308">
      <w:bodyDiv w:val="1"/>
      <w:marLeft w:val="0"/>
      <w:marRight w:val="0"/>
      <w:marTop w:val="0"/>
      <w:marBottom w:val="0"/>
      <w:divBdr>
        <w:top w:val="none" w:sz="0" w:space="0" w:color="auto"/>
        <w:left w:val="none" w:sz="0" w:space="0" w:color="auto"/>
        <w:bottom w:val="none" w:sz="0" w:space="0" w:color="auto"/>
        <w:right w:val="none" w:sz="0" w:space="0" w:color="auto"/>
      </w:divBdr>
    </w:div>
    <w:div w:id="665136167">
      <w:bodyDiv w:val="1"/>
      <w:marLeft w:val="0"/>
      <w:marRight w:val="0"/>
      <w:marTop w:val="0"/>
      <w:marBottom w:val="0"/>
      <w:divBdr>
        <w:top w:val="none" w:sz="0" w:space="0" w:color="auto"/>
        <w:left w:val="none" w:sz="0" w:space="0" w:color="auto"/>
        <w:bottom w:val="none" w:sz="0" w:space="0" w:color="auto"/>
        <w:right w:val="none" w:sz="0" w:space="0" w:color="auto"/>
      </w:divBdr>
      <w:divsChild>
        <w:div w:id="161504939">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681976439">
      <w:bodyDiv w:val="1"/>
      <w:marLeft w:val="0"/>
      <w:marRight w:val="0"/>
      <w:marTop w:val="0"/>
      <w:marBottom w:val="0"/>
      <w:divBdr>
        <w:top w:val="none" w:sz="0" w:space="0" w:color="auto"/>
        <w:left w:val="none" w:sz="0" w:space="0" w:color="auto"/>
        <w:bottom w:val="none" w:sz="0" w:space="0" w:color="auto"/>
        <w:right w:val="none" w:sz="0" w:space="0" w:color="auto"/>
      </w:divBdr>
    </w:div>
    <w:div w:id="701520832">
      <w:bodyDiv w:val="1"/>
      <w:marLeft w:val="0"/>
      <w:marRight w:val="0"/>
      <w:marTop w:val="0"/>
      <w:marBottom w:val="0"/>
      <w:divBdr>
        <w:top w:val="none" w:sz="0" w:space="0" w:color="auto"/>
        <w:left w:val="none" w:sz="0" w:space="0" w:color="auto"/>
        <w:bottom w:val="none" w:sz="0" w:space="0" w:color="auto"/>
        <w:right w:val="none" w:sz="0" w:space="0" w:color="auto"/>
      </w:divBdr>
      <w:divsChild>
        <w:div w:id="7223779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713390218">
      <w:bodyDiv w:val="1"/>
      <w:marLeft w:val="0"/>
      <w:marRight w:val="0"/>
      <w:marTop w:val="0"/>
      <w:marBottom w:val="0"/>
      <w:divBdr>
        <w:top w:val="none" w:sz="0" w:space="0" w:color="auto"/>
        <w:left w:val="none" w:sz="0" w:space="0" w:color="auto"/>
        <w:bottom w:val="none" w:sz="0" w:space="0" w:color="auto"/>
        <w:right w:val="none" w:sz="0" w:space="0" w:color="auto"/>
      </w:divBdr>
      <w:divsChild>
        <w:div w:id="159639789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775058053">
      <w:bodyDiv w:val="1"/>
      <w:marLeft w:val="0"/>
      <w:marRight w:val="0"/>
      <w:marTop w:val="0"/>
      <w:marBottom w:val="0"/>
      <w:divBdr>
        <w:top w:val="none" w:sz="0" w:space="0" w:color="auto"/>
        <w:left w:val="none" w:sz="0" w:space="0" w:color="auto"/>
        <w:bottom w:val="none" w:sz="0" w:space="0" w:color="auto"/>
        <w:right w:val="none" w:sz="0" w:space="0" w:color="auto"/>
      </w:divBdr>
    </w:div>
    <w:div w:id="776564677">
      <w:bodyDiv w:val="1"/>
      <w:marLeft w:val="0"/>
      <w:marRight w:val="0"/>
      <w:marTop w:val="0"/>
      <w:marBottom w:val="0"/>
      <w:divBdr>
        <w:top w:val="none" w:sz="0" w:space="0" w:color="auto"/>
        <w:left w:val="none" w:sz="0" w:space="0" w:color="auto"/>
        <w:bottom w:val="none" w:sz="0" w:space="0" w:color="auto"/>
        <w:right w:val="none" w:sz="0" w:space="0" w:color="auto"/>
      </w:divBdr>
      <w:divsChild>
        <w:div w:id="1982493938">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785002371">
      <w:bodyDiv w:val="1"/>
      <w:marLeft w:val="0"/>
      <w:marRight w:val="0"/>
      <w:marTop w:val="0"/>
      <w:marBottom w:val="0"/>
      <w:divBdr>
        <w:top w:val="none" w:sz="0" w:space="0" w:color="auto"/>
        <w:left w:val="none" w:sz="0" w:space="0" w:color="auto"/>
        <w:bottom w:val="none" w:sz="0" w:space="0" w:color="auto"/>
        <w:right w:val="none" w:sz="0" w:space="0" w:color="auto"/>
      </w:divBdr>
      <w:divsChild>
        <w:div w:id="869489255">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812720168">
      <w:bodyDiv w:val="1"/>
      <w:marLeft w:val="0"/>
      <w:marRight w:val="0"/>
      <w:marTop w:val="0"/>
      <w:marBottom w:val="0"/>
      <w:divBdr>
        <w:top w:val="none" w:sz="0" w:space="0" w:color="auto"/>
        <w:left w:val="none" w:sz="0" w:space="0" w:color="auto"/>
        <w:bottom w:val="none" w:sz="0" w:space="0" w:color="auto"/>
        <w:right w:val="none" w:sz="0" w:space="0" w:color="auto"/>
      </w:divBdr>
    </w:div>
    <w:div w:id="835457412">
      <w:bodyDiv w:val="1"/>
      <w:marLeft w:val="0"/>
      <w:marRight w:val="0"/>
      <w:marTop w:val="0"/>
      <w:marBottom w:val="0"/>
      <w:divBdr>
        <w:top w:val="none" w:sz="0" w:space="0" w:color="auto"/>
        <w:left w:val="none" w:sz="0" w:space="0" w:color="auto"/>
        <w:bottom w:val="none" w:sz="0" w:space="0" w:color="auto"/>
        <w:right w:val="none" w:sz="0" w:space="0" w:color="auto"/>
      </w:divBdr>
    </w:div>
    <w:div w:id="839348917">
      <w:bodyDiv w:val="1"/>
      <w:marLeft w:val="0"/>
      <w:marRight w:val="0"/>
      <w:marTop w:val="0"/>
      <w:marBottom w:val="0"/>
      <w:divBdr>
        <w:top w:val="none" w:sz="0" w:space="0" w:color="auto"/>
        <w:left w:val="none" w:sz="0" w:space="0" w:color="auto"/>
        <w:bottom w:val="none" w:sz="0" w:space="0" w:color="auto"/>
        <w:right w:val="none" w:sz="0" w:space="0" w:color="auto"/>
      </w:divBdr>
    </w:div>
    <w:div w:id="843133119">
      <w:bodyDiv w:val="1"/>
      <w:marLeft w:val="0"/>
      <w:marRight w:val="0"/>
      <w:marTop w:val="0"/>
      <w:marBottom w:val="0"/>
      <w:divBdr>
        <w:top w:val="none" w:sz="0" w:space="0" w:color="auto"/>
        <w:left w:val="none" w:sz="0" w:space="0" w:color="auto"/>
        <w:bottom w:val="none" w:sz="0" w:space="0" w:color="auto"/>
        <w:right w:val="none" w:sz="0" w:space="0" w:color="auto"/>
      </w:divBdr>
    </w:div>
    <w:div w:id="846020178">
      <w:bodyDiv w:val="1"/>
      <w:marLeft w:val="0"/>
      <w:marRight w:val="0"/>
      <w:marTop w:val="0"/>
      <w:marBottom w:val="0"/>
      <w:divBdr>
        <w:top w:val="none" w:sz="0" w:space="0" w:color="auto"/>
        <w:left w:val="none" w:sz="0" w:space="0" w:color="auto"/>
        <w:bottom w:val="none" w:sz="0" w:space="0" w:color="auto"/>
        <w:right w:val="none" w:sz="0" w:space="0" w:color="auto"/>
      </w:divBdr>
    </w:div>
    <w:div w:id="859047276">
      <w:bodyDiv w:val="1"/>
      <w:marLeft w:val="0"/>
      <w:marRight w:val="0"/>
      <w:marTop w:val="0"/>
      <w:marBottom w:val="0"/>
      <w:divBdr>
        <w:top w:val="none" w:sz="0" w:space="0" w:color="auto"/>
        <w:left w:val="none" w:sz="0" w:space="0" w:color="auto"/>
        <w:bottom w:val="none" w:sz="0" w:space="0" w:color="auto"/>
        <w:right w:val="none" w:sz="0" w:space="0" w:color="auto"/>
      </w:divBdr>
      <w:divsChild>
        <w:div w:id="1309479234">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865824551">
      <w:bodyDiv w:val="1"/>
      <w:marLeft w:val="0"/>
      <w:marRight w:val="0"/>
      <w:marTop w:val="0"/>
      <w:marBottom w:val="0"/>
      <w:divBdr>
        <w:top w:val="none" w:sz="0" w:space="0" w:color="auto"/>
        <w:left w:val="none" w:sz="0" w:space="0" w:color="auto"/>
        <w:bottom w:val="none" w:sz="0" w:space="0" w:color="auto"/>
        <w:right w:val="none" w:sz="0" w:space="0" w:color="auto"/>
      </w:divBdr>
    </w:div>
    <w:div w:id="914707550">
      <w:bodyDiv w:val="1"/>
      <w:marLeft w:val="0"/>
      <w:marRight w:val="0"/>
      <w:marTop w:val="0"/>
      <w:marBottom w:val="0"/>
      <w:divBdr>
        <w:top w:val="none" w:sz="0" w:space="0" w:color="auto"/>
        <w:left w:val="none" w:sz="0" w:space="0" w:color="auto"/>
        <w:bottom w:val="none" w:sz="0" w:space="0" w:color="auto"/>
        <w:right w:val="none" w:sz="0" w:space="0" w:color="auto"/>
      </w:divBdr>
      <w:divsChild>
        <w:div w:id="753356856">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954562392">
      <w:bodyDiv w:val="1"/>
      <w:marLeft w:val="0"/>
      <w:marRight w:val="0"/>
      <w:marTop w:val="0"/>
      <w:marBottom w:val="0"/>
      <w:divBdr>
        <w:top w:val="none" w:sz="0" w:space="0" w:color="auto"/>
        <w:left w:val="none" w:sz="0" w:space="0" w:color="auto"/>
        <w:bottom w:val="none" w:sz="0" w:space="0" w:color="auto"/>
        <w:right w:val="none" w:sz="0" w:space="0" w:color="auto"/>
      </w:divBdr>
      <w:divsChild>
        <w:div w:id="110443555">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967396296">
      <w:bodyDiv w:val="1"/>
      <w:marLeft w:val="0"/>
      <w:marRight w:val="0"/>
      <w:marTop w:val="0"/>
      <w:marBottom w:val="0"/>
      <w:divBdr>
        <w:top w:val="none" w:sz="0" w:space="0" w:color="auto"/>
        <w:left w:val="none" w:sz="0" w:space="0" w:color="auto"/>
        <w:bottom w:val="none" w:sz="0" w:space="0" w:color="auto"/>
        <w:right w:val="none" w:sz="0" w:space="0" w:color="auto"/>
      </w:divBdr>
    </w:div>
    <w:div w:id="993949136">
      <w:bodyDiv w:val="1"/>
      <w:marLeft w:val="0"/>
      <w:marRight w:val="0"/>
      <w:marTop w:val="0"/>
      <w:marBottom w:val="0"/>
      <w:divBdr>
        <w:top w:val="none" w:sz="0" w:space="0" w:color="auto"/>
        <w:left w:val="none" w:sz="0" w:space="0" w:color="auto"/>
        <w:bottom w:val="none" w:sz="0" w:space="0" w:color="auto"/>
        <w:right w:val="none" w:sz="0" w:space="0" w:color="auto"/>
      </w:divBdr>
      <w:divsChild>
        <w:div w:id="1656034045">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002052756">
      <w:bodyDiv w:val="1"/>
      <w:marLeft w:val="0"/>
      <w:marRight w:val="0"/>
      <w:marTop w:val="0"/>
      <w:marBottom w:val="0"/>
      <w:divBdr>
        <w:top w:val="none" w:sz="0" w:space="0" w:color="auto"/>
        <w:left w:val="none" w:sz="0" w:space="0" w:color="auto"/>
        <w:bottom w:val="none" w:sz="0" w:space="0" w:color="auto"/>
        <w:right w:val="none" w:sz="0" w:space="0" w:color="auto"/>
      </w:divBdr>
      <w:divsChild>
        <w:div w:id="590704007">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065108057">
      <w:bodyDiv w:val="1"/>
      <w:marLeft w:val="0"/>
      <w:marRight w:val="0"/>
      <w:marTop w:val="0"/>
      <w:marBottom w:val="0"/>
      <w:divBdr>
        <w:top w:val="none" w:sz="0" w:space="0" w:color="auto"/>
        <w:left w:val="none" w:sz="0" w:space="0" w:color="auto"/>
        <w:bottom w:val="none" w:sz="0" w:space="0" w:color="auto"/>
        <w:right w:val="none" w:sz="0" w:space="0" w:color="auto"/>
      </w:divBdr>
      <w:divsChild>
        <w:div w:id="1502547159">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098061296">
      <w:bodyDiv w:val="1"/>
      <w:marLeft w:val="0"/>
      <w:marRight w:val="0"/>
      <w:marTop w:val="0"/>
      <w:marBottom w:val="0"/>
      <w:divBdr>
        <w:top w:val="none" w:sz="0" w:space="0" w:color="auto"/>
        <w:left w:val="none" w:sz="0" w:space="0" w:color="auto"/>
        <w:bottom w:val="none" w:sz="0" w:space="0" w:color="auto"/>
        <w:right w:val="none" w:sz="0" w:space="0" w:color="auto"/>
      </w:divBdr>
    </w:div>
    <w:div w:id="1100948491">
      <w:bodyDiv w:val="1"/>
      <w:marLeft w:val="0"/>
      <w:marRight w:val="0"/>
      <w:marTop w:val="0"/>
      <w:marBottom w:val="0"/>
      <w:divBdr>
        <w:top w:val="none" w:sz="0" w:space="0" w:color="auto"/>
        <w:left w:val="none" w:sz="0" w:space="0" w:color="auto"/>
        <w:bottom w:val="none" w:sz="0" w:space="0" w:color="auto"/>
        <w:right w:val="none" w:sz="0" w:space="0" w:color="auto"/>
      </w:divBdr>
      <w:divsChild>
        <w:div w:id="702561044">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164467629">
      <w:bodyDiv w:val="1"/>
      <w:marLeft w:val="0"/>
      <w:marRight w:val="0"/>
      <w:marTop w:val="0"/>
      <w:marBottom w:val="0"/>
      <w:divBdr>
        <w:top w:val="none" w:sz="0" w:space="0" w:color="auto"/>
        <w:left w:val="none" w:sz="0" w:space="0" w:color="auto"/>
        <w:bottom w:val="none" w:sz="0" w:space="0" w:color="auto"/>
        <w:right w:val="none" w:sz="0" w:space="0" w:color="auto"/>
      </w:divBdr>
    </w:div>
    <w:div w:id="1208223408">
      <w:bodyDiv w:val="1"/>
      <w:marLeft w:val="0"/>
      <w:marRight w:val="0"/>
      <w:marTop w:val="0"/>
      <w:marBottom w:val="0"/>
      <w:divBdr>
        <w:top w:val="none" w:sz="0" w:space="0" w:color="auto"/>
        <w:left w:val="none" w:sz="0" w:space="0" w:color="auto"/>
        <w:bottom w:val="none" w:sz="0" w:space="0" w:color="auto"/>
        <w:right w:val="none" w:sz="0" w:space="0" w:color="auto"/>
      </w:divBdr>
    </w:div>
    <w:div w:id="1234730494">
      <w:bodyDiv w:val="1"/>
      <w:marLeft w:val="0"/>
      <w:marRight w:val="0"/>
      <w:marTop w:val="0"/>
      <w:marBottom w:val="0"/>
      <w:divBdr>
        <w:top w:val="none" w:sz="0" w:space="0" w:color="auto"/>
        <w:left w:val="none" w:sz="0" w:space="0" w:color="auto"/>
        <w:bottom w:val="none" w:sz="0" w:space="0" w:color="auto"/>
        <w:right w:val="none" w:sz="0" w:space="0" w:color="auto"/>
      </w:divBdr>
      <w:divsChild>
        <w:div w:id="55065098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240486315">
      <w:bodyDiv w:val="1"/>
      <w:marLeft w:val="0"/>
      <w:marRight w:val="0"/>
      <w:marTop w:val="0"/>
      <w:marBottom w:val="0"/>
      <w:divBdr>
        <w:top w:val="none" w:sz="0" w:space="0" w:color="auto"/>
        <w:left w:val="none" w:sz="0" w:space="0" w:color="auto"/>
        <w:bottom w:val="none" w:sz="0" w:space="0" w:color="auto"/>
        <w:right w:val="none" w:sz="0" w:space="0" w:color="auto"/>
      </w:divBdr>
      <w:divsChild>
        <w:div w:id="2110197724">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278365064">
      <w:bodyDiv w:val="1"/>
      <w:marLeft w:val="0"/>
      <w:marRight w:val="0"/>
      <w:marTop w:val="0"/>
      <w:marBottom w:val="0"/>
      <w:divBdr>
        <w:top w:val="none" w:sz="0" w:space="0" w:color="auto"/>
        <w:left w:val="none" w:sz="0" w:space="0" w:color="auto"/>
        <w:bottom w:val="none" w:sz="0" w:space="0" w:color="auto"/>
        <w:right w:val="none" w:sz="0" w:space="0" w:color="auto"/>
      </w:divBdr>
    </w:div>
    <w:div w:id="1287813109">
      <w:bodyDiv w:val="1"/>
      <w:marLeft w:val="0"/>
      <w:marRight w:val="0"/>
      <w:marTop w:val="0"/>
      <w:marBottom w:val="0"/>
      <w:divBdr>
        <w:top w:val="none" w:sz="0" w:space="0" w:color="auto"/>
        <w:left w:val="none" w:sz="0" w:space="0" w:color="auto"/>
        <w:bottom w:val="none" w:sz="0" w:space="0" w:color="auto"/>
        <w:right w:val="none" w:sz="0" w:space="0" w:color="auto"/>
      </w:divBdr>
      <w:divsChild>
        <w:div w:id="179544005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337269520">
      <w:bodyDiv w:val="1"/>
      <w:marLeft w:val="0"/>
      <w:marRight w:val="0"/>
      <w:marTop w:val="0"/>
      <w:marBottom w:val="0"/>
      <w:divBdr>
        <w:top w:val="none" w:sz="0" w:space="0" w:color="auto"/>
        <w:left w:val="none" w:sz="0" w:space="0" w:color="auto"/>
        <w:bottom w:val="none" w:sz="0" w:space="0" w:color="auto"/>
        <w:right w:val="none" w:sz="0" w:space="0" w:color="auto"/>
      </w:divBdr>
      <w:divsChild>
        <w:div w:id="689379954">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381518317">
      <w:bodyDiv w:val="1"/>
      <w:marLeft w:val="0"/>
      <w:marRight w:val="0"/>
      <w:marTop w:val="0"/>
      <w:marBottom w:val="0"/>
      <w:divBdr>
        <w:top w:val="none" w:sz="0" w:space="0" w:color="auto"/>
        <w:left w:val="none" w:sz="0" w:space="0" w:color="auto"/>
        <w:bottom w:val="none" w:sz="0" w:space="0" w:color="auto"/>
        <w:right w:val="none" w:sz="0" w:space="0" w:color="auto"/>
      </w:divBdr>
    </w:div>
    <w:div w:id="1394086981">
      <w:bodyDiv w:val="1"/>
      <w:marLeft w:val="0"/>
      <w:marRight w:val="0"/>
      <w:marTop w:val="0"/>
      <w:marBottom w:val="0"/>
      <w:divBdr>
        <w:top w:val="none" w:sz="0" w:space="0" w:color="auto"/>
        <w:left w:val="none" w:sz="0" w:space="0" w:color="auto"/>
        <w:bottom w:val="none" w:sz="0" w:space="0" w:color="auto"/>
        <w:right w:val="none" w:sz="0" w:space="0" w:color="auto"/>
      </w:divBdr>
    </w:div>
    <w:div w:id="1428037685">
      <w:bodyDiv w:val="1"/>
      <w:marLeft w:val="0"/>
      <w:marRight w:val="0"/>
      <w:marTop w:val="0"/>
      <w:marBottom w:val="0"/>
      <w:divBdr>
        <w:top w:val="none" w:sz="0" w:space="0" w:color="auto"/>
        <w:left w:val="none" w:sz="0" w:space="0" w:color="auto"/>
        <w:bottom w:val="none" w:sz="0" w:space="0" w:color="auto"/>
        <w:right w:val="none" w:sz="0" w:space="0" w:color="auto"/>
      </w:divBdr>
    </w:div>
    <w:div w:id="1439906811">
      <w:bodyDiv w:val="1"/>
      <w:marLeft w:val="0"/>
      <w:marRight w:val="0"/>
      <w:marTop w:val="0"/>
      <w:marBottom w:val="0"/>
      <w:divBdr>
        <w:top w:val="none" w:sz="0" w:space="0" w:color="auto"/>
        <w:left w:val="none" w:sz="0" w:space="0" w:color="auto"/>
        <w:bottom w:val="none" w:sz="0" w:space="0" w:color="auto"/>
        <w:right w:val="none" w:sz="0" w:space="0" w:color="auto"/>
      </w:divBdr>
      <w:divsChild>
        <w:div w:id="98824661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442532087">
      <w:bodyDiv w:val="1"/>
      <w:marLeft w:val="0"/>
      <w:marRight w:val="0"/>
      <w:marTop w:val="0"/>
      <w:marBottom w:val="0"/>
      <w:divBdr>
        <w:top w:val="none" w:sz="0" w:space="0" w:color="auto"/>
        <w:left w:val="none" w:sz="0" w:space="0" w:color="auto"/>
        <w:bottom w:val="none" w:sz="0" w:space="0" w:color="auto"/>
        <w:right w:val="none" w:sz="0" w:space="0" w:color="auto"/>
      </w:divBdr>
      <w:divsChild>
        <w:div w:id="1008486756">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459029271">
      <w:bodyDiv w:val="1"/>
      <w:marLeft w:val="0"/>
      <w:marRight w:val="0"/>
      <w:marTop w:val="0"/>
      <w:marBottom w:val="0"/>
      <w:divBdr>
        <w:top w:val="none" w:sz="0" w:space="0" w:color="auto"/>
        <w:left w:val="none" w:sz="0" w:space="0" w:color="auto"/>
        <w:bottom w:val="none" w:sz="0" w:space="0" w:color="auto"/>
        <w:right w:val="none" w:sz="0" w:space="0" w:color="auto"/>
      </w:divBdr>
      <w:divsChild>
        <w:div w:id="138035103">
          <w:marLeft w:val="0"/>
          <w:marRight w:val="0"/>
          <w:marTop w:val="0"/>
          <w:marBottom w:val="0"/>
          <w:divBdr>
            <w:top w:val="none" w:sz="0" w:space="0" w:color="auto"/>
            <w:left w:val="none" w:sz="0" w:space="0" w:color="auto"/>
            <w:bottom w:val="none" w:sz="0" w:space="0" w:color="auto"/>
            <w:right w:val="none" w:sz="0" w:space="0" w:color="auto"/>
          </w:divBdr>
          <w:divsChild>
            <w:div w:id="169361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449497">
      <w:bodyDiv w:val="1"/>
      <w:marLeft w:val="0"/>
      <w:marRight w:val="0"/>
      <w:marTop w:val="0"/>
      <w:marBottom w:val="0"/>
      <w:divBdr>
        <w:top w:val="none" w:sz="0" w:space="0" w:color="auto"/>
        <w:left w:val="none" w:sz="0" w:space="0" w:color="auto"/>
        <w:bottom w:val="none" w:sz="0" w:space="0" w:color="auto"/>
        <w:right w:val="none" w:sz="0" w:space="0" w:color="auto"/>
      </w:divBdr>
      <w:divsChild>
        <w:div w:id="1231311391">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503425369">
      <w:bodyDiv w:val="1"/>
      <w:marLeft w:val="0"/>
      <w:marRight w:val="0"/>
      <w:marTop w:val="0"/>
      <w:marBottom w:val="0"/>
      <w:divBdr>
        <w:top w:val="none" w:sz="0" w:space="0" w:color="auto"/>
        <w:left w:val="none" w:sz="0" w:space="0" w:color="auto"/>
        <w:bottom w:val="none" w:sz="0" w:space="0" w:color="auto"/>
        <w:right w:val="none" w:sz="0" w:space="0" w:color="auto"/>
      </w:divBdr>
    </w:div>
    <w:div w:id="1528833743">
      <w:bodyDiv w:val="1"/>
      <w:marLeft w:val="0"/>
      <w:marRight w:val="0"/>
      <w:marTop w:val="0"/>
      <w:marBottom w:val="0"/>
      <w:divBdr>
        <w:top w:val="none" w:sz="0" w:space="0" w:color="auto"/>
        <w:left w:val="none" w:sz="0" w:space="0" w:color="auto"/>
        <w:bottom w:val="none" w:sz="0" w:space="0" w:color="auto"/>
        <w:right w:val="none" w:sz="0" w:space="0" w:color="auto"/>
      </w:divBdr>
      <w:divsChild>
        <w:div w:id="1559052992">
          <w:marLeft w:val="0"/>
          <w:marRight w:val="0"/>
          <w:marTop w:val="0"/>
          <w:marBottom w:val="0"/>
          <w:divBdr>
            <w:top w:val="none" w:sz="0" w:space="0" w:color="auto"/>
            <w:left w:val="none" w:sz="0" w:space="0" w:color="auto"/>
            <w:bottom w:val="none" w:sz="0" w:space="0" w:color="auto"/>
            <w:right w:val="none" w:sz="0" w:space="0" w:color="auto"/>
          </w:divBdr>
          <w:divsChild>
            <w:div w:id="14860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823014">
      <w:bodyDiv w:val="1"/>
      <w:marLeft w:val="0"/>
      <w:marRight w:val="0"/>
      <w:marTop w:val="0"/>
      <w:marBottom w:val="0"/>
      <w:divBdr>
        <w:top w:val="none" w:sz="0" w:space="0" w:color="auto"/>
        <w:left w:val="none" w:sz="0" w:space="0" w:color="auto"/>
        <w:bottom w:val="none" w:sz="0" w:space="0" w:color="auto"/>
        <w:right w:val="none" w:sz="0" w:space="0" w:color="auto"/>
      </w:divBdr>
      <w:divsChild>
        <w:div w:id="113954108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598709076">
      <w:bodyDiv w:val="1"/>
      <w:marLeft w:val="0"/>
      <w:marRight w:val="0"/>
      <w:marTop w:val="0"/>
      <w:marBottom w:val="0"/>
      <w:divBdr>
        <w:top w:val="none" w:sz="0" w:space="0" w:color="auto"/>
        <w:left w:val="none" w:sz="0" w:space="0" w:color="auto"/>
        <w:bottom w:val="none" w:sz="0" w:space="0" w:color="auto"/>
        <w:right w:val="none" w:sz="0" w:space="0" w:color="auto"/>
      </w:divBdr>
    </w:div>
    <w:div w:id="1605571342">
      <w:bodyDiv w:val="1"/>
      <w:marLeft w:val="0"/>
      <w:marRight w:val="0"/>
      <w:marTop w:val="0"/>
      <w:marBottom w:val="0"/>
      <w:divBdr>
        <w:top w:val="none" w:sz="0" w:space="0" w:color="auto"/>
        <w:left w:val="none" w:sz="0" w:space="0" w:color="auto"/>
        <w:bottom w:val="none" w:sz="0" w:space="0" w:color="auto"/>
        <w:right w:val="none" w:sz="0" w:space="0" w:color="auto"/>
      </w:divBdr>
      <w:divsChild>
        <w:div w:id="1511262187">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615862569">
      <w:bodyDiv w:val="1"/>
      <w:marLeft w:val="0"/>
      <w:marRight w:val="0"/>
      <w:marTop w:val="0"/>
      <w:marBottom w:val="0"/>
      <w:divBdr>
        <w:top w:val="none" w:sz="0" w:space="0" w:color="auto"/>
        <w:left w:val="none" w:sz="0" w:space="0" w:color="auto"/>
        <w:bottom w:val="none" w:sz="0" w:space="0" w:color="auto"/>
        <w:right w:val="none" w:sz="0" w:space="0" w:color="auto"/>
      </w:divBdr>
      <w:divsChild>
        <w:div w:id="139538276">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708220469">
      <w:bodyDiv w:val="1"/>
      <w:marLeft w:val="0"/>
      <w:marRight w:val="0"/>
      <w:marTop w:val="0"/>
      <w:marBottom w:val="0"/>
      <w:divBdr>
        <w:top w:val="none" w:sz="0" w:space="0" w:color="auto"/>
        <w:left w:val="none" w:sz="0" w:space="0" w:color="auto"/>
        <w:bottom w:val="none" w:sz="0" w:space="0" w:color="auto"/>
        <w:right w:val="none" w:sz="0" w:space="0" w:color="auto"/>
      </w:divBdr>
      <w:divsChild>
        <w:div w:id="1960331881">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1761679582">
      <w:bodyDiv w:val="1"/>
      <w:marLeft w:val="0"/>
      <w:marRight w:val="0"/>
      <w:marTop w:val="0"/>
      <w:marBottom w:val="0"/>
      <w:divBdr>
        <w:top w:val="none" w:sz="0" w:space="0" w:color="auto"/>
        <w:left w:val="none" w:sz="0" w:space="0" w:color="auto"/>
        <w:bottom w:val="none" w:sz="0" w:space="0" w:color="auto"/>
        <w:right w:val="none" w:sz="0" w:space="0" w:color="auto"/>
      </w:divBdr>
    </w:div>
    <w:div w:id="1782989108">
      <w:bodyDiv w:val="1"/>
      <w:marLeft w:val="0"/>
      <w:marRight w:val="0"/>
      <w:marTop w:val="0"/>
      <w:marBottom w:val="0"/>
      <w:divBdr>
        <w:top w:val="none" w:sz="0" w:space="0" w:color="auto"/>
        <w:left w:val="none" w:sz="0" w:space="0" w:color="auto"/>
        <w:bottom w:val="none" w:sz="0" w:space="0" w:color="auto"/>
        <w:right w:val="none" w:sz="0" w:space="0" w:color="auto"/>
      </w:divBdr>
    </w:div>
    <w:div w:id="1807043209">
      <w:bodyDiv w:val="1"/>
      <w:marLeft w:val="0"/>
      <w:marRight w:val="0"/>
      <w:marTop w:val="0"/>
      <w:marBottom w:val="0"/>
      <w:divBdr>
        <w:top w:val="none" w:sz="0" w:space="0" w:color="auto"/>
        <w:left w:val="none" w:sz="0" w:space="0" w:color="auto"/>
        <w:bottom w:val="none" w:sz="0" w:space="0" w:color="auto"/>
        <w:right w:val="none" w:sz="0" w:space="0" w:color="auto"/>
      </w:divBdr>
      <w:divsChild>
        <w:div w:id="1027488316">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839348977">
      <w:bodyDiv w:val="1"/>
      <w:marLeft w:val="0"/>
      <w:marRight w:val="0"/>
      <w:marTop w:val="0"/>
      <w:marBottom w:val="0"/>
      <w:divBdr>
        <w:top w:val="none" w:sz="0" w:space="0" w:color="auto"/>
        <w:left w:val="none" w:sz="0" w:space="0" w:color="auto"/>
        <w:bottom w:val="none" w:sz="0" w:space="0" w:color="auto"/>
        <w:right w:val="none" w:sz="0" w:space="0" w:color="auto"/>
      </w:divBdr>
    </w:div>
    <w:div w:id="1842891200">
      <w:bodyDiv w:val="1"/>
      <w:marLeft w:val="0"/>
      <w:marRight w:val="0"/>
      <w:marTop w:val="0"/>
      <w:marBottom w:val="0"/>
      <w:divBdr>
        <w:top w:val="none" w:sz="0" w:space="0" w:color="auto"/>
        <w:left w:val="none" w:sz="0" w:space="0" w:color="auto"/>
        <w:bottom w:val="none" w:sz="0" w:space="0" w:color="auto"/>
        <w:right w:val="none" w:sz="0" w:space="0" w:color="auto"/>
      </w:divBdr>
      <w:divsChild>
        <w:div w:id="1030708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845363989">
      <w:bodyDiv w:val="1"/>
      <w:marLeft w:val="0"/>
      <w:marRight w:val="0"/>
      <w:marTop w:val="0"/>
      <w:marBottom w:val="0"/>
      <w:divBdr>
        <w:top w:val="none" w:sz="0" w:space="0" w:color="auto"/>
        <w:left w:val="none" w:sz="0" w:space="0" w:color="auto"/>
        <w:bottom w:val="none" w:sz="0" w:space="0" w:color="auto"/>
        <w:right w:val="none" w:sz="0" w:space="0" w:color="auto"/>
      </w:divBdr>
      <w:divsChild>
        <w:div w:id="718629267">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1878353406">
      <w:bodyDiv w:val="1"/>
      <w:marLeft w:val="0"/>
      <w:marRight w:val="0"/>
      <w:marTop w:val="0"/>
      <w:marBottom w:val="0"/>
      <w:divBdr>
        <w:top w:val="none" w:sz="0" w:space="0" w:color="auto"/>
        <w:left w:val="none" w:sz="0" w:space="0" w:color="auto"/>
        <w:bottom w:val="none" w:sz="0" w:space="0" w:color="auto"/>
        <w:right w:val="none" w:sz="0" w:space="0" w:color="auto"/>
      </w:divBdr>
    </w:div>
    <w:div w:id="1927374143">
      <w:bodyDiv w:val="1"/>
      <w:marLeft w:val="0"/>
      <w:marRight w:val="0"/>
      <w:marTop w:val="0"/>
      <w:marBottom w:val="0"/>
      <w:divBdr>
        <w:top w:val="none" w:sz="0" w:space="0" w:color="auto"/>
        <w:left w:val="none" w:sz="0" w:space="0" w:color="auto"/>
        <w:bottom w:val="none" w:sz="0" w:space="0" w:color="auto"/>
        <w:right w:val="none" w:sz="0" w:space="0" w:color="auto"/>
      </w:divBdr>
      <w:divsChild>
        <w:div w:id="1264191648">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012439769">
      <w:bodyDiv w:val="1"/>
      <w:marLeft w:val="0"/>
      <w:marRight w:val="0"/>
      <w:marTop w:val="0"/>
      <w:marBottom w:val="0"/>
      <w:divBdr>
        <w:top w:val="none" w:sz="0" w:space="0" w:color="auto"/>
        <w:left w:val="none" w:sz="0" w:space="0" w:color="auto"/>
        <w:bottom w:val="none" w:sz="0" w:space="0" w:color="auto"/>
        <w:right w:val="none" w:sz="0" w:space="0" w:color="auto"/>
      </w:divBdr>
    </w:div>
    <w:div w:id="2021930313">
      <w:bodyDiv w:val="1"/>
      <w:marLeft w:val="0"/>
      <w:marRight w:val="0"/>
      <w:marTop w:val="0"/>
      <w:marBottom w:val="0"/>
      <w:divBdr>
        <w:top w:val="none" w:sz="0" w:space="0" w:color="auto"/>
        <w:left w:val="none" w:sz="0" w:space="0" w:color="auto"/>
        <w:bottom w:val="none" w:sz="0" w:space="0" w:color="auto"/>
        <w:right w:val="none" w:sz="0" w:space="0" w:color="auto"/>
      </w:divBdr>
      <w:divsChild>
        <w:div w:id="538208396">
          <w:marLeft w:val="0"/>
          <w:marRight w:val="0"/>
          <w:marTop w:val="0"/>
          <w:marBottom w:val="0"/>
          <w:divBdr>
            <w:top w:val="single" w:sz="6" w:space="0" w:color="000000"/>
            <w:left w:val="single" w:sz="6" w:space="0" w:color="000000"/>
            <w:bottom w:val="single" w:sz="6" w:space="0" w:color="000000"/>
            <w:right w:val="single" w:sz="6" w:space="0" w:color="000000"/>
          </w:divBdr>
        </w:div>
      </w:divsChild>
    </w:div>
    <w:div w:id="2027709720">
      <w:bodyDiv w:val="1"/>
      <w:marLeft w:val="0"/>
      <w:marRight w:val="0"/>
      <w:marTop w:val="0"/>
      <w:marBottom w:val="0"/>
      <w:divBdr>
        <w:top w:val="none" w:sz="0" w:space="0" w:color="auto"/>
        <w:left w:val="none" w:sz="0" w:space="0" w:color="auto"/>
        <w:bottom w:val="none" w:sz="0" w:space="0" w:color="auto"/>
        <w:right w:val="none" w:sz="0" w:space="0" w:color="auto"/>
      </w:divBdr>
    </w:div>
    <w:div w:id="2095124418">
      <w:bodyDiv w:val="1"/>
      <w:marLeft w:val="0"/>
      <w:marRight w:val="0"/>
      <w:marTop w:val="0"/>
      <w:marBottom w:val="0"/>
      <w:divBdr>
        <w:top w:val="none" w:sz="0" w:space="0" w:color="auto"/>
        <w:left w:val="none" w:sz="0" w:space="0" w:color="auto"/>
        <w:bottom w:val="none" w:sz="0" w:space="0" w:color="auto"/>
        <w:right w:val="none" w:sz="0" w:space="0" w:color="auto"/>
      </w:divBdr>
    </w:div>
    <w:div w:id="2098089207">
      <w:bodyDiv w:val="1"/>
      <w:marLeft w:val="0"/>
      <w:marRight w:val="0"/>
      <w:marTop w:val="0"/>
      <w:marBottom w:val="0"/>
      <w:divBdr>
        <w:top w:val="none" w:sz="0" w:space="0" w:color="auto"/>
        <w:left w:val="none" w:sz="0" w:space="0" w:color="auto"/>
        <w:bottom w:val="none" w:sz="0" w:space="0" w:color="auto"/>
        <w:right w:val="none" w:sz="0" w:space="0" w:color="auto"/>
      </w:divBdr>
      <w:divsChild>
        <w:div w:id="1177891648">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112167336">
      <w:bodyDiv w:val="1"/>
      <w:marLeft w:val="0"/>
      <w:marRight w:val="0"/>
      <w:marTop w:val="0"/>
      <w:marBottom w:val="0"/>
      <w:divBdr>
        <w:top w:val="none" w:sz="0" w:space="0" w:color="auto"/>
        <w:left w:val="none" w:sz="0" w:space="0" w:color="auto"/>
        <w:bottom w:val="none" w:sz="0" w:space="0" w:color="auto"/>
        <w:right w:val="none" w:sz="0" w:space="0" w:color="auto"/>
      </w:divBdr>
      <w:divsChild>
        <w:div w:id="201750893">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114744630">
      <w:bodyDiv w:val="1"/>
      <w:marLeft w:val="0"/>
      <w:marRight w:val="0"/>
      <w:marTop w:val="0"/>
      <w:marBottom w:val="0"/>
      <w:divBdr>
        <w:top w:val="none" w:sz="0" w:space="0" w:color="auto"/>
        <w:left w:val="none" w:sz="0" w:space="0" w:color="auto"/>
        <w:bottom w:val="none" w:sz="0" w:space="0" w:color="auto"/>
        <w:right w:val="none" w:sz="0" w:space="0" w:color="auto"/>
      </w:divBdr>
    </w:div>
    <w:div w:id="2119986140">
      <w:bodyDiv w:val="1"/>
      <w:marLeft w:val="0"/>
      <w:marRight w:val="0"/>
      <w:marTop w:val="0"/>
      <w:marBottom w:val="0"/>
      <w:divBdr>
        <w:top w:val="none" w:sz="0" w:space="0" w:color="auto"/>
        <w:left w:val="none" w:sz="0" w:space="0" w:color="auto"/>
        <w:bottom w:val="none" w:sz="0" w:space="0" w:color="auto"/>
        <w:right w:val="none" w:sz="0" w:space="0" w:color="auto"/>
      </w:divBdr>
      <w:divsChild>
        <w:div w:id="803279632">
          <w:marLeft w:val="0"/>
          <w:marRight w:val="0"/>
          <w:marTop w:val="0"/>
          <w:marBottom w:val="0"/>
          <w:divBdr>
            <w:top w:val="single" w:sz="6" w:space="0" w:color="5B616B"/>
            <w:left w:val="single" w:sz="6" w:space="0" w:color="5B616B"/>
            <w:bottom w:val="single" w:sz="6" w:space="0" w:color="5B616B"/>
            <w:right w:val="single" w:sz="6" w:space="0" w:color="5B616B"/>
          </w:divBdr>
        </w:div>
      </w:divsChild>
    </w:div>
    <w:div w:id="2145266730">
      <w:bodyDiv w:val="1"/>
      <w:marLeft w:val="0"/>
      <w:marRight w:val="0"/>
      <w:marTop w:val="0"/>
      <w:marBottom w:val="0"/>
      <w:divBdr>
        <w:top w:val="none" w:sz="0" w:space="0" w:color="auto"/>
        <w:left w:val="none" w:sz="0" w:space="0" w:color="auto"/>
        <w:bottom w:val="none" w:sz="0" w:space="0" w:color="auto"/>
        <w:right w:val="none" w:sz="0" w:space="0" w:color="auto"/>
      </w:divBdr>
      <w:divsChild>
        <w:div w:id="1150293730">
          <w:marLeft w:val="0"/>
          <w:marRight w:val="0"/>
          <w:marTop w:val="0"/>
          <w:marBottom w:val="0"/>
          <w:divBdr>
            <w:top w:val="single" w:sz="6" w:space="0" w:color="5B616B"/>
            <w:left w:val="single" w:sz="6" w:space="0" w:color="5B616B"/>
            <w:bottom w:val="single" w:sz="6" w:space="0" w:color="5B616B"/>
            <w:right w:val="single" w:sz="6" w:space="0" w:color="5B616B"/>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10A7DBA-8534-4CBE-8788-F107891C0C6F}">
  <we:reference id="55da0767-eb41-43c5-87ca-3799bace4589" version="1.0.1.0" store="EXCatalog" storeType="EXCatalog"/>
  <we:alternateReferences>
    <we:reference id="WA104380917" version="1.0.1.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Gen23</b:Tag>
    <b:SourceType>JournalArticle</b:SourceType>
    <b:Guid>{3A21A718-C063-4764-9240-8D54899A06BA}</b:Guid>
    <b:Title>Hormonal and natural contraceptives: a review on efficacy and risks of different methods for an informed choice</b:Title>
    <b:Year>2023</b:Year>
    <b:Author>
      <b:Author>
        <b:NameList>
          <b:Person>
            <b:Last>Genazzani</b:Last>
            <b:First>A.</b:First>
            <b:Middle>R., Fidecicchi, T., Arduini, D., Giannini, A., &amp; Simoncini, T.</b:Middle>
          </b:Person>
        </b:NameList>
      </b:Author>
    </b:Author>
    <b:JournalName>Gynecological endocrinology : the official journal of the International Society of Gynecological Endocrinology</b:JournalName>
    <b:Pages>39(1), 2247093. https://doi.org/10.1080/09513590.2023.2247093</b:Pages>
    <b:RefOrder>1</b:RefOrder>
  </b:Source>
</b:Sourc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484A90849C6A14485FF6F24FD4EDDF2" ma:contentTypeVersion="3" ma:contentTypeDescription="Crée un document." ma:contentTypeScope="" ma:versionID="dafb560b0b8e15973164112e9b677091">
  <xsd:schema xmlns:xsd="http://www.w3.org/2001/XMLSchema" xmlns:xs="http://www.w3.org/2001/XMLSchema" xmlns:p="http://schemas.microsoft.com/office/2006/metadata/properties" xmlns:ns3="a48e1127-5a22-4fb3-8262-f3bcd59e4286" targetNamespace="http://schemas.microsoft.com/office/2006/metadata/properties" ma:root="true" ma:fieldsID="64003d6eb63576f78ff17ef7033803dc" ns3:_="">
    <xsd:import namespace="a48e1127-5a22-4fb3-8262-f3bcd59e4286"/>
    <xsd:element name="properties">
      <xsd:complexType>
        <xsd:sequence>
          <xsd:element name="documentManagement">
            <xsd:complexType>
              <xsd:all>
                <xsd:element ref="ns3:MediaServiceMetadata" minOccurs="0"/>
                <xsd:element ref="ns3:MediaServiceFastMetadata"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48e1127-5a22-4fb3-8262-f3bcd59e428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F088ED1-AF8B-4A74-835B-F4A8E09AEFA8}">
  <ds:schemaRefs>
    <ds:schemaRef ds:uri="http://schemas.openxmlformats.org/officeDocument/2006/bibliography"/>
  </ds:schemaRefs>
</ds:datastoreItem>
</file>

<file path=customXml/itemProps2.xml><?xml version="1.0" encoding="utf-8"?>
<ds:datastoreItem xmlns:ds="http://schemas.openxmlformats.org/officeDocument/2006/customXml" ds:itemID="{7CBACCFB-520F-41A5-8D40-325BFA4A2FA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EC25321-0DFA-457B-A53D-7172B1C69270}">
  <ds:schemaRefs>
    <ds:schemaRef ds:uri="http://schemas.microsoft.com/sharepoint/v3/contenttype/forms"/>
  </ds:schemaRefs>
</ds:datastoreItem>
</file>

<file path=customXml/itemProps4.xml><?xml version="1.0" encoding="utf-8"?>
<ds:datastoreItem xmlns:ds="http://schemas.openxmlformats.org/officeDocument/2006/customXml" ds:itemID="{6B09A4F8-7494-4E64-B98E-8D45160F7C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48e1127-5a22-4fb3-8262-f3bcd59e42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250</Pages>
  <Words>14131</Words>
  <Characters>84084</Characters>
  <Application>Microsoft Office Word</Application>
  <DocSecurity>0</DocSecurity>
  <Lines>14014</Lines>
  <Paragraphs>506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97709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Amélie</dc:creator>
  <cp:keywords/>
  <dc:description/>
  <cp:lastModifiedBy>Nilesh Nawale</cp:lastModifiedBy>
  <cp:revision>2</cp:revision>
  <cp:lastPrinted>2025-07-18T22:58:00Z</cp:lastPrinted>
  <dcterms:created xsi:type="dcterms:W3CDTF">2025-10-21T09:21:00Z</dcterms:created>
  <dcterms:modified xsi:type="dcterms:W3CDTF">2025-10-21T09:21:00Z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0x0101009484A90849C6A14485FF6F24FD4EDDF2</vt:lpwstr>
  </property>
  <property fmtid="{D5CDD505-2E9C-101B-9397-08002B2CF9AE}" pid="3" name="MSIP_Label_6a7d8d5d-78e2-4a62-9fcd-016eb5e4c57c_Enabled">
    <vt:lpwstr>true</vt:lpwstr>
  </property>
  <property fmtid="{D5CDD505-2E9C-101B-9397-08002B2CF9AE}" pid="4" name="MSIP_Label_6a7d8d5d-78e2-4a62-9fcd-016eb5e4c57c_SetDate">
    <vt:lpwstr>2025-07-19T16:24:44Z</vt:lpwstr>
  </property>
  <property fmtid="{D5CDD505-2E9C-101B-9397-08002B2CF9AE}" pid="5" name="MSIP_Label_6a7d8d5d-78e2-4a62-9fcd-016eb5e4c57c_Method">
    <vt:lpwstr>Standard</vt:lpwstr>
  </property>
  <property fmtid="{D5CDD505-2E9C-101B-9397-08002B2CF9AE}" pid="6" name="MSIP_Label_6a7d8d5d-78e2-4a62-9fcd-016eb5e4c57c_Name">
    <vt:lpwstr>Général</vt:lpwstr>
  </property>
  <property fmtid="{D5CDD505-2E9C-101B-9397-08002B2CF9AE}" pid="7" name="MSIP_Label_6a7d8d5d-78e2-4a62-9fcd-016eb5e4c57c_SiteId">
    <vt:lpwstr>06e1fe28-5f8b-4075-bf6c-ae24be1a7992</vt:lpwstr>
  </property>
  <property fmtid="{D5CDD505-2E9C-101B-9397-08002B2CF9AE}" pid="8" name="MSIP_Label_6a7d8d5d-78e2-4a62-9fcd-016eb5e4c57c_ActionId">
    <vt:lpwstr>ec2f95d2-8efa-4df7-a776-0a138c50a6b7</vt:lpwstr>
  </property>
  <property fmtid="{D5CDD505-2E9C-101B-9397-08002B2CF9AE}" pid="9" name="MSIP_Label_6a7d8d5d-78e2-4a62-9fcd-016eb5e4c57c_ContentBits">
    <vt:lpwstr>0</vt:lpwstr>
  </property>
  <property fmtid="{D5CDD505-2E9C-101B-9397-08002B2CF9AE}" pid="10" name="MSIP_Label_6a7d8d5d-78e2-4a62-9fcd-016eb5e4c57c_Tag">
    <vt:lpwstr>10, 3, 0, 1</vt:lpwstr>
  </property>
</Properties>
</file>