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40EA81">
      <w:pPr>
        <w:widowControl w:val="0"/>
        <w:spacing w:before="81" w:beforeLines="25" w:after="81" w:afterLines="25"/>
        <w:jc w:val="both"/>
        <w:outlineLvl w:val="0"/>
        <w:rPr>
          <w:rFonts w:ascii="宋体" w:hAnsi="宋体" w:eastAsia="宋体" w:cs="宋体"/>
          <w:sz w:val="24"/>
          <w:szCs w:val="24"/>
        </w:rPr>
      </w:pPr>
      <w:bookmarkStart w:id="0" w:name="_Hlk205401115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153670</wp:posOffset>
                </wp:positionV>
                <wp:extent cx="5200650" cy="19050"/>
                <wp:effectExtent l="0" t="25400" r="0" b="317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65860" y="1068070"/>
                          <a:ext cx="5200650" cy="19050"/>
                        </a:xfrm>
                        <a:prstGeom prst="line">
                          <a:avLst/>
                        </a:prstGeom>
                        <a:ln w="50800" cmpd="sng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.8pt;margin-top:12.1pt;height:1.5pt;width:409.5pt;z-index:251659264;mso-width-relative:page;mso-height-relative:page;" filled="f" stroked="t" coordsize="21600,21600" o:gfxdata="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0DcrMNQAAAAHAQAADwAAAAAAAAABACAAAAAiAAAAZHJzL2Rvd25yZXYueG1sUEsB&#10;AhQAFAAAAAgAh07iQFmtULf5AQAAzAMAAA4AAAAAAAAAAQAgAAAAIwEAAGRycy9lMm9Eb2MueG1s&#10;UEsFBgAAAAAGAAYAWQEAAI4FAAAAAA==&#10;">
                <v:fill on="f" focussize="0,0"/>
                <v:stroke weight="4pt" color="#00B0F0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172158FE">
      <w:pPr>
        <w:widowControl w:val="0"/>
        <w:spacing w:before="81" w:beforeLines="25" w:after="81" w:afterLines="25"/>
        <w:jc w:val="both"/>
        <w:outlineLvl w:val="0"/>
        <w:rPr>
          <w:rFonts w:hint="default" w:ascii="Times New Roman" w:hAnsi="Times New Roman" w:eastAsia="黑体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nature climate change</w:t>
      </w:r>
    </w:p>
    <w:p w14:paraId="68D05C58">
      <w:pPr>
        <w:widowControl w:val="0"/>
        <w:spacing w:before="81" w:beforeLines="25" w:after="81" w:afterLines="25"/>
        <w:jc w:val="both"/>
        <w:outlineLvl w:val="0"/>
        <w:rPr>
          <w:rFonts w:hint="default" w:ascii="Times New Roman" w:hAnsi="Times New Roman" w:eastAsia="黑体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Brief Communication</w:t>
      </w:r>
    </w:p>
    <w:p w14:paraId="12596062">
      <w:pPr>
        <w:widowControl w:val="0"/>
        <w:spacing w:before="81" w:beforeLines="25" w:after="81" w:afterLines="25"/>
        <w:jc w:val="both"/>
        <w:outlineLvl w:val="0"/>
        <w:rPr>
          <w:rFonts w:hint="eastAsia" w:ascii="Times New Roman" w:hAnsi="Times New Roman" w:eastAsia="黑体" w:cs="Times New Roman"/>
          <w:b/>
          <w:bCs/>
          <w:kern w:val="2"/>
          <w:sz w:val="40"/>
          <w:szCs w:val="32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755650</wp:posOffset>
                </wp:positionV>
                <wp:extent cx="5200650" cy="19050"/>
                <wp:effectExtent l="0" t="9525" r="0" b="952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1905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.7pt;margin-top:59.5pt;height:1.5pt;width:409.5pt;z-index:251661312;mso-width-relative:page;mso-height-relative:page;" filled="f" stroked="t" coordsize="21600,21600" o:gfxdata="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co29H&#10;1wAAAAoBAAAPAAAAAAAAAAEAIAAAACIAAABkcnMvZG93bnJldi54bWxQSwECFAAUAAAACACHTuJA&#10;XFy2NOkBAADCAwAADgAAAAAAAAABACAAAAAmAQAAZHJzL2Uyb0RvYy54bWxQSwUGAAAAAAYABgBZ&#10;AQAAgQUAAAAA&#10;">
                <v:fill on="f" focussize="0,0"/>
                <v:stroke weight="1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12700</wp:posOffset>
                </wp:positionV>
                <wp:extent cx="5200650" cy="19050"/>
                <wp:effectExtent l="0" t="9525" r="0" b="952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1905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.05pt;margin-top:1pt;height:1.5pt;width:409.5pt;z-index:251660288;mso-width-relative:page;mso-height-relative:page;" filled="f" stroked="t" coordsize="21600,21600" o:gfxdata="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zPfnj0AAAAAUBAAAPAAAAAAAAAAEAIAAAACIAAABkcnMvZG93bnJldi54bWxQSwEC&#10;FAAUAAAACACHTuJAHz9HRfwBAADhAwAADgAAAAAAAAABACAAAAAfAQAAZHJzL2Uyb0RvYy54bWxQ&#10;SwUGAAAAAAYABgBZAQAAjQUAAAAA&#10;">
                <v:fill on="f" focussize="0,0"/>
                <v:stroke weight="1.5pt" color="#32539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黑体" w:cs="Times New Roman"/>
          <w:b/>
          <w:bCs/>
          <w:kern w:val="2"/>
          <w:sz w:val="40"/>
          <w:szCs w:val="32"/>
          <w:lang w:val="en-US" w:eastAsia="zh-CN" w:bidi="ar-SA"/>
        </w:rPr>
        <w:t>Carbon Neutrality by 2060 Is Critical for Survival of Tibetan Plateau</w:t>
      </w:r>
      <w:r>
        <w:rPr>
          <w:rFonts w:ascii="Times New Roman" w:hAnsi="Times New Roman" w:eastAsia="黑体" w:cs="Times New Roman"/>
          <w:b/>
          <w:bCs/>
          <w:kern w:val="2"/>
          <w:sz w:val="40"/>
          <w:szCs w:val="32"/>
          <w:lang w:val="en-US" w:eastAsia="zh-CN" w:bidi="ar-SA"/>
        </w:rPr>
        <w:t>’</w:t>
      </w:r>
      <w:r>
        <w:rPr>
          <w:rFonts w:hint="eastAsia" w:ascii="Times New Roman" w:hAnsi="Times New Roman" w:eastAsia="黑体" w:cs="Times New Roman"/>
          <w:b/>
          <w:bCs/>
          <w:kern w:val="2"/>
          <w:sz w:val="40"/>
          <w:szCs w:val="32"/>
          <w:lang w:val="en-US" w:eastAsia="zh-CN" w:bidi="ar-SA"/>
        </w:rPr>
        <w:t>s Largest Glacier</w:t>
      </w:r>
    </w:p>
    <w:p w14:paraId="51B31C27">
      <w:pPr>
        <w:widowControl w:val="0"/>
        <w:spacing w:before="81" w:beforeLines="25" w:after="81" w:afterLines="25"/>
        <w:jc w:val="both"/>
        <w:outlineLvl w:val="0"/>
        <w:rPr>
          <w:rFonts w:hint="eastAsia" w:ascii="Times New Roman" w:hAnsi="Times New Roman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 w14:paraId="156BFDB8">
      <w:pPr>
        <w:widowControl w:val="0"/>
        <w:spacing w:before="81" w:beforeLines="25" w:after="81" w:afterLines="25"/>
        <w:jc w:val="both"/>
        <w:outlineLvl w:val="0"/>
        <w:rPr>
          <w:rFonts w:hint="eastAsia" w:ascii="Times New Roman" w:hAnsi="Times New Roman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 xml:space="preserve">Contents: </w:t>
      </w:r>
    </w:p>
    <w:p w14:paraId="52E8164D">
      <w:pPr>
        <w:pStyle w:val="1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1: Flowchart of methodology.</w:t>
      </w:r>
    </w:p>
    <w:p w14:paraId="792B1398">
      <w:pPr>
        <w:pStyle w:val="1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2: Observed global, TP and PIF temperature rising since 1940.</w:t>
      </w:r>
    </w:p>
    <w:p w14:paraId="144275D8">
      <w:pPr>
        <w:pStyle w:val="1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3: Observed global, TP and PIF temperature rising with 11-year centered rolling mean since 1940.</w:t>
      </w:r>
    </w:p>
    <w:p w14:paraId="7A8E73E4">
      <w:pPr>
        <w:pStyle w:val="1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4: PIF temperature and precipitation variation relative to baseline (2000–2014) under different SSPs.</w:t>
      </w:r>
    </w:p>
    <w:p w14:paraId="141C18CD">
      <w:pPr>
        <w:pStyle w:val="1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5: Annual variation of PIF from 2000 to 2300 under different SSPs.</w:t>
      </w:r>
    </w:p>
    <w:p w14:paraId="6B1F1304">
      <w:pPr>
        <w:pStyle w:val="1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6: Annual variation of PIF from the carbon neutrality to 2300 under different CNs.</w:t>
      </w:r>
    </w:p>
    <w:p w14:paraId="09A5F019">
      <w:pPr>
        <w:pStyle w:val="1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7: Spatial distribution variation of PIF under SSP2-4.5 (top) and SSP5-8.5 (bottom).</w:t>
      </w:r>
    </w:p>
    <w:p w14:paraId="5A53B3F8">
      <w:pPr>
        <w:pStyle w:val="1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8: </w:t>
      </w:r>
      <w:r>
        <w:rPr>
          <w:rFonts w:hint="default" w:ascii="Times New Roman" w:hAnsi="Times New Roman" w:cs="Times New Roman"/>
        </w:rPr>
        <w:t>Model performance validation with remote sensing DEM difference.</w:t>
      </w:r>
    </w:p>
    <w:p w14:paraId="1D259D3A">
      <w:pPr>
        <w:widowControl w:val="0"/>
        <w:spacing w:before="81" w:beforeLines="25" w:after="81" w:afterLines="25"/>
        <w:jc w:val="both"/>
        <w:outlineLvl w:val="0"/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 xml:space="preserve">Supplementary Table 1: </w:t>
      </w:r>
      <w:r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Ice velocity validation of multi-period.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 xml:space="preserve"> </w:t>
      </w:r>
    </w:p>
    <w:p w14:paraId="5DC21EBD">
      <w:pPr>
        <w:widowControl w:val="0"/>
        <w:spacing w:before="81" w:beforeLines="25" w:after="81" w:afterLines="25"/>
        <w:jc w:val="both"/>
        <w:outlineLvl w:val="0"/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 xml:space="preserve">Supplementary Table 2: </w:t>
      </w:r>
      <w:r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Bias correction assessment of CMIP6 temperature (2000–2014)</w:t>
      </w:r>
    </w:p>
    <w:p w14:paraId="03EBBDBA">
      <w:pPr>
        <w:widowControl w:val="0"/>
        <w:spacing w:before="81" w:beforeLines="25" w:after="81" w:afterLines="25"/>
        <w:jc w:val="both"/>
        <w:outlineLvl w:val="0"/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 xml:space="preserve">Supplementary Table 3: </w:t>
      </w:r>
      <w:r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Bias correction assessment of CMIP6 precipitation (2000–2014).</w:t>
      </w:r>
    </w:p>
    <w:p w14:paraId="70DA5CEA">
      <w:pPr>
        <w:widowControl w:val="0"/>
        <w:spacing w:before="81" w:beforeLines="25" w:after="81" w:afterLines="25"/>
        <w:jc w:val="both"/>
        <w:outlineLvl w:val="0"/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Supplementary Table 4:</w:t>
      </w:r>
      <w:r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Bias correction assessment of CMIP6 wind (2000–2014).</w:t>
      </w:r>
    </w:p>
    <w:p w14:paraId="4DA5E388">
      <w:pPr>
        <w:widowControl w:val="0"/>
        <w:spacing w:before="81" w:beforeLines="25" w:after="81" w:afterLines="25"/>
        <w:jc w:val="both"/>
        <w:outlineLvl w:val="0"/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Supplementary Table 5:</w:t>
      </w:r>
      <w:r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Bias correction assessment of CMIP6 relative humidity (2000–2014).</w:t>
      </w:r>
    </w:p>
    <w:p w14:paraId="0514FEED">
      <w:pPr>
        <w:widowControl w:val="0"/>
        <w:spacing w:before="81" w:beforeLines="25" w:after="81" w:afterLines="25"/>
        <w:jc w:val="both"/>
        <w:outlineLvl w:val="0"/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03A5863">
      <w:pPr>
        <w:widowControl w:val="0"/>
        <w:spacing w:before="81" w:beforeLines="25" w:after="81" w:afterLines="25"/>
        <w:jc w:val="both"/>
        <w:outlineLvl w:val="0"/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D4E1532">
      <w:pPr>
        <w:widowControl w:val="0"/>
        <w:spacing w:before="81" w:beforeLines="25" w:after="81" w:afterLines="25"/>
        <w:jc w:val="both"/>
        <w:outlineLvl w:val="0"/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4C49FC8">
      <w:pPr>
        <w:widowControl w:val="0"/>
        <w:spacing w:before="81" w:beforeLines="25" w:after="81" w:afterLines="25"/>
        <w:jc w:val="both"/>
        <w:outlineLvl w:val="0"/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1E66CFD">
      <w:pPr>
        <w:widowControl w:val="0"/>
        <w:spacing w:before="81" w:beforeLines="25" w:after="81" w:afterLines="25"/>
        <w:jc w:val="both"/>
        <w:outlineLvl w:val="0"/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082102BD">
      <w:pPr>
        <w:pStyle w:val="3"/>
        <w:spacing w:before="78" w:after="78"/>
      </w:pPr>
      <w:r>
        <w:rPr>
          <w:rFonts w:hint="eastAsia"/>
        </w:rPr>
        <w:t>Fig</w:t>
      </w:r>
      <w:r>
        <w:t xml:space="preserve">. </w:t>
      </w:r>
      <w:r>
        <w:rPr>
          <w:rFonts w:hint="eastAsia"/>
        </w:rPr>
        <w:t>S</w:t>
      </w:r>
      <w:r>
        <w:rPr>
          <w:rFonts w:hint="eastAsia"/>
          <w:lang w:val="en-US" w:eastAsia="zh-CN"/>
        </w:rPr>
        <w:t>1</w:t>
      </w:r>
    </w:p>
    <w:p w14:paraId="007F0FB0">
      <w:pPr>
        <w:widowControl w:val="0"/>
        <w:spacing w:before="81" w:beforeLines="25" w:after="81" w:afterLines="25"/>
        <w:jc w:val="both"/>
        <w:outlineLvl w:val="0"/>
        <w:rPr>
          <w:rFonts w:hint="eastAsia" w:ascii="Times New Roman" w:hAnsi="Times New Roman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6FD09B04">
      <w:pPr>
        <w:spacing w:before="78" w:after="78"/>
        <w:jc w:val="center"/>
      </w:pPr>
      <w:r>
        <w:drawing>
          <wp:inline distT="0" distB="0" distL="0" distR="0">
            <wp:extent cx="5039995" cy="28536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9B47">
      <w:pPr>
        <w:pStyle w:val="19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Supplementary Figure 1</w:t>
      </w:r>
      <w:r>
        <w:rPr>
          <w:rFonts w:hint="default" w:ascii="Times New Roman" w:hAnsi="Times New Roman" w:cs="Times New Roma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 xml:space="preserve"> Flowchart of methodology.</w:t>
      </w:r>
    </w:p>
    <w:p w14:paraId="2426D57B">
      <w:pPr>
        <w:widowControl/>
        <w:spacing w:before="0" w:beforeLines="0" w:after="0" w:afterLines="0" w:line="240" w:lineRule="auto"/>
        <w:jc w:val="left"/>
        <w:rPr>
          <w:b/>
          <w:bCs/>
          <w:sz w:val="21"/>
          <w:szCs w:val="20"/>
        </w:rPr>
      </w:pPr>
      <w:r>
        <w:rPr>
          <w:b/>
          <w:bCs/>
          <w:sz w:val="21"/>
          <w:szCs w:val="20"/>
        </w:rPr>
        <w:br w:type="page"/>
      </w:r>
    </w:p>
    <w:p w14:paraId="19EF6564">
      <w:pPr>
        <w:pStyle w:val="3"/>
        <w:spacing w:before="78" w:after="78"/>
      </w:pPr>
      <w:r>
        <w:rPr>
          <w:rFonts w:hint="eastAsia"/>
        </w:rPr>
        <w:t>Fig</w:t>
      </w:r>
      <w:r>
        <w:t xml:space="preserve">. </w:t>
      </w:r>
      <w:r>
        <w:rPr>
          <w:rFonts w:hint="eastAsia"/>
        </w:rPr>
        <w:t>S</w:t>
      </w:r>
      <w:r>
        <w:t>2</w:t>
      </w:r>
    </w:p>
    <w:p w14:paraId="7A6031FC">
      <w:pPr>
        <w:pStyle w:val="19"/>
      </w:pPr>
      <w:r>
        <w:rPr>
          <w:rFonts w:hint="eastAsia"/>
        </w:rPr>
        <w:t>(</w:t>
      </w:r>
      <w:r>
        <w:t>A) Global and TP</w:t>
      </w:r>
    </w:p>
    <w:p w14:paraId="40876B9C">
      <w:pPr>
        <w:spacing w:before="78" w:after="78"/>
        <w:jc w:val="center"/>
      </w:pPr>
      <w:r>
        <w:rPr>
          <w:rFonts w:cs="Times New Roman"/>
        </w:rPr>
        <w:drawing>
          <wp:inline distT="0" distB="0" distL="0" distR="0">
            <wp:extent cx="4479290" cy="2240280"/>
            <wp:effectExtent l="0" t="0" r="1651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EAB5">
      <w:pPr>
        <w:pStyle w:val="19"/>
      </w:pPr>
      <w:r>
        <w:rPr>
          <w:rFonts w:hint="eastAsia"/>
        </w:rPr>
        <w:t>(</w:t>
      </w:r>
      <w:r>
        <w:t>B) Global and PIF</w:t>
      </w:r>
    </w:p>
    <w:p w14:paraId="0B51E749">
      <w:pPr>
        <w:spacing w:before="78" w:after="78"/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4533900" cy="2266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AC20">
      <w:pPr>
        <w:widowControl/>
        <w:spacing w:before="0" w:beforeLines="0" w:after="0" w:afterLines="0" w:line="240" w:lineRule="auto"/>
        <w:jc w:val="left"/>
        <w:rPr>
          <w:rFonts w:ascii="Times New Roman" w:hAnsi="Times New Roman" w:eastAsiaTheme="minor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(</w:t>
      </w:r>
      <w:r>
        <w:rPr>
          <w:rFonts w:ascii="Times New Roman" w:hAnsi="Times New Roman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C) Global and TP with 21-year centered rolling mean</w:t>
      </w:r>
    </w:p>
    <w:p w14:paraId="1D8440B5">
      <w:pPr>
        <w:spacing w:before="78" w:after="78"/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4474210" cy="2237105"/>
            <wp:effectExtent l="0" t="0" r="254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262F">
      <w:pPr>
        <w:pStyle w:val="19"/>
      </w:pPr>
      <w:r>
        <w:rPr>
          <w:rFonts w:hint="eastAsia"/>
        </w:rPr>
        <w:t>(</w:t>
      </w:r>
      <w:r>
        <w:t>D) Global and PIF with 21-year centered rolling mean</w:t>
      </w:r>
    </w:p>
    <w:p w14:paraId="682B7FD0">
      <w:pPr>
        <w:spacing w:before="78" w:after="78"/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4735195" cy="2367915"/>
            <wp:effectExtent l="0" t="0" r="825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3574">
      <w:pPr>
        <w:pStyle w:val="19"/>
      </w:pPr>
      <w:r>
        <w:rPr>
          <w:rFonts w:hint="default" w:ascii="Times New Roman" w:hAnsi="Times New Roman" w:eastAsia="宋体" w:cs="Times New Roman"/>
          <w:sz w:val="24"/>
          <w:szCs w:val="24"/>
        </w:rPr>
        <w:t>Supplementary Figure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t xml:space="preserve">2. Observed </w:t>
      </w:r>
      <w:r>
        <w:rPr>
          <w:rFonts w:hint="eastAsia"/>
        </w:rPr>
        <w:t>global</w:t>
      </w:r>
      <w:r>
        <w:t xml:space="preserve">, </w:t>
      </w:r>
      <w:r>
        <w:rPr>
          <w:rFonts w:hint="eastAsia"/>
        </w:rPr>
        <w:t>TP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PIF</w:t>
      </w:r>
      <w:r>
        <w:t xml:space="preserve"> temperature rising since 1940.</w:t>
      </w:r>
    </w:p>
    <w:p w14:paraId="12B4B1C8">
      <w:pPr>
        <w:widowControl/>
        <w:spacing w:before="0" w:beforeLines="0" w:after="0" w:afterLines="0" w:line="240" w:lineRule="auto"/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20E5523F">
      <w:pPr>
        <w:pStyle w:val="3"/>
        <w:spacing w:before="78" w:after="78"/>
      </w:pPr>
      <w:r>
        <w:rPr>
          <w:rFonts w:hint="eastAsia"/>
        </w:rPr>
        <w:t>Fig</w:t>
      </w:r>
      <w:r>
        <w:t xml:space="preserve">. </w:t>
      </w:r>
      <w:r>
        <w:rPr>
          <w:rFonts w:hint="eastAsia"/>
        </w:rPr>
        <w:t>S</w:t>
      </w:r>
      <w:r>
        <w:t>3</w:t>
      </w:r>
    </w:p>
    <w:p w14:paraId="5DDFDDAA">
      <w:pPr>
        <w:spacing w:before="78" w:after="78"/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4319905" cy="2159635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6A0A">
      <w:pPr>
        <w:pStyle w:val="19"/>
      </w:pPr>
      <w:r>
        <w:rPr>
          <w:rFonts w:hint="default" w:ascii="Times New Roman" w:hAnsi="Times New Roman" w:eastAsia="宋体" w:cs="Times New Roman"/>
          <w:sz w:val="24"/>
          <w:szCs w:val="24"/>
        </w:rPr>
        <w:t>Supplementary Figure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t xml:space="preserve">3. Observed </w:t>
      </w:r>
      <w:r>
        <w:rPr>
          <w:rFonts w:hint="eastAsia"/>
        </w:rPr>
        <w:t>global</w:t>
      </w:r>
      <w:r>
        <w:t xml:space="preserve">, </w:t>
      </w:r>
      <w:r>
        <w:rPr>
          <w:rFonts w:hint="eastAsia"/>
        </w:rPr>
        <w:t>TP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PIF</w:t>
      </w:r>
      <w:r>
        <w:t xml:space="preserve"> temperature rising with 11-year </w:t>
      </w:r>
      <w:r>
        <w:rPr>
          <w:rFonts w:hint="eastAsia"/>
        </w:rPr>
        <w:t>centered</w:t>
      </w:r>
      <w:r>
        <w:t xml:space="preserve"> rolling mean since 1940</w:t>
      </w:r>
      <w:r>
        <w:rPr>
          <w:rFonts w:hint="eastAsia"/>
          <w:lang w:val="en-US" w:eastAsia="zh-CN"/>
        </w:rPr>
        <w:t xml:space="preserve"> under SSP2-4.5</w:t>
      </w:r>
      <w:r>
        <w:t>.</w:t>
      </w:r>
    </w:p>
    <w:p w14:paraId="57EFD4C1">
      <w:pPr>
        <w:widowControl/>
        <w:spacing w:before="0" w:beforeLines="0" w:after="0" w:afterLines="0" w:line="240" w:lineRule="auto"/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517FA265">
      <w:pPr>
        <w:pStyle w:val="3"/>
        <w:spacing w:before="78" w:after="78"/>
      </w:pPr>
      <w:r>
        <w:rPr>
          <w:rFonts w:hint="eastAsia"/>
        </w:rPr>
        <w:t>Fig</w:t>
      </w:r>
      <w:r>
        <w:t xml:space="preserve">. </w:t>
      </w:r>
      <w:r>
        <w:rPr>
          <w:rFonts w:hint="eastAsia"/>
        </w:rPr>
        <w:t>S</w:t>
      </w:r>
      <w:r>
        <w:t>4</w:t>
      </w:r>
    </w:p>
    <w:p w14:paraId="14B1A21B">
      <w:pPr>
        <w:pStyle w:val="19"/>
      </w:pPr>
      <w:r>
        <w:rPr>
          <w:rFonts w:hint="eastAsia"/>
        </w:rPr>
        <w:t>(</w:t>
      </w:r>
      <w:r>
        <w:t xml:space="preserve">A) </w:t>
      </w:r>
      <w:r>
        <w:rPr>
          <w:rFonts w:hint="eastAsia"/>
        </w:rPr>
        <w:t>Delta</w:t>
      </w:r>
      <w:r>
        <w:t xml:space="preserve"> </w:t>
      </w:r>
      <w:r>
        <w:rPr>
          <w:rFonts w:hint="eastAsia"/>
        </w:rPr>
        <w:t>temperature</w:t>
      </w:r>
      <w:r>
        <w:t xml:space="preserve"> </w:t>
      </w:r>
      <w:r>
        <w:rPr>
          <w:rFonts w:hint="eastAsia"/>
        </w:rPr>
        <w:t>relative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baseline</w:t>
      </w:r>
      <w:r>
        <w:t xml:space="preserve"> (2000–2014)</w:t>
      </w:r>
    </w:p>
    <w:p w14:paraId="5BD5193F">
      <w:pPr>
        <w:spacing w:before="78" w:after="78"/>
        <w:jc w:val="center"/>
        <w:rPr>
          <w:rFonts w:eastAsia="宋体" w:cs="Times New Roman"/>
          <w:szCs w:val="22"/>
        </w:rPr>
      </w:pPr>
      <w:r>
        <w:rPr>
          <w:rFonts w:eastAsia="宋体" w:cs="Times New Roman"/>
          <w:szCs w:val="22"/>
        </w:rPr>
        <w:drawing>
          <wp:inline distT="0" distB="0" distL="0" distR="0">
            <wp:extent cx="4319905" cy="1993900"/>
            <wp:effectExtent l="0" t="0" r="444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FA84">
      <w:pPr>
        <w:spacing w:before="78" w:after="78"/>
        <w:jc w:val="center"/>
        <w:rPr>
          <w:rFonts w:eastAsia="宋体" w:cs="Times New Roman"/>
          <w:szCs w:val="22"/>
        </w:rPr>
      </w:pPr>
    </w:p>
    <w:p w14:paraId="14AA5839">
      <w:pPr>
        <w:pStyle w:val="19"/>
      </w:pPr>
      <w:r>
        <w:rPr>
          <w:rFonts w:hint="eastAsia"/>
        </w:rPr>
        <w:t>(B</w:t>
      </w:r>
      <w:r>
        <w:t xml:space="preserve">) </w:t>
      </w:r>
      <w:r>
        <w:rPr>
          <w:rFonts w:hint="eastAsia"/>
        </w:rPr>
        <w:t>Delta</w:t>
      </w:r>
      <w:r>
        <w:t xml:space="preserve"> </w:t>
      </w:r>
      <w:r>
        <w:rPr>
          <w:rFonts w:hint="eastAsia"/>
        </w:rPr>
        <w:t>precipitation relative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baseline</w:t>
      </w:r>
      <w:r>
        <w:t xml:space="preserve"> (2000–2014)</w:t>
      </w:r>
    </w:p>
    <w:p w14:paraId="19940254">
      <w:pPr>
        <w:spacing w:before="78" w:after="78"/>
        <w:jc w:val="center"/>
        <w:rPr>
          <w:rFonts w:eastAsia="宋体" w:cs="Times New Roman"/>
          <w:szCs w:val="22"/>
        </w:rPr>
      </w:pPr>
      <w:r>
        <w:rPr>
          <w:rFonts w:eastAsia="宋体" w:cs="Times New Roman"/>
          <w:szCs w:val="22"/>
        </w:rPr>
        <w:drawing>
          <wp:inline distT="0" distB="0" distL="0" distR="0">
            <wp:extent cx="4319905" cy="1993900"/>
            <wp:effectExtent l="0" t="0" r="444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36ED">
      <w:pPr>
        <w:pStyle w:val="19"/>
      </w:pPr>
      <w:r>
        <w:rPr>
          <w:rFonts w:hint="default" w:ascii="Times New Roman" w:hAnsi="Times New Roman" w:eastAsia="宋体" w:cs="Times New Roman"/>
          <w:sz w:val="24"/>
          <w:szCs w:val="24"/>
        </w:rPr>
        <w:t>Supplementary Figure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t xml:space="preserve">4. </w:t>
      </w:r>
      <w:r>
        <w:rPr>
          <w:rFonts w:hint="eastAsia"/>
        </w:rPr>
        <w:t>PIF</w:t>
      </w:r>
      <w:r>
        <w:t xml:space="preserve"> temperature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precipitation</w:t>
      </w:r>
      <w:r>
        <w:t xml:space="preserve"> </w:t>
      </w:r>
      <w:r>
        <w:rPr>
          <w:rFonts w:hint="eastAsia"/>
        </w:rPr>
        <w:t>variation</w:t>
      </w:r>
      <w:r>
        <w:t xml:space="preserve"> </w:t>
      </w:r>
      <w:r>
        <w:rPr>
          <w:rFonts w:hint="eastAsia"/>
        </w:rPr>
        <w:t>relative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baseline</w:t>
      </w:r>
      <w:r>
        <w:t xml:space="preserve"> (2000–2014) </w:t>
      </w:r>
      <w:r>
        <w:rPr>
          <w:rFonts w:hint="eastAsia"/>
        </w:rPr>
        <w:t>under</w:t>
      </w:r>
      <w:r>
        <w:t xml:space="preserve">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SSPs</w:t>
      </w:r>
      <w:r>
        <w:t>.</w:t>
      </w:r>
    </w:p>
    <w:p w14:paraId="12C4157E">
      <w:pPr>
        <w:widowControl/>
        <w:spacing w:before="0" w:beforeLines="0" w:after="0" w:afterLines="0" w:line="240" w:lineRule="auto"/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502759D7">
      <w:pPr>
        <w:pStyle w:val="3"/>
        <w:spacing w:before="78" w:after="78"/>
      </w:pPr>
      <w:r>
        <w:rPr>
          <w:rFonts w:hint="eastAsia"/>
        </w:rPr>
        <w:t>Fig</w:t>
      </w:r>
      <w:r>
        <w:t xml:space="preserve">. </w:t>
      </w:r>
      <w:r>
        <w:rPr>
          <w:rFonts w:hint="eastAsia"/>
        </w:rPr>
        <w:t>S5</w:t>
      </w:r>
    </w:p>
    <w:p w14:paraId="10AE5C28">
      <w:pPr>
        <w:pStyle w:val="19"/>
      </w:pPr>
      <w:r>
        <w:rPr>
          <w:rFonts w:hint="eastAsia"/>
        </w:rPr>
        <w:t>(A</w:t>
      </w:r>
      <w:r>
        <w:t xml:space="preserve">) </w:t>
      </w:r>
      <w:r>
        <w:rPr>
          <w:rFonts w:hint="eastAsia"/>
        </w:rPr>
        <w:t>Annual</w:t>
      </w:r>
      <w:r>
        <w:t xml:space="preserve"> </w:t>
      </w:r>
      <w:r>
        <w:rPr>
          <w:rFonts w:hint="eastAsia"/>
        </w:rPr>
        <w:t>mass</w:t>
      </w:r>
      <w:r>
        <w:t xml:space="preserve"> </w:t>
      </w:r>
      <w:r>
        <w:rPr>
          <w:rFonts w:hint="eastAsia"/>
        </w:rPr>
        <w:t>loss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PIF</w:t>
      </w:r>
      <w:r>
        <w:t xml:space="preserve"> </w:t>
      </w:r>
      <w:r>
        <w:rPr>
          <w:rFonts w:hint="eastAsia"/>
        </w:rPr>
        <w:t>during</w:t>
      </w:r>
      <w:r>
        <w:t xml:space="preserve"> 2000–2300</w:t>
      </w:r>
    </w:p>
    <w:p w14:paraId="0C123636">
      <w:pPr>
        <w:spacing w:before="78" w:after="78"/>
        <w:jc w:val="center"/>
      </w:pPr>
      <w:r>
        <w:drawing>
          <wp:inline distT="0" distB="0" distL="0" distR="0">
            <wp:extent cx="4319905" cy="1993265"/>
            <wp:effectExtent l="0" t="0" r="4445" b="6985"/>
            <wp:docPr id="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67AA1">
      <w:pPr>
        <w:pStyle w:val="19"/>
      </w:pPr>
      <w:r>
        <w:rPr>
          <w:rFonts w:hint="eastAsia"/>
        </w:rPr>
        <w:t>(A</w:t>
      </w:r>
      <w:r>
        <w:t xml:space="preserve">) </w:t>
      </w:r>
      <w:r>
        <w:rPr>
          <w:rFonts w:hint="eastAsia"/>
        </w:rPr>
        <w:t>Annual</w:t>
      </w:r>
      <w:r>
        <w:t xml:space="preserve"> </w:t>
      </w:r>
      <w:r>
        <w:rPr>
          <w:rFonts w:hint="eastAsia"/>
        </w:rPr>
        <w:t>area</w:t>
      </w:r>
      <w:r>
        <w:t xml:space="preserve"> </w:t>
      </w:r>
      <w:r>
        <w:rPr>
          <w:rFonts w:hint="eastAsia"/>
        </w:rPr>
        <w:t>loss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PIF</w:t>
      </w:r>
      <w:r>
        <w:t xml:space="preserve"> </w:t>
      </w:r>
      <w:r>
        <w:rPr>
          <w:rFonts w:hint="eastAsia"/>
        </w:rPr>
        <w:t>during</w:t>
      </w:r>
      <w:r>
        <w:t xml:space="preserve"> 2000–2300</w:t>
      </w:r>
    </w:p>
    <w:p w14:paraId="408B3121">
      <w:pPr>
        <w:spacing w:before="78" w:after="78"/>
        <w:jc w:val="center"/>
      </w:pPr>
      <w:r>
        <w:drawing>
          <wp:inline distT="0" distB="0" distL="0" distR="0">
            <wp:extent cx="4319905" cy="1993265"/>
            <wp:effectExtent l="0" t="0" r="444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9322">
      <w:pPr>
        <w:pStyle w:val="19"/>
      </w:pPr>
      <w:r>
        <w:rPr>
          <w:rFonts w:hint="default" w:ascii="Times New Roman" w:hAnsi="Times New Roman" w:eastAsia="宋体" w:cs="Times New Roman"/>
          <w:sz w:val="24"/>
          <w:szCs w:val="24"/>
        </w:rPr>
        <w:t>Supplementary Figure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Annual</w:t>
      </w:r>
      <w:r>
        <w:t xml:space="preserve"> </w:t>
      </w:r>
      <w:r>
        <w:rPr>
          <w:rFonts w:hint="eastAsia"/>
        </w:rPr>
        <w:t>variation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PIF</w:t>
      </w:r>
      <w:r>
        <w:t xml:space="preserve"> </w:t>
      </w:r>
      <w:r>
        <w:rPr>
          <w:rFonts w:hint="eastAsia"/>
        </w:rPr>
        <w:t>from</w:t>
      </w:r>
      <w:r>
        <w:t xml:space="preserve"> 2000 </w:t>
      </w:r>
      <w:r>
        <w:rPr>
          <w:rFonts w:hint="eastAsia"/>
        </w:rPr>
        <w:t>to</w:t>
      </w:r>
      <w:r>
        <w:t xml:space="preserve"> 2300 </w:t>
      </w:r>
      <w:r>
        <w:rPr>
          <w:rFonts w:hint="eastAsia"/>
        </w:rPr>
        <w:t>under</w:t>
      </w:r>
      <w:r>
        <w:t xml:space="preserve">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SSPs</w:t>
      </w:r>
      <w:r>
        <w:t>.</w:t>
      </w:r>
    </w:p>
    <w:p w14:paraId="17638A3B">
      <w:pPr>
        <w:widowControl/>
        <w:spacing w:before="0" w:beforeLines="0" w:after="0" w:afterLines="0" w:line="240" w:lineRule="auto"/>
        <w:jc w:val="left"/>
        <w:rPr>
          <w:b/>
          <w:bCs/>
          <w:sz w:val="21"/>
        </w:rPr>
      </w:pPr>
      <w:r>
        <w:br w:type="page"/>
      </w:r>
    </w:p>
    <w:p w14:paraId="15361FE3">
      <w:pPr>
        <w:pStyle w:val="3"/>
        <w:spacing w:before="78" w:after="78"/>
      </w:pPr>
      <w:r>
        <w:rPr>
          <w:rFonts w:hint="eastAsia"/>
        </w:rPr>
        <w:t>F</w:t>
      </w:r>
      <w:r>
        <w:t>ig. S</w:t>
      </w:r>
      <w:r>
        <w:rPr>
          <w:rFonts w:hint="eastAsia"/>
        </w:rPr>
        <w:t>6</w:t>
      </w:r>
    </w:p>
    <w:p w14:paraId="5871FD30">
      <w:pPr>
        <w:spacing w:before="78" w:after="78"/>
        <w:jc w:val="center"/>
      </w:pPr>
      <w:r>
        <w:drawing>
          <wp:inline distT="0" distB="0" distL="0" distR="0">
            <wp:extent cx="2519680" cy="3079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19680" cy="30797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FD58">
      <w:pPr>
        <w:pStyle w:val="19"/>
      </w:pPr>
      <w:r>
        <w:rPr>
          <w:rFonts w:hint="default" w:ascii="Times New Roman" w:hAnsi="Times New Roman" w:eastAsia="宋体" w:cs="Times New Roman"/>
          <w:sz w:val="24"/>
          <w:szCs w:val="24"/>
        </w:rPr>
        <w:t>Supplementary Figure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/>
        </w:rPr>
        <w:t>6</w:t>
      </w:r>
      <w:r>
        <w:t xml:space="preserve">. </w:t>
      </w:r>
      <w:r>
        <w:rPr>
          <w:rFonts w:hint="eastAsia"/>
        </w:rPr>
        <w:t>Annual</w:t>
      </w:r>
      <w:r>
        <w:t xml:space="preserve"> </w:t>
      </w:r>
      <w:r>
        <w:rPr>
          <w:rFonts w:hint="eastAsia"/>
        </w:rPr>
        <w:t>variation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PIF</w:t>
      </w:r>
      <w:r>
        <w:t xml:space="preserve"> </w:t>
      </w:r>
      <w:r>
        <w:rPr>
          <w:rFonts w:hint="eastAsia"/>
        </w:rPr>
        <w:t>from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carbon</w:t>
      </w:r>
      <w:r>
        <w:t xml:space="preserve"> </w:t>
      </w:r>
      <w:r>
        <w:rPr>
          <w:rFonts w:hint="eastAsia"/>
        </w:rPr>
        <w:t>neutrality</w:t>
      </w:r>
      <w:r>
        <w:t xml:space="preserve"> </w:t>
      </w:r>
      <w:r>
        <w:rPr>
          <w:rFonts w:hint="eastAsia"/>
        </w:rPr>
        <w:t>to</w:t>
      </w:r>
      <w:r>
        <w:t xml:space="preserve"> 2300 </w:t>
      </w:r>
      <w:r>
        <w:rPr>
          <w:rFonts w:hint="eastAsia"/>
        </w:rPr>
        <w:t>under</w:t>
      </w:r>
      <w:r>
        <w:t xml:space="preserve">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CNs</w:t>
      </w:r>
      <w:r>
        <w:t>.</w:t>
      </w:r>
    </w:p>
    <w:p w14:paraId="6381D8B1">
      <w:pPr>
        <w:widowControl/>
        <w:spacing w:before="0" w:beforeLines="0" w:after="0" w:afterLines="0" w:line="240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5CA3081E">
      <w:pPr>
        <w:pStyle w:val="3"/>
        <w:spacing w:before="78" w:after="78"/>
      </w:pPr>
      <w:r>
        <w:t>Fig. S7</w:t>
      </w:r>
    </w:p>
    <w:p w14:paraId="757B4109">
      <w:pPr>
        <w:spacing w:before="78" w:after="78"/>
        <w:jc w:val="center"/>
      </w:pPr>
      <w:r>
        <w:drawing>
          <wp:inline distT="0" distB="0" distL="0" distR="0">
            <wp:extent cx="5039995" cy="5044440"/>
            <wp:effectExtent l="0" t="0" r="825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AE3D1">
      <w:pPr>
        <w:pStyle w:val="19"/>
      </w:pPr>
      <w:r>
        <w:rPr>
          <w:rFonts w:hint="default" w:ascii="Times New Roman" w:hAnsi="Times New Roman" w:eastAsia="宋体" w:cs="Times New Roman"/>
          <w:sz w:val="24"/>
          <w:szCs w:val="24"/>
        </w:rPr>
        <w:t>Supplementary Figure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t xml:space="preserve">7. </w:t>
      </w:r>
      <w:r>
        <w:rPr>
          <w:rFonts w:hint="eastAsia"/>
        </w:rPr>
        <w:t>Spatial</w:t>
      </w:r>
      <w:r>
        <w:t xml:space="preserve"> </w:t>
      </w:r>
      <w:r>
        <w:rPr>
          <w:rFonts w:hint="eastAsia"/>
        </w:rPr>
        <w:t>distribution</w:t>
      </w:r>
      <w:r>
        <w:t xml:space="preserve"> </w:t>
      </w:r>
      <w:r>
        <w:rPr>
          <w:rFonts w:hint="eastAsia"/>
        </w:rPr>
        <w:t>variation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PIF</w:t>
      </w:r>
      <w:r>
        <w:t xml:space="preserve"> </w:t>
      </w:r>
      <w:r>
        <w:rPr>
          <w:rFonts w:hint="eastAsia"/>
        </w:rPr>
        <w:t>under</w:t>
      </w:r>
      <w:r>
        <w:t xml:space="preserve"> </w:t>
      </w:r>
      <w:r>
        <w:rPr>
          <w:rFonts w:hint="eastAsia"/>
        </w:rPr>
        <w:t>SSP</w:t>
      </w:r>
      <w:r>
        <w:t>2-4.5 (</w:t>
      </w:r>
      <w:r>
        <w:rPr>
          <w:rFonts w:hint="eastAsia"/>
        </w:rPr>
        <w:t>top</w:t>
      </w:r>
      <w:r>
        <w:t xml:space="preserve">)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SSP</w:t>
      </w:r>
      <w:r>
        <w:t>5-8.5 (</w:t>
      </w:r>
      <w:r>
        <w:rPr>
          <w:rFonts w:hint="eastAsia"/>
        </w:rPr>
        <w:t>bottom</w:t>
      </w:r>
      <w:r>
        <w:t>).</w:t>
      </w:r>
    </w:p>
    <w:p w14:paraId="63BCBA1C">
      <w:pPr>
        <w:widowControl/>
        <w:spacing w:before="0" w:beforeLines="0" w:after="0" w:afterLines="0" w:line="240" w:lineRule="auto"/>
        <w:jc w:val="left"/>
        <w:rPr>
          <w:b/>
          <w:bCs/>
          <w:sz w:val="21"/>
        </w:rPr>
      </w:pPr>
      <w:r>
        <w:br w:type="page"/>
      </w:r>
    </w:p>
    <w:p w14:paraId="14567DF0">
      <w:pPr>
        <w:pStyle w:val="3"/>
        <w:spacing w:before="78" w:after="78"/>
      </w:pPr>
      <w:r>
        <w:rPr>
          <w:rFonts w:hint="eastAsia"/>
        </w:rPr>
        <w:t>Fig</w:t>
      </w:r>
      <w:r>
        <w:t>. S</w:t>
      </w:r>
      <w:r>
        <w:rPr>
          <w:rFonts w:hint="eastAsia"/>
        </w:rPr>
        <w:t>8</w:t>
      </w:r>
    </w:p>
    <w:p w14:paraId="552A1FF3">
      <w:pPr>
        <w:spacing w:before="78" w:after="78"/>
        <w:jc w:val="center"/>
      </w:pPr>
      <w:r>
        <w:drawing>
          <wp:inline distT="0" distB="0" distL="0" distR="0">
            <wp:extent cx="5039995" cy="2521585"/>
            <wp:effectExtent l="0" t="0" r="825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2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89D38">
      <w:pPr>
        <w:pStyle w:val="19"/>
      </w:pPr>
      <w:r>
        <w:rPr>
          <w:rFonts w:hint="default" w:ascii="Times New Roman" w:hAnsi="Times New Roman" w:eastAsia="宋体" w:cs="Times New Roman"/>
          <w:sz w:val="24"/>
          <w:szCs w:val="24"/>
        </w:rPr>
        <w:t>Supplementary Figure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/>
        </w:rPr>
        <w:t>8</w:t>
      </w:r>
      <w:r>
        <w:t xml:space="preserve">. </w:t>
      </w:r>
      <w:r>
        <w:rPr>
          <w:rFonts w:hint="eastAsia"/>
        </w:rPr>
        <w:t>Model</w:t>
      </w:r>
      <w:r>
        <w:t xml:space="preserve"> </w:t>
      </w:r>
      <w:r>
        <w:rPr>
          <w:rFonts w:hint="eastAsia"/>
        </w:rPr>
        <w:t>performance</w:t>
      </w:r>
      <w:r>
        <w:t xml:space="preserve"> </w:t>
      </w:r>
      <w:r>
        <w:rPr>
          <w:rFonts w:hint="eastAsia"/>
        </w:rPr>
        <w:t>validation</w:t>
      </w:r>
      <w:r>
        <w:t xml:space="preserve"> </w:t>
      </w:r>
      <w:r>
        <w:rPr>
          <w:rFonts w:hint="eastAsia"/>
        </w:rPr>
        <w:t>with</w:t>
      </w:r>
      <w:r>
        <w:t xml:space="preserve"> </w:t>
      </w:r>
      <w:r>
        <w:rPr>
          <w:rFonts w:hint="eastAsia"/>
        </w:rPr>
        <w:t>remote</w:t>
      </w:r>
      <w:r>
        <w:t xml:space="preserve"> </w:t>
      </w:r>
      <w:r>
        <w:rPr>
          <w:rFonts w:hint="eastAsia"/>
        </w:rPr>
        <w:t>sensing</w:t>
      </w:r>
      <w:r>
        <w:t xml:space="preserve"> </w:t>
      </w:r>
      <w:r>
        <w:rPr>
          <w:rFonts w:hint="eastAsia"/>
        </w:rPr>
        <w:t>DEM</w:t>
      </w:r>
      <w:r>
        <w:t xml:space="preserve"> </w:t>
      </w:r>
      <w:r>
        <w:rPr>
          <w:rFonts w:hint="eastAsia"/>
        </w:rPr>
        <w:t>difference</w:t>
      </w:r>
      <w:r>
        <w:t>.</w:t>
      </w:r>
    </w:p>
    <w:p w14:paraId="67F25F35">
      <w:pPr>
        <w:widowControl/>
        <w:spacing w:before="0" w:beforeLines="0" w:after="0" w:afterLines="0" w:line="240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5ECB14BB">
      <w:pPr>
        <w:pStyle w:val="3"/>
        <w:spacing w:before="78" w:after="78"/>
      </w:pPr>
      <w:r>
        <w:rPr>
          <w:rFonts w:hint="eastAsia"/>
        </w:rPr>
        <w:t>Table</w:t>
      </w:r>
      <w:r>
        <w:t xml:space="preserve">. </w:t>
      </w:r>
      <w:r>
        <w:rPr>
          <w:rFonts w:hint="eastAsia"/>
        </w:rPr>
        <w:t>S</w:t>
      </w:r>
      <w:r>
        <w:t>1</w:t>
      </w:r>
    </w:p>
    <w:tbl>
      <w:tblPr>
        <w:tblStyle w:val="17"/>
        <w:tblW w:w="5000" w:type="pct"/>
        <w:tblInd w:w="0" w:type="dxa"/>
        <w:tblBorders>
          <w:top w:val="single" w:color="000000" w:themeColor="text1" w:sz="4" w:space="0"/>
          <w:left w:val="none" w:color="auto" w:sz="0" w:space="0"/>
          <w:bottom w:val="single" w:color="000000" w:themeColor="text1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1"/>
        <w:gridCol w:w="2841"/>
        <w:gridCol w:w="2840"/>
      </w:tblGrid>
      <w:tr w14:paraId="4A62A877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5000" w:type="pct"/>
            <w:gridSpan w:val="3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F7EAD5"/>
            <w:vAlign w:val="center"/>
          </w:tcPr>
          <w:p w14:paraId="7A4F2C47">
            <w:pPr>
              <w:pStyle w:val="19"/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Table. S1. Ice velocity validation of multi-period.</w:t>
            </w:r>
          </w:p>
        </w:tc>
      </w:tr>
      <w:tr w14:paraId="6361F94E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67" w:type="pct"/>
            <w:tcBorders>
              <w:top w:val="nil"/>
              <w:left w:val="single" w:color="auto" w:sz="8" w:space="0"/>
              <w:bottom w:val="single" w:color="auto" w:sz="8" w:space="0"/>
            </w:tcBorders>
            <w:vAlign w:val="center"/>
          </w:tcPr>
          <w:p w14:paraId="2FE74557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Period</w:t>
            </w:r>
          </w:p>
        </w:tc>
        <w:tc>
          <w:tcPr>
            <w:tcW w:w="1667" w:type="pct"/>
            <w:tcBorders>
              <w:top w:val="nil"/>
              <w:bottom w:val="single" w:color="auto" w:sz="8" w:space="0"/>
            </w:tcBorders>
            <w:vAlign w:val="center"/>
          </w:tcPr>
          <w:p w14:paraId="565BFAAA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Mean velocity (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0"/>
                <w:szCs w:val="22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)</w:t>
            </w:r>
          </w:p>
        </w:tc>
        <w:tc>
          <w:tcPr>
            <w:tcW w:w="1666" w:type="pct"/>
            <w:tcBorders>
              <w:top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C205B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Max velocity (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m</w:t>
            </w: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0"/>
                <w:szCs w:val="22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)</w:t>
            </w:r>
          </w:p>
        </w:tc>
      </w:tr>
      <w:tr w14:paraId="105ED434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667" w:type="pct"/>
            <w:tcBorders>
              <w:top w:val="single" w:color="auto" w:sz="8" w:space="0"/>
              <w:left w:val="single" w:color="auto" w:sz="8" w:space="0"/>
            </w:tcBorders>
            <w:vAlign w:val="center"/>
          </w:tcPr>
          <w:p w14:paraId="40A612A8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2009.1–2009.3</w:t>
            </w:r>
          </w:p>
        </w:tc>
        <w:tc>
          <w:tcPr>
            <w:tcW w:w="1667" w:type="pct"/>
            <w:tcBorders>
              <w:top w:val="single" w:color="auto" w:sz="8" w:space="0"/>
            </w:tcBorders>
            <w:vAlign w:val="center"/>
          </w:tcPr>
          <w:p w14:paraId="3E269165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1.81</w:t>
            </w:r>
          </w:p>
        </w:tc>
        <w:tc>
          <w:tcPr>
            <w:tcW w:w="1666" w:type="pct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 w14:paraId="68A4ABC7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15.01</w:t>
            </w:r>
          </w:p>
        </w:tc>
      </w:tr>
      <w:tr w14:paraId="68B89F1A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667" w:type="pct"/>
            <w:tcBorders>
              <w:left w:val="single" w:color="auto" w:sz="8" w:space="0"/>
            </w:tcBorders>
            <w:vAlign w:val="center"/>
          </w:tcPr>
          <w:p w14:paraId="20FF7961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2009</w:t>
            </w:r>
          </w:p>
        </w:tc>
        <w:tc>
          <w:tcPr>
            <w:tcW w:w="1667" w:type="pct"/>
            <w:vAlign w:val="center"/>
          </w:tcPr>
          <w:p w14:paraId="03E03158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1.82</w:t>
            </w:r>
          </w:p>
        </w:tc>
        <w:tc>
          <w:tcPr>
            <w:tcW w:w="1666" w:type="pct"/>
            <w:tcBorders>
              <w:right w:val="single" w:color="auto" w:sz="8" w:space="0"/>
            </w:tcBorders>
            <w:vAlign w:val="center"/>
          </w:tcPr>
          <w:p w14:paraId="4AD1ABCC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15.01</w:t>
            </w:r>
          </w:p>
        </w:tc>
      </w:tr>
      <w:tr w14:paraId="75C7D257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667" w:type="pct"/>
            <w:tcBorders>
              <w:left w:val="single" w:color="auto" w:sz="8" w:space="0"/>
            </w:tcBorders>
            <w:vAlign w:val="center"/>
          </w:tcPr>
          <w:p w14:paraId="0DBC9B2A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2000–2009</w:t>
            </w:r>
          </w:p>
        </w:tc>
        <w:tc>
          <w:tcPr>
            <w:tcW w:w="1667" w:type="pct"/>
            <w:vAlign w:val="center"/>
          </w:tcPr>
          <w:p w14:paraId="17995142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1.85</w:t>
            </w:r>
          </w:p>
        </w:tc>
        <w:tc>
          <w:tcPr>
            <w:tcW w:w="1666" w:type="pct"/>
            <w:tcBorders>
              <w:right w:val="single" w:color="auto" w:sz="8" w:space="0"/>
            </w:tcBorders>
            <w:vAlign w:val="center"/>
          </w:tcPr>
          <w:p w14:paraId="6FCF10E3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18.45</w:t>
            </w:r>
          </w:p>
        </w:tc>
      </w:tr>
      <w:tr w14:paraId="42B610E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667" w:type="pct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 w14:paraId="0DDD59CE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2000–2018</w:t>
            </w:r>
          </w:p>
        </w:tc>
        <w:tc>
          <w:tcPr>
            <w:tcW w:w="1667" w:type="pct"/>
            <w:tcBorders>
              <w:bottom w:val="single" w:color="auto" w:sz="8" w:space="0"/>
            </w:tcBorders>
            <w:vAlign w:val="center"/>
          </w:tcPr>
          <w:p w14:paraId="7FCAF399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1.80</w:t>
            </w:r>
          </w:p>
        </w:tc>
        <w:tc>
          <w:tcPr>
            <w:tcW w:w="1666" w:type="pct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7F02487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15.86</w:t>
            </w:r>
          </w:p>
        </w:tc>
      </w:tr>
    </w:tbl>
    <w:p w14:paraId="3D9AD1BD">
      <w:pPr>
        <w:spacing w:before="78" w:after="78"/>
      </w:pPr>
    </w:p>
    <w:p w14:paraId="2182FCD7">
      <w:pPr>
        <w:pStyle w:val="3"/>
        <w:spacing w:before="78" w:after="78"/>
      </w:pPr>
      <w:r>
        <w:rPr>
          <w:rFonts w:hint="eastAsia"/>
        </w:rPr>
        <w:t>Table</w:t>
      </w:r>
      <w:r>
        <w:t xml:space="preserve">. </w:t>
      </w:r>
      <w:r>
        <w:rPr>
          <w:rFonts w:hint="eastAsia"/>
        </w:rPr>
        <w:t>S2</w:t>
      </w:r>
    </w:p>
    <w:tbl>
      <w:tblPr>
        <w:tblStyle w:val="17"/>
        <w:tblW w:w="5000" w:type="pct"/>
        <w:tblInd w:w="0" w:type="dxa"/>
        <w:tblBorders>
          <w:top w:val="single" w:color="000000" w:themeColor="text1" w:sz="4" w:space="0"/>
          <w:left w:val="none" w:color="auto" w:sz="0" w:space="0"/>
          <w:bottom w:val="single" w:color="000000" w:themeColor="text1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2"/>
        <w:gridCol w:w="2131"/>
        <w:gridCol w:w="2129"/>
      </w:tblGrid>
      <w:tr w14:paraId="2CE7048D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F7EAD5"/>
            <w:vAlign w:val="center"/>
          </w:tcPr>
          <w:p w14:paraId="51BCDF96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Table. S2. Bias correction assessment of CMIP6 temperature (2000–2014).</w:t>
            </w:r>
          </w:p>
        </w:tc>
      </w:tr>
      <w:tr w14:paraId="622E81A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</w:tcBorders>
            <w:vAlign w:val="center"/>
          </w:tcPr>
          <w:p w14:paraId="35A67309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Index</w:t>
            </w:r>
          </w:p>
        </w:tc>
        <w:tc>
          <w:tcPr>
            <w:tcW w:w="1251" w:type="pct"/>
            <w:tcBorders>
              <w:top w:val="nil"/>
              <w:bottom w:val="single" w:color="auto" w:sz="8" w:space="0"/>
            </w:tcBorders>
            <w:vAlign w:val="center"/>
          </w:tcPr>
          <w:p w14:paraId="4D97E3A1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Observation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/K</w:t>
            </w:r>
          </w:p>
        </w:tc>
        <w:tc>
          <w:tcPr>
            <w:tcW w:w="1250" w:type="pct"/>
            <w:tcBorders>
              <w:top w:val="nil"/>
              <w:bottom w:val="single" w:color="auto" w:sz="8" w:space="0"/>
              <w:right w:val="nil"/>
            </w:tcBorders>
            <w:vAlign w:val="center"/>
          </w:tcPr>
          <w:p w14:paraId="57047CA4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Origin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/K</w:t>
            </w:r>
          </w:p>
        </w:tc>
        <w:tc>
          <w:tcPr>
            <w:tcW w:w="124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14:paraId="33F64DD2">
            <w:pPr>
              <w:pStyle w:val="19"/>
              <w:rPr>
                <w:rFonts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Corrected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K</w:t>
            </w:r>
          </w:p>
        </w:tc>
      </w:tr>
      <w:tr w14:paraId="3F1C06A5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top w:val="single" w:color="auto" w:sz="8" w:space="0"/>
              <w:left w:val="single" w:color="auto" w:sz="8" w:space="0"/>
            </w:tcBorders>
            <w:vAlign w:val="center"/>
          </w:tcPr>
          <w:p w14:paraId="2D310152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Mean</w:t>
            </w:r>
          </w:p>
        </w:tc>
        <w:tc>
          <w:tcPr>
            <w:tcW w:w="1251" w:type="pct"/>
            <w:tcBorders>
              <w:top w:val="single" w:color="auto" w:sz="8" w:space="0"/>
            </w:tcBorders>
            <w:vAlign w:val="center"/>
          </w:tcPr>
          <w:p w14:paraId="4C0C60DC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-8.5</w:t>
            </w:r>
          </w:p>
        </w:tc>
        <w:tc>
          <w:tcPr>
            <w:tcW w:w="1250" w:type="pct"/>
            <w:tcBorders>
              <w:top w:val="single" w:color="auto" w:sz="8" w:space="0"/>
              <w:right w:val="nil"/>
            </w:tcBorders>
            <w:vAlign w:val="center"/>
          </w:tcPr>
          <w:p w14:paraId="11ECA8FF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-1.8</w:t>
            </w:r>
          </w:p>
        </w:tc>
        <w:tc>
          <w:tcPr>
            <w:tcW w:w="1249" w:type="pct"/>
            <w:tcBorders>
              <w:top w:val="single" w:color="auto" w:sz="8" w:space="0"/>
              <w:left w:val="nil"/>
              <w:right w:val="single" w:color="auto" w:sz="8" w:space="0"/>
            </w:tcBorders>
          </w:tcPr>
          <w:p w14:paraId="21E40192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-1.8</w:t>
            </w:r>
          </w:p>
        </w:tc>
      </w:tr>
      <w:tr w14:paraId="06D5267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3137B0C6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Std</w:t>
            </w:r>
          </w:p>
        </w:tc>
        <w:tc>
          <w:tcPr>
            <w:tcW w:w="1251" w:type="pct"/>
            <w:vAlign w:val="center"/>
          </w:tcPr>
          <w:p w14:paraId="408564AF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8.5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587475B9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6.8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4C389AC8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6.9</w:t>
            </w:r>
          </w:p>
        </w:tc>
      </w:tr>
      <w:tr w14:paraId="75697544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3A320238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Min</w:t>
            </w:r>
          </w:p>
        </w:tc>
        <w:tc>
          <w:tcPr>
            <w:tcW w:w="1251" w:type="pct"/>
            <w:vAlign w:val="center"/>
          </w:tcPr>
          <w:p w14:paraId="2B8BE767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-25.1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313911B7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-14.9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604747EA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-15.1</w:t>
            </w:r>
          </w:p>
        </w:tc>
      </w:tr>
      <w:tr w14:paraId="5867523C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69C49F19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25%</w:t>
            </w:r>
          </w:p>
        </w:tc>
        <w:tc>
          <w:tcPr>
            <w:tcW w:w="1251" w:type="pct"/>
            <w:vAlign w:val="center"/>
          </w:tcPr>
          <w:p w14:paraId="3718636A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-16.0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3DAAB179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-8.1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4BA7157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-7.8</w:t>
            </w:r>
          </w:p>
        </w:tc>
      </w:tr>
      <w:tr w14:paraId="32069E03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61398FC4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50%</w:t>
            </w:r>
          </w:p>
        </w:tc>
        <w:tc>
          <w:tcPr>
            <w:tcW w:w="1251" w:type="pct"/>
            <w:vAlign w:val="center"/>
          </w:tcPr>
          <w:p w14:paraId="784D3149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-9.7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4468AA9D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-2.0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7E6634DA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-2.2</w:t>
            </w:r>
          </w:p>
        </w:tc>
      </w:tr>
      <w:tr w14:paraId="1AE77374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293E958C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75%</w:t>
            </w:r>
          </w:p>
        </w:tc>
        <w:tc>
          <w:tcPr>
            <w:tcW w:w="1251" w:type="pct"/>
            <w:vAlign w:val="center"/>
          </w:tcPr>
          <w:p w14:paraId="60FBD960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-0.6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38CF169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4.8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7BA242B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5.0</w:t>
            </w:r>
          </w:p>
        </w:tc>
      </w:tr>
      <w:tr w14:paraId="22DA18E4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 w14:paraId="3020B129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Max</w:t>
            </w:r>
          </w:p>
        </w:tc>
        <w:tc>
          <w:tcPr>
            <w:tcW w:w="1251" w:type="pct"/>
            <w:tcBorders>
              <w:bottom w:val="single" w:color="auto" w:sz="8" w:space="0"/>
            </w:tcBorders>
            <w:vAlign w:val="center"/>
          </w:tcPr>
          <w:p w14:paraId="71392F2F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5.0</w:t>
            </w:r>
          </w:p>
        </w:tc>
        <w:tc>
          <w:tcPr>
            <w:tcW w:w="1250" w:type="pct"/>
            <w:tcBorders>
              <w:bottom w:val="single" w:color="auto" w:sz="8" w:space="0"/>
              <w:right w:val="nil"/>
            </w:tcBorders>
            <w:vAlign w:val="center"/>
          </w:tcPr>
          <w:p w14:paraId="39D40E3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8.9</w:t>
            </w:r>
          </w:p>
        </w:tc>
        <w:tc>
          <w:tcPr>
            <w:tcW w:w="1249" w:type="pct"/>
            <w:tcBorders>
              <w:left w:val="nil"/>
              <w:bottom w:val="single" w:color="auto" w:sz="8" w:space="0"/>
              <w:right w:val="single" w:color="auto" w:sz="8" w:space="0"/>
            </w:tcBorders>
          </w:tcPr>
          <w:p w14:paraId="17333738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8.9</w:t>
            </w:r>
          </w:p>
        </w:tc>
      </w:tr>
    </w:tbl>
    <w:p w14:paraId="6A692517">
      <w:pPr>
        <w:spacing w:before="78" w:after="78"/>
        <w:rPr>
          <w:rFonts w:eastAsia="宋体" w:cs="Times New Roman"/>
          <w:szCs w:val="22"/>
        </w:rPr>
      </w:pPr>
    </w:p>
    <w:p w14:paraId="2C0822A3">
      <w:pPr>
        <w:pStyle w:val="3"/>
        <w:spacing w:before="78" w:after="78"/>
      </w:pPr>
      <w:r>
        <w:rPr>
          <w:rFonts w:hint="eastAsia"/>
        </w:rPr>
        <w:t>Table</w:t>
      </w:r>
      <w:r>
        <w:t xml:space="preserve">. </w:t>
      </w:r>
      <w:r>
        <w:rPr>
          <w:rFonts w:hint="eastAsia"/>
        </w:rPr>
        <w:t>S3</w:t>
      </w:r>
    </w:p>
    <w:tbl>
      <w:tblPr>
        <w:tblStyle w:val="17"/>
        <w:tblW w:w="5000" w:type="pct"/>
        <w:tblInd w:w="0" w:type="dxa"/>
        <w:tblBorders>
          <w:top w:val="single" w:color="000000" w:themeColor="text1" w:sz="4" w:space="0"/>
          <w:left w:val="none" w:color="auto" w:sz="0" w:space="0"/>
          <w:bottom w:val="single" w:color="000000" w:themeColor="text1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2"/>
        <w:gridCol w:w="2131"/>
        <w:gridCol w:w="2129"/>
      </w:tblGrid>
      <w:tr w14:paraId="6F6D011A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F7EAD5"/>
            <w:vAlign w:val="center"/>
          </w:tcPr>
          <w:p w14:paraId="4F25925E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Table. S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. Bias correction assessment of CMIP6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precipitation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(2000–2014).</w:t>
            </w:r>
          </w:p>
        </w:tc>
      </w:tr>
      <w:tr w14:paraId="150A548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</w:tcBorders>
            <w:vAlign w:val="center"/>
          </w:tcPr>
          <w:p w14:paraId="43D0444C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Index</w:t>
            </w:r>
          </w:p>
        </w:tc>
        <w:tc>
          <w:tcPr>
            <w:tcW w:w="1251" w:type="pct"/>
            <w:tcBorders>
              <w:top w:val="nil"/>
              <w:bottom w:val="single" w:color="auto" w:sz="8" w:space="0"/>
            </w:tcBorders>
            <w:vAlign w:val="center"/>
          </w:tcPr>
          <w:p w14:paraId="27D8E935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Observation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/mm</w:t>
            </w:r>
          </w:p>
        </w:tc>
        <w:tc>
          <w:tcPr>
            <w:tcW w:w="1250" w:type="pct"/>
            <w:tcBorders>
              <w:top w:val="nil"/>
              <w:bottom w:val="single" w:color="auto" w:sz="8" w:space="0"/>
              <w:right w:val="nil"/>
            </w:tcBorders>
            <w:vAlign w:val="center"/>
          </w:tcPr>
          <w:p w14:paraId="477768AD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Origin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/mm</w:t>
            </w:r>
          </w:p>
        </w:tc>
        <w:tc>
          <w:tcPr>
            <w:tcW w:w="124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14:paraId="4AF78732">
            <w:pPr>
              <w:pStyle w:val="19"/>
              <w:rPr>
                <w:rFonts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Corrected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/mm</w:t>
            </w:r>
          </w:p>
        </w:tc>
      </w:tr>
      <w:tr w14:paraId="6F43E7FC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top w:val="single" w:color="auto" w:sz="8" w:space="0"/>
              <w:left w:val="single" w:color="auto" w:sz="8" w:space="0"/>
            </w:tcBorders>
            <w:vAlign w:val="center"/>
          </w:tcPr>
          <w:p w14:paraId="485A27FF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Mean</w:t>
            </w:r>
          </w:p>
        </w:tc>
        <w:tc>
          <w:tcPr>
            <w:tcW w:w="1251" w:type="pct"/>
            <w:tcBorders>
              <w:top w:val="single" w:color="auto" w:sz="8" w:space="0"/>
            </w:tcBorders>
            <w:vAlign w:val="center"/>
          </w:tcPr>
          <w:p w14:paraId="45BD30C3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40.5</w:t>
            </w:r>
          </w:p>
        </w:tc>
        <w:tc>
          <w:tcPr>
            <w:tcW w:w="1250" w:type="pct"/>
            <w:tcBorders>
              <w:top w:val="single" w:color="auto" w:sz="8" w:space="0"/>
              <w:right w:val="nil"/>
            </w:tcBorders>
            <w:vAlign w:val="center"/>
          </w:tcPr>
          <w:p w14:paraId="06047B7D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46.1</w:t>
            </w:r>
          </w:p>
        </w:tc>
        <w:tc>
          <w:tcPr>
            <w:tcW w:w="1249" w:type="pct"/>
            <w:tcBorders>
              <w:top w:val="single" w:color="auto" w:sz="8" w:space="0"/>
              <w:left w:val="nil"/>
              <w:right w:val="single" w:color="auto" w:sz="8" w:space="0"/>
            </w:tcBorders>
          </w:tcPr>
          <w:p w14:paraId="75022B4C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46.1</w:t>
            </w:r>
          </w:p>
        </w:tc>
      </w:tr>
      <w:tr w14:paraId="55AEE6A2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1B27A59C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Std</w:t>
            </w:r>
          </w:p>
        </w:tc>
        <w:tc>
          <w:tcPr>
            <w:tcW w:w="1251" w:type="pct"/>
            <w:vAlign w:val="center"/>
          </w:tcPr>
          <w:p w14:paraId="5B091D4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37.9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07B4EAD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62.7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42A1D681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56.7</w:t>
            </w:r>
          </w:p>
        </w:tc>
      </w:tr>
      <w:tr w14:paraId="5420FC1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31D2B18A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Min</w:t>
            </w:r>
          </w:p>
        </w:tc>
        <w:tc>
          <w:tcPr>
            <w:tcW w:w="1251" w:type="pct"/>
            <w:vAlign w:val="center"/>
          </w:tcPr>
          <w:p w14:paraId="7AF1C90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0.7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28BB1AB2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0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2CFBD4D7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 w14:paraId="56C6D352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10740335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25%</w:t>
            </w:r>
          </w:p>
        </w:tc>
        <w:tc>
          <w:tcPr>
            <w:tcW w:w="1251" w:type="pct"/>
            <w:vAlign w:val="center"/>
          </w:tcPr>
          <w:p w14:paraId="4DABBD9A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7.9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5095A35F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2.1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17A958F8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2.0</w:t>
            </w:r>
          </w:p>
        </w:tc>
      </w:tr>
      <w:tr w14:paraId="77870DF9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24A5D798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50%</w:t>
            </w:r>
          </w:p>
        </w:tc>
        <w:tc>
          <w:tcPr>
            <w:tcW w:w="1251" w:type="pct"/>
            <w:vAlign w:val="center"/>
          </w:tcPr>
          <w:p w14:paraId="094C9DCA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22.3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5B4E115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9.5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5CFD2BD2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14.6</w:t>
            </w:r>
          </w:p>
        </w:tc>
      </w:tr>
      <w:tr w14:paraId="48E25BBD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132FFEDF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75%</w:t>
            </w:r>
          </w:p>
        </w:tc>
        <w:tc>
          <w:tcPr>
            <w:tcW w:w="1251" w:type="pct"/>
            <w:vAlign w:val="center"/>
          </w:tcPr>
          <w:p w14:paraId="33517CC4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69.4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582C372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77.2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334DC098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80.9</w:t>
            </w:r>
          </w:p>
        </w:tc>
      </w:tr>
      <w:tr w14:paraId="490C4589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 w14:paraId="2EE6374E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Max</w:t>
            </w:r>
          </w:p>
        </w:tc>
        <w:tc>
          <w:tcPr>
            <w:tcW w:w="1251" w:type="pct"/>
            <w:tcBorders>
              <w:bottom w:val="single" w:color="auto" w:sz="8" w:space="0"/>
            </w:tcBorders>
            <w:vAlign w:val="center"/>
          </w:tcPr>
          <w:p w14:paraId="50E4766A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132.0</w:t>
            </w:r>
          </w:p>
        </w:tc>
        <w:tc>
          <w:tcPr>
            <w:tcW w:w="1250" w:type="pct"/>
            <w:tcBorders>
              <w:bottom w:val="single" w:color="auto" w:sz="8" w:space="0"/>
              <w:right w:val="nil"/>
            </w:tcBorders>
            <w:vAlign w:val="center"/>
          </w:tcPr>
          <w:p w14:paraId="679F9A7F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270.3</w:t>
            </w:r>
          </w:p>
        </w:tc>
        <w:tc>
          <w:tcPr>
            <w:tcW w:w="1249" w:type="pct"/>
            <w:tcBorders>
              <w:left w:val="nil"/>
              <w:bottom w:val="single" w:color="auto" w:sz="8" w:space="0"/>
              <w:right w:val="single" w:color="auto" w:sz="8" w:space="0"/>
            </w:tcBorders>
          </w:tcPr>
          <w:p w14:paraId="70F6D9B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206.0</w:t>
            </w:r>
          </w:p>
        </w:tc>
      </w:tr>
    </w:tbl>
    <w:p w14:paraId="70B5D27E">
      <w:pPr>
        <w:spacing w:before="78" w:after="78"/>
      </w:pPr>
    </w:p>
    <w:p w14:paraId="0A592A7B">
      <w:pPr>
        <w:pStyle w:val="3"/>
        <w:spacing w:before="78" w:after="78"/>
      </w:pPr>
      <w:r>
        <w:rPr>
          <w:rFonts w:hint="eastAsia"/>
        </w:rPr>
        <w:t>Table</w:t>
      </w:r>
      <w:r>
        <w:t xml:space="preserve">. </w:t>
      </w:r>
      <w:r>
        <w:rPr>
          <w:rFonts w:hint="eastAsia"/>
        </w:rPr>
        <w:t>S4</w:t>
      </w:r>
    </w:p>
    <w:tbl>
      <w:tblPr>
        <w:tblStyle w:val="17"/>
        <w:tblW w:w="5000" w:type="pct"/>
        <w:tblInd w:w="0" w:type="dxa"/>
        <w:tblBorders>
          <w:top w:val="single" w:color="000000" w:themeColor="text1" w:sz="4" w:space="0"/>
          <w:left w:val="none" w:color="auto" w:sz="0" w:space="0"/>
          <w:bottom w:val="single" w:color="000000" w:themeColor="text1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2"/>
        <w:gridCol w:w="2131"/>
        <w:gridCol w:w="2129"/>
      </w:tblGrid>
      <w:tr w14:paraId="5F58403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F7EAD5"/>
            <w:vAlign w:val="center"/>
          </w:tcPr>
          <w:p w14:paraId="19BF6A28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Table. S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. Bias correction assessment of CMIP6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wind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(2000–2014).</w:t>
            </w:r>
          </w:p>
        </w:tc>
      </w:tr>
      <w:tr w14:paraId="5CAE2C9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</w:tcBorders>
            <w:vAlign w:val="center"/>
          </w:tcPr>
          <w:p w14:paraId="57A48D51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Index</w:t>
            </w:r>
          </w:p>
        </w:tc>
        <w:tc>
          <w:tcPr>
            <w:tcW w:w="1251" w:type="pct"/>
            <w:tcBorders>
              <w:top w:val="nil"/>
              <w:bottom w:val="single" w:color="auto" w:sz="8" w:space="0"/>
            </w:tcBorders>
            <w:vAlign w:val="center"/>
          </w:tcPr>
          <w:p w14:paraId="5ECE489F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Observation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/ms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  <w:vertAlign w:val="superscript"/>
              </w:rPr>
              <w:t>-1</w:t>
            </w:r>
          </w:p>
        </w:tc>
        <w:tc>
          <w:tcPr>
            <w:tcW w:w="1250" w:type="pct"/>
            <w:tcBorders>
              <w:top w:val="nil"/>
              <w:bottom w:val="single" w:color="auto" w:sz="8" w:space="0"/>
              <w:right w:val="nil"/>
            </w:tcBorders>
            <w:vAlign w:val="center"/>
          </w:tcPr>
          <w:p w14:paraId="2AC4E0B1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Origin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/ms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  <w:vertAlign w:val="superscript"/>
              </w:rPr>
              <w:t>-1</w:t>
            </w:r>
          </w:p>
        </w:tc>
        <w:tc>
          <w:tcPr>
            <w:tcW w:w="124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14:paraId="5DECB37A">
            <w:pPr>
              <w:pStyle w:val="19"/>
              <w:rPr>
                <w:rFonts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Corrected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ms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  <w:vertAlign w:val="superscript"/>
              </w:rPr>
              <w:t>-1</w:t>
            </w:r>
          </w:p>
        </w:tc>
      </w:tr>
      <w:tr w14:paraId="761048A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top w:val="single" w:color="auto" w:sz="8" w:space="0"/>
              <w:left w:val="single" w:color="auto" w:sz="8" w:space="0"/>
            </w:tcBorders>
            <w:vAlign w:val="center"/>
          </w:tcPr>
          <w:p w14:paraId="20F2159F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Mean</w:t>
            </w:r>
          </w:p>
        </w:tc>
        <w:tc>
          <w:tcPr>
            <w:tcW w:w="1251" w:type="pct"/>
            <w:tcBorders>
              <w:top w:val="single" w:color="auto" w:sz="8" w:space="0"/>
            </w:tcBorders>
            <w:vAlign w:val="center"/>
          </w:tcPr>
          <w:p w14:paraId="02342A0A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3.6</w:t>
            </w:r>
          </w:p>
        </w:tc>
        <w:tc>
          <w:tcPr>
            <w:tcW w:w="1250" w:type="pct"/>
            <w:tcBorders>
              <w:top w:val="single" w:color="auto" w:sz="8" w:space="0"/>
              <w:right w:val="nil"/>
            </w:tcBorders>
            <w:vAlign w:val="center"/>
          </w:tcPr>
          <w:p w14:paraId="263D7ABB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3.9</w:t>
            </w:r>
          </w:p>
        </w:tc>
        <w:tc>
          <w:tcPr>
            <w:tcW w:w="1249" w:type="pct"/>
            <w:tcBorders>
              <w:top w:val="single" w:color="auto" w:sz="8" w:space="0"/>
              <w:left w:val="nil"/>
              <w:right w:val="single" w:color="auto" w:sz="8" w:space="0"/>
            </w:tcBorders>
          </w:tcPr>
          <w:p w14:paraId="1F9A1B2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3.9</w:t>
            </w:r>
          </w:p>
        </w:tc>
      </w:tr>
      <w:tr w14:paraId="54F0F29E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69C05CA6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Std</w:t>
            </w:r>
          </w:p>
        </w:tc>
        <w:tc>
          <w:tcPr>
            <w:tcW w:w="1251" w:type="pct"/>
            <w:vAlign w:val="center"/>
          </w:tcPr>
          <w:p w14:paraId="13AF43D1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1.4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45C977E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0.9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5D099DA0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</w:tr>
      <w:tr w14:paraId="04F171A3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3A987C07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Min</w:t>
            </w:r>
          </w:p>
        </w:tc>
        <w:tc>
          <w:tcPr>
            <w:tcW w:w="1251" w:type="pct"/>
            <w:vAlign w:val="center"/>
          </w:tcPr>
          <w:p w14:paraId="06DAF03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1.6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183E0F07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1.5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1FD336F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1.9</w:t>
            </w:r>
          </w:p>
        </w:tc>
      </w:tr>
      <w:tr w14:paraId="59CBDBE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3DA13901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25%</w:t>
            </w:r>
          </w:p>
        </w:tc>
        <w:tc>
          <w:tcPr>
            <w:tcW w:w="1251" w:type="pct"/>
            <w:vAlign w:val="center"/>
          </w:tcPr>
          <w:p w14:paraId="6D14BD71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2.4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4FB48F5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3.2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5CEBB6AC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3.1</w:t>
            </w:r>
          </w:p>
        </w:tc>
      </w:tr>
      <w:tr w14:paraId="43F357E3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7CC0B4BD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50%</w:t>
            </w:r>
          </w:p>
        </w:tc>
        <w:tc>
          <w:tcPr>
            <w:tcW w:w="1251" w:type="pct"/>
            <w:vAlign w:val="center"/>
          </w:tcPr>
          <w:p w14:paraId="07E2A5DC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3.3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1D018B51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3.8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5F4A643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3.7</w:t>
            </w:r>
          </w:p>
        </w:tc>
      </w:tr>
      <w:tr w14:paraId="695F794E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697F8B5C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75%</w:t>
            </w:r>
          </w:p>
        </w:tc>
        <w:tc>
          <w:tcPr>
            <w:tcW w:w="1251" w:type="pct"/>
            <w:vAlign w:val="center"/>
          </w:tcPr>
          <w:p w14:paraId="5D1237D7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4.6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1EF510C5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4.5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3A910AF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4.6</w:t>
            </w:r>
          </w:p>
        </w:tc>
      </w:tr>
      <w:tr w14:paraId="32285E56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 w14:paraId="0EBD86AC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Max</w:t>
            </w:r>
          </w:p>
        </w:tc>
        <w:tc>
          <w:tcPr>
            <w:tcW w:w="1251" w:type="pct"/>
            <w:tcBorders>
              <w:bottom w:val="single" w:color="auto" w:sz="8" w:space="0"/>
            </w:tcBorders>
            <w:vAlign w:val="center"/>
          </w:tcPr>
          <w:p w14:paraId="17E42617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7.3</w:t>
            </w:r>
          </w:p>
        </w:tc>
        <w:tc>
          <w:tcPr>
            <w:tcW w:w="1250" w:type="pct"/>
            <w:tcBorders>
              <w:bottom w:val="single" w:color="auto" w:sz="8" w:space="0"/>
              <w:right w:val="nil"/>
            </w:tcBorders>
            <w:vAlign w:val="center"/>
          </w:tcPr>
          <w:p w14:paraId="2695FD4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7.8</w:t>
            </w:r>
          </w:p>
        </w:tc>
        <w:tc>
          <w:tcPr>
            <w:tcW w:w="1249" w:type="pct"/>
            <w:tcBorders>
              <w:left w:val="nil"/>
              <w:bottom w:val="single" w:color="auto" w:sz="8" w:space="0"/>
              <w:right w:val="single" w:color="auto" w:sz="8" w:space="0"/>
            </w:tcBorders>
          </w:tcPr>
          <w:p w14:paraId="632233C1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7.0</w:t>
            </w:r>
          </w:p>
        </w:tc>
      </w:tr>
    </w:tbl>
    <w:p w14:paraId="51B7E04F">
      <w:pPr>
        <w:spacing w:before="78" w:after="78"/>
        <w:rPr>
          <w:rFonts w:eastAsia="宋体" w:cs="Times New Roman"/>
          <w:szCs w:val="22"/>
        </w:rPr>
      </w:pPr>
    </w:p>
    <w:p w14:paraId="16251317">
      <w:pPr>
        <w:pStyle w:val="3"/>
        <w:spacing w:before="78" w:after="78"/>
      </w:pPr>
      <w:r>
        <w:rPr>
          <w:rFonts w:hint="eastAsia"/>
        </w:rPr>
        <w:t>Table</w:t>
      </w:r>
      <w:r>
        <w:t xml:space="preserve">. </w:t>
      </w:r>
      <w:r>
        <w:rPr>
          <w:rFonts w:hint="eastAsia"/>
        </w:rPr>
        <w:t>S5</w:t>
      </w:r>
    </w:p>
    <w:tbl>
      <w:tblPr>
        <w:tblStyle w:val="17"/>
        <w:tblW w:w="5000" w:type="pct"/>
        <w:tblInd w:w="0" w:type="dxa"/>
        <w:tblBorders>
          <w:top w:val="single" w:color="000000" w:themeColor="text1" w:sz="4" w:space="0"/>
          <w:left w:val="none" w:color="auto" w:sz="0" w:space="0"/>
          <w:bottom w:val="single" w:color="000000" w:themeColor="text1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2"/>
        <w:gridCol w:w="2131"/>
        <w:gridCol w:w="2129"/>
      </w:tblGrid>
      <w:tr w14:paraId="44747B82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F7EAD5"/>
            <w:vAlign w:val="center"/>
          </w:tcPr>
          <w:p w14:paraId="275A0B69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Table. S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. Bias correction assessment of CMIP6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relative humidity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(2000–2014).</w:t>
            </w:r>
          </w:p>
        </w:tc>
      </w:tr>
      <w:tr w14:paraId="722A162F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</w:tcBorders>
            <w:vAlign w:val="center"/>
          </w:tcPr>
          <w:p w14:paraId="43B30531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Index</w:t>
            </w:r>
          </w:p>
        </w:tc>
        <w:tc>
          <w:tcPr>
            <w:tcW w:w="1251" w:type="pct"/>
            <w:tcBorders>
              <w:top w:val="nil"/>
              <w:bottom w:val="single" w:color="auto" w:sz="8" w:space="0"/>
            </w:tcBorders>
            <w:vAlign w:val="center"/>
          </w:tcPr>
          <w:p w14:paraId="45DAEFE8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Observation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/%</w:t>
            </w:r>
          </w:p>
        </w:tc>
        <w:tc>
          <w:tcPr>
            <w:tcW w:w="1250" w:type="pct"/>
            <w:tcBorders>
              <w:top w:val="nil"/>
              <w:bottom w:val="single" w:color="auto" w:sz="8" w:space="0"/>
              <w:right w:val="nil"/>
            </w:tcBorders>
            <w:vAlign w:val="center"/>
          </w:tcPr>
          <w:p w14:paraId="7B327F94">
            <w:pPr>
              <w:pStyle w:val="19"/>
              <w:rPr>
                <w:rFonts w:ascii="Times New Roman" w:hAnsi="Times New Roman" w:cs="Times New Roman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2"/>
              </w:rPr>
              <w:t>Origin</w:t>
            </w:r>
            <w:r>
              <w:rPr>
                <w:rFonts w:hint="eastAsia" w:ascii="Times New Roman" w:hAnsi="Times New Roman" w:cs="Times New Roman"/>
                <w:color w:val="auto"/>
                <w:sz w:val="20"/>
                <w:szCs w:val="22"/>
              </w:rPr>
              <w:t>/%</w:t>
            </w:r>
          </w:p>
        </w:tc>
        <w:tc>
          <w:tcPr>
            <w:tcW w:w="124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14:paraId="5B554AF9">
            <w:pPr>
              <w:pStyle w:val="19"/>
              <w:rPr>
                <w:rFonts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Corrected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/%</w:t>
            </w:r>
          </w:p>
        </w:tc>
      </w:tr>
      <w:tr w14:paraId="724C476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top w:val="single" w:color="auto" w:sz="8" w:space="0"/>
              <w:left w:val="single" w:color="auto" w:sz="8" w:space="0"/>
            </w:tcBorders>
            <w:vAlign w:val="center"/>
          </w:tcPr>
          <w:p w14:paraId="53A20036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Mean</w:t>
            </w:r>
          </w:p>
        </w:tc>
        <w:tc>
          <w:tcPr>
            <w:tcW w:w="1251" w:type="pct"/>
            <w:tcBorders>
              <w:top w:val="single" w:color="auto" w:sz="8" w:space="0"/>
            </w:tcBorders>
            <w:vAlign w:val="center"/>
          </w:tcPr>
          <w:p w14:paraId="08EEEA44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48.9</w:t>
            </w:r>
          </w:p>
        </w:tc>
        <w:tc>
          <w:tcPr>
            <w:tcW w:w="1250" w:type="pct"/>
            <w:tcBorders>
              <w:top w:val="single" w:color="auto" w:sz="8" w:space="0"/>
              <w:right w:val="nil"/>
            </w:tcBorders>
            <w:vAlign w:val="center"/>
          </w:tcPr>
          <w:p w14:paraId="509DF397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43.2</w:t>
            </w:r>
          </w:p>
        </w:tc>
        <w:tc>
          <w:tcPr>
            <w:tcW w:w="1249" w:type="pct"/>
            <w:tcBorders>
              <w:top w:val="single" w:color="auto" w:sz="8" w:space="0"/>
              <w:left w:val="nil"/>
              <w:right w:val="single" w:color="auto" w:sz="8" w:space="0"/>
            </w:tcBorders>
          </w:tcPr>
          <w:p w14:paraId="5696CD3B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43.2</w:t>
            </w:r>
          </w:p>
        </w:tc>
      </w:tr>
      <w:tr w14:paraId="1374E483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735CBECA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Std</w:t>
            </w:r>
          </w:p>
        </w:tc>
        <w:tc>
          <w:tcPr>
            <w:tcW w:w="1251" w:type="pct"/>
            <w:vAlign w:val="center"/>
          </w:tcPr>
          <w:p w14:paraId="48105361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18.1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355B7DCA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17.0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11F5882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16.4</w:t>
            </w:r>
          </w:p>
        </w:tc>
      </w:tr>
      <w:tr w14:paraId="2209A567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066F2CBE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Min</w:t>
            </w:r>
          </w:p>
        </w:tc>
        <w:tc>
          <w:tcPr>
            <w:tcW w:w="1251" w:type="pct"/>
            <w:vAlign w:val="center"/>
          </w:tcPr>
          <w:p w14:paraId="72141C82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18.2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08969CDE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14.4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150CAB05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15.9</w:t>
            </w:r>
          </w:p>
        </w:tc>
      </w:tr>
      <w:tr w14:paraId="7F7E1D94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671B17F0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25%</w:t>
            </w:r>
          </w:p>
        </w:tc>
        <w:tc>
          <w:tcPr>
            <w:tcW w:w="1251" w:type="pct"/>
            <w:vAlign w:val="center"/>
          </w:tcPr>
          <w:p w14:paraId="157242E2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33.0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5B7C92C5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0"/>
                <w:szCs w:val="22"/>
              </w:rPr>
              <w:t>28.6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55177205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27.8</w:t>
            </w:r>
          </w:p>
        </w:tc>
      </w:tr>
      <w:tr w14:paraId="6E1B2529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2441A8F5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50%</w:t>
            </w:r>
          </w:p>
        </w:tc>
        <w:tc>
          <w:tcPr>
            <w:tcW w:w="1251" w:type="pct"/>
            <w:vAlign w:val="center"/>
          </w:tcPr>
          <w:p w14:paraId="05FB91F4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49.0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1F1AF40A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42.0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6810F88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43.5</w:t>
            </w:r>
          </w:p>
        </w:tc>
      </w:tr>
      <w:tr w14:paraId="073DDF26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</w:tcBorders>
            <w:vAlign w:val="center"/>
          </w:tcPr>
          <w:p w14:paraId="226D9919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75%</w:t>
            </w:r>
          </w:p>
        </w:tc>
        <w:tc>
          <w:tcPr>
            <w:tcW w:w="1251" w:type="pct"/>
            <w:vAlign w:val="center"/>
          </w:tcPr>
          <w:p w14:paraId="619709A7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66.5</w:t>
            </w:r>
          </w:p>
        </w:tc>
        <w:tc>
          <w:tcPr>
            <w:tcW w:w="1250" w:type="pct"/>
            <w:tcBorders>
              <w:right w:val="nil"/>
            </w:tcBorders>
            <w:vAlign w:val="center"/>
          </w:tcPr>
          <w:p w14:paraId="7A5A46FF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59.1</w:t>
            </w:r>
          </w:p>
        </w:tc>
        <w:tc>
          <w:tcPr>
            <w:tcW w:w="1249" w:type="pct"/>
            <w:tcBorders>
              <w:left w:val="nil"/>
              <w:right w:val="single" w:color="auto" w:sz="8" w:space="0"/>
            </w:tcBorders>
          </w:tcPr>
          <w:p w14:paraId="7462A416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59.0</w:t>
            </w:r>
          </w:p>
        </w:tc>
      </w:tr>
      <w:tr w14:paraId="275149D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250" w:type="pct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 w14:paraId="6BA671B8">
            <w:pPr>
              <w:pStyle w:val="19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Max</w:t>
            </w:r>
          </w:p>
        </w:tc>
        <w:tc>
          <w:tcPr>
            <w:tcW w:w="1251" w:type="pct"/>
            <w:tcBorders>
              <w:bottom w:val="single" w:color="auto" w:sz="8" w:space="0"/>
            </w:tcBorders>
            <w:vAlign w:val="center"/>
          </w:tcPr>
          <w:p w14:paraId="6B659388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88.5</w:t>
            </w:r>
          </w:p>
        </w:tc>
        <w:tc>
          <w:tcPr>
            <w:tcW w:w="1250" w:type="pct"/>
            <w:tcBorders>
              <w:bottom w:val="single" w:color="auto" w:sz="8" w:space="0"/>
              <w:right w:val="nil"/>
            </w:tcBorders>
            <w:vAlign w:val="center"/>
          </w:tcPr>
          <w:p w14:paraId="32D9B3A1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74.5</w:t>
            </w:r>
          </w:p>
        </w:tc>
        <w:tc>
          <w:tcPr>
            <w:tcW w:w="1249" w:type="pct"/>
            <w:tcBorders>
              <w:left w:val="nil"/>
              <w:bottom w:val="single" w:color="auto" w:sz="8" w:space="0"/>
              <w:right w:val="single" w:color="auto" w:sz="8" w:space="0"/>
            </w:tcBorders>
          </w:tcPr>
          <w:p w14:paraId="64CCFEA1">
            <w:pPr>
              <w:pStyle w:val="19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0"/>
                <w:szCs w:val="22"/>
                <w14:textFill>
                  <w14:solidFill>
                    <w14:schemeClr w14:val="tx1"/>
                  </w14:solidFill>
                </w14:textFill>
              </w:rPr>
              <w:t>70.0</w:t>
            </w:r>
          </w:p>
        </w:tc>
      </w:tr>
    </w:tbl>
    <w:p w14:paraId="5A177295">
      <w:pPr>
        <w:pStyle w:val="2"/>
        <w:spacing w:before="78" w:after="78"/>
      </w:pPr>
      <w:bookmarkStart w:id="1" w:name="_GoBack"/>
      <w:bookmarkEnd w:id="1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F1A47">
    <w:pPr>
      <w:pStyle w:val="4"/>
      <w:spacing w:before="60" w:after="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6AD36">
    <w:pPr>
      <w:pStyle w:val="4"/>
      <w:spacing w:before="60" w:after="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9AD56">
    <w:pPr>
      <w:pStyle w:val="4"/>
      <w:spacing w:before="60" w:after="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573FD">
    <w:pPr>
      <w:spacing w:before="60" w:after="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92F11">
    <w:pPr>
      <w:pStyle w:val="5"/>
      <w:spacing w:before="60" w:after="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E7E1E">
    <w:pPr>
      <w:pStyle w:val="5"/>
      <w:spacing w:before="60" w:after="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FB74D1"/>
    <w:rsid w:val="00060522"/>
    <w:rsid w:val="000F3E4D"/>
    <w:rsid w:val="0011611D"/>
    <w:rsid w:val="00143456"/>
    <w:rsid w:val="001858A4"/>
    <w:rsid w:val="001874EB"/>
    <w:rsid w:val="001C20B4"/>
    <w:rsid w:val="001E44DC"/>
    <w:rsid w:val="002209B7"/>
    <w:rsid w:val="002955C0"/>
    <w:rsid w:val="002E1ACA"/>
    <w:rsid w:val="003378CF"/>
    <w:rsid w:val="00343111"/>
    <w:rsid w:val="00363EA2"/>
    <w:rsid w:val="00364536"/>
    <w:rsid w:val="00384625"/>
    <w:rsid w:val="003930C7"/>
    <w:rsid w:val="00394411"/>
    <w:rsid w:val="003C0A3D"/>
    <w:rsid w:val="00452F21"/>
    <w:rsid w:val="004B24CE"/>
    <w:rsid w:val="004B78DB"/>
    <w:rsid w:val="004D79BF"/>
    <w:rsid w:val="00531CB0"/>
    <w:rsid w:val="00541119"/>
    <w:rsid w:val="005A69C3"/>
    <w:rsid w:val="00600BFB"/>
    <w:rsid w:val="00607C9C"/>
    <w:rsid w:val="006710CA"/>
    <w:rsid w:val="006B34FB"/>
    <w:rsid w:val="006D4336"/>
    <w:rsid w:val="00750B6A"/>
    <w:rsid w:val="00783613"/>
    <w:rsid w:val="00795A5D"/>
    <w:rsid w:val="007C1B0D"/>
    <w:rsid w:val="00836D37"/>
    <w:rsid w:val="00852167"/>
    <w:rsid w:val="00854CE8"/>
    <w:rsid w:val="00857A6E"/>
    <w:rsid w:val="008C07A6"/>
    <w:rsid w:val="008E3EEB"/>
    <w:rsid w:val="00917C39"/>
    <w:rsid w:val="00962B9D"/>
    <w:rsid w:val="00970DF1"/>
    <w:rsid w:val="00975F1B"/>
    <w:rsid w:val="00991A48"/>
    <w:rsid w:val="009C1858"/>
    <w:rsid w:val="009F16E4"/>
    <w:rsid w:val="009F458B"/>
    <w:rsid w:val="00A359EF"/>
    <w:rsid w:val="00A54462"/>
    <w:rsid w:val="00AC08E4"/>
    <w:rsid w:val="00AC36B2"/>
    <w:rsid w:val="00AD634D"/>
    <w:rsid w:val="00AD67AF"/>
    <w:rsid w:val="00AF071C"/>
    <w:rsid w:val="00B209A9"/>
    <w:rsid w:val="00B347BE"/>
    <w:rsid w:val="00B618FB"/>
    <w:rsid w:val="00BA21AC"/>
    <w:rsid w:val="00BF0B2C"/>
    <w:rsid w:val="00BF4D62"/>
    <w:rsid w:val="00C04EDE"/>
    <w:rsid w:val="00C46726"/>
    <w:rsid w:val="00C8792D"/>
    <w:rsid w:val="00CA5D2B"/>
    <w:rsid w:val="00D13503"/>
    <w:rsid w:val="00D31C72"/>
    <w:rsid w:val="00DB1940"/>
    <w:rsid w:val="00DD7A68"/>
    <w:rsid w:val="00E07E41"/>
    <w:rsid w:val="00E15163"/>
    <w:rsid w:val="00E52F49"/>
    <w:rsid w:val="00EC216E"/>
    <w:rsid w:val="00EC7654"/>
    <w:rsid w:val="00F42FED"/>
    <w:rsid w:val="00F53FF9"/>
    <w:rsid w:val="00F64075"/>
    <w:rsid w:val="00FD5BD8"/>
    <w:rsid w:val="04991BF0"/>
    <w:rsid w:val="04EE6171"/>
    <w:rsid w:val="0B246449"/>
    <w:rsid w:val="0CA84E57"/>
    <w:rsid w:val="0CFD51A3"/>
    <w:rsid w:val="0F661726"/>
    <w:rsid w:val="26BA7B25"/>
    <w:rsid w:val="322C5769"/>
    <w:rsid w:val="34FB74D1"/>
    <w:rsid w:val="384A0806"/>
    <w:rsid w:val="3D4D564C"/>
    <w:rsid w:val="403C70E8"/>
    <w:rsid w:val="459E3966"/>
    <w:rsid w:val="49284D7B"/>
    <w:rsid w:val="4CA97B54"/>
    <w:rsid w:val="50F20458"/>
    <w:rsid w:val="566D42D9"/>
    <w:rsid w:val="645C1924"/>
    <w:rsid w:val="6AFB49E8"/>
    <w:rsid w:val="6CE07597"/>
    <w:rsid w:val="717F11EF"/>
    <w:rsid w:val="773B26C2"/>
    <w:rsid w:val="79E54374"/>
    <w:rsid w:val="7D67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25" w:beforeLines="25" w:after="25" w:afterLines="25" w:line="276" w:lineRule="auto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0"/>
    <w:pPr>
      <w:keepNext/>
      <w:keepLines/>
      <w:pageBreakBefore/>
      <w:outlineLvl w:val="1"/>
    </w:pPr>
    <w:rPr>
      <w:rFonts w:eastAsiaTheme="majorEastAsia" w:cstheme="majorBidi"/>
      <w:b/>
      <w:bCs/>
      <w:sz w:val="28"/>
      <w:szCs w:val="32"/>
    </w:rPr>
  </w:style>
  <w:style w:type="paragraph" w:styleId="3">
    <w:name w:val="heading 3"/>
    <w:basedOn w:val="1"/>
    <w:next w:val="1"/>
    <w:link w:val="13"/>
    <w:unhideWhenUsed/>
    <w:qFormat/>
    <w:uiPriority w:val="0"/>
    <w:pPr>
      <w:keepNext/>
      <w:keepLines/>
      <w:spacing w:before="240" w:after="240"/>
      <w:outlineLvl w:val="2"/>
    </w:pPr>
    <w:rPr>
      <w:b/>
      <w:bCs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清单表 6 彩色1"/>
    <w:qFormat/>
    <w:uiPriority w:val="51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bCs/>
      </w:rPr>
      <w:tcPr>
        <w:tcBorders>
          <w:bottom w:val="single" w:color="000000" w:sz="4" w:space="0"/>
        </w:tcBorders>
      </w:tcPr>
    </w:tblStylePr>
    <w:tblStylePr w:type="lastRow">
      <w:rPr>
        <w:b/>
        <w:bCs/>
      </w:rPr>
      <w:tcPr>
        <w:tcBorders>
          <w:top w:val="double" w:color="00000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/>
      </w:tcPr>
    </w:tblStylePr>
    <w:tblStylePr w:type="band1Horz">
      <w:tcPr>
        <w:shd w:val="clear" w:color="auto" w:fill="CCCCCC"/>
      </w:tcPr>
    </w:tblStylePr>
  </w:style>
  <w:style w:type="table" w:customStyle="1" w:styleId="9">
    <w:name w:val="网格表 4 - 着色 51"/>
    <w:qFormat/>
    <w:uiPriority w:val="49"/>
    <w:rPr>
      <w:kern w:val="2"/>
      <w:sz w:val="21"/>
      <w:szCs w:val="22"/>
    </w:rPr>
    <w:tblPr>
      <w:tblBorders>
        <w:top w:val="single" w:color="8EAADB" w:sz="4" w:space="0"/>
        <w:left w:val="single" w:color="8EAADB" w:sz="4" w:space="0"/>
        <w:bottom w:val="single" w:color="8EAADB" w:sz="4" w:space="0"/>
        <w:right w:val="single" w:color="8EAADB" w:sz="4" w:space="0"/>
        <w:insideH w:val="single" w:color="8EAADB" w:sz="4" w:space="0"/>
        <w:insideV w:val="single" w:color="8EAADB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bCs/>
        <w:color w:val="FFFFFF"/>
      </w:rPr>
      <w:tcPr>
        <w:tcBorders>
          <w:top w:val="single" w:color="4472C4" w:sz="4" w:space="0"/>
          <w:left w:val="single" w:color="4472C4" w:sz="4" w:space="0"/>
          <w:bottom w:val="single" w:color="4472C4" w:sz="4" w:space="0"/>
          <w:right w:val="single" w:color="4472C4" w:sz="4" w:space="0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cPr>
        <w:tcBorders>
          <w:top w:val="double" w:color="4472C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/>
      </w:tcPr>
    </w:tblStylePr>
    <w:tblStylePr w:type="band1Horz">
      <w:tcPr>
        <w:shd w:val="clear" w:color="auto" w:fill="D9E2F3"/>
      </w:tcPr>
    </w:tblStylePr>
  </w:style>
  <w:style w:type="character" w:customStyle="1" w:styleId="10">
    <w:name w:val="页眉 字符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标题 2 字符"/>
    <w:basedOn w:val="7"/>
    <w:link w:val="2"/>
    <w:qFormat/>
    <w:uiPriority w:val="0"/>
    <w:rPr>
      <w:rFonts w:eastAsiaTheme="majorEastAsia" w:cstheme="majorBidi"/>
      <w:b/>
      <w:bCs/>
      <w:kern w:val="2"/>
      <w:sz w:val="28"/>
      <w:szCs w:val="32"/>
    </w:rPr>
  </w:style>
  <w:style w:type="character" w:customStyle="1" w:styleId="13">
    <w:name w:val="标题 3 字符"/>
    <w:basedOn w:val="7"/>
    <w:link w:val="3"/>
    <w:qFormat/>
    <w:uiPriority w:val="0"/>
    <w:rPr>
      <w:rFonts w:eastAsiaTheme="minorEastAsia" w:cstheme="minorBidi"/>
      <w:b/>
      <w:bCs/>
      <w:kern w:val="2"/>
      <w:sz w:val="24"/>
      <w:szCs w:val="32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paragraph" w:customStyle="1" w:styleId="15">
    <w:name w:val="MTDisplayEquation"/>
    <w:basedOn w:val="1"/>
    <w:next w:val="1"/>
    <w:link w:val="16"/>
    <w:qFormat/>
    <w:uiPriority w:val="0"/>
    <w:pPr>
      <w:tabs>
        <w:tab w:val="center" w:pos="4880"/>
        <w:tab w:val="right" w:pos="9740"/>
      </w:tabs>
      <w:spacing w:before="81" w:after="81" w:line="240" w:lineRule="auto"/>
    </w:pPr>
    <w:rPr>
      <w:rFonts w:eastAsia="宋体"/>
      <w:szCs w:val="22"/>
    </w:rPr>
  </w:style>
  <w:style w:type="character" w:customStyle="1" w:styleId="16">
    <w:name w:val="MTDisplayEquation 字符"/>
    <w:basedOn w:val="7"/>
    <w:link w:val="15"/>
    <w:qFormat/>
    <w:uiPriority w:val="0"/>
    <w:rPr>
      <w:rFonts w:cstheme="minorBidi"/>
      <w:kern w:val="2"/>
      <w:sz w:val="24"/>
      <w:szCs w:val="22"/>
    </w:rPr>
  </w:style>
  <w:style w:type="table" w:customStyle="1" w:styleId="17">
    <w:name w:val="List Table 6 Colorful"/>
    <w:basedOn w:val="6"/>
    <w:qFormat/>
    <w:uiPriority w:val="51"/>
    <w:rPr>
      <w:rFonts w:asciiTheme="minorHAnsi" w:hAnsiTheme="minorHAnsi" w:eastAsiaTheme="minorEastAsia" w:cstheme="minorBidi"/>
      <w:color w:val="000000" w:themeColor="text1"/>
      <w:kern w:val="2"/>
      <w:sz w:val="21"/>
      <w:szCs w:val="22"/>
      <w14:textFill>
        <w14:solidFill>
          <w14:schemeClr w14:val="tx1"/>
        </w14:solidFill>
      </w14:textFill>
    </w:rPr>
    <w:tblPr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character" w:styleId="18">
    <w:name w:val="Placeholder Text"/>
    <w:basedOn w:val="7"/>
    <w:semiHidden/>
    <w:qFormat/>
    <w:uiPriority w:val="99"/>
    <w:rPr>
      <w:color w:val="808080"/>
    </w:rPr>
  </w:style>
  <w:style w:type="paragraph" w:customStyle="1" w:styleId="19">
    <w:name w:val="题注1"/>
    <w:basedOn w:val="1"/>
    <w:link w:val="20"/>
    <w:qFormat/>
    <w:uiPriority w:val="0"/>
    <w:pPr>
      <w:spacing w:before="78" w:after="78"/>
    </w:pPr>
    <w:rPr>
      <w:b/>
      <w:bCs/>
      <w:sz w:val="21"/>
    </w:rPr>
  </w:style>
  <w:style w:type="character" w:customStyle="1" w:styleId="20">
    <w:name w:val="Caption 字符"/>
    <w:basedOn w:val="7"/>
    <w:link w:val="19"/>
    <w:qFormat/>
    <w:uiPriority w:val="0"/>
    <w:rPr>
      <w:rFonts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471</Words>
  <Characters>1973</Characters>
  <Lines>520</Lines>
  <Paragraphs>323</Paragraphs>
  <TotalTime>248</TotalTime>
  <ScaleCrop>false</ScaleCrop>
  <LinksUpToDate>false</LinksUpToDate>
  <CharactersWithSpaces>2303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2025-08-07T13:47:00Z</dcterms:created>
  <dc:creator>克勤</dc:creator>
  <cp:lastModifiedBy>克勤</cp:lastModifiedBy>
  <cp:lastPrinted>2025-08-08T13:09:00Z</cp:lastPrinted>
  <dcterms:modified xsi:type="dcterms:W3CDTF">2025-09-26T07:59:00Z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5FCC532E5D514D4EBC37F598B10F2A7A_13</vt:lpwstr>
  </property>
  <property fmtid="{D5CDD505-2E9C-101B-9397-08002B2CF9AE}" pid="4" name="KSOTemplateDocerSaveRecord">
    <vt:lpwstr>eyJoZGlkIjoiYjViYjMxZGZkNDA1ZGJkY2YyMThmMTgxZjBhYzI3MGMiLCJ1c2VySWQiOiI1NTEzNTQ4NjQifQ==</vt:lpwstr>
  </property>
  <property fmtid="{D5CDD505-2E9C-101B-9397-08002B2CF9AE}" pid="5" name="GrammarlyDocumentId">
    <vt:lpwstr>1cec9241-6f0c-4722-8325-61d87c4b6c7c</vt:lpwstr>
  </property>
</Properties>
</file>