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33DB80" w14:textId="22F6372C" w:rsidR="001C454B" w:rsidRPr="00994881" w:rsidRDefault="001C454B" w:rsidP="001C454B">
      <w:pPr>
        <w:widowControl/>
        <w:snapToGrid w:val="0"/>
        <w:jc w:val="left"/>
        <w:rPr>
          <w:rFonts w:ascii="Palatino Linotype" w:eastAsia="ＭＳ Ｐゴシック" w:hAnsi="Palatino Linotype"/>
          <w:sz w:val="22"/>
        </w:rPr>
      </w:pPr>
      <w:r w:rsidRPr="00994881">
        <w:rPr>
          <w:rFonts w:ascii="Palatino Linotype" w:eastAsia="ＭＳ Ｐゴシック" w:hAnsi="Palatino Linotype"/>
          <w:sz w:val="22"/>
        </w:rPr>
        <w:t>Supplementary Information</w:t>
      </w:r>
    </w:p>
    <w:p w14:paraId="4D30BA5C" w14:textId="77777777" w:rsidR="001C454B" w:rsidRPr="00994881" w:rsidRDefault="001C454B" w:rsidP="001C454B">
      <w:pPr>
        <w:widowControl/>
        <w:snapToGrid w:val="0"/>
        <w:ind w:firstLineChars="100" w:firstLine="220"/>
        <w:jc w:val="left"/>
        <w:rPr>
          <w:rFonts w:ascii="Palatino Linotype" w:eastAsia="ＭＳ Ｐゴシック" w:hAnsi="Palatino Linotype"/>
          <w:sz w:val="22"/>
        </w:rPr>
      </w:pPr>
    </w:p>
    <w:p w14:paraId="0ED73E63" w14:textId="77777777" w:rsidR="00552FE7" w:rsidRPr="00994881" w:rsidRDefault="00552FE7" w:rsidP="00552FE7">
      <w:pPr>
        <w:pStyle w:val="HTML"/>
        <w:shd w:val="clear" w:color="auto" w:fill="F8F9FA"/>
        <w:adjustRightInd w:val="0"/>
        <w:snapToGrid w:val="0"/>
        <w:jc w:val="center"/>
        <w:rPr>
          <w:rFonts w:ascii="Palatino Linotype" w:eastAsia="ＭＳ Ｐゴシック" w:hAnsi="Palatino Linotype" w:cs="Arial"/>
          <w:color w:val="1F1F1F"/>
          <w:kern w:val="0"/>
          <w:sz w:val="28"/>
          <w:szCs w:val="28"/>
        </w:rPr>
      </w:pPr>
      <w:r w:rsidRPr="00994881">
        <w:rPr>
          <w:rFonts w:ascii="Palatino Linotype" w:hAnsi="Palatino Linotype" w:cs="Arial"/>
          <w:sz w:val="28"/>
          <w:szCs w:val="28"/>
        </w:rPr>
        <w:t>Amplified Groun</w:t>
      </w:r>
      <w:r w:rsidRPr="00994881">
        <w:rPr>
          <w:rFonts w:ascii="Palatino Linotype" w:eastAsia="ＭＳ Ｐゴシック" w:hAnsi="Palatino Linotype" w:cs="Arial"/>
          <w:sz w:val="28"/>
          <w:szCs w:val="28"/>
        </w:rPr>
        <w:t xml:space="preserve">d Shaking Induced by Subterranean Gas Expansion (Time-lagged Seismic </w:t>
      </w:r>
      <w:r w:rsidRPr="00994881">
        <w:rPr>
          <w:rFonts w:ascii="Palatino Linotype" w:eastAsia="ＭＳ Ｐゴシック" w:hAnsi="Palatino Linotype" w:cs="Arial"/>
          <w:color w:val="1F1F1F"/>
          <w:kern w:val="0"/>
          <w:sz w:val="28"/>
          <w:szCs w:val="28"/>
          <w:lang w:val="en"/>
        </w:rPr>
        <w:t xml:space="preserve">Champagne </w:t>
      </w:r>
      <w:r w:rsidRPr="00994881">
        <w:rPr>
          <w:rFonts w:ascii="Palatino Linotype" w:eastAsia="ＭＳ Ｐゴシック" w:hAnsi="Palatino Linotype" w:cs="Arial"/>
          <w:sz w:val="28"/>
          <w:szCs w:val="28"/>
        </w:rPr>
        <w:t>effect): Unveiling a New Geohazard Following the 2024 Noto Peninsula Earthquake</w:t>
      </w:r>
    </w:p>
    <w:p w14:paraId="72810D57" w14:textId="77777777" w:rsidR="00552FE7" w:rsidRPr="00994881" w:rsidRDefault="00552FE7" w:rsidP="00552FE7">
      <w:pPr>
        <w:adjustRightInd w:val="0"/>
        <w:snapToGrid w:val="0"/>
        <w:jc w:val="center"/>
        <w:rPr>
          <w:rFonts w:ascii="Palatino Linotype" w:hAnsi="Palatino Linotype" w:cs="Arial"/>
        </w:rPr>
      </w:pPr>
    </w:p>
    <w:p w14:paraId="5BE9B758" w14:textId="77777777" w:rsidR="00552FE7" w:rsidRDefault="00552FE7" w:rsidP="00552FE7">
      <w:pPr>
        <w:pStyle w:val="Web"/>
        <w:adjustRightInd w:val="0"/>
        <w:snapToGrid w:val="0"/>
        <w:spacing w:before="0" w:beforeAutospacing="0" w:after="0" w:afterAutospacing="0"/>
        <w:jc w:val="center"/>
        <w:rPr>
          <w:rFonts w:ascii="Palatino Linotype" w:eastAsia="メイリオ" w:hAnsi="Palatino Linotype"/>
          <w:sz w:val="22"/>
        </w:rPr>
      </w:pPr>
      <w:r w:rsidRPr="00994881">
        <w:rPr>
          <w:rFonts w:ascii="Palatino Linotype" w:eastAsia="メイリオ" w:hAnsi="Palatino Linotype"/>
          <w:sz w:val="22"/>
        </w:rPr>
        <w:t>Yuji Enomoto, Shinshu University</w:t>
      </w:r>
    </w:p>
    <w:p w14:paraId="33BE9592" w14:textId="77777777" w:rsidR="00E833A3" w:rsidRPr="00994881" w:rsidRDefault="00E833A3" w:rsidP="00552FE7">
      <w:pPr>
        <w:pStyle w:val="Web"/>
        <w:adjustRightInd w:val="0"/>
        <w:snapToGrid w:val="0"/>
        <w:spacing w:before="0" w:beforeAutospacing="0" w:after="0" w:afterAutospacing="0"/>
        <w:jc w:val="center"/>
        <w:rPr>
          <w:rFonts w:ascii="Palatino Linotype" w:eastAsia="メイリオ" w:hAnsi="Palatino Linotype"/>
          <w:sz w:val="22"/>
        </w:rPr>
      </w:pPr>
    </w:p>
    <w:p w14:paraId="183DF5DA" w14:textId="6578BD93" w:rsidR="00932CA3" w:rsidRPr="007753F0" w:rsidRDefault="00932CA3" w:rsidP="00E85FD7">
      <w:pPr>
        <w:pStyle w:val="Web"/>
        <w:adjustRightInd w:val="0"/>
        <w:snapToGrid w:val="0"/>
        <w:spacing w:before="0" w:beforeAutospacing="0" w:after="0" w:afterAutospacing="0"/>
        <w:ind w:left="331" w:hangingChars="150" w:hanging="331"/>
        <w:jc w:val="both"/>
        <w:rPr>
          <w:rFonts w:ascii="Palatino Linotype" w:hAnsi="Palatino Linotype"/>
          <w:b/>
          <w:bCs/>
          <w:sz w:val="22"/>
          <w:szCs w:val="22"/>
        </w:rPr>
      </w:pPr>
      <w:r>
        <w:rPr>
          <w:rFonts w:ascii="Palatino Linotype" w:hAnsi="Palatino Linotype" w:hint="eastAsia"/>
          <w:b/>
          <w:bCs/>
          <w:sz w:val="22"/>
          <w:szCs w:val="22"/>
        </w:rPr>
        <w:t xml:space="preserve">A  </w:t>
      </w:r>
      <w:r w:rsidRPr="007753F0">
        <w:rPr>
          <w:rFonts w:ascii="Palatino Linotype" w:hAnsi="Palatino Linotype"/>
          <w:b/>
          <w:bCs/>
          <w:sz w:val="22"/>
          <w:szCs w:val="22"/>
        </w:rPr>
        <w:t xml:space="preserve">Aftershocks with Epicenter in Wajima City at Depth 0 km (JMA Intensity </w:t>
      </w:r>
      <w:r>
        <w:rPr>
          <w:rFonts w:hint="eastAsia"/>
          <w:b/>
          <w:bCs/>
          <w:sz w:val="22"/>
          <w:szCs w:val="22"/>
        </w:rPr>
        <w:t>≧</w:t>
      </w:r>
      <w:r w:rsidRPr="007753F0">
        <w:rPr>
          <w:rFonts w:ascii="Palatino Linotype" w:hAnsi="Palatino Linotype"/>
          <w:b/>
          <w:bCs/>
          <w:sz w:val="22"/>
          <w:szCs w:val="22"/>
        </w:rPr>
        <w:t xml:space="preserve">3): Seismic Waveforms and </w:t>
      </w:r>
      <w:r w:rsidRPr="00B34894">
        <w:rPr>
          <w:rFonts w:ascii="Palatino Linotype" w:hAnsi="Palatino Linotype"/>
          <w:sz w:val="22"/>
          <w:szCs w:val="22"/>
        </w:rPr>
        <w:t>amplitude spectral densities</w:t>
      </w:r>
    </w:p>
    <w:p w14:paraId="1C0D7A93" w14:textId="0DEB13ED" w:rsidR="00932CA3" w:rsidRPr="007753F0" w:rsidRDefault="00932CA3" w:rsidP="00932CA3">
      <w:pPr>
        <w:widowControl/>
        <w:adjustRightInd w:val="0"/>
        <w:snapToGrid w:val="0"/>
        <w:ind w:firstLineChars="100" w:firstLine="220"/>
        <w:rPr>
          <w:rFonts w:ascii="Palatino Linotype" w:eastAsia="ＭＳ Ｐゴシック" w:hAnsi="Palatino Linotype" w:cs="ＭＳ Ｐゴシック"/>
          <w:kern w:val="0"/>
          <w:sz w:val="22"/>
        </w:rPr>
      </w:pPr>
      <w:r w:rsidRPr="007753F0">
        <w:rPr>
          <w:rFonts w:ascii="Palatino Linotype" w:eastAsia="ＭＳ Ｐゴシック" w:hAnsi="Palatino Linotype" w:cs="ＭＳ Ｐゴシック"/>
          <w:kern w:val="0"/>
          <w:sz w:val="22"/>
        </w:rPr>
        <w:t>As illustrated in Fig</w:t>
      </w:r>
      <w:r>
        <w:rPr>
          <w:rFonts w:ascii="Palatino Linotype" w:eastAsia="ＭＳ Ｐゴシック" w:hAnsi="Palatino Linotype" w:cs="ＭＳ Ｐゴシック" w:hint="eastAsia"/>
          <w:kern w:val="0"/>
          <w:sz w:val="22"/>
        </w:rPr>
        <w:t>s.</w:t>
      </w:r>
      <w:r w:rsidRPr="007753F0">
        <w:rPr>
          <w:rFonts w:ascii="Palatino Linotype" w:eastAsia="ＭＳ Ｐゴシック" w:hAnsi="Palatino Linotype" w:cs="ＭＳ Ｐゴシック"/>
          <w:kern w:val="0"/>
          <w:sz w:val="22"/>
        </w:rPr>
        <w:t xml:space="preserve"> 4g and 4h of the main text, in addition to the M3.6 aftershock that occurred at 17:55 JST on Jan</w:t>
      </w:r>
      <w:r>
        <w:rPr>
          <w:rFonts w:ascii="Palatino Linotype" w:eastAsia="ＭＳ Ｐゴシック" w:hAnsi="Palatino Linotype" w:cs="ＭＳ Ｐゴシック" w:hint="eastAsia"/>
          <w:kern w:val="0"/>
          <w:sz w:val="22"/>
        </w:rPr>
        <w:t>.</w:t>
      </w:r>
      <w:r w:rsidRPr="007753F0">
        <w:rPr>
          <w:rFonts w:ascii="Palatino Linotype" w:eastAsia="ＭＳ Ｐゴシック" w:hAnsi="Palatino Linotype" w:cs="ＭＳ Ｐゴシック"/>
          <w:kern w:val="0"/>
          <w:sz w:val="22"/>
        </w:rPr>
        <w:t xml:space="preserve"> 1, 2024, four further aftershocks with </w:t>
      </w:r>
      <w:proofErr w:type="spellStart"/>
      <w:r w:rsidRPr="007753F0">
        <w:rPr>
          <w:rFonts w:ascii="Palatino Linotype" w:eastAsia="ＭＳ Ｐゴシック" w:hAnsi="Palatino Linotype" w:cs="ＭＳ Ｐゴシック"/>
          <w:kern w:val="0"/>
          <w:sz w:val="22"/>
        </w:rPr>
        <w:t>hypocentral</w:t>
      </w:r>
      <w:proofErr w:type="spellEnd"/>
      <w:r w:rsidRPr="007753F0">
        <w:rPr>
          <w:rFonts w:ascii="Palatino Linotype" w:eastAsia="ＭＳ Ｐゴシック" w:hAnsi="Palatino Linotype" w:cs="ＭＳ Ｐゴシック"/>
          <w:kern w:val="0"/>
          <w:sz w:val="22"/>
        </w:rPr>
        <w:t xml:space="preserve"> depths reported as 0 km and epicenters located within Wajima City were recorded, each registering a JMA seismic intensity of 3. The seismic data for these events are compiled in Table SI-1, while their</w:t>
      </w:r>
      <w:bookmarkStart w:id="0" w:name="_Hlk209543990"/>
      <w:r w:rsidRPr="007753F0">
        <w:rPr>
          <w:rFonts w:ascii="Palatino Linotype" w:eastAsia="ＭＳ Ｐゴシック" w:hAnsi="Palatino Linotype" w:cs="ＭＳ Ｐゴシック"/>
          <w:kern w:val="0"/>
          <w:sz w:val="22"/>
        </w:rPr>
        <w:t xml:space="preserve"> waveforms, a</w:t>
      </w:r>
      <w:r>
        <w:rPr>
          <w:rFonts w:ascii="Palatino Linotype" w:eastAsia="ＭＳ Ｐゴシック" w:hAnsi="Palatino Linotype" w:cs="ＭＳ Ｐゴシック" w:hint="eastAsia"/>
          <w:kern w:val="0"/>
          <w:sz w:val="22"/>
        </w:rPr>
        <w:t>mplitude spectral density</w:t>
      </w:r>
      <w:r w:rsidRPr="007753F0">
        <w:rPr>
          <w:rFonts w:ascii="Palatino Linotype" w:eastAsia="ＭＳ Ｐゴシック" w:hAnsi="Palatino Linotype" w:cs="ＭＳ Ｐゴシック"/>
          <w:kern w:val="0"/>
          <w:sz w:val="22"/>
        </w:rPr>
        <w:t>, and JMA intensity distribution maps</w:t>
      </w:r>
      <w:bookmarkEnd w:id="0"/>
      <w:r w:rsidRPr="007753F0">
        <w:rPr>
          <w:rFonts w:ascii="Palatino Linotype" w:eastAsia="ＭＳ Ｐゴシック" w:hAnsi="Palatino Linotype" w:cs="ＭＳ Ｐゴシック"/>
          <w:kern w:val="0"/>
          <w:sz w:val="22"/>
        </w:rPr>
        <w:t xml:space="preserve"> are presented in Fig</w:t>
      </w:r>
      <w:r>
        <w:rPr>
          <w:rFonts w:ascii="Palatino Linotype" w:eastAsia="ＭＳ Ｐゴシック" w:hAnsi="Palatino Linotype" w:cs="ＭＳ Ｐゴシック" w:hint="eastAsia"/>
          <w:kern w:val="0"/>
          <w:sz w:val="22"/>
        </w:rPr>
        <w:t>s.</w:t>
      </w:r>
      <w:r w:rsidRPr="007753F0">
        <w:rPr>
          <w:rFonts w:ascii="Palatino Linotype" w:eastAsia="ＭＳ Ｐゴシック" w:hAnsi="Palatino Linotype" w:cs="ＭＳ Ｐゴシック"/>
          <w:kern w:val="0"/>
          <w:sz w:val="22"/>
        </w:rPr>
        <w:t xml:space="preserve"> SI-1</w:t>
      </w:r>
      <w:r>
        <w:rPr>
          <w:rFonts w:ascii="Palatino Linotype" w:eastAsia="ＭＳ Ｐゴシック" w:hAnsi="Palatino Linotype" w:cs="ＭＳ Ｐゴシック" w:hint="eastAsia"/>
          <w:kern w:val="0"/>
          <w:sz w:val="22"/>
        </w:rPr>
        <w:t xml:space="preserve"> a-h</w:t>
      </w:r>
      <w:r w:rsidRPr="007753F0">
        <w:rPr>
          <w:rFonts w:ascii="Palatino Linotype" w:eastAsia="ＭＳ Ｐゴシック" w:hAnsi="Palatino Linotype" w:cs="ＭＳ Ｐゴシック"/>
          <w:kern w:val="0"/>
          <w:sz w:val="22"/>
        </w:rPr>
        <w:t>.</w:t>
      </w:r>
    </w:p>
    <w:p w14:paraId="4C240CBA" w14:textId="752BB12B" w:rsidR="00932CA3" w:rsidRDefault="00932CA3" w:rsidP="00932CA3">
      <w:pPr>
        <w:widowControl/>
        <w:adjustRightInd w:val="0"/>
        <w:snapToGrid w:val="0"/>
        <w:ind w:firstLineChars="100" w:firstLine="220"/>
        <w:rPr>
          <w:rFonts w:ascii="Palatino Linotype" w:hAnsi="Palatino Linotype"/>
          <w:sz w:val="22"/>
        </w:rPr>
      </w:pPr>
      <w:r w:rsidRPr="007753F0">
        <w:rPr>
          <w:rFonts w:ascii="Palatino Linotype" w:eastAsia="ＭＳ Ｐゴシック" w:hAnsi="Palatino Linotype" w:cs="ＭＳ Ｐゴシック"/>
          <w:kern w:val="0"/>
          <w:sz w:val="22"/>
        </w:rPr>
        <w:t>These aftershocks were characterized by abrupt</w:t>
      </w:r>
      <w:r w:rsidRPr="00E85FD7">
        <w:rPr>
          <w:rFonts w:ascii="Palatino Linotype" w:eastAsia="ＭＳ Ｐゴシック" w:hAnsi="Palatino Linotype" w:cs="ＭＳ Ｐゴシック"/>
          <w:color w:val="000000" w:themeColor="text1"/>
          <w:kern w:val="0"/>
          <w:sz w:val="22"/>
        </w:rPr>
        <w:t xml:space="preserve"> waveform onsets, and their acceleration spectra consistently exhibited a dominant frequency band around 10–15 Hz. Moreover, as summarized in Table 1</w:t>
      </w:r>
      <w:r w:rsidR="00E85FD7" w:rsidRPr="00E85FD7">
        <w:rPr>
          <w:rFonts w:ascii="Palatino Linotype" w:eastAsia="ＭＳ Ｐゴシック" w:hAnsi="Palatino Linotype" w:cs="ＭＳ Ｐゴシック" w:hint="eastAsia"/>
          <w:color w:val="000000" w:themeColor="text1"/>
          <w:kern w:val="0"/>
          <w:sz w:val="22"/>
        </w:rPr>
        <w:t xml:space="preserve"> in the main text</w:t>
      </w:r>
      <w:r w:rsidRPr="00E85FD7">
        <w:rPr>
          <w:rFonts w:ascii="Palatino Linotype" w:eastAsia="ＭＳ Ｐゴシック" w:hAnsi="Palatino Linotype" w:cs="ＭＳ Ｐゴシック"/>
          <w:color w:val="000000" w:themeColor="text1"/>
          <w:kern w:val="0"/>
          <w:sz w:val="22"/>
        </w:rPr>
        <w:t>, the</w:t>
      </w:r>
      <w:r w:rsidRPr="00E85FD7">
        <w:rPr>
          <w:rFonts w:ascii="Palatino Linotype" w:hAnsi="Palatino Linotype"/>
          <w:color w:val="000000" w:themeColor="text1"/>
          <w:sz w:val="22"/>
        </w:rPr>
        <w:t xml:space="preserve"> ratio of the maximum horizontal acceleration amplitude (</w:t>
      </w:r>
      <w:r w:rsidRPr="00E85FD7">
        <w:rPr>
          <w:rFonts w:ascii="Palatino Linotype" w:hAnsi="Palatino Linotype"/>
          <w:i/>
          <w:iCs/>
          <w:color w:val="000000" w:themeColor="text1"/>
          <w:sz w:val="22"/>
        </w:rPr>
        <w:t>A</w:t>
      </w:r>
      <w:r w:rsidRPr="00E85FD7">
        <w:rPr>
          <w:rFonts w:ascii="Palatino Linotype" w:hAnsi="Palatino Linotype"/>
          <w:color w:val="000000" w:themeColor="text1"/>
          <w:sz w:val="22"/>
          <w:vertAlign w:val="subscript"/>
        </w:rPr>
        <w:t>H</w:t>
      </w:r>
      <w:r w:rsidRPr="00E85FD7">
        <w:rPr>
          <w:rFonts w:ascii="Palatino Linotype" w:hAnsi="Palatino Linotype"/>
          <w:color w:val="000000" w:themeColor="text1"/>
          <w:sz w:val="22"/>
        </w:rPr>
        <w:t xml:space="preserve"> = </w:t>
      </w:r>
      <w:proofErr w:type="gramStart"/>
      <w:r w:rsidRPr="00E85FD7">
        <w:rPr>
          <w:rFonts w:ascii="Palatino Linotype" w:hAnsi="Palatino Linotype"/>
          <w:color w:val="000000" w:themeColor="text1"/>
          <w:sz w:val="22"/>
        </w:rPr>
        <w:t>√(</w:t>
      </w:r>
      <w:proofErr w:type="gramEnd"/>
      <w:r w:rsidRPr="00E85FD7">
        <w:rPr>
          <w:rFonts w:ascii="Palatino Linotype" w:hAnsi="Palatino Linotype"/>
          <w:color w:val="000000" w:themeColor="text1"/>
          <w:sz w:val="22"/>
        </w:rPr>
        <w:t>NS² + EW²)) to the maximum vertical acceleration amplitude</w:t>
      </w:r>
      <w:r w:rsidRPr="00E85FD7">
        <w:rPr>
          <w:rFonts w:ascii="Palatino Linotype" w:hAnsi="Palatino Linotype" w:hint="eastAsia"/>
          <w:color w:val="000000" w:themeColor="text1"/>
          <w:sz w:val="22"/>
        </w:rPr>
        <w:t>,</w:t>
      </w:r>
      <w:r w:rsidRPr="00E85FD7">
        <w:rPr>
          <w:rFonts w:ascii="Palatino Linotype" w:hAnsi="Palatino Linotype"/>
          <w:color w:val="000000" w:themeColor="text1"/>
          <w:sz w:val="22"/>
        </w:rPr>
        <w:t xml:space="preserve"> </w:t>
      </w:r>
      <w:r w:rsidRPr="00E85FD7">
        <w:rPr>
          <w:rFonts w:ascii="Palatino Linotype" w:eastAsia="ＭＳ Ｐゴシック" w:hAnsi="Palatino Linotype" w:cs="ＭＳ Ｐゴシック"/>
          <w:i/>
          <w:iCs/>
          <w:color w:val="000000" w:themeColor="text1"/>
          <w:kern w:val="0"/>
          <w:sz w:val="22"/>
        </w:rPr>
        <w:t>A</w:t>
      </w:r>
      <w:r w:rsidRPr="00E85FD7">
        <w:rPr>
          <w:rFonts w:ascii="Palatino Linotype" w:eastAsia="ＭＳ Ｐゴシック" w:hAnsi="Palatino Linotype" w:cs="ＭＳ Ｐゴシック"/>
          <w:color w:val="000000" w:themeColor="text1"/>
          <w:kern w:val="0"/>
          <w:sz w:val="22"/>
          <w:vertAlign w:val="subscript"/>
        </w:rPr>
        <w:t>H</w:t>
      </w:r>
      <w:r w:rsidRPr="00E85FD7">
        <w:rPr>
          <w:rFonts w:ascii="Palatino Linotype" w:eastAsia="ＭＳ Ｐゴシック" w:hAnsi="Palatino Linotype" w:cs="ＭＳ Ｐゴシック"/>
          <w:color w:val="000000" w:themeColor="text1"/>
          <w:kern w:val="0"/>
          <w:sz w:val="22"/>
        </w:rPr>
        <w:t>/</w:t>
      </w:r>
      <w:r w:rsidRPr="00E85FD7">
        <w:rPr>
          <w:rFonts w:ascii="Palatino Linotype" w:eastAsia="ＭＳ Ｐゴシック" w:hAnsi="Palatino Linotype" w:cs="ＭＳ Ｐゴシック"/>
          <w:i/>
          <w:iCs/>
          <w:color w:val="000000" w:themeColor="text1"/>
          <w:kern w:val="0"/>
          <w:sz w:val="22"/>
        </w:rPr>
        <w:t>A</w:t>
      </w:r>
      <w:r w:rsidRPr="00E85FD7">
        <w:rPr>
          <w:rFonts w:ascii="Palatino Linotype" w:eastAsia="ＭＳ Ｐゴシック" w:hAnsi="Palatino Linotype" w:cs="ＭＳ Ｐゴシック"/>
          <w:color w:val="000000" w:themeColor="text1"/>
          <w:kern w:val="0"/>
          <w:sz w:val="22"/>
          <w:vertAlign w:val="subscript"/>
        </w:rPr>
        <w:t>V</w:t>
      </w:r>
      <w:r w:rsidRPr="00E85FD7">
        <w:rPr>
          <w:rFonts w:ascii="Palatino Linotype" w:eastAsia="ＭＳ Ｐゴシック" w:hAnsi="Palatino Linotype" w:cs="ＭＳ Ｐゴシック"/>
          <w:color w:val="000000" w:themeColor="text1"/>
          <w:kern w:val="0"/>
          <w:sz w:val="22"/>
        </w:rPr>
        <w:t xml:space="preserve"> ratios</w:t>
      </w:r>
      <w:r w:rsidRPr="00E85FD7">
        <w:rPr>
          <w:rFonts w:ascii="Palatino Linotype" w:eastAsia="ＭＳ Ｐゴシック" w:hAnsi="Palatino Linotype" w:cs="ＭＳ Ｐゴシック" w:hint="eastAsia"/>
          <w:color w:val="000000" w:themeColor="text1"/>
          <w:kern w:val="0"/>
          <w:sz w:val="22"/>
        </w:rPr>
        <w:t>,</w:t>
      </w:r>
      <w:r w:rsidRPr="00E85FD7">
        <w:rPr>
          <w:rFonts w:ascii="Palatino Linotype" w:eastAsia="ＭＳ Ｐゴシック" w:hAnsi="Palatino Linotype" w:cs="ＭＳ Ｐゴシック"/>
          <w:color w:val="000000" w:themeColor="text1"/>
          <w:kern w:val="0"/>
          <w:sz w:val="22"/>
        </w:rPr>
        <w:t xml:space="preserve"> demonstrate that horizontal motion overwhelmingly exceeded vertical motion, a feature consistent with localized amplification processes in the shallow subsurface.</w:t>
      </w:r>
      <w:r w:rsidRPr="00E85FD7">
        <w:rPr>
          <w:rFonts w:ascii="Palatino Linotype" w:eastAsia="ＭＳ Ｐゴシック" w:hAnsi="Palatino Linotype" w:cs="ＭＳ Ｐゴシック" w:hint="eastAsia"/>
          <w:color w:val="000000" w:themeColor="text1"/>
          <w:kern w:val="0"/>
          <w:sz w:val="22"/>
        </w:rPr>
        <w:t xml:space="preserve"> </w:t>
      </w:r>
      <w:r w:rsidRPr="00E85FD7">
        <w:rPr>
          <w:rFonts w:ascii="Palatino Linotype" w:eastAsia="ＭＳ Ｐゴシック" w:hAnsi="Palatino Linotype" w:cs="ＭＳ Ｐゴシック"/>
          <w:color w:val="000000" w:themeColor="text1"/>
          <w:kern w:val="0"/>
          <w:sz w:val="22"/>
        </w:rPr>
        <w:t xml:space="preserve">Taken together, these characteristics—namely, the spectral dominance in the 10–15 Hz band and the elevated </w:t>
      </w:r>
      <w:r w:rsidRPr="00E85FD7">
        <w:rPr>
          <w:rFonts w:ascii="Palatino Linotype" w:eastAsia="ＭＳ Ｐゴシック" w:hAnsi="Palatino Linotype" w:cs="ＭＳ Ｐゴシック"/>
          <w:i/>
          <w:iCs/>
          <w:color w:val="000000" w:themeColor="text1"/>
          <w:kern w:val="0"/>
          <w:sz w:val="22"/>
        </w:rPr>
        <w:t>A</w:t>
      </w:r>
      <w:r w:rsidRPr="00E85FD7">
        <w:rPr>
          <w:rFonts w:ascii="Palatino Linotype" w:eastAsia="ＭＳ Ｐゴシック" w:hAnsi="Palatino Linotype" w:cs="ＭＳ Ｐゴシック"/>
          <w:color w:val="000000" w:themeColor="text1"/>
          <w:kern w:val="0"/>
          <w:sz w:val="22"/>
          <w:vertAlign w:val="subscript"/>
        </w:rPr>
        <w:t>H</w:t>
      </w:r>
      <w:r w:rsidRPr="00E85FD7">
        <w:rPr>
          <w:rFonts w:ascii="Palatino Linotype" w:eastAsia="ＭＳ Ｐゴシック" w:hAnsi="Palatino Linotype" w:cs="ＭＳ Ｐゴシック"/>
          <w:color w:val="000000" w:themeColor="text1"/>
          <w:kern w:val="0"/>
          <w:sz w:val="22"/>
        </w:rPr>
        <w:t>/A</w:t>
      </w:r>
      <w:r w:rsidRPr="00E85FD7">
        <w:rPr>
          <w:rFonts w:ascii="Palatino Linotype" w:eastAsia="ＭＳ Ｐゴシック" w:hAnsi="Palatino Linotype" w:cs="ＭＳ Ｐゴシック"/>
          <w:color w:val="000000" w:themeColor="text1"/>
          <w:kern w:val="0"/>
          <w:sz w:val="22"/>
          <w:vertAlign w:val="subscript"/>
        </w:rPr>
        <w:t>V</w:t>
      </w:r>
      <w:r w:rsidRPr="00E85FD7">
        <w:rPr>
          <w:rFonts w:ascii="Palatino Linotype" w:eastAsia="ＭＳ Ｐゴシック" w:hAnsi="Palatino Linotype" w:cs="ＭＳ Ｐゴシック"/>
          <w:color w:val="000000" w:themeColor="text1"/>
          <w:kern w:val="0"/>
          <w:sz w:val="22"/>
        </w:rPr>
        <w:t xml:space="preserve"> ratios—strongly suggest that the subsurface instability</w:t>
      </w:r>
      <w:r w:rsidRPr="007753F0">
        <w:rPr>
          <w:rFonts w:ascii="Palatino Linotype" w:eastAsia="ＭＳ Ｐゴシック" w:hAnsi="Palatino Linotype" w:cs="ＭＳ Ｐゴシック"/>
          <w:kern w:val="0"/>
          <w:sz w:val="22"/>
        </w:rPr>
        <w:t xml:space="preserve"> in Wajima City, initially triggered by the aftershock at 17:21:30 through the so-called “seismic champagne phenomenon,” persisted throughout the subsequent sequence of shallow earthquakes.</w:t>
      </w:r>
      <w:r w:rsidRPr="007753F0">
        <w:rPr>
          <w:rFonts w:ascii="Palatino Linotype" w:hAnsi="Palatino Linotype"/>
          <w:sz w:val="22"/>
        </w:rPr>
        <w:t xml:space="preserve"> </w:t>
      </w:r>
    </w:p>
    <w:p w14:paraId="778C8935" w14:textId="77777777" w:rsidR="00E85FD7" w:rsidRDefault="00E85FD7" w:rsidP="00932CA3">
      <w:pPr>
        <w:widowControl/>
        <w:adjustRightInd w:val="0"/>
        <w:snapToGrid w:val="0"/>
        <w:ind w:firstLineChars="100" w:firstLine="220"/>
        <w:rPr>
          <w:rFonts w:ascii="Palatino Linotype" w:hAnsi="Palatino Linotype"/>
          <w:sz w:val="22"/>
        </w:rPr>
      </w:pPr>
    </w:p>
    <w:p w14:paraId="1C3F5105" w14:textId="77777777" w:rsidR="00932CA3" w:rsidRDefault="00932CA3" w:rsidP="00932CA3">
      <w:pPr>
        <w:pStyle w:val="a9"/>
        <w:ind w:left="360"/>
        <w:jc w:val="center"/>
        <w:rPr>
          <w:rFonts w:ascii="Palatino Linotype" w:hAnsi="Palatino Linotype"/>
          <w:b/>
          <w:bCs/>
          <w:sz w:val="22"/>
        </w:rPr>
      </w:pPr>
      <w:r w:rsidRPr="00B30DDF">
        <w:rPr>
          <w:noProof/>
        </w:rPr>
        <w:drawing>
          <wp:inline distT="0" distB="0" distL="0" distR="0" wp14:anchorId="540EC260" wp14:editId="42E4CA0F">
            <wp:extent cx="5339080" cy="1911747"/>
            <wp:effectExtent l="0" t="0" r="0" b="0"/>
            <wp:docPr id="614957980"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341058" cy="1912455"/>
                    </a:xfrm>
                    <a:prstGeom prst="rect">
                      <a:avLst/>
                    </a:prstGeom>
                    <a:noFill/>
                    <a:ln>
                      <a:noFill/>
                    </a:ln>
                  </pic:spPr>
                </pic:pic>
              </a:graphicData>
            </a:graphic>
          </wp:inline>
        </w:drawing>
      </w:r>
    </w:p>
    <w:p w14:paraId="4413EA7C" w14:textId="77777777" w:rsidR="00932CA3" w:rsidRDefault="00932CA3" w:rsidP="00932CA3">
      <w:pPr>
        <w:pStyle w:val="a9"/>
        <w:ind w:left="360"/>
        <w:jc w:val="center"/>
        <w:rPr>
          <w:rFonts w:ascii="Palatino Linotype" w:hAnsi="Palatino Linotype"/>
          <w:b/>
          <w:bCs/>
          <w:sz w:val="22"/>
        </w:rPr>
      </w:pPr>
    </w:p>
    <w:p w14:paraId="4B175D54" w14:textId="77777777" w:rsidR="00932CA3" w:rsidRDefault="00932CA3" w:rsidP="00932CA3">
      <w:pPr>
        <w:pStyle w:val="a9"/>
        <w:ind w:left="360"/>
        <w:jc w:val="center"/>
        <w:rPr>
          <w:rFonts w:ascii="Palatino Linotype" w:hAnsi="Palatino Linotype"/>
          <w:b/>
          <w:bCs/>
          <w:sz w:val="22"/>
        </w:rPr>
      </w:pPr>
      <w:r w:rsidRPr="00B30DDF">
        <w:rPr>
          <w:noProof/>
        </w:rPr>
        <w:lastRenderedPageBreak/>
        <w:drawing>
          <wp:inline distT="0" distB="0" distL="0" distR="0" wp14:anchorId="20B16892" wp14:editId="7E6CC2B9">
            <wp:extent cx="5318760" cy="1832545"/>
            <wp:effectExtent l="0" t="0" r="0" b="0"/>
            <wp:docPr id="670807806"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322868" cy="1833960"/>
                    </a:xfrm>
                    <a:prstGeom prst="rect">
                      <a:avLst/>
                    </a:prstGeom>
                    <a:noFill/>
                    <a:ln>
                      <a:noFill/>
                    </a:ln>
                  </pic:spPr>
                </pic:pic>
              </a:graphicData>
            </a:graphic>
          </wp:inline>
        </w:drawing>
      </w:r>
    </w:p>
    <w:p w14:paraId="518EAE5F" w14:textId="77777777" w:rsidR="00D66D8A" w:rsidRDefault="00D66D8A" w:rsidP="00932CA3">
      <w:pPr>
        <w:pStyle w:val="a9"/>
        <w:ind w:left="360"/>
        <w:jc w:val="center"/>
        <w:rPr>
          <w:rFonts w:ascii="Palatino Linotype" w:hAnsi="Palatino Linotype" w:hint="eastAsia"/>
          <w:b/>
          <w:bCs/>
          <w:sz w:val="22"/>
        </w:rPr>
      </w:pPr>
    </w:p>
    <w:p w14:paraId="5A6447E4" w14:textId="77777777" w:rsidR="00932CA3" w:rsidRDefault="00932CA3" w:rsidP="00932CA3">
      <w:pPr>
        <w:pStyle w:val="a9"/>
        <w:ind w:left="360"/>
        <w:jc w:val="center"/>
        <w:rPr>
          <w:rFonts w:ascii="Palatino Linotype" w:hAnsi="Palatino Linotype"/>
          <w:b/>
          <w:bCs/>
          <w:sz w:val="22"/>
        </w:rPr>
      </w:pPr>
      <w:r w:rsidRPr="00B30DDF">
        <w:rPr>
          <w:rFonts w:hint="eastAsia"/>
          <w:noProof/>
        </w:rPr>
        <w:drawing>
          <wp:inline distT="0" distB="0" distL="0" distR="0" wp14:anchorId="5775B1B5" wp14:editId="592F57AD">
            <wp:extent cx="5400040" cy="2082165"/>
            <wp:effectExtent l="0" t="0" r="0" b="0"/>
            <wp:docPr id="169398946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00040" cy="2082165"/>
                    </a:xfrm>
                    <a:prstGeom prst="rect">
                      <a:avLst/>
                    </a:prstGeom>
                    <a:noFill/>
                    <a:ln>
                      <a:noFill/>
                    </a:ln>
                  </pic:spPr>
                </pic:pic>
              </a:graphicData>
            </a:graphic>
          </wp:inline>
        </w:drawing>
      </w:r>
    </w:p>
    <w:p w14:paraId="5426D0A4" w14:textId="77777777" w:rsidR="00932CA3" w:rsidRDefault="00932CA3" w:rsidP="00932CA3">
      <w:pPr>
        <w:pStyle w:val="a9"/>
        <w:ind w:left="360"/>
        <w:rPr>
          <w:rFonts w:ascii="Palatino Linotype" w:hAnsi="Palatino Linotype"/>
          <w:b/>
          <w:bCs/>
          <w:sz w:val="22"/>
        </w:rPr>
      </w:pPr>
    </w:p>
    <w:p w14:paraId="701F031C" w14:textId="77777777" w:rsidR="00932CA3" w:rsidRDefault="00932CA3" w:rsidP="00932CA3">
      <w:pPr>
        <w:pStyle w:val="a9"/>
        <w:ind w:left="360"/>
        <w:jc w:val="center"/>
        <w:rPr>
          <w:rFonts w:ascii="Palatino Linotype" w:hAnsi="Palatino Linotype"/>
          <w:b/>
          <w:bCs/>
          <w:sz w:val="22"/>
        </w:rPr>
      </w:pPr>
      <w:r w:rsidRPr="00B30DDF">
        <w:rPr>
          <w:noProof/>
        </w:rPr>
        <w:drawing>
          <wp:inline distT="0" distB="0" distL="0" distR="0" wp14:anchorId="08436968" wp14:editId="1D2F814B">
            <wp:extent cx="5400040" cy="2091055"/>
            <wp:effectExtent l="0" t="0" r="0" b="4445"/>
            <wp:docPr id="105525594"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00040" cy="2091055"/>
                    </a:xfrm>
                    <a:prstGeom prst="rect">
                      <a:avLst/>
                    </a:prstGeom>
                    <a:noFill/>
                    <a:ln>
                      <a:noFill/>
                    </a:ln>
                  </pic:spPr>
                </pic:pic>
              </a:graphicData>
            </a:graphic>
          </wp:inline>
        </w:drawing>
      </w:r>
    </w:p>
    <w:p w14:paraId="70C739B6" w14:textId="77777777" w:rsidR="00932CA3" w:rsidRDefault="00932CA3" w:rsidP="00932CA3">
      <w:pPr>
        <w:pStyle w:val="a9"/>
        <w:ind w:left="360"/>
        <w:jc w:val="center"/>
        <w:rPr>
          <w:rFonts w:ascii="Palatino Linotype" w:hAnsi="Palatino Linotype"/>
          <w:b/>
          <w:bCs/>
          <w:sz w:val="22"/>
        </w:rPr>
      </w:pPr>
    </w:p>
    <w:p w14:paraId="25FDF4BA" w14:textId="77777777" w:rsidR="00932CA3" w:rsidRPr="003C0BCC" w:rsidRDefault="00932CA3" w:rsidP="00932CA3">
      <w:pPr>
        <w:pStyle w:val="a9"/>
        <w:ind w:left="360"/>
        <w:jc w:val="center"/>
        <w:rPr>
          <w:rFonts w:ascii="Palatino Linotype" w:hAnsi="Palatino Linotype"/>
          <w:b/>
          <w:bCs/>
          <w:sz w:val="22"/>
        </w:rPr>
      </w:pPr>
    </w:p>
    <w:p w14:paraId="1AA255EB" w14:textId="77777777" w:rsidR="00932CA3" w:rsidRPr="00902D9E" w:rsidRDefault="00932CA3" w:rsidP="00932CA3">
      <w:pPr>
        <w:pStyle w:val="a9"/>
        <w:adjustRightInd w:val="0"/>
        <w:snapToGrid w:val="0"/>
        <w:ind w:left="357"/>
        <w:contextualSpacing w:val="0"/>
        <w:rPr>
          <w:rFonts w:ascii="Palatino Linotype" w:eastAsia="ＭＳ Ｐゴシック" w:hAnsi="Palatino Linotype" w:cs="ＭＳ Ｐゴシック"/>
          <w:kern w:val="0"/>
          <w:sz w:val="22"/>
        </w:rPr>
      </w:pPr>
      <w:r w:rsidRPr="003146E5">
        <w:rPr>
          <w:rFonts w:ascii="Palatino Linotype" w:hAnsi="Palatino Linotype" w:hint="eastAsia"/>
          <w:sz w:val="22"/>
        </w:rPr>
        <w:t>Fig.</w:t>
      </w:r>
      <w:r w:rsidRPr="00902D9E">
        <w:rPr>
          <w:rFonts w:ascii="Palatino Linotype" w:hAnsi="Palatino Linotype"/>
          <w:sz w:val="22"/>
        </w:rPr>
        <w:t xml:space="preserve"> SI-1</w:t>
      </w:r>
      <w:r w:rsidRPr="007753F0">
        <w:rPr>
          <w:rFonts w:ascii="Palatino Linotype" w:eastAsia="ＭＳ Ｐゴシック" w:hAnsi="Palatino Linotype" w:cs="ＭＳ Ｐゴシック"/>
          <w:kern w:val="0"/>
          <w:sz w:val="22"/>
        </w:rPr>
        <w:t xml:space="preserve"> </w:t>
      </w:r>
      <w:r w:rsidRPr="00E33007">
        <w:rPr>
          <w:rFonts w:ascii="Palatino Linotype" w:hAnsi="Palatino Linotype"/>
          <w:sz w:val="22"/>
        </w:rPr>
        <w:t xml:space="preserve">Seismic waveforms and corresponding </w:t>
      </w:r>
      <w:bookmarkStart w:id="1" w:name="_Hlk209754594"/>
      <w:r w:rsidRPr="00B34894">
        <w:rPr>
          <w:rFonts w:ascii="Palatino Linotype" w:hAnsi="Palatino Linotype"/>
          <w:sz w:val="22"/>
        </w:rPr>
        <w:t>amplitude spectral densities</w:t>
      </w:r>
      <w:bookmarkEnd w:id="1"/>
      <w:r w:rsidRPr="00B34894">
        <w:rPr>
          <w:rFonts w:ascii="Palatino Linotype" w:hAnsi="Palatino Linotype"/>
          <w:sz w:val="22"/>
        </w:rPr>
        <w:t xml:space="preserve"> (ASD)</w:t>
      </w:r>
      <w:r w:rsidRPr="00E33007">
        <w:rPr>
          <w:rFonts w:ascii="Palatino Linotype" w:hAnsi="Palatino Linotype"/>
          <w:sz w:val="22"/>
        </w:rPr>
        <w:t xml:space="preserve"> of the principal motion for representative aftershocks</w:t>
      </w:r>
      <w:r>
        <w:rPr>
          <w:rFonts w:ascii="Palatino Linotype" w:hAnsi="Palatino Linotype" w:hint="eastAsia"/>
          <w:sz w:val="22"/>
        </w:rPr>
        <w:t>.</w:t>
      </w:r>
      <w:r w:rsidRPr="00902D9E">
        <w:rPr>
          <w:rFonts w:ascii="Palatino Linotype" w:hAnsi="Palatino Linotype"/>
          <w:sz w:val="22"/>
        </w:rPr>
        <w:t xml:space="preserve"> a, b) M4.0 event at 20:27 JST on Jan</w:t>
      </w:r>
      <w:r>
        <w:rPr>
          <w:rFonts w:ascii="Palatino Linotype" w:hAnsi="Palatino Linotype" w:hint="eastAsia"/>
          <w:sz w:val="22"/>
        </w:rPr>
        <w:t>.</w:t>
      </w:r>
      <w:r w:rsidRPr="00902D9E">
        <w:rPr>
          <w:rFonts w:ascii="Palatino Linotype" w:hAnsi="Palatino Linotype"/>
          <w:sz w:val="22"/>
        </w:rPr>
        <w:t xml:space="preserve"> 1, 2024; c, d) M3.2 event at 22:30 JST on Jan</w:t>
      </w:r>
      <w:r>
        <w:rPr>
          <w:rFonts w:ascii="Palatino Linotype" w:hAnsi="Palatino Linotype" w:hint="eastAsia"/>
          <w:sz w:val="22"/>
        </w:rPr>
        <w:t>.</w:t>
      </w:r>
      <w:r w:rsidRPr="00902D9E">
        <w:rPr>
          <w:rFonts w:ascii="Palatino Linotype" w:hAnsi="Palatino Linotype"/>
          <w:sz w:val="22"/>
        </w:rPr>
        <w:t xml:space="preserve"> 1, 2024; e, f) M3.3 event at 02:18 JST on Ja</w:t>
      </w:r>
      <w:r>
        <w:rPr>
          <w:rFonts w:ascii="Palatino Linotype" w:hAnsi="Palatino Linotype" w:hint="eastAsia"/>
          <w:sz w:val="22"/>
        </w:rPr>
        <w:t>n.</w:t>
      </w:r>
      <w:r w:rsidRPr="00902D9E">
        <w:rPr>
          <w:rFonts w:ascii="Palatino Linotype" w:hAnsi="Palatino Linotype"/>
          <w:sz w:val="22"/>
        </w:rPr>
        <w:t xml:space="preserve"> 2, 2024; g, h) M3.2 event at 15:36 JST on Jan</w:t>
      </w:r>
      <w:r>
        <w:rPr>
          <w:rFonts w:ascii="Palatino Linotype" w:hAnsi="Palatino Linotype" w:hint="eastAsia"/>
          <w:sz w:val="22"/>
        </w:rPr>
        <w:t>.</w:t>
      </w:r>
      <w:r w:rsidRPr="00902D9E">
        <w:rPr>
          <w:rFonts w:ascii="Palatino Linotype" w:hAnsi="Palatino Linotype"/>
          <w:sz w:val="22"/>
        </w:rPr>
        <w:t xml:space="preserve"> 2, 2024.</w:t>
      </w:r>
    </w:p>
    <w:p w14:paraId="103C9C8F" w14:textId="77777777" w:rsidR="006C64EF" w:rsidRPr="00932CA3" w:rsidRDefault="006C64EF" w:rsidP="00552FE7">
      <w:pPr>
        <w:pStyle w:val="Web"/>
        <w:adjustRightInd w:val="0"/>
        <w:snapToGrid w:val="0"/>
        <w:spacing w:before="0" w:beforeAutospacing="0" w:after="0" w:afterAutospacing="0"/>
        <w:jc w:val="both"/>
        <w:rPr>
          <w:rFonts w:ascii="Palatino Linotype" w:eastAsia="メイリオ" w:hAnsi="Palatino Linotype"/>
          <w:sz w:val="22"/>
        </w:rPr>
      </w:pPr>
    </w:p>
    <w:p w14:paraId="08A8A4E3" w14:textId="427FCACD" w:rsidR="00735B1B" w:rsidRDefault="00932CA3" w:rsidP="00932CA3">
      <w:pPr>
        <w:pStyle w:val="Web"/>
        <w:adjustRightInd w:val="0"/>
        <w:snapToGrid w:val="0"/>
        <w:spacing w:before="0" w:beforeAutospacing="0" w:after="0" w:afterAutospacing="0"/>
        <w:jc w:val="both"/>
        <w:rPr>
          <w:rStyle w:val="ae"/>
          <w:rFonts w:ascii="Palatino Linotype" w:hAnsi="Palatino Linotype"/>
          <w:sz w:val="22"/>
          <w:szCs w:val="22"/>
        </w:rPr>
      </w:pPr>
      <w:proofErr w:type="gramStart"/>
      <w:r>
        <w:rPr>
          <w:rStyle w:val="ae"/>
          <w:rFonts w:ascii="Palatino Linotype" w:hAnsi="Palatino Linotype" w:hint="eastAsia"/>
          <w:sz w:val="22"/>
          <w:szCs w:val="22"/>
        </w:rPr>
        <w:t xml:space="preserve">B  </w:t>
      </w:r>
      <w:r w:rsidR="00552FE7" w:rsidRPr="00994881">
        <w:rPr>
          <w:rStyle w:val="ae"/>
          <w:rFonts w:ascii="Palatino Linotype" w:hAnsi="Palatino Linotype"/>
          <w:sz w:val="22"/>
          <w:szCs w:val="22"/>
        </w:rPr>
        <w:t>Manhole</w:t>
      </w:r>
      <w:proofErr w:type="gramEnd"/>
      <w:r w:rsidR="00552FE7" w:rsidRPr="00994881">
        <w:rPr>
          <w:rStyle w:val="ae"/>
          <w:rFonts w:ascii="Palatino Linotype" w:hAnsi="Palatino Linotype"/>
          <w:sz w:val="22"/>
          <w:szCs w:val="22"/>
        </w:rPr>
        <w:t xml:space="preserve"> Uplift Phenomena</w:t>
      </w:r>
    </w:p>
    <w:p w14:paraId="3393D3B6" w14:textId="396248E7" w:rsidR="00155A55" w:rsidRPr="00E85FD7" w:rsidRDefault="00735B1B" w:rsidP="002145DB">
      <w:pPr>
        <w:pStyle w:val="Web"/>
        <w:adjustRightInd w:val="0"/>
        <w:snapToGrid w:val="0"/>
        <w:spacing w:before="0" w:beforeAutospacing="0" w:after="0" w:afterAutospacing="0"/>
        <w:ind w:firstLineChars="100" w:firstLine="220"/>
        <w:jc w:val="both"/>
        <w:rPr>
          <w:rFonts w:ascii="Palatino Linotype" w:hAnsi="Palatino Linotype"/>
          <w:color w:val="000000" w:themeColor="text1"/>
          <w:sz w:val="22"/>
          <w:szCs w:val="22"/>
        </w:rPr>
      </w:pPr>
      <w:r w:rsidRPr="00566442">
        <w:rPr>
          <w:rFonts w:ascii="Palatino Linotype" w:hAnsi="Palatino Linotype"/>
          <w:sz w:val="22"/>
          <w:szCs w:val="22"/>
        </w:rPr>
        <w:t>To examine the hypothesis that internal pressurization by high-pressure gas accumulated within sealed manholes played a crucial role in their uplift, the conditions under which gas pressure could have induced the observed manhole</w:t>
      </w:r>
      <w:r w:rsidRPr="00735B1B">
        <w:rPr>
          <w:rFonts w:ascii="Palatino Linotype" w:hAnsi="Palatino Linotype"/>
          <w:b/>
          <w:bCs/>
          <w:sz w:val="22"/>
          <w:szCs w:val="22"/>
        </w:rPr>
        <w:t xml:space="preserve"> </w:t>
      </w:r>
      <w:r w:rsidRPr="00735B1B">
        <w:rPr>
          <w:rFonts w:ascii="Palatino Linotype" w:hAnsi="Palatino Linotype"/>
          <w:sz w:val="22"/>
          <w:szCs w:val="22"/>
        </w:rPr>
        <w:t xml:space="preserve">displacement are estimated from a mechanical perspective. </w:t>
      </w:r>
      <w:r w:rsidR="00552FE7" w:rsidRPr="00735B1B">
        <w:rPr>
          <w:rFonts w:ascii="Palatino Linotype" w:hAnsi="Palatino Linotype"/>
          <w:color w:val="000000" w:themeColor="text1"/>
          <w:sz w:val="22"/>
          <w:szCs w:val="22"/>
        </w:rPr>
        <w:t>Based on specifications were determined based on data from the Japan Sewerage Works Assoc</w:t>
      </w:r>
      <w:r w:rsidR="00552FE7" w:rsidRPr="00E85FD7">
        <w:rPr>
          <w:rFonts w:ascii="Palatino Linotype" w:hAnsi="Palatino Linotype"/>
          <w:color w:val="000000" w:themeColor="text1"/>
          <w:sz w:val="22"/>
          <w:szCs w:val="22"/>
        </w:rPr>
        <w:t>iation Standard (JSWAS A-11</w:t>
      </w:r>
      <w:r w:rsidR="00155A55" w:rsidRPr="00E85FD7">
        <w:rPr>
          <w:rFonts w:ascii="Palatino Linotype" w:hAnsi="Palatino Linotype" w:hint="eastAsia"/>
          <w:color w:val="000000" w:themeColor="text1"/>
          <w:sz w:val="22"/>
          <w:szCs w:val="22"/>
        </w:rPr>
        <w:t>：</w:t>
      </w:r>
      <w:r w:rsidR="00155A55" w:rsidRPr="00E85FD7">
        <w:rPr>
          <w:rFonts w:ascii="Palatino Linotype" w:hAnsi="Palatino Linotype"/>
          <w:color w:val="000000" w:themeColor="text1"/>
          <w:sz w:val="22"/>
          <w:szCs w:val="22"/>
        </w:rPr>
        <w:t>chrome-extension://efaidnbmnnnibpcajpcglclefindmkaj/https://unihole.jp/files/pdf/catalog.pdf</w:t>
      </w:r>
      <w:r w:rsidR="00155A55" w:rsidRPr="00E85FD7">
        <w:rPr>
          <w:rFonts w:ascii="Palatino Linotype" w:hAnsi="Palatino Linotype" w:hint="eastAsia"/>
          <w:color w:val="000000" w:themeColor="text1"/>
          <w:sz w:val="22"/>
          <w:szCs w:val="22"/>
        </w:rPr>
        <w:t>)</w:t>
      </w:r>
    </w:p>
    <w:p w14:paraId="387A697F" w14:textId="5A11A1EB" w:rsidR="00552FE7" w:rsidRPr="00735B1B" w:rsidRDefault="00552FE7" w:rsidP="00155A55">
      <w:pPr>
        <w:pStyle w:val="Web"/>
        <w:adjustRightInd w:val="0"/>
        <w:snapToGrid w:val="0"/>
        <w:spacing w:before="0" w:beforeAutospacing="0" w:after="0" w:afterAutospacing="0"/>
        <w:jc w:val="both"/>
        <w:rPr>
          <w:rFonts w:ascii="Palatino Linotype" w:hAnsi="Palatino Linotype"/>
          <w:sz w:val="22"/>
          <w:szCs w:val="22"/>
        </w:rPr>
      </w:pPr>
      <w:r w:rsidRPr="00E85FD7">
        <w:rPr>
          <w:rFonts w:ascii="Palatino Linotype" w:hAnsi="Palatino Linotype"/>
          <w:color w:val="000000" w:themeColor="text1"/>
          <w:sz w:val="22"/>
          <w:szCs w:val="22"/>
        </w:rPr>
        <w:t>for precast reinforced concrete manholes used in sewer systems, the manhole structure is assumed to have the following specifications: an effecti</w:t>
      </w:r>
      <w:r w:rsidRPr="00735B1B">
        <w:rPr>
          <w:rFonts w:ascii="Palatino Linotype" w:hAnsi="Palatino Linotype"/>
          <w:color w:val="000000" w:themeColor="text1"/>
          <w:sz w:val="22"/>
          <w:szCs w:val="22"/>
        </w:rPr>
        <w:t>ve height of 1.8 m, an outer diameter of 0.95 m, a cast iron c</w:t>
      </w:r>
      <w:r w:rsidRPr="00735B1B">
        <w:rPr>
          <w:rFonts w:ascii="Palatino Linotype" w:hAnsi="Palatino Linotype"/>
          <w:sz w:val="22"/>
          <w:szCs w:val="22"/>
        </w:rPr>
        <w:t xml:space="preserve">over with a diameter of 0.6 m, and a total weight of 1,000 kg. The manhole is connected to two sewage pipes, each with a diameter of 300 mm and a connection length of 0.3m. The shear failure strength at the pipe joints is assumed to be </w:t>
      </w:r>
      <w:r w:rsidRPr="00735B1B">
        <w:rPr>
          <w:rFonts w:ascii="Palatino Linotype" w:hAnsi="Palatino Linotype"/>
          <w:color w:val="000000" w:themeColor="text1"/>
          <w:sz w:val="22"/>
          <w:szCs w:val="22"/>
        </w:rPr>
        <w:t xml:space="preserve">51.1 </w:t>
      </w:r>
      <w:proofErr w:type="spellStart"/>
      <w:r w:rsidRPr="00735B1B">
        <w:rPr>
          <w:rFonts w:ascii="Palatino Linotype" w:hAnsi="Palatino Linotype"/>
          <w:color w:val="000000" w:themeColor="text1"/>
          <w:sz w:val="22"/>
          <w:szCs w:val="22"/>
        </w:rPr>
        <w:t>kN</w:t>
      </w:r>
      <w:proofErr w:type="spellEnd"/>
      <w:r w:rsidRPr="00735B1B">
        <w:rPr>
          <w:rFonts w:ascii="Palatino Linotype" w:hAnsi="Palatino Linotype"/>
          <w:color w:val="000000" w:themeColor="text1"/>
          <w:sz w:val="22"/>
          <w:szCs w:val="22"/>
        </w:rPr>
        <w:t>/m</w:t>
      </w:r>
      <w:r w:rsidRPr="00735B1B">
        <w:rPr>
          <w:rFonts w:ascii="Palatino Linotype" w:hAnsi="Palatino Linotype"/>
          <w:color w:val="000000" w:themeColor="text1"/>
          <w:sz w:val="22"/>
          <w:szCs w:val="22"/>
          <w:vertAlign w:val="superscript"/>
        </w:rPr>
        <w:t>2</w:t>
      </w:r>
      <w:r w:rsidRPr="00735B1B">
        <w:rPr>
          <w:rFonts w:ascii="Palatino Linotype" w:hAnsi="Palatino Linotype"/>
          <w:color w:val="EE0000"/>
          <w:sz w:val="22"/>
          <w:szCs w:val="22"/>
        </w:rPr>
        <w:t xml:space="preserve"> </w:t>
      </w:r>
      <w:r w:rsidRPr="00735B1B">
        <w:rPr>
          <w:rFonts w:ascii="Palatino Linotype" w:hAnsi="Palatino Linotype"/>
          <w:color w:val="EE0000"/>
          <w:sz w:val="22"/>
          <w:szCs w:val="22"/>
          <w:vertAlign w:val="superscript"/>
        </w:rPr>
        <w:t>23</w:t>
      </w:r>
      <w:r w:rsidRPr="00735B1B">
        <w:rPr>
          <w:rFonts w:ascii="Palatino Linotype" w:hAnsi="Palatino Linotype"/>
          <w:color w:val="EE0000"/>
          <w:sz w:val="22"/>
          <w:szCs w:val="22"/>
        </w:rPr>
        <w:t xml:space="preserve">. </w:t>
      </w:r>
      <w:r w:rsidRPr="00735B1B">
        <w:rPr>
          <w:rFonts w:ascii="Palatino Linotype" w:hAnsi="Palatino Linotype"/>
          <w:sz w:val="22"/>
          <w:szCs w:val="22"/>
        </w:rPr>
        <w:t xml:space="preserve">The static friction coefficient between the surrounding soil and the concrete wall is taken to be 0.4. The surface area of the manhole cover subjected to internal pressure is calculated as </w:t>
      </w:r>
      <w:r w:rsidRPr="00735B1B">
        <w:rPr>
          <w:rStyle w:val="katex-mathml"/>
          <w:rFonts w:ascii="Palatino Linotype" w:hAnsi="Palatino Linotype"/>
          <w:i/>
          <w:iCs/>
          <w:sz w:val="22"/>
          <w:szCs w:val="22"/>
        </w:rPr>
        <w:t>A</w:t>
      </w:r>
      <w:r w:rsidRPr="00735B1B">
        <w:rPr>
          <w:rStyle w:val="katex-mathml"/>
          <w:rFonts w:ascii="Palatino Linotype" w:hAnsi="Palatino Linotype"/>
          <w:sz w:val="22"/>
          <w:szCs w:val="22"/>
        </w:rPr>
        <w:t>=π</w:t>
      </w:r>
      <w:proofErr w:type="gramStart"/>
      <w:r w:rsidRPr="00735B1B">
        <w:rPr>
          <w:rStyle w:val="katex-mathml"/>
          <w:rFonts w:ascii="Palatino Linotype" w:hAnsi="Palatino Linotype"/>
          <w:sz w:val="22"/>
          <w:szCs w:val="22"/>
        </w:rPr>
        <w:t>×(</w:t>
      </w:r>
      <w:proofErr w:type="gramEnd"/>
      <w:r w:rsidRPr="00735B1B">
        <w:rPr>
          <w:rStyle w:val="katex-mathml"/>
          <w:rFonts w:ascii="Palatino Linotype" w:hAnsi="Palatino Linotype"/>
          <w:sz w:val="22"/>
          <w:szCs w:val="22"/>
        </w:rPr>
        <w:t>0.62)/4=0.283</w:t>
      </w:r>
      <w:r w:rsidRPr="00735B1B">
        <w:rPr>
          <w:rStyle w:val="katex-mathml"/>
          <w:rFonts w:ascii="Palatino Linotype" w:hAnsi="Palatino Linotype" w:cs="Times New Roman"/>
          <w:sz w:val="22"/>
          <w:szCs w:val="22"/>
        </w:rPr>
        <w:t> </w:t>
      </w:r>
      <w:r w:rsidRPr="00735B1B">
        <w:rPr>
          <w:rStyle w:val="katex-mathml"/>
          <w:rFonts w:ascii="Palatino Linotype" w:hAnsi="Palatino Linotype"/>
          <w:sz w:val="22"/>
          <w:szCs w:val="22"/>
        </w:rPr>
        <w:t>m</w:t>
      </w:r>
      <w:r w:rsidRPr="00735B1B">
        <w:rPr>
          <w:rStyle w:val="katex-mathml"/>
          <w:rFonts w:ascii="Palatino Linotype" w:hAnsi="Palatino Linotype"/>
          <w:sz w:val="22"/>
          <w:szCs w:val="22"/>
          <w:vertAlign w:val="superscript"/>
        </w:rPr>
        <w:t>2</w:t>
      </w:r>
      <w:r w:rsidRPr="00735B1B">
        <w:rPr>
          <w:rFonts w:ascii="Palatino Linotype" w:hAnsi="Palatino Linotype"/>
          <w:sz w:val="22"/>
          <w:szCs w:val="22"/>
        </w:rPr>
        <w:t>.</w:t>
      </w:r>
    </w:p>
    <w:p w14:paraId="4B2DF07F" w14:textId="77777777" w:rsidR="00552FE7" w:rsidRPr="00735B1B" w:rsidRDefault="00552FE7" w:rsidP="00552FE7">
      <w:pPr>
        <w:pStyle w:val="Web"/>
        <w:adjustRightInd w:val="0"/>
        <w:snapToGrid w:val="0"/>
        <w:spacing w:before="0" w:beforeAutospacing="0" w:after="0" w:afterAutospacing="0"/>
        <w:jc w:val="both"/>
        <w:rPr>
          <w:rFonts w:ascii="Palatino Linotype" w:hAnsi="Palatino Linotype"/>
          <w:sz w:val="22"/>
          <w:szCs w:val="22"/>
        </w:rPr>
      </w:pPr>
      <w:r w:rsidRPr="00735B1B">
        <w:rPr>
          <w:rFonts w:ascii="Palatino Linotype" w:hAnsi="Palatino Linotype"/>
          <w:sz w:val="22"/>
          <w:szCs w:val="22"/>
        </w:rPr>
        <w:t>Under these conditions, the resistive forces against uplift are estimated as follows:</w:t>
      </w:r>
    </w:p>
    <w:p w14:paraId="3C701D4A" w14:textId="77777777" w:rsidR="00552FE7" w:rsidRPr="00735B1B" w:rsidRDefault="00552FE7" w:rsidP="00552FE7">
      <w:pPr>
        <w:pStyle w:val="Web"/>
        <w:numPr>
          <w:ilvl w:val="0"/>
          <w:numId w:val="2"/>
        </w:numPr>
        <w:adjustRightInd w:val="0"/>
        <w:snapToGrid w:val="0"/>
        <w:spacing w:before="0" w:beforeAutospacing="0" w:after="0" w:afterAutospacing="0"/>
        <w:jc w:val="both"/>
        <w:rPr>
          <w:rFonts w:ascii="Palatino Linotype" w:hAnsi="Palatino Linotype"/>
          <w:sz w:val="22"/>
          <w:szCs w:val="22"/>
        </w:rPr>
      </w:pPr>
      <w:r w:rsidRPr="00735B1B">
        <w:rPr>
          <w:rStyle w:val="ae"/>
          <w:rFonts w:ascii="Palatino Linotype" w:hAnsi="Palatino Linotype"/>
          <w:b w:val="0"/>
          <w:bCs w:val="0"/>
          <w:sz w:val="22"/>
          <w:szCs w:val="22"/>
        </w:rPr>
        <w:t>Gravitational Resistance (</w:t>
      </w:r>
      <w:r w:rsidRPr="00735B1B">
        <w:rPr>
          <w:rStyle w:val="ae"/>
          <w:rFonts w:ascii="Palatino Linotype" w:hAnsi="Palatino Linotype"/>
          <w:b w:val="0"/>
          <w:bCs w:val="0"/>
          <w:i/>
          <w:iCs/>
          <w:sz w:val="22"/>
          <w:szCs w:val="22"/>
        </w:rPr>
        <w:t>F</w:t>
      </w:r>
      <w:r w:rsidRPr="00735B1B">
        <w:rPr>
          <w:rStyle w:val="ae"/>
          <w:rFonts w:ascii="Palatino Linotype" w:hAnsi="Palatino Linotype"/>
          <w:b w:val="0"/>
          <w:bCs w:val="0"/>
          <w:sz w:val="22"/>
          <w:szCs w:val="22"/>
        </w:rPr>
        <w:t>₁):</w:t>
      </w:r>
      <w:r w:rsidRPr="00735B1B">
        <w:rPr>
          <w:rFonts w:ascii="Palatino Linotype" w:hAnsi="Palatino Linotype"/>
          <w:sz w:val="22"/>
          <w:szCs w:val="22"/>
        </w:rPr>
        <w:t xml:space="preserve"> </w:t>
      </w:r>
      <w:r w:rsidRPr="00735B1B">
        <w:rPr>
          <w:rStyle w:val="katex-mathml"/>
          <w:rFonts w:ascii="Palatino Linotype" w:hAnsi="Palatino Linotype"/>
          <w:i/>
          <w:iCs/>
          <w:sz w:val="22"/>
          <w:szCs w:val="22"/>
        </w:rPr>
        <w:t>F</w:t>
      </w:r>
      <w:r w:rsidRPr="00735B1B">
        <w:rPr>
          <w:rStyle w:val="katex-mathml"/>
          <w:rFonts w:ascii="Palatino Linotype" w:hAnsi="Palatino Linotype"/>
          <w:sz w:val="22"/>
          <w:szCs w:val="22"/>
          <w:vertAlign w:val="subscript"/>
        </w:rPr>
        <w:t>1</w:t>
      </w:r>
      <w:r w:rsidRPr="00735B1B">
        <w:rPr>
          <w:rStyle w:val="katex-mathml"/>
          <w:rFonts w:ascii="Palatino Linotype" w:hAnsi="Palatino Linotype"/>
          <w:sz w:val="22"/>
          <w:szCs w:val="22"/>
        </w:rPr>
        <w:t>=1,000 kg×9.8 m/s</w:t>
      </w:r>
      <w:r w:rsidRPr="00735B1B">
        <w:rPr>
          <w:rStyle w:val="katex-mathml"/>
          <w:rFonts w:ascii="Palatino Linotype" w:hAnsi="Palatino Linotype"/>
          <w:sz w:val="22"/>
          <w:szCs w:val="22"/>
          <w:vertAlign w:val="superscript"/>
        </w:rPr>
        <w:t>2</w:t>
      </w:r>
      <w:r w:rsidRPr="00735B1B">
        <w:rPr>
          <w:rStyle w:val="katex-mathml"/>
          <w:rFonts w:ascii="Palatino Linotype" w:hAnsi="Palatino Linotype"/>
          <w:sz w:val="22"/>
          <w:szCs w:val="22"/>
        </w:rPr>
        <w:t>=9,800 N</w:t>
      </w:r>
    </w:p>
    <w:p w14:paraId="342081F7" w14:textId="77777777" w:rsidR="00552FE7" w:rsidRPr="00735B1B" w:rsidRDefault="00552FE7" w:rsidP="00552FE7">
      <w:pPr>
        <w:pStyle w:val="Web"/>
        <w:numPr>
          <w:ilvl w:val="0"/>
          <w:numId w:val="2"/>
        </w:numPr>
        <w:adjustRightInd w:val="0"/>
        <w:snapToGrid w:val="0"/>
        <w:spacing w:before="0" w:beforeAutospacing="0" w:after="0" w:afterAutospacing="0"/>
        <w:jc w:val="both"/>
        <w:rPr>
          <w:rFonts w:ascii="Palatino Linotype" w:hAnsi="Palatino Linotype"/>
          <w:sz w:val="22"/>
          <w:szCs w:val="22"/>
        </w:rPr>
      </w:pPr>
      <w:r w:rsidRPr="00735B1B">
        <w:rPr>
          <w:rStyle w:val="ae"/>
          <w:rFonts w:ascii="Palatino Linotype" w:hAnsi="Palatino Linotype"/>
          <w:b w:val="0"/>
          <w:bCs w:val="0"/>
          <w:sz w:val="22"/>
          <w:szCs w:val="22"/>
        </w:rPr>
        <w:t>Sidewall Frictional Resistance (</w:t>
      </w:r>
      <w:r w:rsidRPr="00735B1B">
        <w:rPr>
          <w:rStyle w:val="ae"/>
          <w:rFonts w:ascii="Palatino Linotype" w:hAnsi="Palatino Linotype"/>
          <w:b w:val="0"/>
          <w:bCs w:val="0"/>
          <w:i/>
          <w:iCs/>
          <w:sz w:val="22"/>
          <w:szCs w:val="22"/>
        </w:rPr>
        <w:t>F</w:t>
      </w:r>
      <w:r w:rsidRPr="00735B1B">
        <w:rPr>
          <w:rStyle w:val="ae"/>
          <w:rFonts w:ascii="Palatino Linotype" w:hAnsi="Palatino Linotype"/>
          <w:b w:val="0"/>
          <w:bCs w:val="0"/>
          <w:sz w:val="22"/>
          <w:szCs w:val="22"/>
        </w:rPr>
        <w:t>₂):</w:t>
      </w:r>
      <w:r w:rsidRPr="00735B1B">
        <w:rPr>
          <w:rFonts w:ascii="Palatino Linotype" w:hAnsi="Palatino Linotype"/>
          <w:sz w:val="22"/>
          <w:szCs w:val="22"/>
        </w:rPr>
        <w:t xml:space="preserve"> The sidewall contact area is </w:t>
      </w:r>
      <w:r w:rsidRPr="00735B1B">
        <w:rPr>
          <w:rStyle w:val="katex-mathml"/>
          <w:rFonts w:ascii="Palatino Linotype" w:hAnsi="Palatino Linotype"/>
          <w:sz w:val="22"/>
          <w:szCs w:val="22"/>
        </w:rPr>
        <w:t>π×0.95×1.8=5.37 m</w:t>
      </w:r>
      <w:r w:rsidRPr="00735B1B">
        <w:rPr>
          <w:rStyle w:val="katex-mathml"/>
          <w:rFonts w:ascii="Palatino Linotype" w:hAnsi="Palatino Linotype"/>
          <w:sz w:val="22"/>
          <w:szCs w:val="22"/>
          <w:vertAlign w:val="superscript"/>
        </w:rPr>
        <w:t>2</w:t>
      </w:r>
      <w:r w:rsidRPr="00735B1B">
        <w:rPr>
          <w:rStyle w:val="katex-mathml"/>
          <w:rFonts w:ascii="Palatino Linotype" w:hAnsi="Palatino Linotype"/>
          <w:sz w:val="22"/>
          <w:szCs w:val="22"/>
        </w:rPr>
        <w:t xml:space="preserve">. </w:t>
      </w:r>
      <w:r w:rsidRPr="00735B1B">
        <w:rPr>
          <w:rFonts w:ascii="Palatino Linotype" w:hAnsi="Palatino Linotype"/>
          <w:sz w:val="22"/>
          <w:szCs w:val="22"/>
        </w:rPr>
        <w:t>The vertical earth pressure acting on the sidewalls is approximated by the average vertical stress exerted by the structure’s self-weight over the base area (</w:t>
      </w:r>
      <w:r w:rsidRPr="00735B1B">
        <w:rPr>
          <w:rStyle w:val="katex-mathml"/>
          <w:rFonts w:ascii="Palatino Linotype" w:hAnsi="Palatino Linotype"/>
          <w:sz w:val="22"/>
          <w:szCs w:val="22"/>
        </w:rPr>
        <w:t>π×0.952/4=0.708 m</w:t>
      </w:r>
      <w:r w:rsidRPr="00735B1B">
        <w:rPr>
          <w:rStyle w:val="katex-mathml"/>
          <w:rFonts w:ascii="Palatino Linotype" w:hAnsi="Palatino Linotype"/>
          <w:sz w:val="22"/>
          <w:szCs w:val="22"/>
          <w:vertAlign w:val="superscript"/>
        </w:rPr>
        <w:t>2</w:t>
      </w:r>
      <w:r w:rsidRPr="00735B1B">
        <w:rPr>
          <w:rStyle w:val="katex-mathml"/>
          <w:rFonts w:ascii="Palatino Linotype" w:hAnsi="Palatino Linotype"/>
          <w:sz w:val="22"/>
          <w:szCs w:val="22"/>
        </w:rPr>
        <w:t xml:space="preserve">. </w:t>
      </w:r>
      <w:r w:rsidRPr="00735B1B">
        <w:rPr>
          <w:rFonts w:ascii="Palatino Linotype" w:hAnsi="Palatino Linotype"/>
          <w:sz w:val="22"/>
          <w:szCs w:val="22"/>
        </w:rPr>
        <w:t xml:space="preserve">Thus, the average vertical stress is </w:t>
      </w:r>
      <w:r w:rsidRPr="00735B1B">
        <w:rPr>
          <w:rStyle w:val="katex-mathml"/>
          <w:rFonts w:ascii="Palatino Linotype" w:hAnsi="Palatino Linotype"/>
          <w:sz w:val="22"/>
          <w:szCs w:val="22"/>
        </w:rPr>
        <w:t>9,800 N/0.708 m</w:t>
      </w:r>
      <w:r w:rsidRPr="00735B1B">
        <w:rPr>
          <w:rStyle w:val="katex-mathml"/>
          <w:rFonts w:ascii="Palatino Linotype" w:hAnsi="Palatino Linotype"/>
          <w:sz w:val="22"/>
          <w:szCs w:val="22"/>
          <w:vertAlign w:val="superscript"/>
        </w:rPr>
        <w:t>2</w:t>
      </w:r>
      <w:r w:rsidRPr="00735B1B">
        <w:rPr>
          <w:rStyle w:val="katex-mathml"/>
          <w:rFonts w:ascii="Palatino Linotype" w:hAnsi="Palatino Linotype"/>
          <w:sz w:val="22"/>
          <w:szCs w:val="22"/>
        </w:rPr>
        <w:t>=13,830 Pa</w:t>
      </w:r>
      <w:r w:rsidRPr="00735B1B">
        <w:rPr>
          <w:rFonts w:ascii="Palatino Linotype" w:hAnsi="Palatino Linotype"/>
          <w:sz w:val="22"/>
          <w:szCs w:val="22"/>
        </w:rPr>
        <w:t>, and the corresponding frictional resistance is:</w:t>
      </w:r>
      <w:r w:rsidRPr="00735B1B">
        <w:rPr>
          <w:rFonts w:ascii="Palatino Linotype" w:hAnsi="Palatino Linotype"/>
          <w:sz w:val="22"/>
          <w:szCs w:val="22"/>
        </w:rPr>
        <w:br/>
      </w:r>
      <w:r w:rsidRPr="00735B1B">
        <w:rPr>
          <w:rStyle w:val="katex-mathml"/>
          <w:rFonts w:ascii="Palatino Linotype" w:hAnsi="Palatino Linotype"/>
          <w:i/>
          <w:iCs/>
          <w:sz w:val="22"/>
          <w:szCs w:val="22"/>
        </w:rPr>
        <w:t>F</w:t>
      </w:r>
      <w:r w:rsidRPr="00735B1B">
        <w:rPr>
          <w:rStyle w:val="katex-mathml"/>
          <w:rFonts w:ascii="Palatino Linotype" w:hAnsi="Palatino Linotype"/>
          <w:sz w:val="22"/>
          <w:szCs w:val="22"/>
          <w:vertAlign w:val="subscript"/>
        </w:rPr>
        <w:t>2</w:t>
      </w:r>
      <w:r w:rsidRPr="00735B1B">
        <w:rPr>
          <w:rStyle w:val="katex-mathml"/>
          <w:rFonts w:ascii="Palatino Linotype" w:hAnsi="Palatino Linotype"/>
          <w:sz w:val="22"/>
          <w:szCs w:val="22"/>
        </w:rPr>
        <w:t>=0.4×13,830×5.37=29,700 N.</w:t>
      </w:r>
    </w:p>
    <w:p w14:paraId="5E26B1A7" w14:textId="77777777" w:rsidR="00552FE7" w:rsidRPr="00735B1B" w:rsidRDefault="00552FE7" w:rsidP="00552FE7">
      <w:pPr>
        <w:pStyle w:val="Web"/>
        <w:numPr>
          <w:ilvl w:val="0"/>
          <w:numId w:val="2"/>
        </w:numPr>
        <w:adjustRightInd w:val="0"/>
        <w:snapToGrid w:val="0"/>
        <w:spacing w:before="0" w:beforeAutospacing="0" w:after="0" w:afterAutospacing="0"/>
        <w:jc w:val="both"/>
        <w:rPr>
          <w:rStyle w:val="katex-mathml"/>
          <w:rFonts w:ascii="Palatino Linotype" w:hAnsi="Palatino Linotype"/>
          <w:sz w:val="22"/>
          <w:szCs w:val="22"/>
        </w:rPr>
      </w:pPr>
      <w:r w:rsidRPr="00735B1B">
        <w:rPr>
          <w:rStyle w:val="ae"/>
          <w:rFonts w:ascii="Palatino Linotype" w:hAnsi="Palatino Linotype"/>
          <w:b w:val="0"/>
          <w:bCs w:val="0"/>
          <w:sz w:val="22"/>
          <w:szCs w:val="22"/>
        </w:rPr>
        <w:t>Shear Resistance at Pipe Connections (</w:t>
      </w:r>
      <w:r w:rsidRPr="00735B1B">
        <w:rPr>
          <w:rStyle w:val="ae"/>
          <w:rFonts w:ascii="Palatino Linotype" w:hAnsi="Palatino Linotype"/>
          <w:b w:val="0"/>
          <w:bCs w:val="0"/>
          <w:i/>
          <w:iCs/>
          <w:sz w:val="22"/>
          <w:szCs w:val="22"/>
        </w:rPr>
        <w:t>F</w:t>
      </w:r>
      <w:r w:rsidRPr="00735B1B">
        <w:rPr>
          <w:rStyle w:val="ae"/>
          <w:rFonts w:ascii="Palatino Linotype" w:hAnsi="Palatino Linotype"/>
          <w:b w:val="0"/>
          <w:bCs w:val="0"/>
          <w:sz w:val="22"/>
          <w:szCs w:val="22"/>
        </w:rPr>
        <w:t>₃):</w:t>
      </w:r>
      <w:r w:rsidRPr="00735B1B">
        <w:rPr>
          <w:rFonts w:ascii="Palatino Linotype" w:hAnsi="Palatino Linotype"/>
          <w:sz w:val="22"/>
          <w:szCs w:val="22"/>
        </w:rPr>
        <w:t xml:space="preserve"> The combined shear area for two pipes is </w:t>
      </w:r>
      <w:r w:rsidRPr="00735B1B">
        <w:rPr>
          <w:rStyle w:val="katex-mathml"/>
          <w:rFonts w:ascii="Palatino Linotype" w:hAnsi="Palatino Linotype"/>
          <w:sz w:val="22"/>
          <w:szCs w:val="22"/>
        </w:rPr>
        <w:t>0.942×0.3×2=0.565 m</w:t>
      </w:r>
      <w:r w:rsidRPr="00735B1B">
        <w:rPr>
          <w:rStyle w:val="katex-mathml"/>
          <w:rFonts w:ascii="Palatino Linotype" w:hAnsi="Palatino Linotype"/>
          <w:sz w:val="22"/>
          <w:szCs w:val="22"/>
          <w:vertAlign w:val="superscript"/>
        </w:rPr>
        <w:t>2</w:t>
      </w:r>
      <w:r w:rsidRPr="00735B1B">
        <w:rPr>
          <w:rFonts w:ascii="Palatino Linotype" w:hAnsi="Palatino Linotype"/>
          <w:sz w:val="22"/>
          <w:szCs w:val="22"/>
        </w:rPr>
        <w:t>, yielding a shear resistance of:</w:t>
      </w:r>
      <w:r w:rsidRPr="00735B1B">
        <w:rPr>
          <w:rFonts w:ascii="Palatino Linotype" w:hAnsi="Palatino Linotype"/>
          <w:sz w:val="22"/>
          <w:szCs w:val="22"/>
        </w:rPr>
        <w:br/>
      </w:r>
      <w:r w:rsidRPr="00735B1B">
        <w:rPr>
          <w:rStyle w:val="katex-mathml"/>
          <w:rFonts w:ascii="Palatino Linotype" w:hAnsi="Palatino Linotype"/>
          <w:i/>
          <w:iCs/>
          <w:sz w:val="22"/>
          <w:szCs w:val="22"/>
        </w:rPr>
        <w:t>F</w:t>
      </w:r>
      <w:r w:rsidRPr="00735B1B">
        <w:rPr>
          <w:rStyle w:val="katex-mathml"/>
          <w:rFonts w:ascii="Palatino Linotype" w:hAnsi="Palatino Linotype"/>
          <w:sz w:val="22"/>
          <w:szCs w:val="22"/>
          <w:vertAlign w:val="subscript"/>
        </w:rPr>
        <w:t>3</w:t>
      </w:r>
      <w:r w:rsidRPr="00735B1B">
        <w:rPr>
          <w:rStyle w:val="katex-mathml"/>
          <w:rFonts w:ascii="Palatino Linotype" w:hAnsi="Palatino Linotype"/>
          <w:sz w:val="22"/>
          <w:szCs w:val="22"/>
        </w:rPr>
        <w:t>=51,100×0.565=28,900 N</w:t>
      </w:r>
    </w:p>
    <w:p w14:paraId="0D7A341B" w14:textId="77777777" w:rsidR="00552FE7" w:rsidRPr="00735B1B" w:rsidRDefault="00552FE7" w:rsidP="00552FE7">
      <w:pPr>
        <w:pStyle w:val="Web"/>
        <w:numPr>
          <w:ilvl w:val="0"/>
          <w:numId w:val="2"/>
        </w:numPr>
        <w:adjustRightInd w:val="0"/>
        <w:snapToGrid w:val="0"/>
        <w:spacing w:before="0" w:beforeAutospacing="0" w:after="0" w:afterAutospacing="0"/>
        <w:jc w:val="both"/>
        <w:rPr>
          <w:rStyle w:val="katex-mathml"/>
          <w:rFonts w:ascii="Palatino Linotype" w:hAnsi="Palatino Linotype"/>
          <w:sz w:val="22"/>
          <w:szCs w:val="22"/>
        </w:rPr>
      </w:pPr>
      <w:r w:rsidRPr="00735B1B">
        <w:rPr>
          <w:rStyle w:val="ae"/>
          <w:rFonts w:ascii="Palatino Linotype" w:hAnsi="Palatino Linotype"/>
          <w:b w:val="0"/>
          <w:bCs w:val="0"/>
          <w:sz w:val="22"/>
          <w:szCs w:val="22"/>
        </w:rPr>
        <w:t>Total Resistance Force (</w:t>
      </w:r>
      <w:r w:rsidRPr="00735B1B">
        <w:rPr>
          <w:rStyle w:val="ae"/>
          <w:rFonts w:ascii="Palatino Linotype" w:hAnsi="Palatino Linotype"/>
          <w:b w:val="0"/>
          <w:bCs w:val="0"/>
          <w:i/>
          <w:iCs/>
          <w:sz w:val="22"/>
          <w:szCs w:val="22"/>
        </w:rPr>
        <w:t>F</w:t>
      </w:r>
      <w:r w:rsidRPr="00735B1B">
        <w:rPr>
          <w:rStyle w:val="ae"/>
          <w:rFonts w:ascii="Palatino Linotype" w:hAnsi="Palatino Linotype"/>
          <w:b w:val="0"/>
          <w:bCs w:val="0"/>
          <w:sz w:val="22"/>
          <w:szCs w:val="22"/>
        </w:rPr>
        <w:t>):</w:t>
      </w:r>
      <w:r w:rsidRPr="00735B1B">
        <w:rPr>
          <w:rFonts w:ascii="Palatino Linotype" w:hAnsi="Palatino Linotype"/>
          <w:sz w:val="22"/>
          <w:szCs w:val="22"/>
        </w:rPr>
        <w:t xml:space="preserve"> </w:t>
      </w:r>
      <w:r w:rsidRPr="00735B1B">
        <w:rPr>
          <w:rStyle w:val="katex-mathml"/>
          <w:rFonts w:ascii="Palatino Linotype" w:hAnsi="Palatino Linotype"/>
          <w:i/>
          <w:iCs/>
          <w:sz w:val="22"/>
          <w:szCs w:val="22"/>
        </w:rPr>
        <w:t>F</w:t>
      </w:r>
      <w:r w:rsidRPr="00735B1B">
        <w:rPr>
          <w:rStyle w:val="katex-mathml"/>
          <w:rFonts w:ascii="Palatino Linotype" w:hAnsi="Palatino Linotype"/>
          <w:sz w:val="22"/>
          <w:szCs w:val="22"/>
        </w:rPr>
        <w:t>=</w:t>
      </w:r>
      <w:r w:rsidRPr="00735B1B">
        <w:rPr>
          <w:rStyle w:val="katex-mathml"/>
          <w:rFonts w:ascii="Palatino Linotype" w:hAnsi="Palatino Linotype"/>
          <w:i/>
          <w:iCs/>
          <w:sz w:val="22"/>
          <w:szCs w:val="22"/>
        </w:rPr>
        <w:t>F</w:t>
      </w:r>
      <w:r w:rsidRPr="00735B1B">
        <w:rPr>
          <w:rStyle w:val="katex-mathml"/>
          <w:rFonts w:ascii="Palatino Linotype" w:hAnsi="Palatino Linotype"/>
          <w:sz w:val="22"/>
          <w:szCs w:val="22"/>
          <w:vertAlign w:val="subscript"/>
        </w:rPr>
        <w:t>1</w:t>
      </w:r>
      <w:r w:rsidRPr="00735B1B">
        <w:rPr>
          <w:rStyle w:val="katex-mathml"/>
          <w:rFonts w:ascii="Palatino Linotype" w:hAnsi="Palatino Linotype"/>
          <w:sz w:val="22"/>
          <w:szCs w:val="22"/>
        </w:rPr>
        <w:t>+</w:t>
      </w:r>
      <w:r w:rsidRPr="00735B1B">
        <w:rPr>
          <w:rStyle w:val="katex-mathml"/>
          <w:rFonts w:ascii="Palatino Linotype" w:hAnsi="Palatino Linotype"/>
          <w:i/>
          <w:iCs/>
          <w:sz w:val="22"/>
          <w:szCs w:val="22"/>
        </w:rPr>
        <w:t>F</w:t>
      </w:r>
      <w:r w:rsidRPr="00735B1B">
        <w:rPr>
          <w:rStyle w:val="katex-mathml"/>
          <w:rFonts w:ascii="Palatino Linotype" w:hAnsi="Palatino Linotype"/>
          <w:sz w:val="22"/>
          <w:szCs w:val="22"/>
          <w:vertAlign w:val="subscript"/>
        </w:rPr>
        <w:t>2</w:t>
      </w:r>
      <w:r w:rsidRPr="00735B1B">
        <w:rPr>
          <w:rStyle w:val="katex-mathml"/>
          <w:rFonts w:ascii="Palatino Linotype" w:hAnsi="Palatino Linotype"/>
          <w:sz w:val="22"/>
          <w:szCs w:val="22"/>
        </w:rPr>
        <w:t>+</w:t>
      </w:r>
      <w:r w:rsidRPr="00735B1B">
        <w:rPr>
          <w:rStyle w:val="katex-mathml"/>
          <w:rFonts w:ascii="Palatino Linotype" w:hAnsi="Palatino Linotype"/>
          <w:i/>
          <w:iCs/>
          <w:sz w:val="22"/>
          <w:szCs w:val="22"/>
        </w:rPr>
        <w:t>F</w:t>
      </w:r>
      <w:r w:rsidRPr="00735B1B">
        <w:rPr>
          <w:rStyle w:val="katex-mathml"/>
          <w:rFonts w:ascii="Palatino Linotype" w:hAnsi="Palatino Linotype"/>
          <w:sz w:val="22"/>
          <w:szCs w:val="22"/>
          <w:vertAlign w:val="subscript"/>
        </w:rPr>
        <w:t>3</w:t>
      </w:r>
      <w:r w:rsidRPr="00735B1B">
        <w:rPr>
          <w:rStyle w:val="katex-mathml"/>
          <w:rFonts w:ascii="Palatino Linotype" w:hAnsi="Palatino Linotype"/>
          <w:sz w:val="22"/>
          <w:szCs w:val="22"/>
        </w:rPr>
        <w:t>=9,800+29,700+28,900=68,400 N</w:t>
      </w:r>
    </w:p>
    <w:p w14:paraId="1BB762B7" w14:textId="77777777" w:rsidR="00877515" w:rsidRDefault="00552FE7" w:rsidP="00B30DDF">
      <w:pPr>
        <w:pStyle w:val="Web"/>
        <w:adjustRightInd w:val="0"/>
        <w:snapToGrid w:val="0"/>
        <w:spacing w:before="0" w:beforeAutospacing="0" w:after="0" w:afterAutospacing="0"/>
        <w:ind w:firstLineChars="100" w:firstLine="220"/>
        <w:jc w:val="both"/>
        <w:rPr>
          <w:rStyle w:val="katex-mathml"/>
          <w:rFonts w:ascii="Palatino Linotype" w:hAnsi="Palatino Linotype"/>
          <w:sz w:val="22"/>
          <w:szCs w:val="22"/>
        </w:rPr>
      </w:pPr>
      <w:r w:rsidRPr="00735B1B">
        <w:rPr>
          <w:rFonts w:ascii="Palatino Linotype" w:hAnsi="Palatino Linotype"/>
          <w:sz w:val="22"/>
          <w:szCs w:val="22"/>
        </w:rPr>
        <w:t xml:space="preserve">To overcome this resistance via internal gas pressure acting on the manhole cover, the required pressure is: </w:t>
      </w:r>
      <w:r w:rsidRPr="00735B1B">
        <w:rPr>
          <w:rStyle w:val="katex-mathml"/>
          <w:rFonts w:ascii="Palatino Linotype" w:hAnsi="Palatino Linotype"/>
          <w:i/>
          <w:iCs/>
          <w:sz w:val="22"/>
          <w:szCs w:val="22"/>
        </w:rPr>
        <w:t>P</w:t>
      </w:r>
      <w:r w:rsidRPr="00735B1B">
        <w:rPr>
          <w:rStyle w:val="katex-mathml"/>
          <w:rFonts w:ascii="Palatino Linotype" w:hAnsi="Palatino Linotype"/>
          <w:sz w:val="22"/>
          <w:szCs w:val="22"/>
        </w:rPr>
        <w:t>=68,400/0.283=241,690 Pa.</w:t>
      </w:r>
      <w:r w:rsidR="00735B1B" w:rsidRPr="00735B1B">
        <w:rPr>
          <w:rFonts w:ascii="Palatino Linotype" w:hAnsi="Palatino Linotype"/>
          <w:sz w:val="22"/>
          <w:szCs w:val="22"/>
        </w:rPr>
        <w:t xml:space="preserve"> </w:t>
      </w:r>
      <w:r w:rsidRPr="00735B1B">
        <w:rPr>
          <w:rFonts w:ascii="Palatino Linotype" w:hAnsi="Palatino Linotype"/>
          <w:sz w:val="22"/>
          <w:szCs w:val="22"/>
        </w:rPr>
        <w:t>Adding atmospheric pressure (</w:t>
      </w:r>
      <w:r w:rsidRPr="00735B1B">
        <w:rPr>
          <w:rStyle w:val="katex-mathml"/>
          <w:rFonts w:ascii="Palatino Linotype" w:hAnsi="Palatino Linotype"/>
          <w:sz w:val="22"/>
          <w:szCs w:val="22"/>
        </w:rPr>
        <w:t>101,325 Pa)</w:t>
      </w:r>
      <w:r w:rsidRPr="00735B1B">
        <w:rPr>
          <w:rFonts w:ascii="Palatino Linotype" w:hAnsi="Palatino Linotype"/>
          <w:sz w:val="22"/>
          <w:szCs w:val="22"/>
        </w:rPr>
        <w:t xml:space="preserve">, the total gas pressure required to lift the manhole becomes: </w:t>
      </w:r>
      <w:proofErr w:type="spellStart"/>
      <w:r w:rsidRPr="00735B1B">
        <w:rPr>
          <w:rStyle w:val="katex-mathml"/>
          <w:rFonts w:ascii="Palatino Linotype" w:hAnsi="Palatino Linotype"/>
          <w:i/>
          <w:iCs/>
          <w:sz w:val="22"/>
          <w:szCs w:val="22"/>
        </w:rPr>
        <w:t>P</w:t>
      </w:r>
      <w:r w:rsidRPr="00735B1B">
        <w:rPr>
          <w:rStyle w:val="katex-mathml"/>
          <w:rFonts w:ascii="Palatino Linotype" w:hAnsi="Palatino Linotype"/>
          <w:sz w:val="22"/>
          <w:szCs w:val="22"/>
          <w:vertAlign w:val="subscript"/>
        </w:rPr>
        <w:t>gas</w:t>
      </w:r>
      <w:proofErr w:type="spellEnd"/>
      <w:r w:rsidRPr="00735B1B">
        <w:rPr>
          <w:rStyle w:val="katex-mathml"/>
          <w:rFonts w:ascii="Palatino Linotype" w:hAnsi="Palatino Linotype"/>
          <w:sz w:val="22"/>
          <w:szCs w:val="22"/>
        </w:rPr>
        <w:t>=241,690+101,325=343,015 Pa</w:t>
      </w:r>
      <w:r w:rsidR="00735B1B" w:rsidRPr="00735B1B">
        <w:rPr>
          <w:rStyle w:val="katex-mathml"/>
          <w:rFonts w:ascii="Palatino Linotype" w:hAnsi="Palatino Linotype"/>
          <w:sz w:val="22"/>
          <w:szCs w:val="22"/>
        </w:rPr>
        <w:t>.</w:t>
      </w:r>
    </w:p>
    <w:p w14:paraId="33A04790" w14:textId="77777777" w:rsidR="00877515" w:rsidRDefault="00877515" w:rsidP="00877515">
      <w:pPr>
        <w:pStyle w:val="Web"/>
        <w:adjustRightInd w:val="0"/>
        <w:snapToGrid w:val="0"/>
        <w:spacing w:before="0" w:beforeAutospacing="0" w:after="0" w:afterAutospacing="0"/>
        <w:jc w:val="both"/>
        <w:rPr>
          <w:rStyle w:val="katex-mathml"/>
          <w:rFonts w:ascii="Palatino Linotype" w:hAnsi="Palatino Linotype"/>
          <w:sz w:val="22"/>
          <w:szCs w:val="22"/>
        </w:rPr>
      </w:pPr>
    </w:p>
    <w:p w14:paraId="2961315C" w14:textId="77777777" w:rsidR="00155A55" w:rsidRDefault="00155A55" w:rsidP="00877515">
      <w:pPr>
        <w:pStyle w:val="Web"/>
        <w:adjustRightInd w:val="0"/>
        <w:snapToGrid w:val="0"/>
        <w:spacing w:before="0" w:beforeAutospacing="0" w:after="0" w:afterAutospacing="0"/>
        <w:jc w:val="both"/>
        <w:rPr>
          <w:rStyle w:val="katex-mathml"/>
          <w:rFonts w:ascii="Palatino Linotype" w:hAnsi="Palatino Linotype"/>
          <w:sz w:val="22"/>
          <w:szCs w:val="22"/>
        </w:rPr>
      </w:pPr>
    </w:p>
    <w:sectPr w:rsidR="00155A55">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940DDA" w14:textId="77777777" w:rsidR="00055864" w:rsidRDefault="00055864" w:rsidP="00645438">
      <w:r>
        <w:separator/>
      </w:r>
    </w:p>
  </w:endnote>
  <w:endnote w:type="continuationSeparator" w:id="0">
    <w:p w14:paraId="157DDB5D" w14:textId="77777777" w:rsidR="00055864" w:rsidRDefault="00055864" w:rsidP="006454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メイリオ">
    <w:panose1 w:val="020B0604030504040204"/>
    <w:charset w:val="80"/>
    <w:family w:val="modern"/>
    <w:pitch w:val="variable"/>
    <w:sig w:usb0="E00002FF" w:usb1="6AC7FFFF" w:usb2="08000012"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5A7CF9" w14:textId="77777777" w:rsidR="00055864" w:rsidRDefault="00055864" w:rsidP="00645438">
      <w:r>
        <w:separator/>
      </w:r>
    </w:p>
  </w:footnote>
  <w:footnote w:type="continuationSeparator" w:id="0">
    <w:p w14:paraId="6AC0BA56" w14:textId="77777777" w:rsidR="00055864" w:rsidRDefault="00055864" w:rsidP="0064543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6F0A4E"/>
    <w:multiLevelType w:val="multilevel"/>
    <w:tmpl w:val="2D94D5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57A46AAF"/>
    <w:multiLevelType w:val="hybridMultilevel"/>
    <w:tmpl w:val="3EBC2E2A"/>
    <w:lvl w:ilvl="0" w:tplc="1F926724">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6ABA27A4"/>
    <w:multiLevelType w:val="hybridMultilevel"/>
    <w:tmpl w:val="C1B0FFEA"/>
    <w:lvl w:ilvl="0" w:tplc="179E6C5E">
      <w:start w:val="1"/>
      <w:numFmt w:val="upperLetter"/>
      <w:lvlText w:val="%1."/>
      <w:lvlJc w:val="left"/>
      <w:pPr>
        <w:ind w:left="360" w:hanging="360"/>
      </w:pPr>
      <w:rPr>
        <w:rFonts w:eastAsia="メイリオ" w:hint="default"/>
        <w:b w:val="0"/>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1540314334">
    <w:abstractNumId w:val="1"/>
  </w:num>
  <w:num w:numId="2" w16cid:durableId="1637180560">
    <w:abstractNumId w:val="0"/>
  </w:num>
  <w:num w:numId="3" w16cid:durableId="212680431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5"/>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454B"/>
    <w:rsid w:val="00011A90"/>
    <w:rsid w:val="00055864"/>
    <w:rsid w:val="00080A1C"/>
    <w:rsid w:val="00130085"/>
    <w:rsid w:val="00155A55"/>
    <w:rsid w:val="00181647"/>
    <w:rsid w:val="001C454B"/>
    <w:rsid w:val="002145DB"/>
    <w:rsid w:val="002B11C1"/>
    <w:rsid w:val="003146E5"/>
    <w:rsid w:val="0038392E"/>
    <w:rsid w:val="003C0BCC"/>
    <w:rsid w:val="00474858"/>
    <w:rsid w:val="004768CA"/>
    <w:rsid w:val="00552FE7"/>
    <w:rsid w:val="00566442"/>
    <w:rsid w:val="005C3915"/>
    <w:rsid w:val="00645438"/>
    <w:rsid w:val="00655FEC"/>
    <w:rsid w:val="006A6590"/>
    <w:rsid w:val="006C64EF"/>
    <w:rsid w:val="006F2EBE"/>
    <w:rsid w:val="00735B1B"/>
    <w:rsid w:val="00752A76"/>
    <w:rsid w:val="007648B7"/>
    <w:rsid w:val="007753F0"/>
    <w:rsid w:val="007974ED"/>
    <w:rsid w:val="00877515"/>
    <w:rsid w:val="008D2AB9"/>
    <w:rsid w:val="008E1FDC"/>
    <w:rsid w:val="00902D9E"/>
    <w:rsid w:val="00932CA3"/>
    <w:rsid w:val="00994881"/>
    <w:rsid w:val="009F518D"/>
    <w:rsid w:val="00A33B5D"/>
    <w:rsid w:val="00A6516A"/>
    <w:rsid w:val="00A76D08"/>
    <w:rsid w:val="00A90381"/>
    <w:rsid w:val="00B23537"/>
    <w:rsid w:val="00B30DDF"/>
    <w:rsid w:val="00CA562F"/>
    <w:rsid w:val="00D02A72"/>
    <w:rsid w:val="00D66D8A"/>
    <w:rsid w:val="00D66F96"/>
    <w:rsid w:val="00D73878"/>
    <w:rsid w:val="00D73A16"/>
    <w:rsid w:val="00D90CDE"/>
    <w:rsid w:val="00DA089A"/>
    <w:rsid w:val="00E833A3"/>
    <w:rsid w:val="00E85FD7"/>
    <w:rsid w:val="00F70B2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59E8D39"/>
  <w15:chartTrackingRefBased/>
  <w15:docId w15:val="{CBE4D7B0-8D92-4640-AF96-34F4BB622C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C454B"/>
    <w:pPr>
      <w:widowControl w:val="0"/>
      <w:jc w:val="both"/>
    </w:pPr>
  </w:style>
  <w:style w:type="paragraph" w:styleId="1">
    <w:name w:val="heading 1"/>
    <w:basedOn w:val="a"/>
    <w:next w:val="a"/>
    <w:link w:val="10"/>
    <w:uiPriority w:val="9"/>
    <w:qFormat/>
    <w:rsid w:val="001C454B"/>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1C454B"/>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1C454B"/>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0"/>
    <w:uiPriority w:val="9"/>
    <w:semiHidden/>
    <w:unhideWhenUsed/>
    <w:qFormat/>
    <w:rsid w:val="001C454B"/>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1C454B"/>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1C454B"/>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1C454B"/>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1C454B"/>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1C454B"/>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1C454B"/>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1C454B"/>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1C454B"/>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1C454B"/>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1C454B"/>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1C454B"/>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1C454B"/>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1C454B"/>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1C454B"/>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1C454B"/>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1C454B"/>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1C454B"/>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1C454B"/>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1C454B"/>
    <w:pPr>
      <w:spacing w:before="160" w:after="160"/>
      <w:jc w:val="center"/>
    </w:pPr>
    <w:rPr>
      <w:i/>
      <w:iCs/>
      <w:color w:val="404040" w:themeColor="text1" w:themeTint="BF"/>
    </w:rPr>
  </w:style>
  <w:style w:type="character" w:customStyle="1" w:styleId="a8">
    <w:name w:val="引用文 (文字)"/>
    <w:basedOn w:val="a0"/>
    <w:link w:val="a7"/>
    <w:uiPriority w:val="29"/>
    <w:rsid w:val="001C454B"/>
    <w:rPr>
      <w:i/>
      <w:iCs/>
      <w:color w:val="404040" w:themeColor="text1" w:themeTint="BF"/>
    </w:rPr>
  </w:style>
  <w:style w:type="paragraph" w:styleId="a9">
    <w:name w:val="List Paragraph"/>
    <w:basedOn w:val="a"/>
    <w:uiPriority w:val="34"/>
    <w:qFormat/>
    <w:rsid w:val="001C454B"/>
    <w:pPr>
      <w:ind w:left="720"/>
      <w:contextualSpacing/>
    </w:pPr>
  </w:style>
  <w:style w:type="character" w:styleId="21">
    <w:name w:val="Intense Emphasis"/>
    <w:basedOn w:val="a0"/>
    <w:uiPriority w:val="21"/>
    <w:qFormat/>
    <w:rsid w:val="001C454B"/>
    <w:rPr>
      <w:i/>
      <w:iCs/>
      <w:color w:val="2F5496" w:themeColor="accent1" w:themeShade="BF"/>
    </w:rPr>
  </w:style>
  <w:style w:type="paragraph" w:styleId="22">
    <w:name w:val="Intense Quote"/>
    <w:basedOn w:val="a"/>
    <w:next w:val="a"/>
    <w:link w:val="23"/>
    <w:uiPriority w:val="30"/>
    <w:qFormat/>
    <w:rsid w:val="001C454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23">
    <w:name w:val="引用文 2 (文字)"/>
    <w:basedOn w:val="a0"/>
    <w:link w:val="22"/>
    <w:uiPriority w:val="30"/>
    <w:rsid w:val="001C454B"/>
    <w:rPr>
      <w:i/>
      <w:iCs/>
      <w:color w:val="2F5496" w:themeColor="accent1" w:themeShade="BF"/>
    </w:rPr>
  </w:style>
  <w:style w:type="character" w:styleId="24">
    <w:name w:val="Intense Reference"/>
    <w:basedOn w:val="a0"/>
    <w:uiPriority w:val="32"/>
    <w:qFormat/>
    <w:rsid w:val="001C454B"/>
    <w:rPr>
      <w:b/>
      <w:bCs/>
      <w:smallCaps/>
      <w:color w:val="2F5496" w:themeColor="accent1" w:themeShade="BF"/>
      <w:spacing w:val="5"/>
    </w:rPr>
  </w:style>
  <w:style w:type="character" w:customStyle="1" w:styleId="katex-mathml">
    <w:name w:val="katex-mathml"/>
    <w:basedOn w:val="a0"/>
    <w:rsid w:val="001C454B"/>
  </w:style>
  <w:style w:type="paragraph" w:styleId="aa">
    <w:name w:val="header"/>
    <w:basedOn w:val="a"/>
    <w:link w:val="ab"/>
    <w:uiPriority w:val="99"/>
    <w:unhideWhenUsed/>
    <w:rsid w:val="00645438"/>
    <w:pPr>
      <w:tabs>
        <w:tab w:val="center" w:pos="4252"/>
        <w:tab w:val="right" w:pos="8504"/>
      </w:tabs>
      <w:snapToGrid w:val="0"/>
    </w:pPr>
  </w:style>
  <w:style w:type="character" w:customStyle="1" w:styleId="ab">
    <w:name w:val="ヘッダー (文字)"/>
    <w:basedOn w:val="a0"/>
    <w:link w:val="aa"/>
    <w:uiPriority w:val="99"/>
    <w:rsid w:val="00645438"/>
  </w:style>
  <w:style w:type="paragraph" w:styleId="ac">
    <w:name w:val="footer"/>
    <w:basedOn w:val="a"/>
    <w:link w:val="ad"/>
    <w:uiPriority w:val="99"/>
    <w:unhideWhenUsed/>
    <w:rsid w:val="00645438"/>
    <w:pPr>
      <w:tabs>
        <w:tab w:val="center" w:pos="4252"/>
        <w:tab w:val="right" w:pos="8504"/>
      </w:tabs>
      <w:snapToGrid w:val="0"/>
    </w:pPr>
  </w:style>
  <w:style w:type="character" w:customStyle="1" w:styleId="ad">
    <w:name w:val="フッター (文字)"/>
    <w:basedOn w:val="a0"/>
    <w:link w:val="ac"/>
    <w:uiPriority w:val="99"/>
    <w:rsid w:val="00645438"/>
  </w:style>
  <w:style w:type="paragraph" w:styleId="Web">
    <w:name w:val="Normal (Web)"/>
    <w:basedOn w:val="a"/>
    <w:uiPriority w:val="99"/>
    <w:unhideWhenUsed/>
    <w:rsid w:val="00552FE7"/>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styleId="HTML">
    <w:name w:val="HTML Preformatted"/>
    <w:basedOn w:val="a"/>
    <w:link w:val="HTML0"/>
    <w:uiPriority w:val="99"/>
    <w:unhideWhenUsed/>
    <w:rsid w:val="00552FE7"/>
    <w:rPr>
      <w:rFonts w:ascii="Courier New" w:hAnsi="Courier New" w:cs="Courier New"/>
      <w:sz w:val="20"/>
      <w:szCs w:val="20"/>
    </w:rPr>
  </w:style>
  <w:style w:type="character" w:customStyle="1" w:styleId="HTML0">
    <w:name w:val="HTML 書式付き (文字)"/>
    <w:basedOn w:val="a0"/>
    <w:link w:val="HTML"/>
    <w:uiPriority w:val="99"/>
    <w:rsid w:val="00552FE7"/>
    <w:rPr>
      <w:rFonts w:ascii="Courier New" w:hAnsi="Courier New" w:cs="Courier New"/>
      <w:sz w:val="20"/>
      <w:szCs w:val="20"/>
    </w:rPr>
  </w:style>
  <w:style w:type="character" w:styleId="ae">
    <w:name w:val="Strong"/>
    <w:basedOn w:val="a0"/>
    <w:uiPriority w:val="22"/>
    <w:qFormat/>
    <w:rsid w:val="00552FE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4.emf"/><Relationship Id="rId4" Type="http://schemas.openxmlformats.org/officeDocument/2006/relationships/webSettings" Target="webSettings.xml"/><Relationship Id="rId9" Type="http://schemas.openxmlformats.org/officeDocument/2006/relationships/image" Target="media/image3.emf"/></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402</TotalTime>
  <Pages>3</Pages>
  <Words>644</Words>
  <Characters>3676</Characters>
  <Application>Microsoft Office Word</Application>
  <DocSecurity>0</DocSecurity>
  <Lines>30</Lines>
  <Paragraphs>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祐嗣 榎本</dc:creator>
  <cp:keywords/>
  <dc:description/>
  <cp:lastModifiedBy>祐嗣 榎本</cp:lastModifiedBy>
  <cp:revision>20</cp:revision>
  <dcterms:created xsi:type="dcterms:W3CDTF">2025-09-20T00:28:00Z</dcterms:created>
  <dcterms:modified xsi:type="dcterms:W3CDTF">2025-09-26T09:09:00Z</dcterms:modified>
</cp:coreProperties>
</file>