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4AFE" w14:textId="77777777" w:rsidR="00584761" w:rsidRPr="00B170FC" w:rsidRDefault="00584761" w:rsidP="00584761">
      <w:pPr>
        <w:spacing w:line="360" w:lineRule="auto"/>
        <w:jc w:val="center"/>
        <w:rPr>
          <w:b/>
          <w:bCs/>
        </w:rPr>
      </w:pPr>
      <w:bookmarkStart w:id="0" w:name="OLE_LINK11"/>
      <w:r w:rsidRPr="00905759">
        <w:rPr>
          <w:b/>
          <w:bCs/>
        </w:rPr>
        <w:t xml:space="preserve">Phase </w:t>
      </w:r>
      <w:r>
        <w:rPr>
          <w:b/>
          <w:bCs/>
        </w:rPr>
        <w:t xml:space="preserve">II proof-of-concept study </w:t>
      </w:r>
      <w:r w:rsidRPr="00905759">
        <w:rPr>
          <w:b/>
          <w:bCs/>
        </w:rPr>
        <w:t xml:space="preserve">of durvalumab and </w:t>
      </w:r>
      <w:proofErr w:type="spellStart"/>
      <w:r w:rsidRPr="00905759">
        <w:rPr>
          <w:b/>
          <w:bCs/>
        </w:rPr>
        <w:t>cediranib</w:t>
      </w:r>
      <w:proofErr w:type="spellEnd"/>
      <w:r w:rsidRPr="00905759">
        <w:rPr>
          <w:b/>
          <w:bCs/>
        </w:rPr>
        <w:t xml:space="preserve"> with </w:t>
      </w:r>
      <w:r>
        <w:rPr>
          <w:b/>
          <w:bCs/>
        </w:rPr>
        <w:t>and</w:t>
      </w:r>
      <w:r w:rsidRPr="00905759">
        <w:rPr>
          <w:b/>
          <w:bCs/>
        </w:rPr>
        <w:t xml:space="preserve"> without </w:t>
      </w:r>
      <w:proofErr w:type="spellStart"/>
      <w:r w:rsidRPr="00905759">
        <w:rPr>
          <w:b/>
          <w:bCs/>
        </w:rPr>
        <w:t>olaparib</w:t>
      </w:r>
      <w:proofErr w:type="spellEnd"/>
      <w:r w:rsidRPr="00905759">
        <w:rPr>
          <w:b/>
          <w:bCs/>
        </w:rPr>
        <w:t xml:space="preserve"> in recurrent ovarian cancer</w:t>
      </w:r>
    </w:p>
    <w:bookmarkEnd w:id="0"/>
    <w:p w14:paraId="58E5A992" w14:textId="77777777" w:rsidR="00584761" w:rsidRDefault="00584761" w:rsidP="00584761">
      <w:pPr>
        <w:spacing w:line="360" w:lineRule="auto"/>
        <w:rPr>
          <w:rFonts w:ascii="Aptos" w:hAnsi="Aptos"/>
        </w:rPr>
      </w:pPr>
    </w:p>
    <w:p w14:paraId="7DA721D3" w14:textId="77777777" w:rsidR="00584761" w:rsidRPr="00334368" w:rsidRDefault="00584761" w:rsidP="00584761">
      <w:pPr>
        <w:spacing w:line="360" w:lineRule="auto"/>
        <w:jc w:val="both"/>
        <w:rPr>
          <w:b/>
          <w:bCs/>
          <w:color w:val="000000" w:themeColor="text1"/>
          <w:vertAlign w:val="superscript"/>
        </w:rPr>
      </w:pPr>
      <w:bookmarkStart w:id="1" w:name="OLE_LINK12"/>
      <w:r w:rsidRPr="00B170FC">
        <w:t>Junya Tabata</w:t>
      </w:r>
      <w:bookmarkEnd w:id="1"/>
      <w:r w:rsidRPr="00B170FC">
        <w:rPr>
          <w:vertAlign w:val="superscript"/>
        </w:rPr>
        <w:t>1</w:t>
      </w:r>
      <w:r>
        <w:rPr>
          <w:vertAlign w:val="superscript"/>
        </w:rPr>
        <w:t>+</w:t>
      </w:r>
      <w:r w:rsidRPr="00B170FC">
        <w:t>, Tzu-Ting Huang</w:t>
      </w:r>
      <w:r w:rsidRPr="00B170FC">
        <w:rPr>
          <w:vertAlign w:val="superscript"/>
        </w:rPr>
        <w:t>1</w:t>
      </w:r>
      <w:r>
        <w:rPr>
          <w:vertAlign w:val="superscript"/>
        </w:rPr>
        <w:t>+*</w:t>
      </w:r>
      <w:r w:rsidRPr="00B170FC">
        <w:t xml:space="preserve">, </w:t>
      </w:r>
      <w:bookmarkStart w:id="2" w:name="OLE_LINK13"/>
      <w:r w:rsidRPr="00B170FC">
        <w:t>Elena Giudice</w:t>
      </w:r>
      <w:bookmarkEnd w:id="2"/>
      <w:r w:rsidRPr="00B170FC">
        <w:rPr>
          <w:vertAlign w:val="superscript"/>
        </w:rPr>
        <w:t>1,2</w:t>
      </w:r>
      <w:r w:rsidRPr="00B170FC">
        <w:t xml:space="preserve">, </w:t>
      </w:r>
      <w:bookmarkStart w:id="3" w:name="OLE_LINK15"/>
      <w:r w:rsidRPr="00B170FC">
        <w:t xml:space="preserve">Kristen </w:t>
      </w:r>
      <w:r>
        <w:t xml:space="preserve">R. </w:t>
      </w:r>
      <w:r w:rsidRPr="00B170FC">
        <w:t>Ibanez</w:t>
      </w:r>
      <w:bookmarkEnd w:id="3"/>
      <w:r w:rsidRPr="00B170FC">
        <w:rPr>
          <w:vertAlign w:val="superscript"/>
        </w:rPr>
        <w:t>1,3</w:t>
      </w:r>
      <w:r w:rsidRPr="00B170FC">
        <w:t xml:space="preserve">, </w:t>
      </w:r>
      <w:bookmarkStart w:id="4" w:name="OLE_LINK19"/>
      <w:r w:rsidRPr="00B170FC">
        <w:t>Jayakumar R. Nair</w:t>
      </w:r>
      <w:bookmarkEnd w:id="4"/>
      <w:r w:rsidRPr="00B170FC">
        <w:rPr>
          <w:vertAlign w:val="superscript"/>
        </w:rPr>
        <w:t>1</w:t>
      </w:r>
      <w:r w:rsidRPr="00B170FC">
        <w:t xml:space="preserve">, </w:t>
      </w:r>
      <w:bookmarkStart w:id="5" w:name="OLE_LINK26"/>
      <w:r w:rsidRPr="00334368">
        <w:rPr>
          <w:color w:val="000000" w:themeColor="text1"/>
        </w:rPr>
        <w:t>Aanika Balaji Warner</w:t>
      </w:r>
      <w:r w:rsidRPr="00334368">
        <w:rPr>
          <w:color w:val="000000" w:themeColor="text1"/>
          <w:vertAlign w:val="superscript"/>
        </w:rPr>
        <w:t>1</w:t>
      </w:r>
      <w:r>
        <w:rPr>
          <w:color w:val="000000" w:themeColor="text1"/>
        </w:rPr>
        <w:t xml:space="preserve">, </w:t>
      </w:r>
      <w:r w:rsidRPr="00334368">
        <w:rPr>
          <w:color w:val="000000" w:themeColor="text1"/>
        </w:rPr>
        <w:t>Britanny B. Solarz</w:t>
      </w:r>
      <w:bookmarkEnd w:id="5"/>
      <w:r w:rsidRPr="00334368">
        <w:rPr>
          <w:color w:val="000000" w:themeColor="text1"/>
          <w:vertAlign w:val="superscript"/>
        </w:rPr>
        <w:t>1</w:t>
      </w:r>
      <w:r w:rsidRPr="00334368">
        <w:rPr>
          <w:color w:val="000000" w:themeColor="text1"/>
        </w:rPr>
        <w:t xml:space="preserve">, </w:t>
      </w:r>
      <w:bookmarkStart w:id="6" w:name="OLE_LINK28"/>
      <w:r w:rsidRPr="00334368">
        <w:rPr>
          <w:color w:val="000000" w:themeColor="text1"/>
        </w:rPr>
        <w:t>Valentina Bolanos</w:t>
      </w:r>
      <w:bookmarkEnd w:id="6"/>
      <w:r w:rsidRPr="00334368">
        <w:rPr>
          <w:color w:val="000000" w:themeColor="text1"/>
          <w:vertAlign w:val="superscript"/>
        </w:rPr>
        <w:t>1</w:t>
      </w:r>
      <w:r w:rsidRPr="00334368">
        <w:rPr>
          <w:color w:val="000000" w:themeColor="text1"/>
        </w:rPr>
        <w:t xml:space="preserve">, </w:t>
      </w:r>
      <w:bookmarkStart w:id="7" w:name="OLE_LINK29"/>
      <w:r w:rsidRPr="00334368">
        <w:rPr>
          <w:color w:val="000000" w:themeColor="text1"/>
        </w:rPr>
        <w:t>Bernadette</w:t>
      </w:r>
      <w:r w:rsidRPr="00334368" w:rsidDel="005450B1">
        <w:rPr>
          <w:color w:val="000000" w:themeColor="text1"/>
        </w:rPr>
        <w:t xml:space="preserve"> </w:t>
      </w:r>
      <w:r w:rsidRPr="00334368">
        <w:rPr>
          <w:color w:val="000000" w:themeColor="text1"/>
        </w:rPr>
        <w:t>Redd</w:t>
      </w:r>
      <w:bookmarkEnd w:id="7"/>
      <w:r w:rsidRPr="00334368">
        <w:rPr>
          <w:color w:val="000000" w:themeColor="text1"/>
          <w:vertAlign w:val="superscript"/>
        </w:rPr>
        <w:t>4</w:t>
      </w:r>
      <w:r w:rsidRPr="00334368">
        <w:rPr>
          <w:color w:val="000000" w:themeColor="text1"/>
        </w:rPr>
        <w:t xml:space="preserve">, </w:t>
      </w:r>
      <w:r w:rsidRPr="00BD5610">
        <w:t>Nahoko Sato</w:t>
      </w:r>
      <w:r w:rsidRPr="00BD5610">
        <w:rPr>
          <w:vertAlign w:val="superscript"/>
        </w:rPr>
        <w:t>5</w:t>
      </w:r>
      <w:r w:rsidRPr="00BD5610">
        <w:t>,</w:t>
      </w:r>
      <w:r w:rsidRPr="00334368">
        <w:t xml:space="preserve"> </w:t>
      </w:r>
      <w:bookmarkStart w:id="8" w:name="OLE_LINK79"/>
      <w:bookmarkStart w:id="9" w:name="OLE_LINK60"/>
      <w:r w:rsidRPr="00571270">
        <w:t>Shraddha Rastogi</w:t>
      </w:r>
      <w:bookmarkEnd w:id="8"/>
      <w:r w:rsidRPr="00571270">
        <w:rPr>
          <w:color w:val="212121"/>
          <w:vertAlign w:val="superscript"/>
        </w:rPr>
        <w:t>5</w:t>
      </w:r>
      <w:bookmarkEnd w:id="9"/>
      <w:r w:rsidRPr="00571270">
        <w:rPr>
          <w:color w:val="212121"/>
        </w:rPr>
        <w:t>,</w:t>
      </w:r>
      <w:r>
        <w:rPr>
          <w:color w:val="212121"/>
        </w:rPr>
        <w:t xml:space="preserve"> </w:t>
      </w:r>
      <w:bookmarkStart w:id="10" w:name="OLE_LINK71"/>
      <w:proofErr w:type="spellStart"/>
      <w:r w:rsidRPr="00FF2998">
        <w:t>Sunmin</w:t>
      </w:r>
      <w:proofErr w:type="spellEnd"/>
      <w:r w:rsidRPr="00A85AFD">
        <w:t xml:space="preserve"> Lee</w:t>
      </w:r>
      <w:bookmarkEnd w:id="10"/>
      <w:r>
        <w:rPr>
          <w:color w:val="212121"/>
          <w:vertAlign w:val="superscript"/>
        </w:rPr>
        <w:t>5</w:t>
      </w:r>
      <w:r w:rsidRPr="00A85AFD">
        <w:t xml:space="preserve">, </w:t>
      </w:r>
      <w:bookmarkStart w:id="11" w:name="OLE_LINK72"/>
      <w:r w:rsidRPr="00292C08">
        <w:t>Roshan L. Shrestha</w:t>
      </w:r>
      <w:bookmarkEnd w:id="11"/>
      <w:r w:rsidRPr="00292C08">
        <w:rPr>
          <w:color w:val="212121"/>
          <w:vertAlign w:val="superscript"/>
        </w:rPr>
        <w:t>5</w:t>
      </w:r>
      <w:r w:rsidRPr="00292C08">
        <w:t>,</w:t>
      </w:r>
      <w:r w:rsidRPr="00A85AFD">
        <w:t xml:space="preserve"> </w:t>
      </w:r>
      <w:bookmarkStart w:id="12" w:name="OLE_LINK73"/>
      <w:r w:rsidRPr="00A85AFD">
        <w:t>Alexander Y. Mitrophanov</w:t>
      </w:r>
      <w:bookmarkEnd w:id="12"/>
      <w:r>
        <w:rPr>
          <w:color w:val="212121"/>
          <w:vertAlign w:val="superscript"/>
        </w:rPr>
        <w:t>6</w:t>
      </w:r>
      <w:r w:rsidRPr="00334368">
        <w:rPr>
          <w:color w:val="000000" w:themeColor="text1"/>
        </w:rPr>
        <w:t>,</w:t>
      </w:r>
      <w:r w:rsidRPr="00334368">
        <w:rPr>
          <w:rFonts w:ascii="Aptos" w:hAnsi="Aptos"/>
          <w:color w:val="000000" w:themeColor="text1"/>
        </w:rPr>
        <w:t xml:space="preserve"> </w:t>
      </w:r>
      <w:bookmarkStart w:id="13" w:name="OLE_LINK74"/>
      <w:r w:rsidRPr="00334368">
        <w:rPr>
          <w:color w:val="000000" w:themeColor="text1"/>
        </w:rPr>
        <w:t>Stanley Lipkowitz</w:t>
      </w:r>
      <w:bookmarkEnd w:id="13"/>
      <w:r w:rsidRPr="00334368">
        <w:rPr>
          <w:color w:val="000000" w:themeColor="text1"/>
          <w:vertAlign w:val="superscript"/>
        </w:rPr>
        <w:t>1</w:t>
      </w:r>
      <w:r w:rsidRPr="00334368">
        <w:rPr>
          <w:color w:val="000000" w:themeColor="text1"/>
        </w:rPr>
        <w:t xml:space="preserve">, </w:t>
      </w:r>
      <w:bookmarkStart w:id="14" w:name="OLE_LINK25"/>
      <w:bookmarkStart w:id="15" w:name="OLE_LINK75"/>
      <w:r w:rsidRPr="00334368">
        <w:rPr>
          <w:color w:val="000000" w:themeColor="text1"/>
        </w:rPr>
        <w:t>Kevin Conlon</w:t>
      </w:r>
      <w:bookmarkEnd w:id="14"/>
      <w:r w:rsidRPr="00334368">
        <w:rPr>
          <w:color w:val="000000" w:themeColor="text1"/>
          <w:vertAlign w:val="superscript"/>
        </w:rPr>
        <w:t>1</w:t>
      </w:r>
      <w:r w:rsidRPr="00334368">
        <w:rPr>
          <w:color w:val="000000" w:themeColor="text1"/>
        </w:rPr>
        <w:t>,</w:t>
      </w:r>
      <w:r w:rsidRPr="00334368">
        <w:rPr>
          <w:color w:val="000000" w:themeColor="text1"/>
          <w:vertAlign w:val="superscript"/>
        </w:rPr>
        <w:t xml:space="preserve"> </w:t>
      </w:r>
      <w:r w:rsidRPr="00334368">
        <w:rPr>
          <w:color w:val="000000" w:themeColor="text1"/>
        </w:rPr>
        <w:t>Chien Chu Huang</w:t>
      </w:r>
      <w:bookmarkEnd w:id="15"/>
      <w:r w:rsidRPr="00334368">
        <w:rPr>
          <w:color w:val="000000" w:themeColor="text1"/>
          <w:vertAlign w:val="superscript"/>
        </w:rPr>
        <w:t>1</w:t>
      </w:r>
      <w:r w:rsidRPr="00334368">
        <w:rPr>
          <w:color w:val="000000" w:themeColor="text1"/>
        </w:rPr>
        <w:t>, and Jung-Min Lee</w:t>
      </w:r>
      <w:r w:rsidRPr="00334368">
        <w:rPr>
          <w:color w:val="000000" w:themeColor="text1"/>
          <w:vertAlign w:val="superscript"/>
        </w:rPr>
        <w:t>1,</w:t>
      </w:r>
      <w:r w:rsidRPr="00334368">
        <w:rPr>
          <w:b/>
          <w:bCs/>
          <w:color w:val="000000" w:themeColor="text1"/>
          <w:vertAlign w:val="superscript"/>
        </w:rPr>
        <w:t xml:space="preserve"> *</w:t>
      </w:r>
    </w:p>
    <w:p w14:paraId="0FC9890D" w14:textId="77777777" w:rsidR="00584761" w:rsidRPr="00B170FC" w:rsidRDefault="00584761" w:rsidP="00584761">
      <w:pPr>
        <w:spacing w:line="360" w:lineRule="auto"/>
        <w:jc w:val="both"/>
      </w:pPr>
    </w:p>
    <w:p w14:paraId="49204BEB" w14:textId="77777777" w:rsidR="00D813DC" w:rsidRDefault="00D813DC" w:rsidP="00314664">
      <w:pPr>
        <w:spacing w:line="360" w:lineRule="auto"/>
        <w:jc w:val="both"/>
      </w:pPr>
    </w:p>
    <w:p w14:paraId="52EAEEE3" w14:textId="77777777" w:rsidR="00D813DC" w:rsidRDefault="00D813DC" w:rsidP="00314664">
      <w:pPr>
        <w:spacing w:line="360" w:lineRule="auto"/>
        <w:jc w:val="both"/>
      </w:pPr>
    </w:p>
    <w:p w14:paraId="0DD68AAB" w14:textId="77777777" w:rsidR="00D813DC" w:rsidRDefault="00D813DC" w:rsidP="00314664">
      <w:pPr>
        <w:spacing w:line="360" w:lineRule="auto"/>
        <w:jc w:val="both"/>
      </w:pPr>
    </w:p>
    <w:p w14:paraId="5EE189D3" w14:textId="77777777" w:rsidR="00D813DC" w:rsidRDefault="00D813DC" w:rsidP="00314664">
      <w:pPr>
        <w:spacing w:line="360" w:lineRule="auto"/>
        <w:jc w:val="both"/>
      </w:pPr>
    </w:p>
    <w:p w14:paraId="4BF4E095" w14:textId="77777777" w:rsidR="00D813DC" w:rsidRDefault="00D813DC" w:rsidP="00314664">
      <w:pPr>
        <w:spacing w:line="360" w:lineRule="auto"/>
        <w:jc w:val="both"/>
      </w:pPr>
    </w:p>
    <w:p w14:paraId="3EBDD893" w14:textId="77777777" w:rsidR="00D813DC" w:rsidRDefault="00D813DC" w:rsidP="00314664">
      <w:pPr>
        <w:spacing w:line="360" w:lineRule="auto"/>
        <w:jc w:val="both"/>
      </w:pPr>
    </w:p>
    <w:p w14:paraId="35360DA6" w14:textId="77777777" w:rsidR="00D813DC" w:rsidRDefault="00D813DC" w:rsidP="00314664">
      <w:pPr>
        <w:spacing w:line="360" w:lineRule="auto"/>
        <w:jc w:val="both"/>
      </w:pPr>
    </w:p>
    <w:p w14:paraId="713E7D33" w14:textId="77777777" w:rsidR="00D813DC" w:rsidRDefault="00D813DC" w:rsidP="00314664">
      <w:pPr>
        <w:spacing w:line="360" w:lineRule="auto"/>
        <w:jc w:val="both"/>
      </w:pPr>
    </w:p>
    <w:p w14:paraId="505C9C0F" w14:textId="77777777" w:rsidR="00D813DC" w:rsidRDefault="00D813DC" w:rsidP="00314664">
      <w:pPr>
        <w:spacing w:line="360" w:lineRule="auto"/>
        <w:jc w:val="both"/>
      </w:pPr>
    </w:p>
    <w:p w14:paraId="0CC1704E" w14:textId="77777777" w:rsidR="00D813DC" w:rsidRDefault="00D813DC" w:rsidP="00314664">
      <w:pPr>
        <w:spacing w:line="360" w:lineRule="auto"/>
        <w:jc w:val="both"/>
      </w:pPr>
    </w:p>
    <w:p w14:paraId="73AFD6BA" w14:textId="77777777" w:rsidR="00D813DC" w:rsidRDefault="00D813DC" w:rsidP="00314664">
      <w:pPr>
        <w:spacing w:line="360" w:lineRule="auto"/>
        <w:jc w:val="both"/>
      </w:pPr>
    </w:p>
    <w:p w14:paraId="30242CF4" w14:textId="77777777" w:rsidR="009958BB" w:rsidRDefault="009958BB" w:rsidP="00314664">
      <w:pPr>
        <w:spacing w:line="360" w:lineRule="auto"/>
        <w:jc w:val="both"/>
      </w:pPr>
    </w:p>
    <w:p w14:paraId="26CE0D10" w14:textId="77777777" w:rsidR="009958BB" w:rsidRDefault="009958BB" w:rsidP="00314664">
      <w:pPr>
        <w:spacing w:line="360" w:lineRule="auto"/>
        <w:jc w:val="both"/>
      </w:pPr>
    </w:p>
    <w:p w14:paraId="7CEC7607" w14:textId="77777777" w:rsidR="009958BB" w:rsidRDefault="009958BB" w:rsidP="00314664">
      <w:pPr>
        <w:spacing w:line="360" w:lineRule="auto"/>
        <w:jc w:val="both"/>
      </w:pPr>
    </w:p>
    <w:p w14:paraId="362EC604" w14:textId="77777777" w:rsidR="009958BB" w:rsidRDefault="009958BB" w:rsidP="00314664">
      <w:pPr>
        <w:spacing w:line="360" w:lineRule="auto"/>
        <w:jc w:val="both"/>
      </w:pPr>
    </w:p>
    <w:p w14:paraId="3A1CB59E" w14:textId="77777777" w:rsidR="009958BB" w:rsidRDefault="009958BB" w:rsidP="00314664">
      <w:pPr>
        <w:spacing w:line="360" w:lineRule="auto"/>
        <w:jc w:val="both"/>
      </w:pPr>
    </w:p>
    <w:p w14:paraId="40D23ADC" w14:textId="77777777" w:rsidR="009958BB" w:rsidRDefault="009958BB" w:rsidP="00314664">
      <w:pPr>
        <w:spacing w:line="360" w:lineRule="auto"/>
        <w:jc w:val="both"/>
      </w:pPr>
    </w:p>
    <w:p w14:paraId="24F36154" w14:textId="77777777" w:rsidR="009958BB" w:rsidRDefault="009958BB" w:rsidP="00314664">
      <w:pPr>
        <w:spacing w:line="360" w:lineRule="auto"/>
        <w:jc w:val="both"/>
      </w:pPr>
    </w:p>
    <w:p w14:paraId="474DF487" w14:textId="77777777" w:rsidR="009958BB" w:rsidRDefault="009958BB" w:rsidP="00314664">
      <w:pPr>
        <w:spacing w:line="360" w:lineRule="auto"/>
        <w:jc w:val="both"/>
      </w:pPr>
    </w:p>
    <w:p w14:paraId="75BFB98B" w14:textId="77777777" w:rsidR="009958BB" w:rsidRDefault="009958BB" w:rsidP="00314664">
      <w:pPr>
        <w:spacing w:line="360" w:lineRule="auto"/>
        <w:jc w:val="both"/>
      </w:pPr>
    </w:p>
    <w:p w14:paraId="0303DE66" w14:textId="77777777" w:rsidR="009958BB" w:rsidRDefault="009958BB" w:rsidP="00314664">
      <w:pPr>
        <w:spacing w:line="360" w:lineRule="auto"/>
        <w:jc w:val="both"/>
      </w:pPr>
    </w:p>
    <w:p w14:paraId="75023FD4" w14:textId="77777777" w:rsidR="009958BB" w:rsidRDefault="009958BB" w:rsidP="00314664">
      <w:pPr>
        <w:spacing w:line="360" w:lineRule="auto"/>
        <w:jc w:val="both"/>
      </w:pPr>
    </w:p>
    <w:p w14:paraId="28CEB33B" w14:textId="77777777" w:rsidR="009958BB" w:rsidRDefault="009958BB" w:rsidP="00314664">
      <w:pPr>
        <w:spacing w:line="360" w:lineRule="auto"/>
        <w:jc w:val="both"/>
      </w:pPr>
    </w:p>
    <w:p w14:paraId="56CADF7D" w14:textId="2FBFD287" w:rsidR="009958BB" w:rsidRPr="009958BB" w:rsidRDefault="009958BB" w:rsidP="00314664">
      <w:pPr>
        <w:spacing w:line="360" w:lineRule="auto"/>
        <w:jc w:val="both"/>
        <w:rPr>
          <w:b/>
          <w:bCs/>
        </w:rPr>
      </w:pPr>
      <w:r w:rsidRPr="009958BB">
        <w:rPr>
          <w:b/>
          <w:bCs/>
        </w:rPr>
        <w:lastRenderedPageBreak/>
        <w:t>Methods</w:t>
      </w:r>
    </w:p>
    <w:p w14:paraId="45FE1CF7" w14:textId="77777777" w:rsidR="009958BB" w:rsidRPr="00662056" w:rsidRDefault="009958BB" w:rsidP="009958BB">
      <w:pPr>
        <w:spacing w:line="360" w:lineRule="auto"/>
        <w:jc w:val="both"/>
        <w:rPr>
          <w:b/>
          <w:bCs/>
        </w:rPr>
      </w:pPr>
      <w:r w:rsidRPr="00662056">
        <w:rPr>
          <w:b/>
          <w:bCs/>
        </w:rPr>
        <w:t xml:space="preserve">Samples collection for WES and </w:t>
      </w:r>
      <w:proofErr w:type="spellStart"/>
      <w:r w:rsidRPr="00662056">
        <w:rPr>
          <w:b/>
          <w:bCs/>
        </w:rPr>
        <w:t>RNAseq</w:t>
      </w:r>
      <w:proofErr w:type="spellEnd"/>
    </w:p>
    <w:p w14:paraId="40AA02AD" w14:textId="77777777" w:rsidR="009958BB" w:rsidRDefault="009958BB" w:rsidP="009958BB">
      <w:pPr>
        <w:spacing w:line="360" w:lineRule="auto"/>
        <w:ind w:firstLine="720"/>
        <w:jc w:val="both"/>
      </w:pPr>
      <w:bookmarkStart w:id="16" w:name="OLE_LINK65"/>
      <w:r w:rsidRPr="00662056">
        <w:t xml:space="preserve">Paired tissue samples (pre- and on-treatment biopsies) were available for 11 and 9 patients in the D+O+C and D+C arms, respectively. </w:t>
      </w:r>
      <w:bookmarkEnd w:id="16"/>
      <w:r w:rsidRPr="00662056">
        <w:t xml:space="preserve">Biopsies were not obtained from five patients in the D+O+C arm for the following reasons: </w:t>
      </w:r>
      <w:r>
        <w:rPr>
          <w:rFonts w:eastAsiaTheme="minorEastAsia" w:hint="eastAsia"/>
          <w:lang w:eastAsia="ja-JP"/>
        </w:rPr>
        <w:t>three</w:t>
      </w:r>
      <w:r w:rsidRPr="00662056">
        <w:t xml:space="preserve"> patients were unable to undergo biopsy due to the restriction on research biopsy during COVID-19, one had tissue of insufficient quality for DNA/RNA extraction, and one withdrew consent prior to the scheduled procedure. In the D+C </w:t>
      </w:r>
      <w:r w:rsidRPr="00662056">
        <w:rPr>
          <w:lang w:eastAsia="ja-JP"/>
        </w:rPr>
        <w:t>arm</w:t>
      </w:r>
      <w:r w:rsidRPr="00662056">
        <w:t>, biopsies were not obtained from four patients: one was unable to undergo biopsy due to elevated partial thromboplastin time, two were unable to undergo biopsy due to the restriction on research biopsy during COVID-19 and one had the procedure cancelled with no safely accessible target lesions on imaging.</w:t>
      </w:r>
      <w:r w:rsidRPr="006E7911">
        <w:t xml:space="preserve"> </w:t>
      </w:r>
    </w:p>
    <w:p w14:paraId="5535839C" w14:textId="77777777" w:rsidR="009958BB" w:rsidRDefault="009958BB" w:rsidP="009958BB">
      <w:pPr>
        <w:spacing w:line="360" w:lineRule="auto"/>
        <w:jc w:val="both"/>
        <w:rPr>
          <w:b/>
          <w:bCs/>
        </w:rPr>
      </w:pPr>
    </w:p>
    <w:p w14:paraId="0106CC92" w14:textId="77777777" w:rsidR="009958BB" w:rsidRPr="007F390F" w:rsidRDefault="009958BB" w:rsidP="009958BB">
      <w:pPr>
        <w:spacing w:line="360" w:lineRule="auto"/>
        <w:jc w:val="both"/>
        <w:rPr>
          <w:b/>
          <w:bCs/>
        </w:rPr>
      </w:pPr>
      <w:r w:rsidRPr="007F390F">
        <w:rPr>
          <w:b/>
          <w:bCs/>
        </w:rPr>
        <w:t>WES</w:t>
      </w:r>
      <w:r>
        <w:rPr>
          <w:b/>
          <w:bCs/>
        </w:rPr>
        <w:t xml:space="preserve"> analysis</w:t>
      </w:r>
    </w:p>
    <w:p w14:paraId="314B0E25" w14:textId="562D2719" w:rsidR="00AF46BF" w:rsidRDefault="009958BB" w:rsidP="00AF46BF">
      <w:pPr>
        <w:spacing w:line="360" w:lineRule="auto"/>
        <w:ind w:firstLine="720"/>
        <w:jc w:val="both"/>
      </w:pPr>
      <w:r w:rsidRPr="0012676D">
        <w:t xml:space="preserve">WES was performed on DNA extracted from tumor biopsy specimens. </w:t>
      </w:r>
      <w:r>
        <w:t>Sample</w:t>
      </w:r>
      <w:r w:rsidR="00F80B87">
        <w:t>s</w:t>
      </w:r>
      <w:r w:rsidRPr="00EA3272">
        <w:t xml:space="preserve"> were pooled and sequenced on </w:t>
      </w:r>
      <w:proofErr w:type="spellStart"/>
      <w:r w:rsidRPr="00EA3272">
        <w:t>NovaSeq</w:t>
      </w:r>
      <w:proofErr w:type="spellEnd"/>
      <w:r w:rsidRPr="00EA3272">
        <w:t xml:space="preserve"> </w:t>
      </w:r>
      <w:proofErr w:type="spellStart"/>
      <w:r w:rsidRPr="00EA3272">
        <w:t>Xplus</w:t>
      </w:r>
      <w:proofErr w:type="spellEnd"/>
      <w:r w:rsidRPr="00EA3272">
        <w:t xml:space="preserve"> 10B run using Agilent </w:t>
      </w:r>
      <w:proofErr w:type="spellStart"/>
      <w:r w:rsidRPr="00EA3272">
        <w:t>SureSelect</w:t>
      </w:r>
      <w:proofErr w:type="spellEnd"/>
      <w:r w:rsidRPr="00EA3272">
        <w:t xml:space="preserve"> XT-Low Human All Exon V8 and paired-end sequencing mode. </w:t>
      </w:r>
      <w:r w:rsidR="00AF46BF" w:rsidRPr="00AF46BF">
        <w:t xml:space="preserve">The samples have 66M to 487M pass filter reads, with Q30 above 87%. The samples were </w:t>
      </w:r>
      <w:proofErr w:type="gramStart"/>
      <w:r w:rsidR="00AF46BF" w:rsidRPr="00AF46BF">
        <w:t>mapped</w:t>
      </w:r>
      <w:proofErr w:type="gramEnd"/>
      <w:r w:rsidR="00AF46BF" w:rsidRPr="00AF46BF">
        <w:t xml:space="preserve"> and variants were called using Dragen with Agilent </w:t>
      </w:r>
      <w:proofErr w:type="spellStart"/>
      <w:r w:rsidR="00AF46BF" w:rsidRPr="00AF46BF">
        <w:t>SureSelect</w:t>
      </w:r>
      <w:proofErr w:type="spellEnd"/>
      <w:r w:rsidR="00AF46BF" w:rsidRPr="00AF46BF">
        <w:t xml:space="preserve"> target file S33266340_hg38_v8.bed. Percent total mapping against reference genome hg38 is about 98% and uniquely mapped reads are above 35%. Library complexity (</w:t>
      </w:r>
      <w:r w:rsidR="00AF46BF" w:rsidRPr="00871858">
        <w:rPr>
          <w:i/>
          <w:iCs/>
        </w:rPr>
        <w:t>i.e.</w:t>
      </w:r>
      <w:r w:rsidR="00871858">
        <w:rPr>
          <w:i/>
          <w:iCs/>
        </w:rPr>
        <w:t>,</w:t>
      </w:r>
      <w:r w:rsidR="00AF46BF" w:rsidRPr="00AF46BF">
        <w:t xml:space="preserve"> percentage of non-duplicate reads) was determined by measuring the percentage of unique fragments in the mapped reads using </w:t>
      </w:r>
      <w:proofErr w:type="spellStart"/>
      <w:r w:rsidR="00AF46BF" w:rsidRPr="00AF46BF">
        <w:t>MarkDuplicate</w:t>
      </w:r>
      <w:proofErr w:type="spellEnd"/>
      <w:r w:rsidR="00AF46BF" w:rsidRPr="00AF46BF">
        <w:t xml:space="preserve"> utility. Percent duplicate reads are between 11% to 62%. There are 63% to 89% of reads mapped on target. Coverage statistics were also measured using Dragen. The mapped sequencing depth coverage over target (after alignment and marking duplicates) was between 95x to 599x. The mean insert size for these samples was between 118 and 282 bases. More than 90% of the target region have the coverage above 20x.</w:t>
      </w:r>
    </w:p>
    <w:p w14:paraId="284A093E" w14:textId="565B94A2" w:rsidR="009958BB" w:rsidRPr="00AF46BF" w:rsidRDefault="00AF46BF" w:rsidP="00AF46BF">
      <w:pPr>
        <w:spacing w:line="360" w:lineRule="auto"/>
        <w:ind w:firstLine="720"/>
        <w:jc w:val="both"/>
      </w:pPr>
      <w:r>
        <w:t>Dragen was run for 75 cases (including 75 pairs of case vs normal) using the mode of somatic variant calling. There are about 233 to 71,802 variants per sample, including 195 to 69,216 SNPs and 32 to 2,586 INDELs. The Ti/Tv ratio is between 0.85 and 2.78. Dragen was run for 55 non-cases or normal samples using the mode of germline joint genotyping. There are about 33,173 to 40,863 variants per sample, including 31,220 to 38,532 SNPs and 1,923 to 2,421 INDELs. The Ti/Tv ratio is between 2.65 and 2.74.</w:t>
      </w:r>
    </w:p>
    <w:p w14:paraId="3B515582" w14:textId="77777777" w:rsidR="009958BB" w:rsidRPr="001D0833" w:rsidRDefault="009958BB" w:rsidP="009958BB">
      <w:pPr>
        <w:spacing w:line="360" w:lineRule="auto"/>
        <w:jc w:val="both"/>
        <w:rPr>
          <w:b/>
          <w:bCs/>
        </w:rPr>
      </w:pPr>
      <w:proofErr w:type="spellStart"/>
      <w:r w:rsidRPr="001D0833">
        <w:rPr>
          <w:b/>
          <w:bCs/>
        </w:rPr>
        <w:lastRenderedPageBreak/>
        <w:t>RNAseq</w:t>
      </w:r>
      <w:proofErr w:type="spellEnd"/>
      <w:r>
        <w:rPr>
          <w:b/>
          <w:bCs/>
        </w:rPr>
        <w:t xml:space="preserve"> analysis</w:t>
      </w:r>
    </w:p>
    <w:p w14:paraId="3A4A28BB" w14:textId="1D41CB1E" w:rsidR="009958BB" w:rsidRDefault="009958BB" w:rsidP="009958BB">
      <w:pPr>
        <w:spacing w:line="360" w:lineRule="auto"/>
        <w:ind w:firstLine="720"/>
        <w:jc w:val="both"/>
      </w:pPr>
      <w:proofErr w:type="spellStart"/>
      <w:r w:rsidRPr="0096032E">
        <w:t>RNAseq</w:t>
      </w:r>
      <w:proofErr w:type="spellEnd"/>
      <w:r w:rsidRPr="0096032E">
        <w:t xml:space="preserve"> was performed on tumor biopsies to characterize gene expression profiles. </w:t>
      </w:r>
      <w:r>
        <w:t xml:space="preserve">RNA samples </w:t>
      </w:r>
      <w:r w:rsidRPr="00EA3272">
        <w:t xml:space="preserve">were pooled and sequenced on </w:t>
      </w:r>
      <w:proofErr w:type="spellStart"/>
      <w:r w:rsidRPr="00EA3272">
        <w:t>NovaSeq</w:t>
      </w:r>
      <w:proofErr w:type="spellEnd"/>
      <w:r w:rsidRPr="00EA3272">
        <w:t xml:space="preserve"> </w:t>
      </w:r>
      <w:proofErr w:type="spellStart"/>
      <w:r w:rsidRPr="00EA3272">
        <w:t>Xplus</w:t>
      </w:r>
      <w:proofErr w:type="spellEnd"/>
      <w:r w:rsidRPr="00EA3272">
        <w:t xml:space="preserve"> 1.5B using Illumina® Stranded Total RNA Prep, Ligation with Ribo-Zero Plus and paired-end sequencing. </w:t>
      </w:r>
      <w:r w:rsidR="00027DCC" w:rsidRPr="00027DCC">
        <w:t xml:space="preserve">The samples have 122 to 190 million pass filter reads with more than 92% of bases above the quality score of Q30. Reads of the samples were trimmed for adapters and low-quality bases using </w:t>
      </w:r>
      <w:proofErr w:type="spellStart"/>
      <w:r w:rsidR="00027DCC" w:rsidRPr="00027DCC">
        <w:t>Cutadapt</w:t>
      </w:r>
      <w:proofErr w:type="spellEnd"/>
      <w:r w:rsidR="00027DCC" w:rsidRPr="00027DCC">
        <w:t xml:space="preserve"> before alignment with the reference genome (hg38) and the annotated transcripts using STAR. The average mapping rate of all samples is 93%. Unique alignment is above 47%. There are 3.55 to 49.58% unmapped reads. The mapping statistics are calculated using Picard software. The samples have 4.29% ribosomal bases. Percent coding bases are between 8-50%. Percent UTR bases are 13-31%, and mRNA bases are between 21-77% for all the samples. Library complexity is measured in terms of unique fragments in the mapped reads using Picard’s </w:t>
      </w:r>
      <w:proofErr w:type="spellStart"/>
      <w:r w:rsidR="00027DCC" w:rsidRPr="00027DCC">
        <w:t>MarkDuplicate</w:t>
      </w:r>
      <w:proofErr w:type="spellEnd"/>
      <w:r w:rsidR="00027DCC" w:rsidRPr="00027DCC">
        <w:t xml:space="preserve"> utility. The samples have 7-76% non-duplicate reads. In addition, the gene expression quantification analysis was performed for all samples using STAR/RSEM tools. </w:t>
      </w:r>
      <w:r w:rsidRPr="0096032E">
        <w:t xml:space="preserve">Quartile normalization and log transformation prior to analysis were performed on datasets. </w:t>
      </w:r>
      <w:r w:rsidRPr="00542817">
        <w:t>GSEA analysis using phenotype-based premutation mode with 1000 permutations was done by GSEA software using NIH Integrated Data Analysis Platform (NIDAP).</w:t>
      </w:r>
      <w:r>
        <w:t xml:space="preserve"> </w:t>
      </w:r>
      <w:r w:rsidRPr="006E0F8D">
        <w:t xml:space="preserve">Differential expression analysis between exceptional responders and NCB tumors was performed using DESeq2 with thresholds of p &lt; 0.05 and </w:t>
      </w:r>
      <w:r>
        <w:t>|</w:t>
      </w:r>
      <w:r w:rsidRPr="006E0F8D">
        <w:t>log₂</w:t>
      </w:r>
      <w:r>
        <w:t xml:space="preserve"> fold-change|</w:t>
      </w:r>
      <w:r w:rsidRPr="006E0F8D">
        <w:t xml:space="preserve"> &gt; 1.</w:t>
      </w:r>
      <w:r>
        <w:t xml:space="preserve"> </w:t>
      </w:r>
      <w:r w:rsidRPr="006E0F8D">
        <w:t>Functional enrichment of these gene lists was performed using STRING v12.0</w:t>
      </w:r>
      <w:r>
        <w:rPr>
          <w:rFonts w:hint="eastAsia"/>
        </w:rPr>
        <w:t xml:space="preserve"> </w:t>
      </w:r>
      <w:r>
        <w:t>(</w:t>
      </w:r>
      <w:r w:rsidRPr="009958BB">
        <w:t>https://string-db.org/</w:t>
      </w:r>
      <w:r>
        <w:t>)</w:t>
      </w:r>
      <w:r w:rsidRPr="006E0F8D">
        <w:rPr>
          <w:rFonts w:hint="eastAsia"/>
        </w:rPr>
        <w:t>.</w:t>
      </w:r>
    </w:p>
    <w:p w14:paraId="0B7A7BA3" w14:textId="77777777" w:rsidR="009958BB" w:rsidRDefault="009958BB" w:rsidP="009958BB">
      <w:pPr>
        <w:spacing w:line="360" w:lineRule="auto"/>
        <w:jc w:val="both"/>
      </w:pPr>
    </w:p>
    <w:p w14:paraId="734180B9" w14:textId="77777777" w:rsidR="009958BB" w:rsidRPr="00CA42BA" w:rsidRDefault="009958BB" w:rsidP="009958BB">
      <w:pPr>
        <w:spacing w:line="360" w:lineRule="auto"/>
        <w:jc w:val="both"/>
        <w:rPr>
          <w:b/>
          <w:bCs/>
        </w:rPr>
      </w:pPr>
      <w:r w:rsidRPr="00CA42BA">
        <w:rPr>
          <w:b/>
          <w:bCs/>
        </w:rPr>
        <w:t>CTCs analysis</w:t>
      </w:r>
    </w:p>
    <w:p w14:paraId="32F41F8F" w14:textId="77777777" w:rsidR="009958BB" w:rsidRDefault="009958BB" w:rsidP="009958BB">
      <w:pPr>
        <w:spacing w:line="360" w:lineRule="auto"/>
        <w:jc w:val="both"/>
      </w:pPr>
      <w:r w:rsidRPr="00CA42BA">
        <w:rPr>
          <w:b/>
          <w:bCs/>
        </w:rPr>
        <w:tab/>
      </w:r>
      <w:r w:rsidRPr="00CA42BA">
        <w:t>Peripheral blood samples (</w:t>
      </w:r>
      <w:r>
        <w:t>10</w:t>
      </w:r>
      <w:r w:rsidRPr="00CA42BA">
        <w:t xml:space="preserve"> mL EDTA tubes) were collected at baseline,</w:t>
      </w:r>
      <w:r w:rsidRPr="00CA42BA">
        <w:rPr>
          <w:lang w:eastAsia="ja-JP"/>
        </w:rPr>
        <w:t xml:space="preserve"> </w:t>
      </w:r>
      <w:r w:rsidRPr="00CA42BA">
        <w:t>C1D15</w:t>
      </w:r>
      <w:r>
        <w:t>, C3D1, and progression</w:t>
      </w:r>
      <w:r w:rsidRPr="00CA42BA">
        <w:t>. After RBC lysis, blood cells were incubated with</w:t>
      </w:r>
      <w:r w:rsidRPr="00CA42BA">
        <w:rPr>
          <w:lang w:eastAsia="ja-JP"/>
        </w:rPr>
        <w:t xml:space="preserve"> </w:t>
      </w:r>
      <w:r w:rsidRPr="00CA42BA">
        <w:t>nuclear dye (#H3570, Hoechst 33342, Life Technologies, DC, USA),</w:t>
      </w:r>
      <w:r w:rsidRPr="00CA42BA">
        <w:rPr>
          <w:lang w:eastAsia="ja-JP"/>
        </w:rPr>
        <w:t xml:space="preserve"> </w:t>
      </w:r>
      <w:r w:rsidRPr="00CA42BA">
        <w:t>viability dye (#L34966, LIVE/DEAD Fixable Aqua, Life Technologies)</w:t>
      </w:r>
      <w:r w:rsidRPr="00CA42BA">
        <w:rPr>
          <w:lang w:eastAsia="ja-JP"/>
        </w:rPr>
        <w:t xml:space="preserve"> </w:t>
      </w:r>
      <w:r w:rsidRPr="00CA42BA">
        <w:t>and antibodies including PE-conjugated anti-human epithelial cell</w:t>
      </w:r>
      <w:r w:rsidRPr="00CA42BA">
        <w:rPr>
          <w:lang w:eastAsia="ja-JP"/>
        </w:rPr>
        <w:t xml:space="preserve"> </w:t>
      </w:r>
      <w:r w:rsidRPr="00CA42BA">
        <w:t>adhesion molecule (</w:t>
      </w:r>
      <w:proofErr w:type="spellStart"/>
      <w:r w:rsidRPr="00CA42BA">
        <w:t>EpCAM</w:t>
      </w:r>
      <w:proofErr w:type="spellEnd"/>
      <w:r w:rsidRPr="00CA42BA">
        <w:t xml:space="preserve">) Ab (#130-091-253, clone HEA-125, </w:t>
      </w:r>
      <w:proofErr w:type="spellStart"/>
      <w:r w:rsidRPr="00CA42BA">
        <w:t>Miltenyi</w:t>
      </w:r>
      <w:proofErr w:type="spellEnd"/>
      <w:r w:rsidRPr="00CA42BA">
        <w:rPr>
          <w:lang w:eastAsia="ja-JP"/>
        </w:rPr>
        <w:t xml:space="preserve"> </w:t>
      </w:r>
      <w:r w:rsidRPr="00CA42BA">
        <w:t xml:space="preserve">Biotec, CA, USA). The anti-PE magnetic beads (#130-048-801, </w:t>
      </w:r>
      <w:proofErr w:type="spellStart"/>
      <w:r w:rsidRPr="00CA42BA">
        <w:t>Miltenyi</w:t>
      </w:r>
      <w:proofErr w:type="spellEnd"/>
      <w:r w:rsidRPr="00CA42BA">
        <w:rPr>
          <w:lang w:eastAsia="ja-JP"/>
        </w:rPr>
        <w:t xml:space="preserve"> </w:t>
      </w:r>
      <w:r w:rsidRPr="00CA42BA">
        <w:t xml:space="preserve">Biotec) were then used to enrich </w:t>
      </w:r>
      <w:proofErr w:type="spellStart"/>
      <w:r w:rsidRPr="00CA42BA">
        <w:t>EpCAM</w:t>
      </w:r>
      <w:proofErr w:type="spellEnd"/>
      <w:r w:rsidRPr="00CA42BA">
        <w:t>-positive cells. Cell</w:t>
      </w:r>
      <w:r w:rsidRPr="00CA42BA">
        <w:rPr>
          <w:lang w:eastAsia="ja-JP"/>
        </w:rPr>
        <w:t xml:space="preserve"> </w:t>
      </w:r>
      <w:r w:rsidRPr="00CA42BA">
        <w:t>quantification was calculated by multiparameter flow cytometry.</w:t>
      </w:r>
      <w:r w:rsidRPr="00CA42BA">
        <w:rPr>
          <w:lang w:eastAsia="ja-JP"/>
        </w:rPr>
        <w:t xml:space="preserve"> </w:t>
      </w:r>
      <w:r w:rsidRPr="00CA42BA">
        <w:t xml:space="preserve">Viable, nucleated, </w:t>
      </w:r>
      <w:proofErr w:type="spellStart"/>
      <w:r w:rsidRPr="00CA42BA">
        <w:t>EpCAM</w:t>
      </w:r>
      <w:proofErr w:type="spellEnd"/>
      <w:r w:rsidRPr="00CA42BA">
        <w:t>-positive, CD45 (#304014, clone HI30, Bio-Legend, CA, USA) negative cells were finally considered CTCs</w:t>
      </w:r>
      <w:r>
        <w:t>.</w:t>
      </w:r>
    </w:p>
    <w:p w14:paraId="7196EC8F" w14:textId="77777777" w:rsidR="009958BB" w:rsidRDefault="009958BB" w:rsidP="00314664">
      <w:pPr>
        <w:spacing w:line="360" w:lineRule="auto"/>
        <w:jc w:val="both"/>
      </w:pPr>
    </w:p>
    <w:p w14:paraId="218204C9" w14:textId="4A41C6DD" w:rsidR="00BB5514" w:rsidRDefault="009E6580" w:rsidP="00021587">
      <w:pPr>
        <w:spacing w:line="360" w:lineRule="auto"/>
        <w:jc w:val="center"/>
      </w:pPr>
      <w:r>
        <w:rPr>
          <w:noProof/>
        </w:rPr>
        <w:lastRenderedPageBreak/>
        <w:drawing>
          <wp:inline distT="0" distB="0" distL="0" distR="0" wp14:anchorId="428E0E4A" wp14:editId="4803630B">
            <wp:extent cx="5689721" cy="5233035"/>
            <wp:effectExtent l="0" t="0" r="0" b="0"/>
            <wp:docPr id="10069457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45775" name="Picture 1006945775"/>
                    <pic:cNvPicPr/>
                  </pic:nvPicPr>
                  <pic:blipFill rotWithShape="1">
                    <a:blip r:embed="rId4" cstate="print">
                      <a:extLst>
                        <a:ext uri="{28A0092B-C50C-407E-A947-70E740481C1C}">
                          <a14:useLocalDpi xmlns:a14="http://schemas.microsoft.com/office/drawing/2010/main" val="0"/>
                        </a:ext>
                      </a:extLst>
                    </a:blip>
                    <a:srcRect l="1309" t="4619" r="3006" b="9693"/>
                    <a:stretch>
                      <a:fillRect/>
                    </a:stretch>
                  </pic:blipFill>
                  <pic:spPr bwMode="auto">
                    <a:xfrm>
                      <a:off x="0" y="0"/>
                      <a:ext cx="5690787" cy="5234015"/>
                    </a:xfrm>
                    <a:prstGeom prst="rect">
                      <a:avLst/>
                    </a:prstGeom>
                    <a:ln>
                      <a:noFill/>
                    </a:ln>
                    <a:extLst>
                      <a:ext uri="{53640926-AAD7-44D8-BBD7-CCE9431645EC}">
                        <a14:shadowObscured xmlns:a14="http://schemas.microsoft.com/office/drawing/2010/main"/>
                      </a:ext>
                    </a:extLst>
                  </pic:spPr>
                </pic:pic>
              </a:graphicData>
            </a:graphic>
          </wp:inline>
        </w:drawing>
      </w:r>
    </w:p>
    <w:p w14:paraId="2C0DF4BF" w14:textId="77777777" w:rsidR="00D813DC" w:rsidRDefault="00D813DC" w:rsidP="00314664">
      <w:pPr>
        <w:spacing w:line="360" w:lineRule="auto"/>
        <w:jc w:val="both"/>
        <w:rPr>
          <w:rFonts w:eastAsiaTheme="minorEastAsia"/>
          <w:b/>
          <w:bCs/>
          <w:lang w:eastAsia="ja-JP"/>
        </w:rPr>
      </w:pPr>
    </w:p>
    <w:p w14:paraId="048348C3" w14:textId="53FF2016" w:rsidR="00D813DC" w:rsidRDefault="00D813DC" w:rsidP="00314664">
      <w:pPr>
        <w:spacing w:line="360" w:lineRule="auto"/>
        <w:jc w:val="both"/>
        <w:rPr>
          <w:lang w:eastAsia="en-GB"/>
        </w:rPr>
      </w:pPr>
      <w:r>
        <w:rPr>
          <w:rFonts w:eastAsiaTheme="minorEastAsia" w:hint="eastAsia"/>
          <w:b/>
          <w:bCs/>
          <w:lang w:eastAsia="ja-JP"/>
        </w:rPr>
        <w:t>Extended Data</w:t>
      </w:r>
      <w:r>
        <w:rPr>
          <w:b/>
          <w:bCs/>
        </w:rPr>
        <w:t xml:space="preserve"> </w:t>
      </w:r>
      <w:r w:rsidRPr="00A12B5C">
        <w:rPr>
          <w:b/>
          <w:bCs/>
        </w:rPr>
        <w:t xml:space="preserve">Fig. 1: </w:t>
      </w:r>
      <w:r>
        <w:rPr>
          <w:b/>
          <w:bCs/>
        </w:rPr>
        <w:t>Somatic mutations in</w:t>
      </w:r>
      <w:r w:rsidRPr="008475C6">
        <w:rPr>
          <w:b/>
          <w:bCs/>
        </w:rPr>
        <w:t xml:space="preserve"> </w:t>
      </w:r>
      <w:r>
        <w:rPr>
          <w:b/>
          <w:bCs/>
        </w:rPr>
        <w:t>DNA repair</w:t>
      </w:r>
      <w:r w:rsidRPr="008475C6">
        <w:rPr>
          <w:b/>
          <w:bCs/>
        </w:rPr>
        <w:t>-</w:t>
      </w:r>
      <w:r w:rsidR="002F66BC">
        <w:rPr>
          <w:b/>
          <w:bCs/>
        </w:rPr>
        <w:t xml:space="preserve"> and survival-</w:t>
      </w:r>
      <w:r w:rsidRPr="008475C6">
        <w:rPr>
          <w:b/>
          <w:bCs/>
        </w:rPr>
        <w:t xml:space="preserve">associated genes. </w:t>
      </w:r>
      <w:r>
        <w:rPr>
          <w:color w:val="000000" w:themeColor="text1"/>
          <w:spacing w:val="4"/>
          <w:shd w:val="clear" w:color="auto" w:fill="FFFFFF"/>
        </w:rPr>
        <w:t>Whole-exome sequencing</w:t>
      </w:r>
      <w:r w:rsidRPr="008475C6">
        <w:rPr>
          <w:color w:val="000000" w:themeColor="text1"/>
          <w:spacing w:val="4"/>
          <w:shd w:val="clear" w:color="auto" w:fill="FFFFFF"/>
        </w:rPr>
        <w:t xml:space="preserve"> data analysis revealed the</w:t>
      </w:r>
      <w:r w:rsidRPr="008475C6">
        <w:rPr>
          <w:rFonts w:eastAsiaTheme="minorHAnsi"/>
          <w:b/>
          <w:bCs/>
          <w:color w:val="000000" w:themeColor="text1"/>
        </w:rPr>
        <w:t xml:space="preserve"> </w:t>
      </w:r>
      <w:r w:rsidRPr="008475C6">
        <w:rPr>
          <w:color w:val="000000" w:themeColor="text1"/>
          <w:spacing w:val="4"/>
          <w:shd w:val="clear" w:color="auto" w:fill="FFFFFF"/>
        </w:rPr>
        <w:t xml:space="preserve">genetic alterations of genes related to </w:t>
      </w:r>
      <w:r>
        <w:rPr>
          <w:color w:val="000000" w:themeColor="text1"/>
          <w:spacing w:val="4"/>
          <w:shd w:val="clear" w:color="auto" w:fill="FFFFFF"/>
        </w:rPr>
        <w:t>DNA repair</w:t>
      </w:r>
      <w:r w:rsidR="002F66BC">
        <w:rPr>
          <w:color w:val="000000" w:themeColor="text1"/>
          <w:spacing w:val="4"/>
          <w:shd w:val="clear" w:color="auto" w:fill="FFFFFF"/>
        </w:rPr>
        <w:t xml:space="preserve"> or survival</w:t>
      </w:r>
      <w:r w:rsidR="002F66BC">
        <w:rPr>
          <w:lang w:eastAsia="en-GB"/>
        </w:rPr>
        <w:t xml:space="preserve"> in D+O+C and D+C arms.</w:t>
      </w:r>
    </w:p>
    <w:p w14:paraId="3B8B1211" w14:textId="77777777" w:rsidR="00D813DC" w:rsidRDefault="00D813DC" w:rsidP="00314664">
      <w:pPr>
        <w:spacing w:line="360" w:lineRule="auto"/>
        <w:jc w:val="both"/>
        <w:rPr>
          <w:lang w:eastAsia="en-GB"/>
        </w:rPr>
      </w:pPr>
    </w:p>
    <w:p w14:paraId="33955FA7" w14:textId="146A9604" w:rsidR="00D813DC" w:rsidRDefault="00D813DC" w:rsidP="00314664">
      <w:pPr>
        <w:spacing w:line="360" w:lineRule="auto"/>
        <w:jc w:val="both"/>
        <w:rPr>
          <w:lang w:eastAsia="en-GB"/>
        </w:rPr>
      </w:pPr>
      <w:r>
        <w:rPr>
          <w:lang w:eastAsia="en-GB"/>
        </w:rPr>
        <w:t xml:space="preserve">Abbreviations: CB, </w:t>
      </w:r>
      <w:r w:rsidR="00C83177">
        <w:rPr>
          <w:lang w:eastAsia="en-GB"/>
        </w:rPr>
        <w:t>clinical</w:t>
      </w:r>
      <w:r>
        <w:rPr>
          <w:lang w:eastAsia="en-GB"/>
        </w:rPr>
        <w:t xml:space="preserve"> benefit; D+O+C, </w:t>
      </w:r>
      <w:r>
        <w:t xml:space="preserve">durvalumab, </w:t>
      </w:r>
      <w:proofErr w:type="spellStart"/>
      <w:r>
        <w:t>cediranib</w:t>
      </w:r>
      <w:proofErr w:type="spellEnd"/>
      <w:r>
        <w:t xml:space="preserve">, and </w:t>
      </w:r>
      <w:proofErr w:type="spellStart"/>
      <w:r>
        <w:t>olaparib</w:t>
      </w:r>
      <w:proofErr w:type="spellEnd"/>
      <w:r>
        <w:t xml:space="preserve">; D+C, durvalumab plus </w:t>
      </w:r>
      <w:proofErr w:type="spellStart"/>
      <w:r>
        <w:t>cediranib</w:t>
      </w:r>
      <w:proofErr w:type="spellEnd"/>
      <w:r>
        <w:t xml:space="preserve">; </w:t>
      </w:r>
      <w:r>
        <w:rPr>
          <w:lang w:eastAsia="en-GB"/>
        </w:rPr>
        <w:t>NCB, no clinical benefit; PD, progression disease; PR, partial response; SD, stable disease; TMB/MB, tumor mutation burden/</w:t>
      </w:r>
      <w:proofErr w:type="spellStart"/>
      <w:r>
        <w:rPr>
          <w:lang w:eastAsia="en-GB"/>
        </w:rPr>
        <w:t>megabase</w:t>
      </w:r>
      <w:proofErr w:type="spellEnd"/>
      <w:r>
        <w:rPr>
          <w:lang w:eastAsia="en-GB"/>
        </w:rPr>
        <w:t>.</w:t>
      </w:r>
    </w:p>
    <w:p w14:paraId="3AE4AF79" w14:textId="77777777" w:rsidR="002F66BC" w:rsidRDefault="002F66BC" w:rsidP="00314664">
      <w:pPr>
        <w:spacing w:line="360" w:lineRule="auto"/>
        <w:jc w:val="both"/>
        <w:rPr>
          <w:lang w:eastAsia="en-GB"/>
        </w:rPr>
      </w:pPr>
    </w:p>
    <w:p w14:paraId="330752EE" w14:textId="77777777" w:rsidR="002F66BC" w:rsidRDefault="002F66BC" w:rsidP="00314664">
      <w:pPr>
        <w:spacing w:line="360" w:lineRule="auto"/>
        <w:jc w:val="both"/>
        <w:rPr>
          <w:lang w:eastAsia="en-GB"/>
        </w:rPr>
      </w:pPr>
    </w:p>
    <w:p w14:paraId="249A221C" w14:textId="77777777" w:rsidR="002F66BC" w:rsidRDefault="002F66BC" w:rsidP="00314664">
      <w:pPr>
        <w:spacing w:line="360" w:lineRule="auto"/>
        <w:jc w:val="both"/>
        <w:rPr>
          <w:lang w:eastAsia="en-GB"/>
        </w:rPr>
      </w:pPr>
    </w:p>
    <w:p w14:paraId="5C4DE7F8" w14:textId="3F45FF1C" w:rsidR="002F66BC" w:rsidRDefault="002F66BC" w:rsidP="00021587">
      <w:pPr>
        <w:spacing w:line="360" w:lineRule="auto"/>
        <w:jc w:val="center"/>
      </w:pPr>
      <w:r>
        <w:rPr>
          <w:noProof/>
          <w14:ligatures w14:val="standardContextual"/>
        </w:rPr>
        <w:lastRenderedPageBreak/>
        <w:drawing>
          <wp:inline distT="0" distB="0" distL="0" distR="0" wp14:anchorId="7B58B706" wp14:editId="347DC1D7">
            <wp:extent cx="5502912" cy="5398851"/>
            <wp:effectExtent l="0" t="0" r="0" b="0"/>
            <wp:docPr id="154528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87189" name="Picture 154528718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9420" cy="5405236"/>
                    </a:xfrm>
                    <a:prstGeom prst="rect">
                      <a:avLst/>
                    </a:prstGeom>
                  </pic:spPr>
                </pic:pic>
              </a:graphicData>
            </a:graphic>
          </wp:inline>
        </w:drawing>
      </w:r>
    </w:p>
    <w:p w14:paraId="6416D349" w14:textId="409C2014" w:rsidR="002F66BC" w:rsidRDefault="002F66BC" w:rsidP="002F66BC">
      <w:pPr>
        <w:spacing w:line="360" w:lineRule="auto"/>
        <w:jc w:val="both"/>
        <w:rPr>
          <w:b/>
          <w:bCs/>
        </w:rPr>
      </w:pPr>
      <w:r>
        <w:rPr>
          <w:b/>
          <w:bCs/>
        </w:rPr>
        <w:t>Extended Data</w:t>
      </w:r>
      <w:r w:rsidRPr="0042315B">
        <w:rPr>
          <w:b/>
          <w:bCs/>
        </w:rPr>
        <w:t xml:space="preserve"> </w:t>
      </w:r>
      <w:r w:rsidRPr="00D02C77">
        <w:rPr>
          <w:b/>
          <w:bCs/>
        </w:rPr>
        <w:t xml:space="preserve">Fig. </w:t>
      </w:r>
      <w:r>
        <w:rPr>
          <w:b/>
          <w:bCs/>
        </w:rPr>
        <w:t>2:</w:t>
      </w:r>
      <w:r w:rsidRPr="00D02C77">
        <w:rPr>
          <w:b/>
          <w:bCs/>
        </w:rPr>
        <w:t xml:space="preserve"> CTCs analyses. </w:t>
      </w:r>
    </w:p>
    <w:p w14:paraId="536F043C" w14:textId="6F0DD897" w:rsidR="002F66BC" w:rsidRDefault="002F66BC" w:rsidP="002F66BC">
      <w:pPr>
        <w:spacing w:line="360" w:lineRule="auto"/>
        <w:jc w:val="both"/>
      </w:pPr>
      <w:r>
        <w:rPr>
          <w:b/>
          <w:bCs/>
        </w:rPr>
        <w:t>a</w:t>
      </w:r>
      <w:r w:rsidR="00712FE5">
        <w:rPr>
          <w:b/>
          <w:bCs/>
        </w:rPr>
        <w:t>.</w:t>
      </w:r>
      <w:r w:rsidRPr="00D02C77">
        <w:t xml:space="preserve"> Dynamic changes of CTCs between baseline and C1D15. </w:t>
      </w:r>
      <w:r>
        <w:t>N</w:t>
      </w:r>
      <w:r w:rsidRPr="00D02C77">
        <w:t xml:space="preserve">o changes were observed in the count per tube of </w:t>
      </w:r>
      <w:proofErr w:type="spellStart"/>
      <w:r w:rsidRPr="00D02C77">
        <w:t>EpCAM</w:t>
      </w:r>
      <w:proofErr w:type="spellEnd"/>
      <w:r w:rsidRPr="00D02C77">
        <w:t>+ CTCs</w:t>
      </w:r>
      <w:r>
        <w:t xml:space="preserve"> </w:t>
      </w:r>
      <w:r w:rsidRPr="00D02C77">
        <w:t xml:space="preserve">in </w:t>
      </w:r>
      <w:r>
        <w:t>patients with CB or NCB</w:t>
      </w:r>
      <w:r w:rsidRPr="00D02C77">
        <w:t xml:space="preserve">. </w:t>
      </w:r>
    </w:p>
    <w:p w14:paraId="5AB4721B" w14:textId="013B1C95" w:rsidR="002F66BC" w:rsidRDefault="002F66BC" w:rsidP="002F66BC">
      <w:pPr>
        <w:spacing w:line="360" w:lineRule="auto"/>
        <w:jc w:val="both"/>
      </w:pPr>
      <w:r>
        <w:rPr>
          <w:b/>
          <w:bCs/>
        </w:rPr>
        <w:t>b</w:t>
      </w:r>
      <w:r w:rsidR="00712FE5">
        <w:rPr>
          <w:b/>
          <w:bCs/>
        </w:rPr>
        <w:t>.</w:t>
      </w:r>
      <w:r w:rsidRPr="00D02C77">
        <w:t xml:space="preserve"> Kaplan–Meier estimates of PFS in patients with </w:t>
      </w:r>
      <w:proofErr w:type="spellStart"/>
      <w:r w:rsidRPr="00D02C77">
        <w:t>EpCAM</w:t>
      </w:r>
      <w:proofErr w:type="spellEnd"/>
      <w:r w:rsidRPr="00D02C77">
        <w:t xml:space="preserve">+ MUC1+ CTCs versus no change or increase in </w:t>
      </w:r>
      <w:proofErr w:type="spellStart"/>
      <w:r w:rsidRPr="00D02C77">
        <w:t>EpCAM</w:t>
      </w:r>
      <w:proofErr w:type="spellEnd"/>
      <w:r w:rsidRPr="00D02C77">
        <w:t xml:space="preserve">+ MUC1+ CTCs. </w:t>
      </w:r>
    </w:p>
    <w:p w14:paraId="578A66CD" w14:textId="77777777" w:rsidR="002F66BC" w:rsidRDefault="002F66BC" w:rsidP="002F66BC">
      <w:pPr>
        <w:spacing w:line="360" w:lineRule="auto"/>
        <w:jc w:val="both"/>
        <w:rPr>
          <w:b/>
          <w:bCs/>
        </w:rPr>
      </w:pPr>
    </w:p>
    <w:p w14:paraId="6B6A3241" w14:textId="6513291E" w:rsidR="002F66BC" w:rsidRDefault="002F66BC" w:rsidP="00314664">
      <w:pPr>
        <w:spacing w:line="360" w:lineRule="auto"/>
        <w:jc w:val="both"/>
      </w:pPr>
      <w:r w:rsidRPr="00D02C77">
        <w:t>Abbreviations: C1D15, cycle 1 day 15; C</w:t>
      </w:r>
      <w:r>
        <w:t>3</w:t>
      </w:r>
      <w:r w:rsidRPr="00D02C77">
        <w:t>D</w:t>
      </w:r>
      <w:r>
        <w:t>1</w:t>
      </w:r>
      <w:r w:rsidRPr="00D02C77">
        <w:t xml:space="preserve">, cycle </w:t>
      </w:r>
      <w:r>
        <w:t>3</w:t>
      </w:r>
      <w:r w:rsidRPr="00D02C77">
        <w:t xml:space="preserve"> day 1;</w:t>
      </w:r>
      <w:r>
        <w:t xml:space="preserve"> </w:t>
      </w:r>
      <w:r>
        <w:rPr>
          <w:lang w:eastAsia="en-GB"/>
        </w:rPr>
        <w:t xml:space="preserve">CB, clinical benefit; </w:t>
      </w:r>
      <w:r w:rsidRPr="00D02C77">
        <w:t xml:space="preserve">CTCs, </w:t>
      </w:r>
      <w:r>
        <w:t>c</w:t>
      </w:r>
      <w:r w:rsidRPr="00D02C77">
        <w:t xml:space="preserve">irculating </w:t>
      </w:r>
      <w:r>
        <w:t>t</w:t>
      </w:r>
      <w:r w:rsidRPr="00D02C77">
        <w:t xml:space="preserve">umor </w:t>
      </w:r>
      <w:r>
        <w:t>c</w:t>
      </w:r>
      <w:r w:rsidRPr="00D02C77">
        <w:t xml:space="preserve">ells; CI, confidence interval; </w:t>
      </w:r>
      <w:r>
        <w:rPr>
          <w:lang w:eastAsia="en-GB"/>
        </w:rPr>
        <w:t xml:space="preserve">D+O+C, </w:t>
      </w:r>
      <w:r>
        <w:t xml:space="preserve">durvalumab, </w:t>
      </w:r>
      <w:proofErr w:type="spellStart"/>
      <w:r>
        <w:t>cediranib</w:t>
      </w:r>
      <w:proofErr w:type="spellEnd"/>
      <w:r>
        <w:t xml:space="preserve">, and </w:t>
      </w:r>
      <w:proofErr w:type="spellStart"/>
      <w:r>
        <w:t>olaparib</w:t>
      </w:r>
      <w:proofErr w:type="spellEnd"/>
      <w:r>
        <w:t xml:space="preserve">; D+C, durvalumab plus </w:t>
      </w:r>
      <w:proofErr w:type="spellStart"/>
      <w:r>
        <w:t>cediranib</w:t>
      </w:r>
      <w:proofErr w:type="spellEnd"/>
      <w:r>
        <w:t xml:space="preserve">; </w:t>
      </w:r>
      <w:proofErr w:type="spellStart"/>
      <w:r w:rsidRPr="00A76BF6">
        <w:t>EpCAM</w:t>
      </w:r>
      <w:proofErr w:type="spellEnd"/>
      <w:r>
        <w:t>,</w:t>
      </w:r>
      <w:r w:rsidRPr="00A76BF6">
        <w:t xml:space="preserve"> epithelial cell adhesion molecules</w:t>
      </w:r>
      <w:r>
        <w:t>;</w:t>
      </w:r>
      <w:r w:rsidRPr="00A76BF6">
        <w:t xml:space="preserve"> </w:t>
      </w:r>
      <w:r>
        <w:rPr>
          <w:lang w:eastAsia="en-GB"/>
        </w:rPr>
        <w:t xml:space="preserve">NCB, no clinical benefit; </w:t>
      </w:r>
      <w:r w:rsidRPr="00D02C77">
        <w:t>PFS, progression-free survival</w:t>
      </w:r>
      <w:r>
        <w:t>.</w:t>
      </w:r>
    </w:p>
    <w:sectPr w:rsidR="002F6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80"/>
    <w:rsid w:val="00002F6A"/>
    <w:rsid w:val="00021587"/>
    <w:rsid w:val="00027DCC"/>
    <w:rsid w:val="00035921"/>
    <w:rsid w:val="0004448B"/>
    <w:rsid w:val="00070570"/>
    <w:rsid w:val="000744B1"/>
    <w:rsid w:val="00080A1F"/>
    <w:rsid w:val="000857F9"/>
    <w:rsid w:val="00096692"/>
    <w:rsid w:val="000A2D95"/>
    <w:rsid w:val="000A371B"/>
    <w:rsid w:val="000A4DAE"/>
    <w:rsid w:val="000A729E"/>
    <w:rsid w:val="000B204A"/>
    <w:rsid w:val="000B62EE"/>
    <w:rsid w:val="000D7888"/>
    <w:rsid w:val="000E1718"/>
    <w:rsid w:val="000E2A32"/>
    <w:rsid w:val="000E30D2"/>
    <w:rsid w:val="000E5735"/>
    <w:rsid w:val="000F05F9"/>
    <w:rsid w:val="000F0748"/>
    <w:rsid w:val="00110526"/>
    <w:rsid w:val="001160AE"/>
    <w:rsid w:val="00122C1F"/>
    <w:rsid w:val="001244D5"/>
    <w:rsid w:val="00137D53"/>
    <w:rsid w:val="00143BCE"/>
    <w:rsid w:val="00145043"/>
    <w:rsid w:val="00145F46"/>
    <w:rsid w:val="00150E03"/>
    <w:rsid w:val="00155DA7"/>
    <w:rsid w:val="0018234E"/>
    <w:rsid w:val="00182990"/>
    <w:rsid w:val="0019019F"/>
    <w:rsid w:val="001943F8"/>
    <w:rsid w:val="001A3818"/>
    <w:rsid w:val="001C6FD5"/>
    <w:rsid w:val="001D67BB"/>
    <w:rsid w:val="001E69D1"/>
    <w:rsid w:val="0021269F"/>
    <w:rsid w:val="002374E3"/>
    <w:rsid w:val="0025059B"/>
    <w:rsid w:val="00282A0D"/>
    <w:rsid w:val="00284E79"/>
    <w:rsid w:val="00293C92"/>
    <w:rsid w:val="002946F4"/>
    <w:rsid w:val="00295E9E"/>
    <w:rsid w:val="0029660B"/>
    <w:rsid w:val="00297A70"/>
    <w:rsid w:val="002A45E6"/>
    <w:rsid w:val="002B53FC"/>
    <w:rsid w:val="002C57F2"/>
    <w:rsid w:val="002D7682"/>
    <w:rsid w:val="002E3341"/>
    <w:rsid w:val="002F4005"/>
    <w:rsid w:val="002F66BC"/>
    <w:rsid w:val="0030723C"/>
    <w:rsid w:val="00307B6C"/>
    <w:rsid w:val="00314664"/>
    <w:rsid w:val="00326E0E"/>
    <w:rsid w:val="00332ADC"/>
    <w:rsid w:val="00334859"/>
    <w:rsid w:val="0034672C"/>
    <w:rsid w:val="00346A40"/>
    <w:rsid w:val="003551E4"/>
    <w:rsid w:val="00366C13"/>
    <w:rsid w:val="003724CE"/>
    <w:rsid w:val="0037333D"/>
    <w:rsid w:val="00375402"/>
    <w:rsid w:val="00385E13"/>
    <w:rsid w:val="00397256"/>
    <w:rsid w:val="003B097A"/>
    <w:rsid w:val="003D75C0"/>
    <w:rsid w:val="003E4276"/>
    <w:rsid w:val="003F4C8C"/>
    <w:rsid w:val="00410E94"/>
    <w:rsid w:val="0041374A"/>
    <w:rsid w:val="004173C8"/>
    <w:rsid w:val="00437534"/>
    <w:rsid w:val="0046287D"/>
    <w:rsid w:val="004644A0"/>
    <w:rsid w:val="00476C1E"/>
    <w:rsid w:val="00483B90"/>
    <w:rsid w:val="00493E66"/>
    <w:rsid w:val="004974B2"/>
    <w:rsid w:val="004A6C8C"/>
    <w:rsid w:val="004B4B81"/>
    <w:rsid w:val="004B67A3"/>
    <w:rsid w:val="004C0893"/>
    <w:rsid w:val="004E4966"/>
    <w:rsid w:val="004E65CA"/>
    <w:rsid w:val="004E751B"/>
    <w:rsid w:val="004F6134"/>
    <w:rsid w:val="005060F4"/>
    <w:rsid w:val="00513E79"/>
    <w:rsid w:val="00515333"/>
    <w:rsid w:val="00524045"/>
    <w:rsid w:val="005319BA"/>
    <w:rsid w:val="00532425"/>
    <w:rsid w:val="00537B62"/>
    <w:rsid w:val="00581FD9"/>
    <w:rsid w:val="00584761"/>
    <w:rsid w:val="00585813"/>
    <w:rsid w:val="0058798F"/>
    <w:rsid w:val="00591FC3"/>
    <w:rsid w:val="00592BF6"/>
    <w:rsid w:val="005B167D"/>
    <w:rsid w:val="005B5076"/>
    <w:rsid w:val="005C27A4"/>
    <w:rsid w:val="005C4D88"/>
    <w:rsid w:val="005C5FBA"/>
    <w:rsid w:val="005D30C0"/>
    <w:rsid w:val="005E5203"/>
    <w:rsid w:val="005F4F80"/>
    <w:rsid w:val="0060063E"/>
    <w:rsid w:val="006118DF"/>
    <w:rsid w:val="00612FFA"/>
    <w:rsid w:val="0061532E"/>
    <w:rsid w:val="00617A85"/>
    <w:rsid w:val="00623745"/>
    <w:rsid w:val="00627073"/>
    <w:rsid w:val="0063098C"/>
    <w:rsid w:val="00645139"/>
    <w:rsid w:val="006538D6"/>
    <w:rsid w:val="00656FC4"/>
    <w:rsid w:val="006620CF"/>
    <w:rsid w:val="0066438F"/>
    <w:rsid w:val="006817D7"/>
    <w:rsid w:val="00691216"/>
    <w:rsid w:val="00695CC6"/>
    <w:rsid w:val="006A358E"/>
    <w:rsid w:val="006B2896"/>
    <w:rsid w:val="006E7DE7"/>
    <w:rsid w:val="006F706C"/>
    <w:rsid w:val="00712FE5"/>
    <w:rsid w:val="007157CE"/>
    <w:rsid w:val="00725E79"/>
    <w:rsid w:val="00736A85"/>
    <w:rsid w:val="0074099A"/>
    <w:rsid w:val="00745C7D"/>
    <w:rsid w:val="007511CB"/>
    <w:rsid w:val="00773088"/>
    <w:rsid w:val="00774ABF"/>
    <w:rsid w:val="00775BC3"/>
    <w:rsid w:val="0078104D"/>
    <w:rsid w:val="0079724E"/>
    <w:rsid w:val="007A3069"/>
    <w:rsid w:val="007B0296"/>
    <w:rsid w:val="007B2C6D"/>
    <w:rsid w:val="007C0EEF"/>
    <w:rsid w:val="007C4757"/>
    <w:rsid w:val="007D2FA8"/>
    <w:rsid w:val="007E1D68"/>
    <w:rsid w:val="007E4142"/>
    <w:rsid w:val="007F0C15"/>
    <w:rsid w:val="007F5215"/>
    <w:rsid w:val="0080280B"/>
    <w:rsid w:val="00803241"/>
    <w:rsid w:val="00814498"/>
    <w:rsid w:val="00822CF1"/>
    <w:rsid w:val="0082538A"/>
    <w:rsid w:val="00850AA4"/>
    <w:rsid w:val="00850BB9"/>
    <w:rsid w:val="008530C0"/>
    <w:rsid w:val="00860ADD"/>
    <w:rsid w:val="00871858"/>
    <w:rsid w:val="00871BDD"/>
    <w:rsid w:val="008730BE"/>
    <w:rsid w:val="0087599C"/>
    <w:rsid w:val="00882D21"/>
    <w:rsid w:val="00896F69"/>
    <w:rsid w:val="008B6458"/>
    <w:rsid w:val="008B66D9"/>
    <w:rsid w:val="008C07EB"/>
    <w:rsid w:val="008E04D2"/>
    <w:rsid w:val="00900260"/>
    <w:rsid w:val="0090148C"/>
    <w:rsid w:val="00920752"/>
    <w:rsid w:val="00943DA3"/>
    <w:rsid w:val="00955C99"/>
    <w:rsid w:val="0096731F"/>
    <w:rsid w:val="009718EF"/>
    <w:rsid w:val="0099276B"/>
    <w:rsid w:val="00993CAC"/>
    <w:rsid w:val="009958BB"/>
    <w:rsid w:val="009A0B31"/>
    <w:rsid w:val="009A5356"/>
    <w:rsid w:val="009D67FA"/>
    <w:rsid w:val="009E4C08"/>
    <w:rsid w:val="009E6580"/>
    <w:rsid w:val="009F1459"/>
    <w:rsid w:val="00A12B87"/>
    <w:rsid w:val="00A155EA"/>
    <w:rsid w:val="00A16F95"/>
    <w:rsid w:val="00A2222D"/>
    <w:rsid w:val="00A35166"/>
    <w:rsid w:val="00A35DF9"/>
    <w:rsid w:val="00A4699D"/>
    <w:rsid w:val="00A52FB9"/>
    <w:rsid w:val="00A5421E"/>
    <w:rsid w:val="00A566A3"/>
    <w:rsid w:val="00A7184F"/>
    <w:rsid w:val="00A7188C"/>
    <w:rsid w:val="00A87C93"/>
    <w:rsid w:val="00A93C02"/>
    <w:rsid w:val="00A9683E"/>
    <w:rsid w:val="00AC5F0C"/>
    <w:rsid w:val="00AD1387"/>
    <w:rsid w:val="00AD47FB"/>
    <w:rsid w:val="00AE795A"/>
    <w:rsid w:val="00AF29C6"/>
    <w:rsid w:val="00AF46BF"/>
    <w:rsid w:val="00B04BC7"/>
    <w:rsid w:val="00B05286"/>
    <w:rsid w:val="00B3057D"/>
    <w:rsid w:val="00B44F00"/>
    <w:rsid w:val="00B46BA7"/>
    <w:rsid w:val="00B47939"/>
    <w:rsid w:val="00B62F23"/>
    <w:rsid w:val="00B65114"/>
    <w:rsid w:val="00B75298"/>
    <w:rsid w:val="00B76A8C"/>
    <w:rsid w:val="00B91B3C"/>
    <w:rsid w:val="00B953B4"/>
    <w:rsid w:val="00BA7DEE"/>
    <w:rsid w:val="00BB5514"/>
    <w:rsid w:val="00BD774D"/>
    <w:rsid w:val="00C042F1"/>
    <w:rsid w:val="00C2194E"/>
    <w:rsid w:val="00C52486"/>
    <w:rsid w:val="00C53286"/>
    <w:rsid w:val="00C71E42"/>
    <w:rsid w:val="00C73D46"/>
    <w:rsid w:val="00C77F8F"/>
    <w:rsid w:val="00C81F9B"/>
    <w:rsid w:val="00C83177"/>
    <w:rsid w:val="00C83C8C"/>
    <w:rsid w:val="00CA0BDB"/>
    <w:rsid w:val="00CC3AD6"/>
    <w:rsid w:val="00CE19CC"/>
    <w:rsid w:val="00CE1BB9"/>
    <w:rsid w:val="00CF6512"/>
    <w:rsid w:val="00D0483F"/>
    <w:rsid w:val="00D10B54"/>
    <w:rsid w:val="00D32B2F"/>
    <w:rsid w:val="00D64690"/>
    <w:rsid w:val="00D6559B"/>
    <w:rsid w:val="00D709CF"/>
    <w:rsid w:val="00D813DC"/>
    <w:rsid w:val="00D97DFE"/>
    <w:rsid w:val="00DA0F63"/>
    <w:rsid w:val="00DC276E"/>
    <w:rsid w:val="00DE2D01"/>
    <w:rsid w:val="00DF0348"/>
    <w:rsid w:val="00E06E42"/>
    <w:rsid w:val="00E1191C"/>
    <w:rsid w:val="00E162FA"/>
    <w:rsid w:val="00E174C7"/>
    <w:rsid w:val="00E25923"/>
    <w:rsid w:val="00E35BA2"/>
    <w:rsid w:val="00E3737D"/>
    <w:rsid w:val="00E4062B"/>
    <w:rsid w:val="00E600C2"/>
    <w:rsid w:val="00E669C9"/>
    <w:rsid w:val="00E74B73"/>
    <w:rsid w:val="00E951EC"/>
    <w:rsid w:val="00E97289"/>
    <w:rsid w:val="00EA1537"/>
    <w:rsid w:val="00EA2882"/>
    <w:rsid w:val="00EA3760"/>
    <w:rsid w:val="00EB31E5"/>
    <w:rsid w:val="00EC04D5"/>
    <w:rsid w:val="00EC5BF3"/>
    <w:rsid w:val="00ED6489"/>
    <w:rsid w:val="00EE49DB"/>
    <w:rsid w:val="00EE4E3C"/>
    <w:rsid w:val="00EE5C67"/>
    <w:rsid w:val="00EF2A59"/>
    <w:rsid w:val="00F03A15"/>
    <w:rsid w:val="00F0638E"/>
    <w:rsid w:val="00F2472B"/>
    <w:rsid w:val="00F3523E"/>
    <w:rsid w:val="00F54DE5"/>
    <w:rsid w:val="00F73A26"/>
    <w:rsid w:val="00F77E76"/>
    <w:rsid w:val="00F80B87"/>
    <w:rsid w:val="00F80C4F"/>
    <w:rsid w:val="00F81ECA"/>
    <w:rsid w:val="00FB4D24"/>
    <w:rsid w:val="00FB513A"/>
    <w:rsid w:val="00FB6A71"/>
    <w:rsid w:val="00FC4BAB"/>
    <w:rsid w:val="00FD373B"/>
    <w:rsid w:val="00FE3A28"/>
    <w:rsid w:val="00FE6F09"/>
    <w:rsid w:val="00FE72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A5E9"/>
  <w15:chartTrackingRefBased/>
  <w15:docId w15:val="{36252645-3853-2945-ADCE-B4F38F9F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E65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65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65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658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658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658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658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658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658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580"/>
    <w:rPr>
      <w:rFonts w:eastAsiaTheme="majorEastAsia" w:cstheme="majorBidi"/>
      <w:color w:val="272727" w:themeColor="text1" w:themeTint="D8"/>
    </w:rPr>
  </w:style>
  <w:style w:type="paragraph" w:styleId="Title">
    <w:name w:val="Title"/>
    <w:basedOn w:val="Normal"/>
    <w:next w:val="Normal"/>
    <w:link w:val="TitleChar"/>
    <w:uiPriority w:val="10"/>
    <w:qFormat/>
    <w:rsid w:val="009E65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5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6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580"/>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E6580"/>
    <w:rPr>
      <w:i/>
      <w:iCs/>
      <w:color w:val="404040" w:themeColor="text1" w:themeTint="BF"/>
    </w:rPr>
  </w:style>
  <w:style w:type="paragraph" w:styleId="ListParagraph">
    <w:name w:val="List Paragraph"/>
    <w:basedOn w:val="Normal"/>
    <w:uiPriority w:val="34"/>
    <w:qFormat/>
    <w:rsid w:val="009E6580"/>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9E6580"/>
    <w:rPr>
      <w:i/>
      <w:iCs/>
      <w:color w:val="0F4761" w:themeColor="accent1" w:themeShade="BF"/>
    </w:rPr>
  </w:style>
  <w:style w:type="paragraph" w:styleId="IntenseQuote">
    <w:name w:val="Intense Quote"/>
    <w:basedOn w:val="Normal"/>
    <w:next w:val="Normal"/>
    <w:link w:val="IntenseQuoteChar"/>
    <w:uiPriority w:val="30"/>
    <w:qFormat/>
    <w:rsid w:val="009E65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E6580"/>
    <w:rPr>
      <w:i/>
      <w:iCs/>
      <w:color w:val="0F4761" w:themeColor="accent1" w:themeShade="BF"/>
    </w:rPr>
  </w:style>
  <w:style w:type="character" w:styleId="IntenseReference">
    <w:name w:val="Intense Reference"/>
    <w:basedOn w:val="DefaultParagraphFont"/>
    <w:uiPriority w:val="32"/>
    <w:qFormat/>
    <w:rsid w:val="009E6580"/>
    <w:rPr>
      <w:b/>
      <w:bCs/>
      <w:smallCaps/>
      <w:color w:val="0F4761" w:themeColor="accent1" w:themeShade="BF"/>
      <w:spacing w:val="5"/>
    </w:rPr>
  </w:style>
  <w:style w:type="character" w:styleId="CommentReference">
    <w:name w:val="annotation reference"/>
    <w:basedOn w:val="DefaultParagraphFont"/>
    <w:uiPriority w:val="99"/>
    <w:semiHidden/>
    <w:unhideWhenUsed/>
    <w:rsid w:val="009958BB"/>
    <w:rPr>
      <w:sz w:val="16"/>
      <w:szCs w:val="16"/>
    </w:rPr>
  </w:style>
  <w:style w:type="paragraph" w:styleId="CommentText">
    <w:name w:val="annotation text"/>
    <w:basedOn w:val="Normal"/>
    <w:link w:val="CommentTextChar"/>
    <w:uiPriority w:val="99"/>
    <w:unhideWhenUsed/>
    <w:rsid w:val="009958BB"/>
    <w:pPr>
      <w:spacing w:after="160"/>
    </w:pPr>
    <w:rPr>
      <w:rFonts w:asciiTheme="minorHAnsi" w:eastAsiaTheme="minorEastAsia"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9958BB"/>
    <w:rPr>
      <w:sz w:val="20"/>
      <w:szCs w:val="20"/>
      <w:lang w:eastAsia="en-US"/>
    </w:rPr>
  </w:style>
  <w:style w:type="character" w:styleId="Hyperlink">
    <w:name w:val="Hyperlink"/>
    <w:basedOn w:val="DefaultParagraphFont"/>
    <w:uiPriority w:val="99"/>
    <w:unhideWhenUsed/>
    <w:rsid w:val="009958BB"/>
    <w:rPr>
      <w:color w:val="467886" w:themeColor="hyperlink"/>
      <w:u w:val="single"/>
    </w:rPr>
  </w:style>
  <w:style w:type="character" w:styleId="UnresolvedMention">
    <w:name w:val="Unresolved Mention"/>
    <w:basedOn w:val="DefaultParagraphFont"/>
    <w:uiPriority w:val="99"/>
    <w:semiHidden/>
    <w:unhideWhenUsed/>
    <w:rsid w:val="00995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957</Words>
  <Characters>5459</Characters>
  <Application>Microsoft Office Word</Application>
  <DocSecurity>0</DocSecurity>
  <Lines>45</Lines>
  <Paragraphs>12</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Tzu-Ting (NIH/NCI) [E]</dc:creator>
  <cp:keywords/>
  <dc:description/>
  <cp:lastModifiedBy>Huang, Tzu-Ting (NIH/NCI) [E]</cp:lastModifiedBy>
  <cp:revision>15</cp:revision>
  <dcterms:created xsi:type="dcterms:W3CDTF">2025-09-18T18:46:00Z</dcterms:created>
  <dcterms:modified xsi:type="dcterms:W3CDTF">2025-09-26T14:10:00Z</dcterms:modified>
</cp:coreProperties>
</file>