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C2CC0" w14:textId="24F85ABB" w:rsidR="00556F9B" w:rsidRPr="007A3223" w:rsidRDefault="00741E8D" w:rsidP="00320160">
      <w:pPr>
        <w:rPr>
          <w:szCs w:val="24"/>
        </w:rPr>
      </w:pPr>
      <w:r w:rsidRPr="007A3223">
        <w:rPr>
          <w:b/>
          <w:szCs w:val="24"/>
        </w:rPr>
        <w:t>Abbreviated Title:</w:t>
      </w:r>
      <w:r w:rsidR="00612092" w:rsidRPr="007A3223">
        <w:rPr>
          <w:szCs w:val="24"/>
        </w:rPr>
        <w:t xml:space="preserve"> </w:t>
      </w:r>
      <w:bookmarkStart w:id="0" w:name="_Hlk82174970"/>
      <w:r w:rsidR="005A09A5" w:rsidRPr="005A09A5">
        <w:rPr>
          <w:rFonts w:eastAsia="Calibri"/>
          <w:szCs w:val="24"/>
        </w:rPr>
        <w:t>Ph I/II Durvalumab +O/+C/+OC</w:t>
      </w:r>
      <w:bookmarkEnd w:id="0"/>
      <w:r w:rsidR="00E26395" w:rsidRPr="007A3223">
        <w:rPr>
          <w:i/>
          <w:szCs w:val="24"/>
        </w:rPr>
        <w:t xml:space="preserve"> </w:t>
      </w:r>
    </w:p>
    <w:p w14:paraId="597D9512" w14:textId="14DA45E2" w:rsidR="00612092" w:rsidRPr="007A3223" w:rsidRDefault="00131A83" w:rsidP="006605B9">
      <w:pPr>
        <w:rPr>
          <w:szCs w:val="24"/>
        </w:rPr>
      </w:pPr>
      <w:r>
        <w:rPr>
          <w:b/>
          <w:szCs w:val="24"/>
        </w:rPr>
        <w:t>NIH</w:t>
      </w:r>
      <w:r w:rsidR="00741E8D" w:rsidRPr="007A3223">
        <w:rPr>
          <w:b/>
          <w:szCs w:val="24"/>
        </w:rPr>
        <w:t xml:space="preserve"> Protocol #:</w:t>
      </w:r>
      <w:r w:rsidR="00612092" w:rsidRPr="007A3223">
        <w:rPr>
          <w:i/>
          <w:szCs w:val="24"/>
        </w:rPr>
        <w:t xml:space="preserve"> </w:t>
      </w:r>
      <w:r w:rsidR="006B1040" w:rsidRPr="007A3223">
        <w:rPr>
          <w:szCs w:val="24"/>
        </w:rPr>
        <w:t>15-C-0145</w:t>
      </w:r>
    </w:p>
    <w:p w14:paraId="41CCACC7" w14:textId="66BD7DB1" w:rsidR="00612092" w:rsidRPr="007A3223" w:rsidRDefault="000E75E4" w:rsidP="00320160">
      <w:pPr>
        <w:rPr>
          <w:szCs w:val="24"/>
        </w:rPr>
      </w:pPr>
      <w:r w:rsidRPr="007A3223">
        <w:rPr>
          <w:b/>
          <w:szCs w:val="24"/>
        </w:rPr>
        <w:t>Version Date:</w:t>
      </w:r>
      <w:r w:rsidR="00612092" w:rsidRPr="007A3223">
        <w:rPr>
          <w:szCs w:val="24"/>
        </w:rPr>
        <w:t xml:space="preserve"> </w:t>
      </w:r>
      <w:r w:rsidR="00BC7D3D">
        <w:rPr>
          <w:szCs w:val="24"/>
        </w:rPr>
        <w:t>September 9</w:t>
      </w:r>
      <w:r w:rsidR="00EF6EA1">
        <w:rPr>
          <w:szCs w:val="24"/>
        </w:rPr>
        <w:t>, 2021</w:t>
      </w:r>
    </w:p>
    <w:p w14:paraId="16C0A2DE" w14:textId="3FDE2DC3" w:rsidR="00243B62" w:rsidRPr="007A3223" w:rsidRDefault="00243B62" w:rsidP="00243B62">
      <w:pPr>
        <w:ind w:left="630" w:hanging="630"/>
        <w:rPr>
          <w:b/>
          <w:szCs w:val="24"/>
        </w:rPr>
      </w:pPr>
      <w:r w:rsidRPr="007A3223">
        <w:rPr>
          <w:rFonts w:eastAsia="Calibri"/>
          <w:b/>
          <w:szCs w:val="24"/>
        </w:rPr>
        <w:t xml:space="preserve">NCT Number: </w:t>
      </w:r>
      <w:r w:rsidRPr="007A3223">
        <w:rPr>
          <w:rFonts w:eastAsia="Calibri"/>
          <w:szCs w:val="24"/>
        </w:rPr>
        <w:t xml:space="preserve">NCT02484404 </w:t>
      </w:r>
    </w:p>
    <w:p w14:paraId="640D34F1" w14:textId="4D5B98D9" w:rsidR="00741E8D" w:rsidRPr="007A3223" w:rsidRDefault="00741E8D" w:rsidP="00F85773">
      <w:pPr>
        <w:ind w:left="630" w:hanging="630"/>
        <w:rPr>
          <w:b/>
          <w:szCs w:val="24"/>
        </w:rPr>
      </w:pPr>
      <w:bookmarkStart w:id="1" w:name="_Toc281240028"/>
      <w:r w:rsidRPr="007A3223">
        <w:rPr>
          <w:b/>
          <w:szCs w:val="24"/>
        </w:rPr>
        <w:t>Title:</w:t>
      </w:r>
      <w:bookmarkEnd w:id="1"/>
      <w:r w:rsidRPr="007A3223">
        <w:rPr>
          <w:b/>
          <w:szCs w:val="24"/>
        </w:rPr>
        <w:t xml:space="preserve"> </w:t>
      </w:r>
      <w:r w:rsidR="006605B9" w:rsidRPr="007A3223">
        <w:rPr>
          <w:bCs/>
          <w:szCs w:val="24"/>
        </w:rPr>
        <w:t xml:space="preserve">Phase I/II study of the </w:t>
      </w:r>
      <w:r w:rsidR="00CC4F29" w:rsidRPr="007A3223">
        <w:rPr>
          <w:bCs/>
          <w:szCs w:val="24"/>
        </w:rPr>
        <w:t>anti-</w:t>
      </w:r>
      <w:r w:rsidR="006605B9" w:rsidRPr="007A3223">
        <w:rPr>
          <w:bCs/>
          <w:szCs w:val="24"/>
        </w:rPr>
        <w:t xml:space="preserve">programmed death ligand-1 antibody </w:t>
      </w:r>
      <w:r w:rsidR="00F3306C">
        <w:rPr>
          <w:bCs/>
          <w:szCs w:val="24"/>
        </w:rPr>
        <w:t>Durvalumab (</w:t>
      </w:r>
      <w:r w:rsidR="006605B9" w:rsidRPr="007A3223">
        <w:rPr>
          <w:bCs/>
          <w:szCs w:val="24"/>
        </w:rPr>
        <w:t>MEDI4736</w:t>
      </w:r>
      <w:r w:rsidR="00F3306C">
        <w:rPr>
          <w:bCs/>
          <w:szCs w:val="24"/>
        </w:rPr>
        <w:t>)</w:t>
      </w:r>
      <w:r w:rsidR="006605B9" w:rsidRPr="007A3223">
        <w:rPr>
          <w:bCs/>
          <w:szCs w:val="24"/>
        </w:rPr>
        <w:t xml:space="preserve"> in combination with olaparib </w:t>
      </w:r>
      <w:r w:rsidR="005D3601" w:rsidRPr="007A3223">
        <w:rPr>
          <w:bCs/>
          <w:szCs w:val="24"/>
        </w:rPr>
        <w:t>and/</w:t>
      </w:r>
      <w:r w:rsidR="006605B9" w:rsidRPr="007A3223">
        <w:rPr>
          <w:bCs/>
          <w:szCs w:val="24"/>
        </w:rPr>
        <w:t xml:space="preserve">or cediranib for advanced solid tumors and </w:t>
      </w:r>
      <w:r w:rsidR="00315290" w:rsidRPr="007A3223">
        <w:rPr>
          <w:bCs/>
          <w:szCs w:val="24"/>
        </w:rPr>
        <w:t xml:space="preserve">advanced or recurrent ovarian, triple negative breast, </w:t>
      </w:r>
      <w:r w:rsidR="002F3363" w:rsidRPr="007A3223">
        <w:rPr>
          <w:bCs/>
          <w:szCs w:val="24"/>
        </w:rPr>
        <w:t xml:space="preserve">lung, </w:t>
      </w:r>
      <w:r w:rsidR="00315290" w:rsidRPr="007A3223">
        <w:rPr>
          <w:bCs/>
          <w:szCs w:val="24"/>
        </w:rPr>
        <w:t>prostate</w:t>
      </w:r>
      <w:r w:rsidR="002F3363" w:rsidRPr="007A3223">
        <w:rPr>
          <w:bCs/>
          <w:szCs w:val="24"/>
        </w:rPr>
        <w:t xml:space="preserve"> and colorectal</w:t>
      </w:r>
      <w:r w:rsidR="00315290" w:rsidRPr="007A3223">
        <w:rPr>
          <w:bCs/>
          <w:szCs w:val="24"/>
        </w:rPr>
        <w:t xml:space="preserve"> cancers</w:t>
      </w:r>
    </w:p>
    <w:p w14:paraId="69B4FBE8" w14:textId="2589A1B6" w:rsidR="00741E8D" w:rsidRPr="007A3223" w:rsidRDefault="00125476" w:rsidP="00C33891">
      <w:pPr>
        <w:spacing w:after="0"/>
        <w:ind w:left="2880" w:hanging="2880"/>
        <w:rPr>
          <w:b/>
          <w:szCs w:val="24"/>
        </w:rPr>
      </w:pPr>
      <w:bookmarkStart w:id="2" w:name="_Toc281240029"/>
      <w:r w:rsidRPr="007A3223">
        <w:rPr>
          <w:b/>
          <w:szCs w:val="24"/>
        </w:rPr>
        <w:t xml:space="preserve">NCI </w:t>
      </w:r>
      <w:r w:rsidR="00741E8D" w:rsidRPr="007A3223">
        <w:rPr>
          <w:b/>
          <w:szCs w:val="24"/>
        </w:rPr>
        <w:t>Principal Investigator:</w:t>
      </w:r>
      <w:bookmarkEnd w:id="2"/>
      <w:r w:rsidR="00CB1EC8" w:rsidRPr="007A3223">
        <w:rPr>
          <w:b/>
          <w:szCs w:val="24"/>
        </w:rPr>
        <w:tab/>
      </w:r>
      <w:r w:rsidR="006605B9" w:rsidRPr="007A3223">
        <w:rPr>
          <w:szCs w:val="24"/>
        </w:rPr>
        <w:t>Jung-min Lee, M.D</w:t>
      </w:r>
      <w:r w:rsidR="00D167CD" w:rsidRPr="007A3223">
        <w:rPr>
          <w:szCs w:val="24"/>
        </w:rPr>
        <w:t>.</w:t>
      </w:r>
      <w:r w:rsidR="00D167CD" w:rsidRPr="007A3223">
        <w:rPr>
          <w:b/>
          <w:szCs w:val="24"/>
        </w:rPr>
        <w:t xml:space="preserve"> </w:t>
      </w:r>
    </w:p>
    <w:p w14:paraId="5F30E4DF" w14:textId="77777777" w:rsidR="006605B9" w:rsidRPr="007A3223" w:rsidRDefault="006605B9" w:rsidP="00800327">
      <w:pPr>
        <w:spacing w:after="0"/>
        <w:ind w:left="2880"/>
        <w:rPr>
          <w:szCs w:val="24"/>
        </w:rPr>
      </w:pPr>
      <w:r w:rsidRPr="007A3223">
        <w:rPr>
          <w:szCs w:val="24"/>
        </w:rPr>
        <w:t>Women’s Malignancies Branch (WMB), CCR, NCI</w:t>
      </w:r>
    </w:p>
    <w:p w14:paraId="71C926EF" w14:textId="4147D0AF" w:rsidR="006605B9" w:rsidRPr="007A3223" w:rsidRDefault="006605B9" w:rsidP="00C33891">
      <w:pPr>
        <w:spacing w:after="0"/>
        <w:ind w:left="2880"/>
        <w:rPr>
          <w:szCs w:val="24"/>
        </w:rPr>
      </w:pPr>
      <w:r w:rsidRPr="007A3223">
        <w:rPr>
          <w:szCs w:val="24"/>
        </w:rPr>
        <w:t xml:space="preserve">Building 10, Room </w:t>
      </w:r>
      <w:r w:rsidR="007A18C1" w:rsidRPr="007A3223">
        <w:t>4B54</w:t>
      </w:r>
    </w:p>
    <w:p w14:paraId="4CE79C8E" w14:textId="77777777" w:rsidR="006605B9" w:rsidRPr="007A3223" w:rsidRDefault="006605B9" w:rsidP="00C33891">
      <w:pPr>
        <w:spacing w:after="0"/>
        <w:ind w:left="2880"/>
        <w:rPr>
          <w:szCs w:val="24"/>
        </w:rPr>
      </w:pPr>
      <w:r w:rsidRPr="007A3223">
        <w:rPr>
          <w:szCs w:val="24"/>
        </w:rPr>
        <w:t>National Institutes of Health</w:t>
      </w:r>
    </w:p>
    <w:p w14:paraId="6C6DC5A1" w14:textId="77777777" w:rsidR="006605B9" w:rsidRPr="007A3223" w:rsidRDefault="006605B9" w:rsidP="00C33891">
      <w:pPr>
        <w:spacing w:after="0"/>
        <w:ind w:left="2880"/>
        <w:rPr>
          <w:szCs w:val="24"/>
        </w:rPr>
      </w:pPr>
      <w:r w:rsidRPr="007A3223">
        <w:rPr>
          <w:szCs w:val="24"/>
        </w:rPr>
        <w:t>9000 Rockville Pike</w:t>
      </w:r>
    </w:p>
    <w:p w14:paraId="4A43ADB8" w14:textId="77777777" w:rsidR="006605B9" w:rsidRPr="007A3223" w:rsidRDefault="006605B9" w:rsidP="00C33891">
      <w:pPr>
        <w:spacing w:after="0"/>
        <w:ind w:left="2880"/>
        <w:rPr>
          <w:szCs w:val="24"/>
        </w:rPr>
      </w:pPr>
      <w:r w:rsidRPr="007A3223">
        <w:rPr>
          <w:szCs w:val="24"/>
        </w:rPr>
        <w:t>Bethesda, MD 20892</w:t>
      </w:r>
    </w:p>
    <w:p w14:paraId="216C4BFB" w14:textId="7B1D90F0" w:rsidR="006605B9" w:rsidRPr="007A3223" w:rsidRDefault="006605B9" w:rsidP="00C33891">
      <w:pPr>
        <w:spacing w:after="0"/>
        <w:ind w:left="2880"/>
        <w:rPr>
          <w:szCs w:val="24"/>
        </w:rPr>
      </w:pPr>
      <w:r w:rsidRPr="007A3223">
        <w:rPr>
          <w:szCs w:val="24"/>
        </w:rPr>
        <w:t xml:space="preserve">Phone: </w:t>
      </w:r>
      <w:r w:rsidR="007A18C1" w:rsidRPr="007A3223">
        <w:t xml:space="preserve">(240) 760-6128 </w:t>
      </w:r>
      <w:r w:rsidRPr="007A3223">
        <w:rPr>
          <w:szCs w:val="24"/>
        </w:rPr>
        <w:t xml:space="preserve"> </w:t>
      </w:r>
    </w:p>
    <w:p w14:paraId="52AB9162" w14:textId="77777777" w:rsidR="006605B9" w:rsidRPr="007A3223" w:rsidRDefault="006605B9" w:rsidP="00C33891">
      <w:pPr>
        <w:spacing w:after="0"/>
        <w:ind w:left="2880"/>
        <w:rPr>
          <w:szCs w:val="24"/>
        </w:rPr>
      </w:pPr>
      <w:r w:rsidRPr="007A3223">
        <w:rPr>
          <w:szCs w:val="24"/>
        </w:rPr>
        <w:t xml:space="preserve">Email: </w:t>
      </w:r>
      <w:hyperlink r:id="rId8" w:history="1">
        <w:r w:rsidR="00197DCF" w:rsidRPr="00F33908">
          <w:rPr>
            <w:rStyle w:val="Hyperlink"/>
            <w:szCs w:val="24"/>
          </w:rPr>
          <w:t>leej6@mail.nih.gov</w:t>
        </w:r>
      </w:hyperlink>
    </w:p>
    <w:p w14:paraId="1AF53518" w14:textId="77777777" w:rsidR="00197DCF" w:rsidRPr="00F33908" w:rsidRDefault="00197DCF" w:rsidP="00C33891">
      <w:pPr>
        <w:spacing w:after="0"/>
        <w:ind w:left="2880" w:hanging="2880"/>
        <w:rPr>
          <w:szCs w:val="24"/>
        </w:rPr>
      </w:pPr>
    </w:p>
    <w:p w14:paraId="608CE163" w14:textId="77777777" w:rsidR="00E719BF" w:rsidRPr="007A3223" w:rsidRDefault="00E719BF" w:rsidP="00B87AC8">
      <w:pPr>
        <w:spacing w:after="0"/>
        <w:ind w:left="2880"/>
        <w:rPr>
          <w:b/>
          <w:szCs w:val="24"/>
        </w:rPr>
      </w:pPr>
    </w:p>
    <w:p w14:paraId="17AF6EE8" w14:textId="77777777" w:rsidR="00741E8D" w:rsidRPr="007A3223" w:rsidRDefault="00741E8D" w:rsidP="00EA69AB">
      <w:pPr>
        <w:spacing w:after="0"/>
        <w:rPr>
          <w:b/>
          <w:color w:val="000000"/>
          <w:szCs w:val="24"/>
        </w:rPr>
      </w:pPr>
      <w:bookmarkStart w:id="3" w:name="_Toc281240034"/>
      <w:r w:rsidRPr="007A3223">
        <w:rPr>
          <w:b/>
          <w:color w:val="000000"/>
          <w:szCs w:val="24"/>
        </w:rPr>
        <w:t>Investigational Agents:</w:t>
      </w:r>
      <w:bookmarkEnd w:id="3"/>
      <w:r w:rsidRPr="007A3223">
        <w:rPr>
          <w:b/>
          <w:color w:val="000000"/>
          <w:szCs w:val="24"/>
        </w:rPr>
        <w:t xml:space="preserve"> </w:t>
      </w:r>
      <w:r w:rsidR="000E75E4" w:rsidRPr="007A3223">
        <w:rPr>
          <w:b/>
          <w:color w:val="000000"/>
          <w:szCs w:val="24"/>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700"/>
        <w:gridCol w:w="2610"/>
        <w:gridCol w:w="2610"/>
      </w:tblGrid>
      <w:tr w:rsidR="00D314A3" w:rsidRPr="007A3223" w14:paraId="4BDE4918" w14:textId="77777777" w:rsidTr="00796818">
        <w:tc>
          <w:tcPr>
            <w:tcW w:w="1638" w:type="dxa"/>
          </w:tcPr>
          <w:p w14:paraId="403E68E3" w14:textId="77777777" w:rsidR="00C706EA" w:rsidRPr="007A3223" w:rsidRDefault="00C706EA" w:rsidP="005B4ED4">
            <w:pPr>
              <w:spacing w:before="60" w:after="60"/>
              <w:rPr>
                <w:bCs/>
                <w:szCs w:val="24"/>
              </w:rPr>
            </w:pPr>
            <w:r w:rsidRPr="007A3223">
              <w:rPr>
                <w:bCs/>
                <w:szCs w:val="24"/>
              </w:rPr>
              <w:t>Drug Name:</w:t>
            </w:r>
          </w:p>
        </w:tc>
        <w:tc>
          <w:tcPr>
            <w:tcW w:w="2700" w:type="dxa"/>
          </w:tcPr>
          <w:p w14:paraId="354AA58E" w14:textId="6A4E9051" w:rsidR="00C706EA" w:rsidRPr="007A3223" w:rsidRDefault="00BC3F58" w:rsidP="005B4ED4">
            <w:pPr>
              <w:spacing w:before="60" w:after="60"/>
              <w:rPr>
                <w:szCs w:val="24"/>
              </w:rPr>
            </w:pPr>
            <w:r>
              <w:rPr>
                <w:szCs w:val="24"/>
              </w:rPr>
              <w:t>Durvalumab (</w:t>
            </w:r>
            <w:r w:rsidR="00C706EA" w:rsidRPr="007A3223">
              <w:rPr>
                <w:szCs w:val="24"/>
              </w:rPr>
              <w:t>MEDI4736</w:t>
            </w:r>
            <w:r>
              <w:rPr>
                <w:szCs w:val="24"/>
              </w:rPr>
              <w:t>)</w:t>
            </w:r>
          </w:p>
        </w:tc>
        <w:tc>
          <w:tcPr>
            <w:tcW w:w="2610" w:type="dxa"/>
          </w:tcPr>
          <w:p w14:paraId="0BBE114E" w14:textId="77777777" w:rsidR="00C706EA" w:rsidRPr="007A3223" w:rsidRDefault="00C706EA" w:rsidP="005B4ED4">
            <w:pPr>
              <w:spacing w:before="60" w:after="60"/>
              <w:rPr>
                <w:szCs w:val="24"/>
              </w:rPr>
            </w:pPr>
            <w:r w:rsidRPr="007A3223">
              <w:rPr>
                <w:szCs w:val="24"/>
              </w:rPr>
              <w:t>Olaparib</w:t>
            </w:r>
            <w:r w:rsidR="00EF1078" w:rsidRPr="007A3223">
              <w:rPr>
                <w:szCs w:val="24"/>
              </w:rPr>
              <w:t xml:space="preserve"> (AZD 2281)</w:t>
            </w:r>
          </w:p>
        </w:tc>
        <w:tc>
          <w:tcPr>
            <w:tcW w:w="2610" w:type="dxa"/>
          </w:tcPr>
          <w:p w14:paraId="15AA9336" w14:textId="77777777" w:rsidR="00C706EA" w:rsidRPr="007A3223" w:rsidRDefault="00C706EA" w:rsidP="005B4ED4">
            <w:pPr>
              <w:spacing w:before="60" w:after="60"/>
              <w:rPr>
                <w:szCs w:val="24"/>
              </w:rPr>
            </w:pPr>
            <w:r w:rsidRPr="007A3223">
              <w:rPr>
                <w:szCs w:val="24"/>
              </w:rPr>
              <w:t>Cediranib</w:t>
            </w:r>
          </w:p>
        </w:tc>
      </w:tr>
      <w:tr w:rsidR="00D314A3" w:rsidRPr="007A3223" w14:paraId="3DCC3180" w14:textId="77777777" w:rsidTr="00796818">
        <w:tc>
          <w:tcPr>
            <w:tcW w:w="1638" w:type="dxa"/>
          </w:tcPr>
          <w:p w14:paraId="29A70CB0" w14:textId="77777777" w:rsidR="00C706EA" w:rsidRPr="007A3223" w:rsidRDefault="00C706EA" w:rsidP="005B4ED4">
            <w:pPr>
              <w:spacing w:before="60" w:after="60"/>
              <w:rPr>
                <w:bCs/>
                <w:szCs w:val="24"/>
              </w:rPr>
            </w:pPr>
            <w:r w:rsidRPr="007A3223">
              <w:rPr>
                <w:bCs/>
                <w:szCs w:val="24"/>
              </w:rPr>
              <w:t>IND Number:</w:t>
            </w:r>
          </w:p>
        </w:tc>
        <w:tc>
          <w:tcPr>
            <w:tcW w:w="2700" w:type="dxa"/>
          </w:tcPr>
          <w:p w14:paraId="089E9628" w14:textId="77777777" w:rsidR="00C706EA" w:rsidRPr="007A3223" w:rsidRDefault="008D3DAE" w:rsidP="005B4ED4">
            <w:pPr>
              <w:spacing w:before="60" w:after="60"/>
              <w:rPr>
                <w:szCs w:val="24"/>
              </w:rPr>
            </w:pPr>
            <w:r w:rsidRPr="007A3223">
              <w:rPr>
                <w:szCs w:val="24"/>
              </w:rPr>
              <w:t>126389</w:t>
            </w:r>
          </w:p>
        </w:tc>
        <w:tc>
          <w:tcPr>
            <w:tcW w:w="2610" w:type="dxa"/>
          </w:tcPr>
          <w:p w14:paraId="46F32451" w14:textId="77777777" w:rsidR="00794FED" w:rsidRPr="007A3223" w:rsidRDefault="008D3DAE" w:rsidP="005B4ED4">
            <w:pPr>
              <w:spacing w:before="60" w:after="60"/>
              <w:rPr>
                <w:szCs w:val="24"/>
              </w:rPr>
            </w:pPr>
            <w:r w:rsidRPr="007A3223">
              <w:rPr>
                <w:szCs w:val="24"/>
              </w:rPr>
              <w:t>126389</w:t>
            </w:r>
          </w:p>
        </w:tc>
        <w:tc>
          <w:tcPr>
            <w:tcW w:w="2610" w:type="dxa"/>
          </w:tcPr>
          <w:p w14:paraId="78C52292" w14:textId="77777777" w:rsidR="00794FED" w:rsidRPr="007A3223" w:rsidRDefault="008D3DAE" w:rsidP="005B4ED4">
            <w:pPr>
              <w:spacing w:before="60" w:after="60"/>
              <w:rPr>
                <w:szCs w:val="24"/>
              </w:rPr>
            </w:pPr>
            <w:r w:rsidRPr="007A3223">
              <w:rPr>
                <w:szCs w:val="24"/>
              </w:rPr>
              <w:t>126389</w:t>
            </w:r>
          </w:p>
        </w:tc>
      </w:tr>
      <w:tr w:rsidR="00D314A3" w:rsidRPr="007A3223" w14:paraId="53C732EF" w14:textId="77777777" w:rsidTr="00796818">
        <w:tc>
          <w:tcPr>
            <w:tcW w:w="1638" w:type="dxa"/>
          </w:tcPr>
          <w:p w14:paraId="5D93DC15" w14:textId="77777777" w:rsidR="00C706EA" w:rsidRPr="007A3223" w:rsidRDefault="00C706EA" w:rsidP="005B4ED4">
            <w:pPr>
              <w:spacing w:before="60" w:after="60"/>
              <w:rPr>
                <w:bCs/>
                <w:szCs w:val="24"/>
              </w:rPr>
            </w:pPr>
            <w:r w:rsidRPr="007A3223">
              <w:rPr>
                <w:bCs/>
                <w:szCs w:val="24"/>
              </w:rPr>
              <w:t>Sponsor:</w:t>
            </w:r>
          </w:p>
        </w:tc>
        <w:tc>
          <w:tcPr>
            <w:tcW w:w="2700" w:type="dxa"/>
          </w:tcPr>
          <w:p w14:paraId="0C6EF0A4" w14:textId="77777777" w:rsidR="00C706EA" w:rsidRPr="007A3223" w:rsidRDefault="00C706EA" w:rsidP="005B4ED4">
            <w:pPr>
              <w:spacing w:before="60" w:after="60"/>
              <w:rPr>
                <w:szCs w:val="24"/>
              </w:rPr>
            </w:pPr>
            <w:r w:rsidRPr="007A3223">
              <w:rPr>
                <w:szCs w:val="24"/>
              </w:rPr>
              <w:t>Center for Cancer Research</w:t>
            </w:r>
          </w:p>
        </w:tc>
        <w:tc>
          <w:tcPr>
            <w:tcW w:w="2610" w:type="dxa"/>
          </w:tcPr>
          <w:p w14:paraId="17128358" w14:textId="77777777" w:rsidR="00C706EA" w:rsidRPr="007A3223" w:rsidRDefault="00C706EA" w:rsidP="005B4ED4">
            <w:pPr>
              <w:spacing w:before="60" w:after="60"/>
              <w:rPr>
                <w:szCs w:val="24"/>
              </w:rPr>
            </w:pPr>
            <w:r w:rsidRPr="007A3223">
              <w:rPr>
                <w:szCs w:val="24"/>
              </w:rPr>
              <w:t>Center for Cancer Research</w:t>
            </w:r>
          </w:p>
        </w:tc>
        <w:tc>
          <w:tcPr>
            <w:tcW w:w="2610" w:type="dxa"/>
          </w:tcPr>
          <w:p w14:paraId="3C45908D" w14:textId="77777777" w:rsidR="00C706EA" w:rsidRPr="007A3223" w:rsidRDefault="00C706EA" w:rsidP="005B4ED4">
            <w:pPr>
              <w:spacing w:before="60" w:after="60"/>
              <w:rPr>
                <w:szCs w:val="24"/>
              </w:rPr>
            </w:pPr>
            <w:r w:rsidRPr="007A3223">
              <w:rPr>
                <w:szCs w:val="24"/>
              </w:rPr>
              <w:t>Center for Cancer Research</w:t>
            </w:r>
          </w:p>
        </w:tc>
      </w:tr>
      <w:tr w:rsidR="00D314A3" w:rsidRPr="007A3223" w14:paraId="4C3C0AF1" w14:textId="77777777" w:rsidTr="00796818">
        <w:tc>
          <w:tcPr>
            <w:tcW w:w="1638" w:type="dxa"/>
          </w:tcPr>
          <w:p w14:paraId="1BF9E021" w14:textId="77777777" w:rsidR="00C706EA" w:rsidRPr="007A3223" w:rsidRDefault="00C706EA" w:rsidP="005B4ED4">
            <w:pPr>
              <w:spacing w:before="60" w:after="60"/>
              <w:rPr>
                <w:bCs/>
                <w:szCs w:val="24"/>
              </w:rPr>
            </w:pPr>
            <w:r w:rsidRPr="007A3223">
              <w:rPr>
                <w:bCs/>
                <w:szCs w:val="24"/>
              </w:rPr>
              <w:t>Manufacturer:</w:t>
            </w:r>
          </w:p>
        </w:tc>
        <w:tc>
          <w:tcPr>
            <w:tcW w:w="2700" w:type="dxa"/>
          </w:tcPr>
          <w:p w14:paraId="5C181BA4" w14:textId="77777777" w:rsidR="00C706EA" w:rsidRPr="007A3223" w:rsidRDefault="00C706EA" w:rsidP="005B4ED4">
            <w:pPr>
              <w:spacing w:before="60" w:after="60"/>
              <w:rPr>
                <w:szCs w:val="24"/>
              </w:rPr>
            </w:pPr>
            <w:r w:rsidRPr="007A3223">
              <w:rPr>
                <w:szCs w:val="24"/>
              </w:rPr>
              <w:t xml:space="preserve">MedImmune, LLC, a </w:t>
            </w:r>
            <w:r w:rsidR="00CC4F29" w:rsidRPr="007A3223">
              <w:rPr>
                <w:szCs w:val="24"/>
              </w:rPr>
              <w:t xml:space="preserve">wholly owned subsidiary of </w:t>
            </w:r>
            <w:r w:rsidRPr="007A3223">
              <w:rPr>
                <w:szCs w:val="24"/>
              </w:rPr>
              <w:t xml:space="preserve">AstraZeneca </w:t>
            </w:r>
          </w:p>
        </w:tc>
        <w:tc>
          <w:tcPr>
            <w:tcW w:w="2610" w:type="dxa"/>
          </w:tcPr>
          <w:p w14:paraId="23E951A0" w14:textId="77777777" w:rsidR="00C706EA" w:rsidRPr="007A3223" w:rsidRDefault="00CC4F29" w:rsidP="005B4ED4">
            <w:pPr>
              <w:spacing w:before="60" w:after="60"/>
              <w:rPr>
                <w:szCs w:val="24"/>
              </w:rPr>
            </w:pPr>
            <w:r w:rsidRPr="007A3223">
              <w:rPr>
                <w:szCs w:val="24"/>
              </w:rPr>
              <w:t>AbbVie</w:t>
            </w:r>
            <w:r w:rsidR="00893556" w:rsidRPr="007A3223">
              <w:rPr>
                <w:szCs w:val="24"/>
              </w:rPr>
              <w:t>, under contract with AstraZeneca</w:t>
            </w:r>
          </w:p>
        </w:tc>
        <w:tc>
          <w:tcPr>
            <w:tcW w:w="2610" w:type="dxa"/>
          </w:tcPr>
          <w:p w14:paraId="48ED21F2" w14:textId="77777777" w:rsidR="00C706EA" w:rsidRPr="007A3223" w:rsidRDefault="00C706EA" w:rsidP="005B4ED4">
            <w:pPr>
              <w:spacing w:before="60" w:after="60"/>
              <w:rPr>
                <w:szCs w:val="24"/>
              </w:rPr>
            </w:pPr>
            <w:r w:rsidRPr="007A3223">
              <w:rPr>
                <w:szCs w:val="24"/>
              </w:rPr>
              <w:t>AstraZeneca</w:t>
            </w:r>
          </w:p>
        </w:tc>
      </w:tr>
      <w:tr w:rsidR="00131A83" w:rsidRPr="007A3223" w14:paraId="455EF7C8" w14:textId="77777777" w:rsidTr="00796818">
        <w:tc>
          <w:tcPr>
            <w:tcW w:w="1638" w:type="dxa"/>
          </w:tcPr>
          <w:p w14:paraId="07DAD1BB" w14:textId="67C89E57" w:rsidR="00131A83" w:rsidRPr="007A3223" w:rsidRDefault="00131A83" w:rsidP="005B4ED4">
            <w:pPr>
              <w:spacing w:before="60" w:after="60"/>
              <w:rPr>
                <w:bCs/>
                <w:szCs w:val="24"/>
              </w:rPr>
            </w:pPr>
            <w:r>
              <w:rPr>
                <w:bCs/>
                <w:szCs w:val="24"/>
              </w:rPr>
              <w:t>Supplier</w:t>
            </w:r>
            <w:r w:rsidR="00180E30">
              <w:rPr>
                <w:bCs/>
                <w:szCs w:val="24"/>
              </w:rPr>
              <w:t>:</w:t>
            </w:r>
          </w:p>
        </w:tc>
        <w:tc>
          <w:tcPr>
            <w:tcW w:w="2700" w:type="dxa"/>
          </w:tcPr>
          <w:p w14:paraId="70ACA7FB" w14:textId="73D46A37" w:rsidR="00131A83" w:rsidRPr="007A3223" w:rsidRDefault="00180E30" w:rsidP="005B4ED4">
            <w:pPr>
              <w:spacing w:before="60" w:after="60"/>
              <w:rPr>
                <w:szCs w:val="24"/>
              </w:rPr>
            </w:pPr>
            <w:r>
              <w:rPr>
                <w:szCs w:val="24"/>
              </w:rPr>
              <w:t>AstraZeneca</w:t>
            </w:r>
          </w:p>
        </w:tc>
        <w:tc>
          <w:tcPr>
            <w:tcW w:w="2610" w:type="dxa"/>
          </w:tcPr>
          <w:p w14:paraId="2AB5391A" w14:textId="2A9701F9" w:rsidR="00131A83" w:rsidRPr="007A3223" w:rsidRDefault="00250665" w:rsidP="005B4ED4">
            <w:pPr>
              <w:spacing w:before="60" w:after="60"/>
              <w:rPr>
                <w:szCs w:val="24"/>
              </w:rPr>
            </w:pPr>
            <w:r>
              <w:rPr>
                <w:szCs w:val="24"/>
              </w:rPr>
              <w:t>AstraZeneca</w:t>
            </w:r>
          </w:p>
        </w:tc>
        <w:tc>
          <w:tcPr>
            <w:tcW w:w="2610" w:type="dxa"/>
          </w:tcPr>
          <w:p w14:paraId="055C6A19" w14:textId="265AAAD5" w:rsidR="00131A83" w:rsidRPr="007A3223" w:rsidRDefault="00180E30" w:rsidP="005B4ED4">
            <w:pPr>
              <w:spacing w:before="60" w:after="60"/>
              <w:rPr>
                <w:szCs w:val="24"/>
              </w:rPr>
            </w:pPr>
            <w:r>
              <w:rPr>
                <w:szCs w:val="24"/>
              </w:rPr>
              <w:t>AstraZeneca</w:t>
            </w:r>
          </w:p>
        </w:tc>
      </w:tr>
    </w:tbl>
    <w:p w14:paraId="367CAB13" w14:textId="77777777" w:rsidR="00741E8D" w:rsidRPr="007A3223" w:rsidRDefault="00741E8D" w:rsidP="00320160">
      <w:pPr>
        <w:rPr>
          <w:color w:val="000000"/>
          <w:szCs w:val="24"/>
        </w:rPr>
      </w:pPr>
    </w:p>
    <w:p w14:paraId="67BBC47A" w14:textId="77777777" w:rsidR="003617C2" w:rsidRPr="007A3223" w:rsidRDefault="003617C2" w:rsidP="00320160">
      <w:pPr>
        <w:rPr>
          <w:color w:val="000000"/>
          <w:szCs w:val="24"/>
        </w:rPr>
      </w:pPr>
    </w:p>
    <w:p w14:paraId="296D6E96" w14:textId="77777777" w:rsidR="003617C2" w:rsidRPr="007A3223" w:rsidRDefault="003617C2" w:rsidP="00320160">
      <w:pPr>
        <w:rPr>
          <w:color w:val="000000"/>
          <w:szCs w:val="24"/>
        </w:rPr>
      </w:pPr>
    </w:p>
    <w:p w14:paraId="66384A67" w14:textId="77777777" w:rsidR="00B72905" w:rsidRPr="007A3223" w:rsidRDefault="0077206A" w:rsidP="004E00BA">
      <w:pPr>
        <w:pStyle w:val="Heading1"/>
        <w:numPr>
          <w:ilvl w:val="0"/>
          <w:numId w:val="0"/>
        </w:numPr>
        <w:ind w:left="432"/>
        <w:rPr>
          <w:rFonts w:hint="eastAsia"/>
        </w:rPr>
      </w:pPr>
      <w:bookmarkStart w:id="4" w:name="_Toc281240047"/>
      <w:bookmarkStart w:id="5" w:name="_Toc281240290"/>
      <w:r w:rsidRPr="007A3223">
        <w:br w:type="page"/>
      </w:r>
      <w:bookmarkStart w:id="6" w:name="_Toc281240062"/>
      <w:bookmarkStart w:id="7" w:name="_Toc288125051"/>
      <w:bookmarkStart w:id="8" w:name="_Toc82444329"/>
      <w:bookmarkEnd w:id="4"/>
      <w:bookmarkEnd w:id="5"/>
      <w:r w:rsidR="00DC0D3B" w:rsidRPr="007A3223">
        <w:lastRenderedPageBreak/>
        <w:t>PRÉCIS</w:t>
      </w:r>
      <w:bookmarkEnd w:id="6"/>
      <w:bookmarkEnd w:id="7"/>
      <w:bookmarkEnd w:id="8"/>
    </w:p>
    <w:p w14:paraId="089C53DA" w14:textId="77777777" w:rsidR="00AE2734" w:rsidRPr="007A3223" w:rsidRDefault="00AE2734" w:rsidP="005149FC">
      <w:pPr>
        <w:spacing w:after="0"/>
        <w:rPr>
          <w:b/>
          <w:szCs w:val="24"/>
        </w:rPr>
      </w:pPr>
    </w:p>
    <w:p w14:paraId="188B506D" w14:textId="063A60B3" w:rsidR="00B72905" w:rsidRPr="007A3223" w:rsidRDefault="00B72905" w:rsidP="005149FC">
      <w:pPr>
        <w:spacing w:after="0"/>
        <w:rPr>
          <w:i/>
          <w:szCs w:val="24"/>
        </w:rPr>
      </w:pPr>
      <w:r w:rsidRPr="007A3223">
        <w:rPr>
          <w:b/>
          <w:szCs w:val="24"/>
        </w:rPr>
        <w:t>Background:</w:t>
      </w:r>
    </w:p>
    <w:p w14:paraId="33991481" w14:textId="77777777" w:rsidR="00B72905" w:rsidRPr="007A3223" w:rsidRDefault="00B72905" w:rsidP="00030913">
      <w:pPr>
        <w:pStyle w:val="ListParagraph"/>
        <w:numPr>
          <w:ilvl w:val="0"/>
          <w:numId w:val="8"/>
        </w:numPr>
        <w:ind w:left="360"/>
        <w:rPr>
          <w:i/>
        </w:rPr>
      </w:pPr>
      <w:r w:rsidRPr="007A3223">
        <w:rPr>
          <w:bCs/>
          <w:lang w:eastAsia="ko-KR"/>
        </w:rPr>
        <w:t xml:space="preserve">Disruption of the </w:t>
      </w:r>
      <w:r w:rsidR="004C2FE6" w:rsidRPr="007A3223">
        <w:rPr>
          <w:bCs/>
          <w:lang w:eastAsia="ko-KR"/>
        </w:rPr>
        <w:t xml:space="preserve">immune checkpoint </w:t>
      </w:r>
      <w:r w:rsidRPr="007A3223">
        <w:rPr>
          <w:bCs/>
          <w:lang w:eastAsia="ko-KR"/>
        </w:rPr>
        <w:t xml:space="preserve">PD-1/PD-L1 pathway </w:t>
      </w:r>
      <w:r w:rsidR="009872BF" w:rsidRPr="007A3223">
        <w:rPr>
          <w:bCs/>
          <w:lang w:eastAsia="ko-KR"/>
        </w:rPr>
        <w:t>yielded</w:t>
      </w:r>
      <w:r w:rsidR="004C2FE6" w:rsidRPr="007A3223">
        <w:rPr>
          <w:bCs/>
          <w:lang w:eastAsia="ko-KR"/>
        </w:rPr>
        <w:t xml:space="preserve"> clinical </w:t>
      </w:r>
      <w:r w:rsidRPr="007A3223">
        <w:rPr>
          <w:bCs/>
          <w:lang w:eastAsia="ko-KR"/>
        </w:rPr>
        <w:t>activity in subset</w:t>
      </w:r>
      <w:r w:rsidR="00175C9D" w:rsidRPr="007A3223">
        <w:rPr>
          <w:bCs/>
          <w:lang w:eastAsia="ko-KR"/>
        </w:rPr>
        <w:t>s</w:t>
      </w:r>
      <w:r w:rsidRPr="007A3223">
        <w:rPr>
          <w:bCs/>
          <w:lang w:eastAsia="ko-KR"/>
        </w:rPr>
        <w:t xml:space="preserve"> of </w:t>
      </w:r>
      <w:r w:rsidR="00175C9D" w:rsidRPr="007A3223">
        <w:rPr>
          <w:bCs/>
          <w:lang w:eastAsia="ko-KR"/>
        </w:rPr>
        <w:t>advanced solid tumors, such as melanoma and lung cancer</w:t>
      </w:r>
      <w:r w:rsidR="004C2FE6" w:rsidRPr="007A3223">
        <w:rPr>
          <w:bCs/>
          <w:lang w:eastAsia="ko-KR"/>
        </w:rPr>
        <w:t>.</w:t>
      </w:r>
      <w:r w:rsidRPr="007A3223">
        <w:rPr>
          <w:bCs/>
          <w:lang w:eastAsia="ko-KR"/>
        </w:rPr>
        <w:t xml:space="preserve"> </w:t>
      </w:r>
    </w:p>
    <w:p w14:paraId="12B46777" w14:textId="77777777" w:rsidR="001E6EBE" w:rsidRPr="007A3223" w:rsidRDefault="00B72905" w:rsidP="00030913">
      <w:pPr>
        <w:pStyle w:val="ListParagraph"/>
        <w:numPr>
          <w:ilvl w:val="0"/>
          <w:numId w:val="8"/>
        </w:numPr>
        <w:ind w:left="360"/>
        <w:rPr>
          <w:i/>
        </w:rPr>
      </w:pPr>
      <w:r w:rsidRPr="007A3223">
        <w:t xml:space="preserve">Olaparib (O), a PARP inhibitor (PARPi), </w:t>
      </w:r>
      <w:r w:rsidR="00175C9D" w:rsidRPr="007A3223">
        <w:t>has</w:t>
      </w:r>
      <w:r w:rsidR="000E0FAB" w:rsidRPr="007A3223">
        <w:t xml:space="preserve"> demonstrated</w:t>
      </w:r>
      <w:r w:rsidR="004C2FE6" w:rsidRPr="007A3223">
        <w:t xml:space="preserve"> </w:t>
      </w:r>
      <w:r w:rsidRPr="007A3223">
        <w:t>single agent activity in recurrent ovarian cancer</w:t>
      </w:r>
      <w:r w:rsidR="00175C9D" w:rsidRPr="007A3223">
        <w:t xml:space="preserve"> (OvCa), and subsets of prostate, </w:t>
      </w:r>
      <w:r w:rsidR="00786C48" w:rsidRPr="007A3223">
        <w:t xml:space="preserve">triple negative </w:t>
      </w:r>
      <w:r w:rsidR="00175C9D" w:rsidRPr="007A3223">
        <w:t>breast or lung cancers</w:t>
      </w:r>
      <w:r w:rsidRPr="007A3223">
        <w:t>.</w:t>
      </w:r>
      <w:r w:rsidR="001E6EBE" w:rsidRPr="007A3223">
        <w:t xml:space="preserve"> </w:t>
      </w:r>
    </w:p>
    <w:p w14:paraId="2DF20876" w14:textId="77777777" w:rsidR="00B72905" w:rsidRPr="007A3223" w:rsidRDefault="00B72905" w:rsidP="00030913">
      <w:pPr>
        <w:pStyle w:val="ListParagraph"/>
        <w:numPr>
          <w:ilvl w:val="0"/>
          <w:numId w:val="8"/>
        </w:numPr>
        <w:ind w:left="360"/>
        <w:rPr>
          <w:i/>
        </w:rPr>
      </w:pPr>
      <w:r w:rsidRPr="007A3223">
        <w:t xml:space="preserve">Our recent </w:t>
      </w:r>
      <w:r w:rsidR="001E6EBE" w:rsidRPr="007A3223">
        <w:t xml:space="preserve">randomized phase 2 </w:t>
      </w:r>
      <w:r w:rsidR="003C38DA" w:rsidRPr="007A3223">
        <w:t xml:space="preserve">study </w:t>
      </w:r>
      <w:r w:rsidRPr="007A3223">
        <w:t xml:space="preserve">showed </w:t>
      </w:r>
      <w:r w:rsidR="004F72A2" w:rsidRPr="007A3223">
        <w:t>that</w:t>
      </w:r>
      <w:r w:rsidRPr="007A3223">
        <w:t xml:space="preserve"> O</w:t>
      </w:r>
      <w:r w:rsidR="00175C9D" w:rsidRPr="007A3223">
        <w:t xml:space="preserve"> and cediranib (C), a VEGFR1-3 inhibitor</w:t>
      </w:r>
      <w:r w:rsidRPr="007A3223">
        <w:t xml:space="preserve"> was clinically superior to O</w:t>
      </w:r>
      <w:r w:rsidR="004F72A2" w:rsidRPr="007A3223">
        <w:t xml:space="preserve"> alone</w:t>
      </w:r>
      <w:r w:rsidR="00175C9D" w:rsidRPr="007A3223">
        <w:t xml:space="preserve"> in platinum-sensitive recurrent OvCa</w:t>
      </w:r>
      <w:r w:rsidRPr="007A3223">
        <w:t>.</w:t>
      </w:r>
    </w:p>
    <w:p w14:paraId="393B749A" w14:textId="0E8BCD44" w:rsidR="00B72905" w:rsidRPr="007A3223" w:rsidRDefault="00B72905" w:rsidP="00030913">
      <w:pPr>
        <w:pStyle w:val="ListParagraph"/>
        <w:numPr>
          <w:ilvl w:val="0"/>
          <w:numId w:val="8"/>
        </w:numPr>
        <w:tabs>
          <w:tab w:val="left" w:pos="360"/>
        </w:tabs>
        <w:ind w:left="360"/>
        <w:rPr>
          <w:b/>
        </w:rPr>
      </w:pPr>
      <w:r w:rsidRPr="007A3223">
        <w:t>We hypothesize that increased DNA damage</w:t>
      </w:r>
      <w:r w:rsidR="004C2FE6" w:rsidRPr="007A3223">
        <w:t xml:space="preserve"> by PARP inhibition</w:t>
      </w:r>
      <w:r w:rsidR="006B5F43" w:rsidRPr="007A3223">
        <w:t xml:space="preserve"> </w:t>
      </w:r>
      <w:r w:rsidR="005D3601" w:rsidRPr="007A3223">
        <w:t>and/</w:t>
      </w:r>
      <w:r w:rsidR="004C2FE6" w:rsidRPr="007A3223">
        <w:t>or</w:t>
      </w:r>
      <w:r w:rsidRPr="007A3223">
        <w:t xml:space="preserve"> reduced </w:t>
      </w:r>
      <w:r w:rsidR="004C2FE6" w:rsidRPr="007A3223">
        <w:t>angiogenesis</w:t>
      </w:r>
      <w:r w:rsidRPr="007A3223">
        <w:t xml:space="preserve"> by </w:t>
      </w:r>
      <w:r w:rsidR="004C2FE6" w:rsidRPr="007A3223">
        <w:t>VEGFR inhibition</w:t>
      </w:r>
      <w:r w:rsidRPr="007A3223">
        <w:t xml:space="preserve"> </w:t>
      </w:r>
      <w:r w:rsidR="004C2FE6" w:rsidRPr="007A3223">
        <w:t xml:space="preserve">will </w:t>
      </w:r>
      <w:r w:rsidRPr="007A3223">
        <w:t>complement the anti-tumor activity of an immune checkpoint inhibitor</w:t>
      </w:r>
      <w:r w:rsidR="00786C48" w:rsidRPr="007A3223">
        <w:t xml:space="preserve">, </w:t>
      </w:r>
      <w:r w:rsidR="00A4463A">
        <w:t>D</w:t>
      </w:r>
      <w:r w:rsidR="00A4463A">
        <w:rPr>
          <w:lang w:val="en-US"/>
        </w:rPr>
        <w:t>urvalumab</w:t>
      </w:r>
      <w:r w:rsidR="00786C48" w:rsidRPr="007A3223">
        <w:t>,</w:t>
      </w:r>
      <w:r w:rsidRPr="007A3223">
        <w:t xml:space="preserve"> in recurrent </w:t>
      </w:r>
      <w:r w:rsidR="00786C48" w:rsidRPr="007A3223">
        <w:t>OvCa and other solid tumors</w:t>
      </w:r>
      <w:r w:rsidRPr="007A3223">
        <w:t xml:space="preserve">. </w:t>
      </w:r>
    </w:p>
    <w:p w14:paraId="53640341" w14:textId="77777777" w:rsidR="00AE2734" w:rsidRPr="007A3223" w:rsidRDefault="00AE2734" w:rsidP="005149FC">
      <w:pPr>
        <w:spacing w:after="0"/>
        <w:rPr>
          <w:b/>
          <w:szCs w:val="24"/>
        </w:rPr>
      </w:pPr>
    </w:p>
    <w:p w14:paraId="38F51AB4" w14:textId="46BCC87B" w:rsidR="00B72905" w:rsidRPr="007A3223" w:rsidRDefault="00B72905" w:rsidP="005149FC">
      <w:pPr>
        <w:spacing w:after="0"/>
        <w:rPr>
          <w:i/>
          <w:szCs w:val="24"/>
        </w:rPr>
      </w:pPr>
      <w:r w:rsidRPr="007A3223">
        <w:rPr>
          <w:b/>
          <w:szCs w:val="24"/>
        </w:rPr>
        <w:t>Objectives:</w:t>
      </w:r>
    </w:p>
    <w:p w14:paraId="2E0E2E4E" w14:textId="3A56B627" w:rsidR="00B72905" w:rsidRPr="007A3223" w:rsidRDefault="00B72905" w:rsidP="00030913">
      <w:pPr>
        <w:numPr>
          <w:ilvl w:val="0"/>
          <w:numId w:val="8"/>
        </w:numPr>
        <w:spacing w:after="0"/>
        <w:ind w:left="360"/>
        <w:rPr>
          <w:bCs/>
          <w:szCs w:val="24"/>
        </w:rPr>
      </w:pPr>
      <w:r w:rsidRPr="007A3223">
        <w:rPr>
          <w:bCs/>
          <w:szCs w:val="24"/>
          <w:u w:val="single"/>
        </w:rPr>
        <w:t>Phase I</w:t>
      </w:r>
      <w:r w:rsidRPr="007A3223">
        <w:rPr>
          <w:bCs/>
          <w:szCs w:val="24"/>
        </w:rPr>
        <w:t>: To determine the recommended phase II dose (RP</w:t>
      </w:r>
      <w:r w:rsidR="00B47510" w:rsidRPr="007A3223">
        <w:rPr>
          <w:bCs/>
          <w:szCs w:val="24"/>
        </w:rPr>
        <w:t>2</w:t>
      </w:r>
      <w:r w:rsidRPr="007A3223">
        <w:rPr>
          <w:bCs/>
          <w:szCs w:val="24"/>
        </w:rPr>
        <w:t>D) and the safety of doublet therapies</w:t>
      </w:r>
      <w:r w:rsidR="009872BF" w:rsidRPr="007A3223">
        <w:rPr>
          <w:bCs/>
          <w:szCs w:val="24"/>
        </w:rPr>
        <w:t xml:space="preserve"> </w:t>
      </w:r>
      <w:r w:rsidR="009F5D74" w:rsidRPr="007A3223">
        <w:rPr>
          <w:bCs/>
          <w:szCs w:val="24"/>
        </w:rPr>
        <w:t>(</w:t>
      </w:r>
      <w:r w:rsidR="00D427D9">
        <w:rPr>
          <w:bCs/>
          <w:szCs w:val="24"/>
        </w:rPr>
        <w:t>durvalumab</w:t>
      </w:r>
      <w:r w:rsidRPr="007A3223">
        <w:rPr>
          <w:bCs/>
          <w:szCs w:val="24"/>
        </w:rPr>
        <w:t xml:space="preserve">/olaparib </w:t>
      </w:r>
      <w:r w:rsidR="009F5D74" w:rsidRPr="007A3223">
        <w:rPr>
          <w:bCs/>
          <w:szCs w:val="24"/>
        </w:rPr>
        <w:t>[</w:t>
      </w:r>
      <w:r w:rsidR="00D427D9">
        <w:rPr>
          <w:bCs/>
          <w:szCs w:val="24"/>
        </w:rPr>
        <w:t>Durvalumab</w:t>
      </w:r>
      <w:r w:rsidR="00C00897" w:rsidRPr="007A3223">
        <w:rPr>
          <w:bCs/>
          <w:szCs w:val="24"/>
        </w:rPr>
        <w:t>+</w:t>
      </w:r>
      <w:r w:rsidRPr="007A3223">
        <w:rPr>
          <w:bCs/>
          <w:szCs w:val="24"/>
        </w:rPr>
        <w:t>O</w:t>
      </w:r>
      <w:r w:rsidR="009F5D74" w:rsidRPr="007A3223">
        <w:rPr>
          <w:bCs/>
          <w:szCs w:val="24"/>
        </w:rPr>
        <w:t>]</w:t>
      </w:r>
      <w:r w:rsidRPr="007A3223">
        <w:rPr>
          <w:bCs/>
          <w:szCs w:val="24"/>
        </w:rPr>
        <w:t xml:space="preserve"> and </w:t>
      </w:r>
      <w:r w:rsidR="00D427D9">
        <w:rPr>
          <w:bCs/>
          <w:szCs w:val="24"/>
        </w:rPr>
        <w:t>durvalumab</w:t>
      </w:r>
      <w:r w:rsidRPr="007A3223">
        <w:rPr>
          <w:bCs/>
          <w:szCs w:val="24"/>
        </w:rPr>
        <w:t xml:space="preserve">/cediranib </w:t>
      </w:r>
      <w:r w:rsidR="009F5D74" w:rsidRPr="007A3223">
        <w:rPr>
          <w:bCs/>
          <w:szCs w:val="24"/>
        </w:rPr>
        <w:t>[</w:t>
      </w:r>
      <w:r w:rsidR="00D427D9">
        <w:rPr>
          <w:bCs/>
          <w:szCs w:val="24"/>
        </w:rPr>
        <w:t>Durvalumab</w:t>
      </w:r>
      <w:r w:rsidR="00C00897" w:rsidRPr="007A3223">
        <w:rPr>
          <w:bCs/>
          <w:szCs w:val="24"/>
        </w:rPr>
        <w:t>+</w:t>
      </w:r>
      <w:r w:rsidRPr="007A3223">
        <w:rPr>
          <w:bCs/>
          <w:szCs w:val="24"/>
        </w:rPr>
        <w:t>C</w:t>
      </w:r>
      <w:r w:rsidR="009F5D74" w:rsidRPr="007A3223">
        <w:rPr>
          <w:bCs/>
          <w:szCs w:val="24"/>
        </w:rPr>
        <w:t>]</w:t>
      </w:r>
      <w:r w:rsidRPr="007A3223">
        <w:rPr>
          <w:bCs/>
          <w:szCs w:val="24"/>
        </w:rPr>
        <w:t xml:space="preserve">) </w:t>
      </w:r>
      <w:r w:rsidR="009F5D74" w:rsidRPr="007A3223">
        <w:rPr>
          <w:bCs/>
          <w:szCs w:val="24"/>
        </w:rPr>
        <w:t>and triplet therapy (</w:t>
      </w:r>
      <w:r w:rsidR="00D427D9">
        <w:rPr>
          <w:bCs/>
          <w:szCs w:val="24"/>
        </w:rPr>
        <w:t>Durvalumab</w:t>
      </w:r>
      <w:r w:rsidR="009F5D74" w:rsidRPr="007A3223">
        <w:rPr>
          <w:bCs/>
          <w:szCs w:val="24"/>
        </w:rPr>
        <w:t xml:space="preserve">+O+C) </w:t>
      </w:r>
      <w:r w:rsidRPr="007A3223">
        <w:rPr>
          <w:bCs/>
          <w:szCs w:val="24"/>
        </w:rPr>
        <w:t xml:space="preserve">in patients with advanced solid tumors. </w:t>
      </w:r>
    </w:p>
    <w:p w14:paraId="12822A96" w14:textId="3C7C4A8F" w:rsidR="002873A3" w:rsidRPr="007A3223" w:rsidRDefault="004D3DD2" w:rsidP="00030913">
      <w:pPr>
        <w:numPr>
          <w:ilvl w:val="0"/>
          <w:numId w:val="8"/>
        </w:numPr>
        <w:spacing w:after="0"/>
        <w:ind w:left="360"/>
        <w:rPr>
          <w:i/>
          <w:szCs w:val="24"/>
        </w:rPr>
      </w:pPr>
      <w:r w:rsidRPr="007A3223">
        <w:rPr>
          <w:bCs/>
          <w:szCs w:val="24"/>
          <w:u w:val="single"/>
        </w:rPr>
        <w:t xml:space="preserve">Phase II </w:t>
      </w:r>
      <w:r w:rsidR="00053BF9" w:rsidRPr="007A3223">
        <w:rPr>
          <w:bCs/>
          <w:szCs w:val="24"/>
          <w:u w:val="single"/>
        </w:rPr>
        <w:t>Cohort 1 OvCa;</w:t>
      </w:r>
      <w:r w:rsidR="002873A3" w:rsidRPr="007A3223">
        <w:rPr>
          <w:bCs/>
          <w:szCs w:val="24"/>
          <w:u w:val="single"/>
        </w:rPr>
        <w:t xml:space="preserve"> </w:t>
      </w:r>
      <w:r w:rsidR="004A1603">
        <w:rPr>
          <w:bCs/>
          <w:szCs w:val="24"/>
          <w:u w:val="single"/>
        </w:rPr>
        <w:t>Durvalumab</w:t>
      </w:r>
      <w:r w:rsidR="00C00897" w:rsidRPr="007A3223">
        <w:rPr>
          <w:bCs/>
          <w:szCs w:val="24"/>
          <w:u w:val="single"/>
        </w:rPr>
        <w:t>+</w:t>
      </w:r>
      <w:r w:rsidRPr="007A3223">
        <w:rPr>
          <w:bCs/>
          <w:szCs w:val="24"/>
          <w:u w:val="single"/>
        </w:rPr>
        <w:t>O</w:t>
      </w:r>
      <w:r w:rsidR="002873A3" w:rsidRPr="007A3223">
        <w:rPr>
          <w:bCs/>
          <w:szCs w:val="24"/>
          <w:u w:val="single"/>
        </w:rPr>
        <w:t xml:space="preserve">, </w:t>
      </w:r>
      <w:r w:rsidR="004A1603">
        <w:rPr>
          <w:bCs/>
          <w:szCs w:val="24"/>
          <w:u w:val="single"/>
        </w:rPr>
        <w:t>Durvalumab</w:t>
      </w:r>
      <w:r w:rsidR="002873A3" w:rsidRPr="007A3223">
        <w:rPr>
          <w:bCs/>
          <w:szCs w:val="24"/>
          <w:u w:val="single"/>
        </w:rPr>
        <w:t xml:space="preserve">+C and </w:t>
      </w:r>
      <w:r w:rsidR="004A1603">
        <w:rPr>
          <w:bCs/>
          <w:szCs w:val="24"/>
          <w:u w:val="single"/>
        </w:rPr>
        <w:t>Durvalumab</w:t>
      </w:r>
      <w:r w:rsidR="002873A3" w:rsidRPr="007A3223">
        <w:rPr>
          <w:bCs/>
          <w:szCs w:val="24"/>
          <w:u w:val="single"/>
        </w:rPr>
        <w:t>+O+C arms</w:t>
      </w:r>
      <w:r w:rsidRPr="007A3223">
        <w:rPr>
          <w:bCs/>
          <w:szCs w:val="24"/>
        </w:rPr>
        <w:t>:</w:t>
      </w:r>
      <w:r w:rsidRPr="007A3223">
        <w:rPr>
          <w:i/>
          <w:szCs w:val="24"/>
        </w:rPr>
        <w:t xml:space="preserve"> </w:t>
      </w:r>
      <w:r w:rsidRPr="007A3223">
        <w:rPr>
          <w:bCs/>
          <w:szCs w:val="24"/>
        </w:rPr>
        <w:t xml:space="preserve">To determine clinical efficacy as measured by overall response rate (ORR) </w:t>
      </w:r>
    </w:p>
    <w:p w14:paraId="544DCC72" w14:textId="015E7335" w:rsidR="002873A3" w:rsidRPr="007A3223" w:rsidRDefault="00CD17CD" w:rsidP="00030913">
      <w:pPr>
        <w:numPr>
          <w:ilvl w:val="0"/>
          <w:numId w:val="8"/>
        </w:numPr>
        <w:spacing w:after="0"/>
        <w:ind w:left="360"/>
        <w:rPr>
          <w:i/>
          <w:szCs w:val="24"/>
        </w:rPr>
      </w:pPr>
      <w:r w:rsidRPr="007A3223">
        <w:rPr>
          <w:bCs/>
          <w:szCs w:val="24"/>
          <w:u w:val="single"/>
        </w:rPr>
        <w:t>Phase II Cohort 2</w:t>
      </w:r>
      <w:r w:rsidR="00053BF9" w:rsidRPr="007A3223">
        <w:rPr>
          <w:bCs/>
          <w:szCs w:val="24"/>
          <w:u w:val="single"/>
        </w:rPr>
        <w:t xml:space="preserve"> </w:t>
      </w:r>
      <w:r w:rsidR="000B74D2" w:rsidRPr="007A3223">
        <w:rPr>
          <w:bCs/>
          <w:szCs w:val="24"/>
          <w:u w:val="single"/>
        </w:rPr>
        <w:t>non-small cell lung cancer (</w:t>
      </w:r>
      <w:r w:rsidR="00053BF9" w:rsidRPr="007A3223">
        <w:rPr>
          <w:bCs/>
          <w:szCs w:val="24"/>
          <w:u w:val="single"/>
        </w:rPr>
        <w:t>NSCLC</w:t>
      </w:r>
      <w:r w:rsidR="000B74D2" w:rsidRPr="007A3223">
        <w:rPr>
          <w:bCs/>
          <w:szCs w:val="24"/>
          <w:u w:val="single"/>
        </w:rPr>
        <w:t>)</w:t>
      </w:r>
      <w:r w:rsidR="00053BF9" w:rsidRPr="007A3223">
        <w:rPr>
          <w:bCs/>
          <w:szCs w:val="24"/>
          <w:u w:val="single"/>
        </w:rPr>
        <w:t>;</w:t>
      </w:r>
      <w:r w:rsidR="002873A3" w:rsidRPr="007A3223">
        <w:rPr>
          <w:bCs/>
          <w:szCs w:val="24"/>
          <w:u w:val="single"/>
        </w:rPr>
        <w:t xml:space="preserve"> </w:t>
      </w:r>
      <w:r w:rsidR="00CC4041">
        <w:rPr>
          <w:bCs/>
          <w:szCs w:val="24"/>
          <w:u w:val="single"/>
        </w:rPr>
        <w:t>Durvalumab</w:t>
      </w:r>
      <w:r w:rsidR="002873A3" w:rsidRPr="007A3223">
        <w:rPr>
          <w:bCs/>
          <w:szCs w:val="24"/>
          <w:u w:val="single"/>
        </w:rPr>
        <w:t xml:space="preserve">+O and </w:t>
      </w:r>
      <w:r w:rsidR="00CC4041">
        <w:rPr>
          <w:bCs/>
          <w:szCs w:val="24"/>
          <w:u w:val="single"/>
        </w:rPr>
        <w:t>Durvalumab</w:t>
      </w:r>
      <w:r w:rsidR="002873A3" w:rsidRPr="007A3223">
        <w:rPr>
          <w:bCs/>
          <w:szCs w:val="24"/>
          <w:u w:val="single"/>
        </w:rPr>
        <w:t>+C arms</w:t>
      </w:r>
      <w:r w:rsidR="00053BF9" w:rsidRPr="007A3223">
        <w:rPr>
          <w:bCs/>
          <w:szCs w:val="24"/>
          <w:u w:val="single"/>
        </w:rPr>
        <w:t>:</w:t>
      </w:r>
      <w:r w:rsidR="00053BF9" w:rsidRPr="007A3223">
        <w:rPr>
          <w:bCs/>
          <w:szCs w:val="24"/>
        </w:rPr>
        <w:t xml:space="preserve"> To determine clinical efficacy as measured by progression-free survival (PFS)</w:t>
      </w:r>
    </w:p>
    <w:p w14:paraId="78C34EE7" w14:textId="1F76740D" w:rsidR="002873A3" w:rsidRPr="007A3223" w:rsidRDefault="00CD17CD" w:rsidP="00030913">
      <w:pPr>
        <w:numPr>
          <w:ilvl w:val="0"/>
          <w:numId w:val="8"/>
        </w:numPr>
        <w:spacing w:after="0"/>
        <w:ind w:left="360"/>
        <w:rPr>
          <w:i/>
          <w:szCs w:val="24"/>
        </w:rPr>
      </w:pPr>
      <w:r w:rsidRPr="007A3223">
        <w:rPr>
          <w:bCs/>
          <w:szCs w:val="24"/>
          <w:u w:val="single"/>
        </w:rPr>
        <w:t>Phase II Cohort 3</w:t>
      </w:r>
      <w:r w:rsidR="00053BF9" w:rsidRPr="007A3223">
        <w:rPr>
          <w:bCs/>
          <w:szCs w:val="24"/>
          <w:u w:val="single"/>
        </w:rPr>
        <w:t xml:space="preserve"> </w:t>
      </w:r>
      <w:r w:rsidR="000B74D2" w:rsidRPr="007A3223">
        <w:rPr>
          <w:bCs/>
          <w:szCs w:val="24"/>
          <w:u w:val="single"/>
        </w:rPr>
        <w:t>small cell lung cancer (</w:t>
      </w:r>
      <w:r w:rsidR="00053BF9" w:rsidRPr="007A3223">
        <w:rPr>
          <w:bCs/>
          <w:szCs w:val="24"/>
          <w:u w:val="single"/>
        </w:rPr>
        <w:t>SCLC</w:t>
      </w:r>
      <w:r w:rsidR="000B74D2" w:rsidRPr="007A3223">
        <w:rPr>
          <w:bCs/>
          <w:szCs w:val="24"/>
          <w:u w:val="single"/>
        </w:rPr>
        <w:t>)</w:t>
      </w:r>
      <w:r w:rsidR="00053BF9" w:rsidRPr="007A3223">
        <w:rPr>
          <w:bCs/>
          <w:szCs w:val="24"/>
          <w:u w:val="single"/>
        </w:rPr>
        <w:t>;</w:t>
      </w:r>
      <w:r w:rsidR="002873A3" w:rsidRPr="007A3223">
        <w:rPr>
          <w:bCs/>
          <w:szCs w:val="24"/>
          <w:u w:val="single"/>
        </w:rPr>
        <w:t xml:space="preserve"> </w:t>
      </w:r>
      <w:r w:rsidR="00CC4041">
        <w:rPr>
          <w:bCs/>
          <w:szCs w:val="24"/>
          <w:u w:val="single"/>
        </w:rPr>
        <w:t>Durvalumab</w:t>
      </w:r>
      <w:r w:rsidR="002873A3" w:rsidRPr="007A3223">
        <w:rPr>
          <w:bCs/>
          <w:szCs w:val="24"/>
          <w:u w:val="single"/>
        </w:rPr>
        <w:t>+O arm</w:t>
      </w:r>
      <w:r w:rsidR="00053BF9" w:rsidRPr="007A3223">
        <w:rPr>
          <w:bCs/>
          <w:szCs w:val="24"/>
          <w:u w:val="single"/>
        </w:rPr>
        <w:t>:</w:t>
      </w:r>
      <w:r w:rsidR="00053BF9" w:rsidRPr="007A3223">
        <w:rPr>
          <w:bCs/>
          <w:szCs w:val="24"/>
        </w:rPr>
        <w:t xml:space="preserve"> To determine clinical efficacy as measured by ORR</w:t>
      </w:r>
    </w:p>
    <w:p w14:paraId="3EB9D40E" w14:textId="1E4EC841" w:rsidR="00053BF9" w:rsidRPr="007A3223" w:rsidRDefault="002873A3" w:rsidP="00030913">
      <w:pPr>
        <w:numPr>
          <w:ilvl w:val="0"/>
          <w:numId w:val="8"/>
        </w:numPr>
        <w:spacing w:after="0"/>
        <w:ind w:left="360"/>
        <w:rPr>
          <w:i/>
          <w:szCs w:val="24"/>
        </w:rPr>
      </w:pPr>
      <w:r w:rsidRPr="007A3223">
        <w:rPr>
          <w:bCs/>
          <w:szCs w:val="24"/>
          <w:u w:val="single"/>
        </w:rPr>
        <w:t xml:space="preserve">Phase II Cohort </w:t>
      </w:r>
      <w:r w:rsidR="00CD17CD" w:rsidRPr="007A3223">
        <w:rPr>
          <w:bCs/>
          <w:szCs w:val="24"/>
          <w:u w:val="single"/>
        </w:rPr>
        <w:t>4</w:t>
      </w:r>
      <w:r w:rsidRPr="007A3223">
        <w:rPr>
          <w:bCs/>
          <w:szCs w:val="24"/>
          <w:u w:val="single"/>
        </w:rPr>
        <w:t xml:space="preserve"> </w:t>
      </w:r>
      <w:r w:rsidR="000B74D2" w:rsidRPr="007A3223">
        <w:rPr>
          <w:bCs/>
          <w:szCs w:val="24"/>
          <w:u w:val="single"/>
        </w:rPr>
        <w:t>metasta</w:t>
      </w:r>
      <w:r w:rsidR="00E6669B" w:rsidRPr="007A3223">
        <w:rPr>
          <w:bCs/>
          <w:szCs w:val="24"/>
          <w:u w:val="single"/>
        </w:rPr>
        <w:t>t</w:t>
      </w:r>
      <w:r w:rsidR="000B74D2" w:rsidRPr="007A3223">
        <w:rPr>
          <w:bCs/>
          <w:szCs w:val="24"/>
          <w:u w:val="single"/>
        </w:rPr>
        <w:t>ic castrate-resistant prostate cancer (mCRPC)</w:t>
      </w:r>
      <w:r w:rsidR="00053BF9" w:rsidRPr="007A3223">
        <w:rPr>
          <w:bCs/>
          <w:szCs w:val="24"/>
          <w:u w:val="single"/>
        </w:rPr>
        <w:t>;</w:t>
      </w:r>
      <w:r w:rsidRPr="007A3223">
        <w:rPr>
          <w:bCs/>
          <w:szCs w:val="24"/>
          <w:u w:val="single"/>
        </w:rPr>
        <w:t xml:space="preserve"> </w:t>
      </w:r>
      <w:r w:rsidR="00CC4041">
        <w:rPr>
          <w:bCs/>
          <w:szCs w:val="24"/>
          <w:u w:val="single"/>
        </w:rPr>
        <w:t>Durvalumab</w:t>
      </w:r>
      <w:r w:rsidRPr="007A3223">
        <w:rPr>
          <w:bCs/>
          <w:szCs w:val="24"/>
          <w:u w:val="single"/>
        </w:rPr>
        <w:t>+O arm</w:t>
      </w:r>
      <w:r w:rsidR="00EA3F1B" w:rsidRPr="007A3223">
        <w:rPr>
          <w:bCs/>
          <w:szCs w:val="24"/>
          <w:u w:val="single"/>
        </w:rPr>
        <w:t>:</w:t>
      </w:r>
      <w:r w:rsidR="00053BF9" w:rsidRPr="007A3223">
        <w:rPr>
          <w:bCs/>
          <w:szCs w:val="24"/>
        </w:rPr>
        <w:t xml:space="preserve"> To determine clinical efficacy as measured by PFS</w:t>
      </w:r>
    </w:p>
    <w:p w14:paraId="54F21A51" w14:textId="4F652710" w:rsidR="00CD17CD" w:rsidRPr="007A3223" w:rsidRDefault="00CD17CD" w:rsidP="00030913">
      <w:pPr>
        <w:numPr>
          <w:ilvl w:val="0"/>
          <w:numId w:val="8"/>
        </w:numPr>
        <w:spacing w:after="0"/>
        <w:ind w:left="360"/>
        <w:rPr>
          <w:i/>
          <w:szCs w:val="24"/>
        </w:rPr>
      </w:pPr>
      <w:r w:rsidRPr="007A3223">
        <w:rPr>
          <w:bCs/>
          <w:szCs w:val="24"/>
          <w:u w:val="single"/>
        </w:rPr>
        <w:t xml:space="preserve">Phase II Cohort 5 triple negative breast cancer (TNBC); </w:t>
      </w:r>
      <w:r w:rsidR="00CC4041">
        <w:rPr>
          <w:bCs/>
          <w:szCs w:val="24"/>
          <w:u w:val="single"/>
        </w:rPr>
        <w:t>Durvalumab</w:t>
      </w:r>
      <w:r w:rsidRPr="007A3223">
        <w:rPr>
          <w:bCs/>
          <w:szCs w:val="24"/>
          <w:u w:val="single"/>
        </w:rPr>
        <w:t>+O arm</w:t>
      </w:r>
      <w:r w:rsidRPr="007A3223">
        <w:rPr>
          <w:bCs/>
          <w:szCs w:val="24"/>
        </w:rPr>
        <w:t>: To determine clinical efficacy as measured by ORR</w:t>
      </w:r>
    </w:p>
    <w:p w14:paraId="711321AD" w14:textId="769870E8" w:rsidR="004D3DD2" w:rsidRPr="007A3223" w:rsidRDefault="002873A3" w:rsidP="00030913">
      <w:pPr>
        <w:numPr>
          <w:ilvl w:val="0"/>
          <w:numId w:val="8"/>
        </w:numPr>
        <w:spacing w:after="0"/>
        <w:ind w:left="360"/>
        <w:rPr>
          <w:i/>
          <w:szCs w:val="24"/>
        </w:rPr>
      </w:pPr>
      <w:r w:rsidRPr="007A3223">
        <w:rPr>
          <w:bCs/>
          <w:szCs w:val="24"/>
          <w:u w:val="single"/>
        </w:rPr>
        <w:t xml:space="preserve">Phase II Cohort 6 </w:t>
      </w:r>
      <w:r w:rsidR="000B74D2" w:rsidRPr="007A3223">
        <w:rPr>
          <w:bCs/>
          <w:szCs w:val="24"/>
          <w:u w:val="single"/>
        </w:rPr>
        <w:t>colorectal cancer (</w:t>
      </w:r>
      <w:r w:rsidRPr="007A3223">
        <w:rPr>
          <w:bCs/>
          <w:szCs w:val="24"/>
          <w:u w:val="single"/>
        </w:rPr>
        <w:t>CRC</w:t>
      </w:r>
      <w:r w:rsidR="000B74D2" w:rsidRPr="007A3223">
        <w:rPr>
          <w:bCs/>
          <w:szCs w:val="24"/>
          <w:u w:val="single"/>
        </w:rPr>
        <w:t>)</w:t>
      </w:r>
      <w:r w:rsidRPr="007A3223">
        <w:rPr>
          <w:bCs/>
          <w:szCs w:val="24"/>
          <w:u w:val="single"/>
        </w:rPr>
        <w:t>: C+</w:t>
      </w:r>
      <w:r w:rsidR="00CC4041">
        <w:rPr>
          <w:bCs/>
          <w:szCs w:val="24"/>
          <w:u w:val="single"/>
        </w:rPr>
        <w:t>Durvalumab</w:t>
      </w:r>
      <w:r w:rsidRPr="007A3223">
        <w:rPr>
          <w:bCs/>
          <w:szCs w:val="24"/>
          <w:u w:val="single"/>
        </w:rPr>
        <w:t xml:space="preserve"> arm</w:t>
      </w:r>
      <w:r w:rsidR="00EA3F1B" w:rsidRPr="007A3223">
        <w:rPr>
          <w:bCs/>
          <w:szCs w:val="24"/>
          <w:u w:val="single"/>
        </w:rPr>
        <w:t>:</w:t>
      </w:r>
      <w:r w:rsidR="00EA3F1B" w:rsidRPr="007A3223">
        <w:rPr>
          <w:bCs/>
          <w:szCs w:val="24"/>
        </w:rPr>
        <w:t xml:space="preserve"> To determine clinical efficacy as measured by PFS</w:t>
      </w:r>
      <w:r w:rsidR="004D3DD2" w:rsidRPr="007A3223">
        <w:rPr>
          <w:bCs/>
          <w:szCs w:val="24"/>
        </w:rPr>
        <w:t xml:space="preserve"> </w:t>
      </w:r>
    </w:p>
    <w:p w14:paraId="1EA5D57B" w14:textId="77777777" w:rsidR="00BE1F16" w:rsidRPr="007A3223" w:rsidRDefault="00BE1F16" w:rsidP="00987658">
      <w:pPr>
        <w:spacing w:after="0"/>
        <w:ind w:left="360"/>
        <w:rPr>
          <w:szCs w:val="24"/>
        </w:rPr>
      </w:pPr>
    </w:p>
    <w:p w14:paraId="44F3CFC8" w14:textId="77777777" w:rsidR="00B72905" w:rsidRPr="007A3223" w:rsidRDefault="00B72905" w:rsidP="005149FC">
      <w:pPr>
        <w:spacing w:after="0"/>
        <w:rPr>
          <w:szCs w:val="24"/>
        </w:rPr>
      </w:pPr>
      <w:r w:rsidRPr="007A3223">
        <w:rPr>
          <w:b/>
          <w:szCs w:val="24"/>
        </w:rPr>
        <w:t>Eligibility:</w:t>
      </w:r>
    </w:p>
    <w:p w14:paraId="587701D3" w14:textId="77777777" w:rsidR="00454DFE" w:rsidRPr="007A3223" w:rsidRDefault="00B72905" w:rsidP="00030913">
      <w:pPr>
        <w:numPr>
          <w:ilvl w:val="0"/>
          <w:numId w:val="8"/>
        </w:numPr>
        <w:spacing w:after="0"/>
        <w:ind w:left="360"/>
        <w:rPr>
          <w:szCs w:val="24"/>
        </w:rPr>
      </w:pPr>
      <w:r w:rsidRPr="007A3223">
        <w:rPr>
          <w:szCs w:val="24"/>
          <w:u w:val="single"/>
        </w:rPr>
        <w:t>Phase I</w:t>
      </w:r>
      <w:r w:rsidRPr="007A3223">
        <w:rPr>
          <w:szCs w:val="24"/>
        </w:rPr>
        <w:t xml:space="preserve">: Advanced </w:t>
      </w:r>
      <w:r w:rsidR="00B832CF" w:rsidRPr="007A3223">
        <w:rPr>
          <w:szCs w:val="24"/>
        </w:rPr>
        <w:t xml:space="preserve">or recurrent </w:t>
      </w:r>
      <w:r w:rsidRPr="007A3223">
        <w:rPr>
          <w:szCs w:val="24"/>
        </w:rPr>
        <w:t>solid tumor</w:t>
      </w:r>
      <w:r w:rsidR="00E1223E" w:rsidRPr="007A3223">
        <w:rPr>
          <w:szCs w:val="24"/>
        </w:rPr>
        <w:t>s</w:t>
      </w:r>
      <w:r w:rsidRPr="007A3223">
        <w:rPr>
          <w:szCs w:val="24"/>
        </w:rPr>
        <w:t xml:space="preserve"> with evaluable disease</w:t>
      </w:r>
      <w:r w:rsidR="00B832CF" w:rsidRPr="007A3223">
        <w:rPr>
          <w:szCs w:val="24"/>
        </w:rPr>
        <w:t>.</w:t>
      </w:r>
      <w:r w:rsidRPr="007A3223">
        <w:rPr>
          <w:szCs w:val="24"/>
        </w:rPr>
        <w:t xml:space="preserve"> </w:t>
      </w:r>
    </w:p>
    <w:p w14:paraId="299987D8" w14:textId="00A626BE" w:rsidR="00E60FF9" w:rsidRPr="007A3223" w:rsidRDefault="00454DFE" w:rsidP="00030913">
      <w:pPr>
        <w:numPr>
          <w:ilvl w:val="0"/>
          <w:numId w:val="8"/>
        </w:numPr>
        <w:spacing w:after="0"/>
        <w:ind w:left="360"/>
        <w:rPr>
          <w:i/>
          <w:strike/>
          <w:szCs w:val="24"/>
        </w:rPr>
      </w:pPr>
      <w:r w:rsidRPr="007A3223">
        <w:rPr>
          <w:bCs/>
          <w:szCs w:val="24"/>
          <w:u w:val="single"/>
        </w:rPr>
        <w:t xml:space="preserve">Phase II </w:t>
      </w:r>
      <w:r w:rsidR="0098051D" w:rsidRPr="007A3223">
        <w:rPr>
          <w:bCs/>
          <w:szCs w:val="24"/>
          <w:u w:val="single"/>
        </w:rPr>
        <w:t xml:space="preserve">Cohort 1 </w:t>
      </w:r>
      <w:r w:rsidR="007F79C6">
        <w:rPr>
          <w:bCs/>
          <w:szCs w:val="24"/>
          <w:u w:val="single"/>
        </w:rPr>
        <w:t>Durvalumab</w:t>
      </w:r>
      <w:r w:rsidR="0098051D" w:rsidRPr="007A3223">
        <w:rPr>
          <w:bCs/>
          <w:szCs w:val="24"/>
          <w:u w:val="single"/>
        </w:rPr>
        <w:t xml:space="preserve">+O, </w:t>
      </w:r>
      <w:r w:rsidR="007F79C6">
        <w:rPr>
          <w:bCs/>
          <w:szCs w:val="24"/>
          <w:u w:val="single"/>
        </w:rPr>
        <w:t>Durvalumab</w:t>
      </w:r>
      <w:r w:rsidR="00E60FF9" w:rsidRPr="007A3223">
        <w:rPr>
          <w:bCs/>
          <w:szCs w:val="24"/>
          <w:u w:val="single"/>
        </w:rPr>
        <w:t>+C</w:t>
      </w:r>
      <w:r w:rsidR="0098051D" w:rsidRPr="007A3223">
        <w:rPr>
          <w:bCs/>
          <w:szCs w:val="24"/>
          <w:u w:val="single"/>
        </w:rPr>
        <w:t xml:space="preserve"> and </w:t>
      </w:r>
      <w:r w:rsidR="007F79C6">
        <w:rPr>
          <w:bCs/>
          <w:szCs w:val="24"/>
          <w:u w:val="single"/>
        </w:rPr>
        <w:t>Durvalumab</w:t>
      </w:r>
      <w:r w:rsidR="0098051D" w:rsidRPr="007A3223">
        <w:rPr>
          <w:bCs/>
          <w:szCs w:val="24"/>
          <w:u w:val="single"/>
        </w:rPr>
        <w:t>+O+C</w:t>
      </w:r>
      <w:r w:rsidR="00E60FF9" w:rsidRPr="007A3223">
        <w:rPr>
          <w:bCs/>
          <w:szCs w:val="24"/>
          <w:u w:val="single"/>
        </w:rPr>
        <w:t xml:space="preserve"> arms</w:t>
      </w:r>
      <w:r w:rsidRPr="007A3223">
        <w:rPr>
          <w:bCs/>
          <w:szCs w:val="24"/>
        </w:rPr>
        <w:t>:</w:t>
      </w:r>
      <w:r w:rsidRPr="007A3223">
        <w:rPr>
          <w:szCs w:val="24"/>
        </w:rPr>
        <w:t xml:space="preserve"> </w:t>
      </w:r>
      <w:r w:rsidRPr="007A3223">
        <w:rPr>
          <w:bCs/>
          <w:szCs w:val="24"/>
        </w:rPr>
        <w:t>Advanced or recurrent OvCa</w:t>
      </w:r>
    </w:p>
    <w:p w14:paraId="30F2A4E6" w14:textId="1BF693FC" w:rsidR="0098051D" w:rsidRPr="007A3223" w:rsidRDefault="00813DFA" w:rsidP="00030913">
      <w:pPr>
        <w:numPr>
          <w:ilvl w:val="0"/>
          <w:numId w:val="8"/>
        </w:numPr>
        <w:spacing w:after="0"/>
        <w:ind w:left="360"/>
        <w:rPr>
          <w:i/>
          <w:strike/>
          <w:szCs w:val="24"/>
        </w:rPr>
      </w:pPr>
      <w:r w:rsidRPr="007A3223">
        <w:rPr>
          <w:bCs/>
          <w:szCs w:val="24"/>
          <w:u w:val="single"/>
        </w:rPr>
        <w:t xml:space="preserve">Phase II Cohort </w:t>
      </w:r>
      <w:r w:rsidR="00CD17CD" w:rsidRPr="007A3223">
        <w:rPr>
          <w:bCs/>
          <w:szCs w:val="24"/>
          <w:u w:val="single"/>
        </w:rPr>
        <w:t>2</w:t>
      </w:r>
      <w:r w:rsidR="0098051D" w:rsidRPr="007A3223">
        <w:rPr>
          <w:bCs/>
          <w:szCs w:val="24"/>
          <w:u w:val="single"/>
        </w:rPr>
        <w:t xml:space="preserve"> </w:t>
      </w:r>
      <w:r w:rsidR="00C97E67">
        <w:rPr>
          <w:bCs/>
          <w:szCs w:val="24"/>
          <w:u w:val="single"/>
        </w:rPr>
        <w:t>Durvalumab</w:t>
      </w:r>
      <w:r w:rsidR="0098051D" w:rsidRPr="007A3223">
        <w:rPr>
          <w:bCs/>
          <w:szCs w:val="24"/>
          <w:u w:val="single"/>
        </w:rPr>
        <w:t xml:space="preserve">+O and </w:t>
      </w:r>
      <w:r w:rsidR="00C97E67">
        <w:rPr>
          <w:bCs/>
          <w:szCs w:val="24"/>
          <w:u w:val="single"/>
        </w:rPr>
        <w:t>Durvalumab</w:t>
      </w:r>
      <w:r w:rsidR="0098051D" w:rsidRPr="007A3223">
        <w:rPr>
          <w:bCs/>
          <w:szCs w:val="24"/>
          <w:u w:val="single"/>
        </w:rPr>
        <w:t xml:space="preserve">+C arms: </w:t>
      </w:r>
      <w:r w:rsidR="0098051D" w:rsidRPr="007A3223">
        <w:rPr>
          <w:bCs/>
          <w:szCs w:val="24"/>
        </w:rPr>
        <w:t>Advanced or recurrent NSCLC</w:t>
      </w:r>
    </w:p>
    <w:p w14:paraId="04C252FD" w14:textId="5D97FC67" w:rsidR="0098051D" w:rsidRPr="007A3223" w:rsidRDefault="00CD17CD" w:rsidP="00030913">
      <w:pPr>
        <w:numPr>
          <w:ilvl w:val="0"/>
          <w:numId w:val="8"/>
        </w:numPr>
        <w:spacing w:after="0"/>
        <w:ind w:left="360"/>
        <w:rPr>
          <w:i/>
          <w:strike/>
          <w:szCs w:val="24"/>
        </w:rPr>
      </w:pPr>
      <w:r w:rsidRPr="007A3223">
        <w:rPr>
          <w:bCs/>
          <w:szCs w:val="24"/>
          <w:u w:val="single"/>
        </w:rPr>
        <w:lastRenderedPageBreak/>
        <w:t>Phase II Cohort 3</w:t>
      </w:r>
      <w:r w:rsidR="0098051D" w:rsidRPr="007A3223">
        <w:rPr>
          <w:bCs/>
          <w:szCs w:val="24"/>
          <w:u w:val="single"/>
        </w:rPr>
        <w:t xml:space="preserve"> </w:t>
      </w:r>
      <w:r w:rsidR="00C97E67">
        <w:rPr>
          <w:bCs/>
          <w:szCs w:val="24"/>
          <w:u w:val="single"/>
        </w:rPr>
        <w:t>Durvalumab</w:t>
      </w:r>
      <w:r w:rsidR="0098051D" w:rsidRPr="007A3223">
        <w:rPr>
          <w:bCs/>
          <w:szCs w:val="24"/>
          <w:u w:val="single"/>
        </w:rPr>
        <w:t>+O arm:</w:t>
      </w:r>
      <w:r w:rsidR="0098051D" w:rsidRPr="007A3223">
        <w:rPr>
          <w:bCs/>
          <w:szCs w:val="24"/>
        </w:rPr>
        <w:t xml:space="preserve"> Advanced or recurrent </w:t>
      </w:r>
      <w:r w:rsidR="00454DFE" w:rsidRPr="007A3223">
        <w:rPr>
          <w:bCs/>
          <w:szCs w:val="24"/>
        </w:rPr>
        <w:t xml:space="preserve">SCLC </w:t>
      </w:r>
    </w:p>
    <w:p w14:paraId="4B2B28FF" w14:textId="2ABAE269" w:rsidR="0098051D" w:rsidRPr="007A3223" w:rsidRDefault="00CD17CD" w:rsidP="00030913">
      <w:pPr>
        <w:numPr>
          <w:ilvl w:val="0"/>
          <w:numId w:val="8"/>
        </w:numPr>
        <w:spacing w:after="0"/>
        <w:ind w:left="360"/>
        <w:rPr>
          <w:i/>
          <w:strike/>
          <w:szCs w:val="24"/>
        </w:rPr>
      </w:pPr>
      <w:r w:rsidRPr="007A3223">
        <w:rPr>
          <w:bCs/>
          <w:szCs w:val="24"/>
          <w:u w:val="single"/>
        </w:rPr>
        <w:t>Phase II Cohort 4</w:t>
      </w:r>
      <w:r w:rsidR="0098051D" w:rsidRPr="007A3223">
        <w:rPr>
          <w:bCs/>
          <w:szCs w:val="24"/>
          <w:u w:val="single"/>
        </w:rPr>
        <w:t xml:space="preserve"> </w:t>
      </w:r>
      <w:r w:rsidR="00C97E67">
        <w:rPr>
          <w:bCs/>
          <w:szCs w:val="24"/>
          <w:u w:val="single"/>
        </w:rPr>
        <w:t>Durvalumab</w:t>
      </w:r>
      <w:r w:rsidR="0098051D" w:rsidRPr="007A3223">
        <w:rPr>
          <w:bCs/>
          <w:szCs w:val="24"/>
          <w:u w:val="single"/>
        </w:rPr>
        <w:t>+O arm</w:t>
      </w:r>
      <w:r w:rsidR="0098051D" w:rsidRPr="007A3223">
        <w:rPr>
          <w:bCs/>
          <w:szCs w:val="24"/>
        </w:rPr>
        <w:t xml:space="preserve">: </w:t>
      </w:r>
      <w:r w:rsidR="00454DFE" w:rsidRPr="007A3223">
        <w:rPr>
          <w:bCs/>
          <w:szCs w:val="24"/>
        </w:rPr>
        <w:t xml:space="preserve">mCRPC </w:t>
      </w:r>
    </w:p>
    <w:p w14:paraId="277CBD23" w14:textId="5E8C8FFD" w:rsidR="00CD17CD" w:rsidRPr="007A3223" w:rsidRDefault="00CD17CD" w:rsidP="00030913">
      <w:pPr>
        <w:numPr>
          <w:ilvl w:val="0"/>
          <w:numId w:val="8"/>
        </w:numPr>
        <w:spacing w:after="0"/>
        <w:ind w:left="360"/>
        <w:rPr>
          <w:i/>
          <w:strike/>
          <w:szCs w:val="24"/>
        </w:rPr>
      </w:pPr>
      <w:r w:rsidRPr="007A3223">
        <w:rPr>
          <w:bCs/>
          <w:szCs w:val="24"/>
          <w:u w:val="single"/>
        </w:rPr>
        <w:t xml:space="preserve">Phase II Cohort 5 </w:t>
      </w:r>
      <w:r w:rsidR="00C97E67">
        <w:rPr>
          <w:bCs/>
          <w:szCs w:val="24"/>
          <w:u w:val="single"/>
        </w:rPr>
        <w:t>Durvalumab</w:t>
      </w:r>
      <w:r w:rsidRPr="007A3223">
        <w:rPr>
          <w:bCs/>
          <w:szCs w:val="24"/>
          <w:u w:val="single"/>
        </w:rPr>
        <w:t>+O arm</w:t>
      </w:r>
      <w:r w:rsidRPr="007A3223">
        <w:rPr>
          <w:bCs/>
          <w:szCs w:val="24"/>
        </w:rPr>
        <w:t xml:space="preserve">: Advanced or recurrent TNBC </w:t>
      </w:r>
    </w:p>
    <w:p w14:paraId="0A79DF70" w14:textId="517CBF71" w:rsidR="00596BB0" w:rsidRPr="007A3223" w:rsidRDefault="0098051D" w:rsidP="00030913">
      <w:pPr>
        <w:numPr>
          <w:ilvl w:val="0"/>
          <w:numId w:val="8"/>
        </w:numPr>
        <w:spacing w:after="0"/>
        <w:ind w:left="360"/>
      </w:pPr>
      <w:r w:rsidRPr="007A3223">
        <w:rPr>
          <w:bCs/>
          <w:szCs w:val="24"/>
          <w:u w:val="single"/>
        </w:rPr>
        <w:t>Phase II Cohort 6 C+</w:t>
      </w:r>
      <w:r w:rsidR="00C97E67">
        <w:rPr>
          <w:bCs/>
          <w:szCs w:val="24"/>
          <w:u w:val="single"/>
        </w:rPr>
        <w:t>Durvalumab</w:t>
      </w:r>
      <w:r w:rsidRPr="007A3223">
        <w:rPr>
          <w:bCs/>
          <w:szCs w:val="24"/>
          <w:u w:val="single"/>
        </w:rPr>
        <w:t xml:space="preserve"> arm:</w:t>
      </w:r>
      <w:r w:rsidRPr="007A3223">
        <w:rPr>
          <w:bCs/>
          <w:szCs w:val="24"/>
        </w:rPr>
        <w:t xml:space="preserve"> </w:t>
      </w:r>
      <w:r w:rsidR="00596BB0" w:rsidRPr="007A3223">
        <w:t xml:space="preserve">Advanced or recurrent CRC </w:t>
      </w:r>
    </w:p>
    <w:p w14:paraId="66DD3525" w14:textId="7C5DE586" w:rsidR="004F72A2" w:rsidRPr="007A3223" w:rsidRDefault="00B72905" w:rsidP="00030913">
      <w:pPr>
        <w:numPr>
          <w:ilvl w:val="0"/>
          <w:numId w:val="8"/>
        </w:numPr>
        <w:spacing w:after="0"/>
        <w:ind w:left="360"/>
      </w:pPr>
      <w:r w:rsidRPr="007A3223">
        <w:t>Patients must be off prior chemotherapy</w:t>
      </w:r>
      <w:r w:rsidR="00342D84" w:rsidRPr="007A3223">
        <w:t>,</w:t>
      </w:r>
      <w:r w:rsidRPr="007A3223">
        <w:t xml:space="preserve"> radiation therapy</w:t>
      </w:r>
      <w:r w:rsidR="001F634C" w:rsidRPr="007A3223">
        <w:t xml:space="preserve"> </w:t>
      </w:r>
      <w:r w:rsidRPr="007A3223">
        <w:t xml:space="preserve">or biologic therapy for at least </w:t>
      </w:r>
      <w:r w:rsidR="00EA1360" w:rsidRPr="007A3223">
        <w:t>3 weeks</w:t>
      </w:r>
      <w:r w:rsidRPr="007A3223">
        <w:t>.</w:t>
      </w:r>
      <w:r w:rsidR="00EA1360" w:rsidRPr="007A3223">
        <w:t xml:space="preserve"> mCPRC patients (Cohort </w:t>
      </w:r>
      <w:r w:rsidR="00CD17CD" w:rsidRPr="007A3223">
        <w:t>4</w:t>
      </w:r>
      <w:r w:rsidR="00EA1360" w:rsidRPr="007A3223">
        <w:t xml:space="preserve">) may be on hormonal therapy with GnRH agonists/antagonists. </w:t>
      </w:r>
      <w:r w:rsidRPr="007A3223">
        <w:t xml:space="preserve"> </w:t>
      </w:r>
    </w:p>
    <w:p w14:paraId="4F4CAB4D" w14:textId="77777777" w:rsidR="00B72905" w:rsidRPr="007A3223" w:rsidRDefault="00B72905" w:rsidP="00030913">
      <w:pPr>
        <w:numPr>
          <w:ilvl w:val="0"/>
          <w:numId w:val="8"/>
        </w:numPr>
        <w:spacing w:after="0"/>
        <w:ind w:left="360"/>
        <w:rPr>
          <w:szCs w:val="24"/>
        </w:rPr>
      </w:pPr>
      <w:r w:rsidRPr="007A3223">
        <w:rPr>
          <w:szCs w:val="24"/>
        </w:rPr>
        <w:t>Adults with ECOG performance status 0-2, and adequate organ and marrow function.</w:t>
      </w:r>
    </w:p>
    <w:p w14:paraId="42973665" w14:textId="77777777" w:rsidR="00AE2734" w:rsidRPr="007A3223" w:rsidRDefault="00AE2734" w:rsidP="005149FC">
      <w:pPr>
        <w:spacing w:after="0"/>
        <w:rPr>
          <w:b/>
          <w:szCs w:val="24"/>
        </w:rPr>
      </w:pPr>
    </w:p>
    <w:p w14:paraId="4B54812A" w14:textId="118BFDE0" w:rsidR="00B72905" w:rsidRPr="007A3223" w:rsidRDefault="00B72905" w:rsidP="005149FC">
      <w:pPr>
        <w:spacing w:after="0"/>
        <w:rPr>
          <w:b/>
          <w:szCs w:val="24"/>
        </w:rPr>
      </w:pPr>
      <w:r w:rsidRPr="007A3223">
        <w:rPr>
          <w:b/>
          <w:szCs w:val="24"/>
        </w:rPr>
        <w:t>Design:</w:t>
      </w:r>
    </w:p>
    <w:p w14:paraId="03EBFA15" w14:textId="0D8E5841" w:rsidR="00B72905" w:rsidRPr="007A3223" w:rsidRDefault="00B72905" w:rsidP="00030913">
      <w:pPr>
        <w:pStyle w:val="ListParagraph"/>
        <w:numPr>
          <w:ilvl w:val="0"/>
          <w:numId w:val="8"/>
        </w:numPr>
        <w:tabs>
          <w:tab w:val="left" w:pos="2520"/>
        </w:tabs>
        <w:ind w:left="360"/>
        <w:rPr>
          <w:color w:val="262626"/>
        </w:rPr>
      </w:pPr>
      <w:r w:rsidRPr="007A3223">
        <w:rPr>
          <w:color w:val="262626"/>
          <w:u w:val="single"/>
        </w:rPr>
        <w:t>Phase I</w:t>
      </w:r>
      <w:r w:rsidRPr="007A3223">
        <w:rPr>
          <w:color w:val="262626"/>
        </w:rPr>
        <w:t xml:space="preserve">: </w:t>
      </w:r>
      <w:r w:rsidR="00987222">
        <w:rPr>
          <w:lang w:val="en-US"/>
        </w:rPr>
        <w:t>Durvalumab</w:t>
      </w:r>
      <w:r w:rsidR="00C00897" w:rsidRPr="007A3223">
        <w:t>+</w:t>
      </w:r>
      <w:r w:rsidRPr="007A3223">
        <w:t>O</w:t>
      </w:r>
      <w:r w:rsidR="00885A1C" w:rsidRPr="007A3223">
        <w:t xml:space="preserve">, </w:t>
      </w:r>
      <w:r w:rsidR="00987222">
        <w:rPr>
          <w:lang w:val="en-US"/>
        </w:rPr>
        <w:t>Durvalumab</w:t>
      </w:r>
      <w:r w:rsidR="00C00897" w:rsidRPr="007A3223">
        <w:t>+</w:t>
      </w:r>
      <w:r w:rsidRPr="007A3223">
        <w:t xml:space="preserve">C </w:t>
      </w:r>
      <w:r w:rsidR="00885A1C" w:rsidRPr="007A3223">
        <w:t xml:space="preserve">and </w:t>
      </w:r>
      <w:r w:rsidR="00987222">
        <w:rPr>
          <w:lang w:val="en-US"/>
        </w:rPr>
        <w:t>Durvalumab</w:t>
      </w:r>
      <w:r w:rsidR="00885A1C" w:rsidRPr="007A3223">
        <w:t xml:space="preserve">+O+C </w:t>
      </w:r>
      <w:r w:rsidRPr="007A3223">
        <w:t>will dose escalate simultaneously</w:t>
      </w:r>
      <w:r w:rsidR="005A5ACF" w:rsidRPr="007A3223">
        <w:t xml:space="preserve">. </w:t>
      </w:r>
      <w:r w:rsidR="00987222">
        <w:rPr>
          <w:lang w:val="en-US"/>
        </w:rPr>
        <w:t>Durvalumab</w:t>
      </w:r>
      <w:r w:rsidR="004C2FE6" w:rsidRPr="007A3223">
        <w:t xml:space="preserve"> will be administered once every 2 weeks</w:t>
      </w:r>
      <w:r w:rsidR="00F72F7D" w:rsidRPr="007A3223">
        <w:t xml:space="preserve"> </w:t>
      </w:r>
      <w:r w:rsidR="00311289" w:rsidRPr="007A3223">
        <w:t xml:space="preserve">or </w:t>
      </w:r>
      <w:r w:rsidR="00F72F7D" w:rsidRPr="007A3223">
        <w:t>once every 4 weeks</w:t>
      </w:r>
      <w:r w:rsidR="008306C5" w:rsidRPr="007A3223">
        <w:rPr>
          <w:lang w:val="en-US"/>
        </w:rPr>
        <w:t xml:space="preserve"> until disease progression</w:t>
      </w:r>
      <w:r w:rsidR="004C2FE6" w:rsidRPr="007A3223">
        <w:t xml:space="preserve">. </w:t>
      </w:r>
      <w:r w:rsidR="00351B4D" w:rsidRPr="007A3223">
        <w:t xml:space="preserve">O </w:t>
      </w:r>
      <w:r w:rsidR="00D04533" w:rsidRPr="007A3223">
        <w:t xml:space="preserve">tablets </w:t>
      </w:r>
      <w:r w:rsidR="00351B4D" w:rsidRPr="007A3223">
        <w:t xml:space="preserve">and C will be given orally </w:t>
      </w:r>
      <w:r w:rsidR="007D6127" w:rsidRPr="007A3223">
        <w:t xml:space="preserve">on a </w:t>
      </w:r>
      <w:r w:rsidR="00351B4D" w:rsidRPr="007A3223">
        <w:t xml:space="preserve">continuous </w:t>
      </w:r>
      <w:r w:rsidR="00C00897" w:rsidRPr="007A3223">
        <w:t xml:space="preserve">or intermittent </w:t>
      </w:r>
      <w:r w:rsidR="00351B4D" w:rsidRPr="007A3223">
        <w:t xml:space="preserve">dosing schedule. </w:t>
      </w:r>
      <w:r w:rsidRPr="007A3223">
        <w:t>The DLT period will be one cycle</w:t>
      </w:r>
      <w:r w:rsidR="00DE5DBA" w:rsidRPr="007A3223">
        <w:t>, 28 days.</w:t>
      </w:r>
      <w:r w:rsidR="001B1F77" w:rsidRPr="007A3223">
        <w:rPr>
          <w:lang w:val="en-US"/>
        </w:rPr>
        <w:t xml:space="preserve">  Patients on the 2-week schedule greater than one year will be changed to the 4-week schedule until progression.</w:t>
      </w:r>
    </w:p>
    <w:p w14:paraId="0EE5B898" w14:textId="16F13021" w:rsidR="0088366B" w:rsidRPr="007A3223" w:rsidRDefault="00987222" w:rsidP="00030913">
      <w:pPr>
        <w:pStyle w:val="ListParagraph"/>
        <w:numPr>
          <w:ilvl w:val="1"/>
          <w:numId w:val="8"/>
        </w:numPr>
        <w:tabs>
          <w:tab w:val="left" w:pos="2520"/>
        </w:tabs>
        <w:ind w:left="720"/>
        <w:rPr>
          <w:color w:val="262626"/>
        </w:rPr>
      </w:pPr>
      <w:r>
        <w:rPr>
          <w:color w:val="262626"/>
          <w:lang w:val="en-US"/>
        </w:rPr>
        <w:t>Durvalumab</w:t>
      </w:r>
      <w:r w:rsidR="00C00897" w:rsidRPr="007A3223">
        <w:rPr>
          <w:color w:val="262626"/>
        </w:rPr>
        <w:t>+</w:t>
      </w:r>
      <w:r w:rsidR="0088366B" w:rsidRPr="007A3223">
        <w:rPr>
          <w:color w:val="262626"/>
        </w:rPr>
        <w:t xml:space="preserve">O: </w:t>
      </w:r>
      <w:r>
        <w:rPr>
          <w:color w:val="262626"/>
          <w:lang w:val="en-US"/>
        </w:rPr>
        <w:t>Durvalumab</w:t>
      </w:r>
      <w:r w:rsidR="0088366B" w:rsidRPr="007A3223">
        <w:rPr>
          <w:color w:val="262626"/>
        </w:rPr>
        <w:t xml:space="preserve"> (3</w:t>
      </w:r>
      <w:r w:rsidR="001A5B3A" w:rsidRPr="007A3223">
        <w:rPr>
          <w:color w:val="262626"/>
          <w:lang w:val="en-US"/>
        </w:rPr>
        <w:t xml:space="preserve"> </w:t>
      </w:r>
      <w:r w:rsidR="0088366B" w:rsidRPr="007A3223">
        <w:rPr>
          <w:color w:val="262626"/>
        </w:rPr>
        <w:t>mg/kg or 10</w:t>
      </w:r>
      <w:r w:rsidR="001A5B3A" w:rsidRPr="007A3223">
        <w:rPr>
          <w:color w:val="262626"/>
          <w:lang w:val="en-US"/>
        </w:rPr>
        <w:t xml:space="preserve"> </w:t>
      </w:r>
      <w:r w:rsidR="0088366B" w:rsidRPr="007A3223">
        <w:rPr>
          <w:color w:val="262626"/>
        </w:rPr>
        <w:t>mg/kg IV</w:t>
      </w:r>
      <w:r w:rsidR="00F72F7D" w:rsidRPr="007A3223">
        <w:rPr>
          <w:color w:val="262626"/>
        </w:rPr>
        <w:t xml:space="preserve"> every </w:t>
      </w:r>
      <w:r w:rsidR="00311289" w:rsidRPr="007A3223">
        <w:rPr>
          <w:color w:val="262626"/>
        </w:rPr>
        <w:t>2</w:t>
      </w:r>
      <w:r w:rsidR="00F72F7D" w:rsidRPr="007A3223">
        <w:rPr>
          <w:color w:val="262626"/>
        </w:rPr>
        <w:t xml:space="preserve"> weeks, or </w:t>
      </w:r>
      <w:r w:rsidR="00647945" w:rsidRPr="007A3223">
        <w:rPr>
          <w:color w:val="262626"/>
        </w:rPr>
        <w:t>a</w:t>
      </w:r>
      <w:r w:rsidR="00F72F7D" w:rsidRPr="007A3223">
        <w:rPr>
          <w:color w:val="262626"/>
        </w:rPr>
        <w:t xml:space="preserve"> fixed dose </w:t>
      </w:r>
      <w:r w:rsidR="00647945" w:rsidRPr="007A3223">
        <w:rPr>
          <w:color w:val="262626"/>
        </w:rPr>
        <w:t>of</w:t>
      </w:r>
      <w:r w:rsidR="00F72F7D" w:rsidRPr="007A3223">
        <w:rPr>
          <w:color w:val="262626"/>
        </w:rPr>
        <w:t xml:space="preserve"> 1500</w:t>
      </w:r>
      <w:r w:rsidR="00846F67" w:rsidRPr="007A3223">
        <w:rPr>
          <w:color w:val="262626"/>
        </w:rPr>
        <w:t xml:space="preserve"> </w:t>
      </w:r>
      <w:r w:rsidR="00F72F7D" w:rsidRPr="007A3223">
        <w:rPr>
          <w:color w:val="262626"/>
        </w:rPr>
        <w:t>mg every 4 weeks</w:t>
      </w:r>
      <w:r w:rsidR="0088366B" w:rsidRPr="007A3223">
        <w:rPr>
          <w:color w:val="262626"/>
        </w:rPr>
        <w:t xml:space="preserve">) and O </w:t>
      </w:r>
      <w:r w:rsidR="00EC1380" w:rsidRPr="007A3223">
        <w:rPr>
          <w:color w:val="262626"/>
        </w:rPr>
        <w:t xml:space="preserve">tablets </w:t>
      </w:r>
      <w:r w:rsidR="0088366B" w:rsidRPr="007A3223">
        <w:rPr>
          <w:color w:val="262626"/>
        </w:rPr>
        <w:t>(</w:t>
      </w:r>
      <w:r w:rsidR="00CB3DCB" w:rsidRPr="007A3223">
        <w:rPr>
          <w:color w:val="262626"/>
        </w:rPr>
        <w:t>150</w:t>
      </w:r>
      <w:r w:rsidR="001A5B3A" w:rsidRPr="007A3223">
        <w:rPr>
          <w:color w:val="262626"/>
          <w:lang w:val="en-US"/>
        </w:rPr>
        <w:t xml:space="preserve"> </w:t>
      </w:r>
      <w:r w:rsidR="00CB3DCB" w:rsidRPr="007A3223">
        <w:rPr>
          <w:color w:val="262626"/>
        </w:rPr>
        <w:t xml:space="preserve">mg or </w:t>
      </w:r>
      <w:r w:rsidR="0088366B" w:rsidRPr="007A3223">
        <w:rPr>
          <w:color w:val="262626"/>
        </w:rPr>
        <w:t xml:space="preserve">200 mg or 300 mg BID) </w:t>
      </w:r>
    </w:p>
    <w:p w14:paraId="1DE76534" w14:textId="74FF0EF1" w:rsidR="009F5D74" w:rsidRPr="007A3223" w:rsidRDefault="00987222" w:rsidP="00030913">
      <w:pPr>
        <w:pStyle w:val="ListParagraph"/>
        <w:numPr>
          <w:ilvl w:val="1"/>
          <w:numId w:val="8"/>
        </w:numPr>
        <w:tabs>
          <w:tab w:val="left" w:pos="2520"/>
        </w:tabs>
        <w:ind w:left="720"/>
        <w:rPr>
          <w:color w:val="262626"/>
        </w:rPr>
      </w:pPr>
      <w:r>
        <w:rPr>
          <w:color w:val="262626"/>
          <w:lang w:val="en-US"/>
        </w:rPr>
        <w:t>Durvalumab</w:t>
      </w:r>
      <w:r w:rsidR="00C00897" w:rsidRPr="007A3223">
        <w:rPr>
          <w:color w:val="262626"/>
        </w:rPr>
        <w:t>+</w:t>
      </w:r>
      <w:r w:rsidR="005A62B1" w:rsidRPr="007A3223">
        <w:rPr>
          <w:color w:val="262626"/>
        </w:rPr>
        <w:t xml:space="preserve">C: </w:t>
      </w:r>
      <w:r>
        <w:rPr>
          <w:color w:val="262626"/>
          <w:lang w:val="en-US"/>
        </w:rPr>
        <w:t>Durvalumab</w:t>
      </w:r>
      <w:r w:rsidR="005A62B1" w:rsidRPr="007A3223">
        <w:rPr>
          <w:color w:val="262626"/>
        </w:rPr>
        <w:t xml:space="preserve"> (</w:t>
      </w:r>
      <w:r w:rsidR="00CB3DCB" w:rsidRPr="007A3223">
        <w:rPr>
          <w:color w:val="262626"/>
        </w:rPr>
        <w:t>3</w:t>
      </w:r>
      <w:r w:rsidR="001A5B3A" w:rsidRPr="007A3223">
        <w:rPr>
          <w:color w:val="262626"/>
          <w:lang w:val="en-US"/>
        </w:rPr>
        <w:t xml:space="preserve"> </w:t>
      </w:r>
      <w:r w:rsidR="00CB3DCB" w:rsidRPr="007A3223">
        <w:rPr>
          <w:color w:val="262626"/>
        </w:rPr>
        <w:t xml:space="preserve">mg/kg or </w:t>
      </w:r>
      <w:r w:rsidR="00B72905" w:rsidRPr="007A3223">
        <w:rPr>
          <w:color w:val="262626"/>
        </w:rPr>
        <w:t>10</w:t>
      </w:r>
      <w:r w:rsidR="001A5B3A" w:rsidRPr="007A3223">
        <w:rPr>
          <w:color w:val="262626"/>
          <w:lang w:val="en-US"/>
        </w:rPr>
        <w:t xml:space="preserve"> </w:t>
      </w:r>
      <w:r w:rsidR="00B72905" w:rsidRPr="007A3223">
        <w:rPr>
          <w:color w:val="262626"/>
        </w:rPr>
        <w:t>mg/kg IV</w:t>
      </w:r>
      <w:r w:rsidR="00F72F7D" w:rsidRPr="007A3223">
        <w:rPr>
          <w:color w:val="262626"/>
        </w:rPr>
        <w:t xml:space="preserve"> every </w:t>
      </w:r>
      <w:r w:rsidR="00311289" w:rsidRPr="007A3223">
        <w:rPr>
          <w:color w:val="262626"/>
        </w:rPr>
        <w:t>2</w:t>
      </w:r>
      <w:r w:rsidR="00F72F7D" w:rsidRPr="007A3223">
        <w:rPr>
          <w:color w:val="262626"/>
        </w:rPr>
        <w:t xml:space="preserve"> weeks, or </w:t>
      </w:r>
      <w:r w:rsidR="00647945" w:rsidRPr="007A3223">
        <w:rPr>
          <w:color w:val="262626"/>
        </w:rPr>
        <w:t>a</w:t>
      </w:r>
      <w:r w:rsidR="00F72F7D" w:rsidRPr="007A3223">
        <w:rPr>
          <w:color w:val="262626"/>
        </w:rPr>
        <w:t xml:space="preserve"> fixed dose </w:t>
      </w:r>
      <w:r w:rsidR="00647945" w:rsidRPr="007A3223">
        <w:rPr>
          <w:color w:val="262626"/>
        </w:rPr>
        <w:t xml:space="preserve">of </w:t>
      </w:r>
      <w:r w:rsidR="00F72F7D" w:rsidRPr="007A3223">
        <w:rPr>
          <w:color w:val="262626"/>
        </w:rPr>
        <w:t>1500</w:t>
      </w:r>
      <w:r w:rsidR="00846F67" w:rsidRPr="007A3223">
        <w:rPr>
          <w:color w:val="262626"/>
        </w:rPr>
        <w:t xml:space="preserve"> </w:t>
      </w:r>
      <w:r w:rsidR="00F72F7D" w:rsidRPr="007A3223">
        <w:rPr>
          <w:color w:val="262626"/>
        </w:rPr>
        <w:t>mg every 4 weeks</w:t>
      </w:r>
      <w:r w:rsidR="00B72905" w:rsidRPr="007A3223">
        <w:rPr>
          <w:color w:val="262626"/>
        </w:rPr>
        <w:t xml:space="preserve">) </w:t>
      </w:r>
      <w:r w:rsidR="00351B4D" w:rsidRPr="007A3223">
        <w:rPr>
          <w:color w:val="262626"/>
        </w:rPr>
        <w:t>and</w:t>
      </w:r>
      <w:r w:rsidR="00B72905" w:rsidRPr="007A3223">
        <w:rPr>
          <w:color w:val="262626"/>
        </w:rPr>
        <w:t xml:space="preserve"> C (</w:t>
      </w:r>
      <w:r w:rsidR="00C721C5" w:rsidRPr="007A3223">
        <w:rPr>
          <w:color w:val="262626"/>
        </w:rPr>
        <w:t xml:space="preserve">15 mg or </w:t>
      </w:r>
      <w:r w:rsidR="00B72905" w:rsidRPr="007A3223">
        <w:rPr>
          <w:color w:val="262626"/>
        </w:rPr>
        <w:t>20 mg or 30 mg daily</w:t>
      </w:r>
      <w:r w:rsidR="001C2836" w:rsidRPr="007A3223">
        <w:rPr>
          <w:color w:val="262626"/>
        </w:rPr>
        <w:t xml:space="preserve"> or </w:t>
      </w:r>
      <w:r w:rsidR="00FA2637" w:rsidRPr="007A3223">
        <w:rPr>
          <w:color w:val="262626"/>
        </w:rPr>
        <w:t>5 days/week</w:t>
      </w:r>
      <w:r w:rsidR="00B72905" w:rsidRPr="007A3223">
        <w:rPr>
          <w:color w:val="262626"/>
        </w:rPr>
        <w:t xml:space="preserve">) </w:t>
      </w:r>
    </w:p>
    <w:p w14:paraId="51224864" w14:textId="5DA01635" w:rsidR="00CB7C77" w:rsidRPr="007A3223" w:rsidRDefault="00E004DC" w:rsidP="00030913">
      <w:pPr>
        <w:pStyle w:val="ListParagraph"/>
        <w:numPr>
          <w:ilvl w:val="1"/>
          <w:numId w:val="8"/>
        </w:numPr>
        <w:tabs>
          <w:tab w:val="left" w:pos="2520"/>
        </w:tabs>
        <w:ind w:left="720"/>
        <w:rPr>
          <w:color w:val="262626"/>
        </w:rPr>
      </w:pPr>
      <w:r>
        <w:rPr>
          <w:color w:val="262626"/>
          <w:lang w:val="en-US"/>
        </w:rPr>
        <w:t>Durvalumab</w:t>
      </w:r>
      <w:r w:rsidR="009F5D74" w:rsidRPr="007A3223">
        <w:rPr>
          <w:color w:val="262626"/>
        </w:rPr>
        <w:t xml:space="preserve">+O+C: </w:t>
      </w:r>
      <w:r>
        <w:rPr>
          <w:lang w:val="en-US"/>
        </w:rPr>
        <w:t>Durvalumab</w:t>
      </w:r>
      <w:r w:rsidR="00CB7C77" w:rsidRPr="007A3223">
        <w:t xml:space="preserve"> </w:t>
      </w:r>
      <w:r w:rsidR="009F5D74" w:rsidRPr="007A3223">
        <w:t>(a fixed dose of 1500mg every 4 weeks) with O tablets (200 mg or 300 mg BID) and C (</w:t>
      </w:r>
      <w:r w:rsidR="00885A1C" w:rsidRPr="007A3223">
        <w:t>15 mg or 20 mg 5 days/week)</w:t>
      </w:r>
    </w:p>
    <w:p w14:paraId="2B400FA1" w14:textId="00ECB8FA" w:rsidR="00A43111" w:rsidRPr="007A3223" w:rsidRDefault="00A43111" w:rsidP="00030913">
      <w:pPr>
        <w:numPr>
          <w:ilvl w:val="0"/>
          <w:numId w:val="8"/>
        </w:numPr>
        <w:spacing w:after="0"/>
        <w:ind w:left="360"/>
        <w:rPr>
          <w:i/>
          <w:szCs w:val="24"/>
        </w:rPr>
      </w:pPr>
      <w:r w:rsidRPr="007A3223">
        <w:rPr>
          <w:bCs/>
          <w:szCs w:val="24"/>
          <w:u w:val="single"/>
        </w:rPr>
        <w:t xml:space="preserve">Phase II </w:t>
      </w:r>
      <w:r w:rsidR="00837D28" w:rsidRPr="007A3223">
        <w:rPr>
          <w:bCs/>
          <w:szCs w:val="24"/>
          <w:u w:val="single"/>
        </w:rPr>
        <w:t xml:space="preserve">Cohort 1 </w:t>
      </w:r>
      <w:r w:rsidR="00AF3789" w:rsidRPr="007A3223">
        <w:rPr>
          <w:bCs/>
          <w:szCs w:val="24"/>
          <w:u w:val="single"/>
        </w:rPr>
        <w:t xml:space="preserve">OvCa </w:t>
      </w:r>
      <w:r w:rsidR="00E004DC">
        <w:rPr>
          <w:bCs/>
          <w:szCs w:val="24"/>
          <w:u w:val="single"/>
        </w:rPr>
        <w:t>Durvalumab</w:t>
      </w:r>
      <w:r w:rsidR="00C00897" w:rsidRPr="007A3223">
        <w:rPr>
          <w:bCs/>
          <w:szCs w:val="24"/>
          <w:u w:val="single"/>
        </w:rPr>
        <w:t>+</w:t>
      </w:r>
      <w:r w:rsidRPr="007A3223">
        <w:rPr>
          <w:bCs/>
          <w:szCs w:val="24"/>
          <w:u w:val="single"/>
        </w:rPr>
        <w:t>O</w:t>
      </w:r>
      <w:r w:rsidR="00CD17CD" w:rsidRPr="007A3223">
        <w:rPr>
          <w:bCs/>
          <w:szCs w:val="24"/>
          <w:u w:val="single"/>
        </w:rPr>
        <w:t xml:space="preserve"> arm</w:t>
      </w:r>
      <w:r w:rsidRPr="007A3223">
        <w:rPr>
          <w:bCs/>
          <w:szCs w:val="24"/>
          <w:u w:val="single"/>
        </w:rPr>
        <w:t xml:space="preserve">: </w:t>
      </w:r>
      <w:r w:rsidRPr="007A3223">
        <w:rPr>
          <w:bCs/>
          <w:szCs w:val="24"/>
        </w:rPr>
        <w:t xml:space="preserve">Patients will be treated with </w:t>
      </w:r>
      <w:r w:rsidR="00E004DC">
        <w:rPr>
          <w:bCs/>
          <w:szCs w:val="24"/>
        </w:rPr>
        <w:t>Durvalumab</w:t>
      </w:r>
      <w:r w:rsidR="00C00897" w:rsidRPr="007A3223">
        <w:rPr>
          <w:bCs/>
          <w:szCs w:val="24"/>
        </w:rPr>
        <w:t>+</w:t>
      </w:r>
      <w:r w:rsidRPr="007A3223">
        <w:rPr>
          <w:bCs/>
          <w:szCs w:val="24"/>
        </w:rPr>
        <w:t>O at RP2D</w:t>
      </w:r>
      <w:r w:rsidR="00733610" w:rsidRPr="007A3223">
        <w:rPr>
          <w:bCs/>
          <w:szCs w:val="24"/>
        </w:rPr>
        <w:t xml:space="preserve"> (O 300mg tablets bid daily and </w:t>
      </w:r>
      <w:r w:rsidR="00E004DC">
        <w:rPr>
          <w:bCs/>
          <w:szCs w:val="24"/>
        </w:rPr>
        <w:t>Durvalumab</w:t>
      </w:r>
      <w:r w:rsidR="00733610" w:rsidRPr="007A3223">
        <w:rPr>
          <w:bCs/>
          <w:szCs w:val="24"/>
        </w:rPr>
        <w:t xml:space="preserve"> </w:t>
      </w:r>
      <w:r w:rsidR="00C00897" w:rsidRPr="007A3223">
        <w:rPr>
          <w:bCs/>
          <w:szCs w:val="24"/>
        </w:rPr>
        <w:t xml:space="preserve">at </w:t>
      </w:r>
      <w:r w:rsidR="00733610" w:rsidRPr="007A3223">
        <w:rPr>
          <w:bCs/>
          <w:szCs w:val="24"/>
        </w:rPr>
        <w:t>1500</w:t>
      </w:r>
      <w:r w:rsidR="00886645" w:rsidRPr="007A3223">
        <w:rPr>
          <w:bCs/>
          <w:szCs w:val="24"/>
        </w:rPr>
        <w:t xml:space="preserve"> </w:t>
      </w:r>
      <w:r w:rsidR="00733610" w:rsidRPr="007A3223">
        <w:rPr>
          <w:bCs/>
          <w:szCs w:val="24"/>
        </w:rPr>
        <w:t>mg IV every 4 weeks)</w:t>
      </w:r>
      <w:r w:rsidRPr="007A3223">
        <w:rPr>
          <w:bCs/>
          <w:szCs w:val="24"/>
        </w:rPr>
        <w:t>.</w:t>
      </w:r>
    </w:p>
    <w:p w14:paraId="53A44B29" w14:textId="35196E41" w:rsidR="00A43111" w:rsidRPr="007A3223" w:rsidRDefault="00A43111" w:rsidP="00030913">
      <w:pPr>
        <w:numPr>
          <w:ilvl w:val="0"/>
          <w:numId w:val="8"/>
        </w:numPr>
        <w:spacing w:after="0"/>
        <w:ind w:left="360"/>
        <w:rPr>
          <w:i/>
          <w:szCs w:val="24"/>
        </w:rPr>
      </w:pPr>
      <w:r w:rsidRPr="007A3223">
        <w:rPr>
          <w:bCs/>
          <w:szCs w:val="24"/>
          <w:u w:val="single"/>
        </w:rPr>
        <w:t>Phase II</w:t>
      </w:r>
      <w:r w:rsidR="00837D28" w:rsidRPr="007A3223">
        <w:rPr>
          <w:bCs/>
          <w:szCs w:val="24"/>
          <w:u w:val="single"/>
        </w:rPr>
        <w:t xml:space="preserve"> Cohort 1</w:t>
      </w:r>
      <w:r w:rsidRPr="007A3223">
        <w:rPr>
          <w:bCs/>
          <w:szCs w:val="24"/>
          <w:u w:val="single"/>
        </w:rPr>
        <w:t xml:space="preserve"> </w:t>
      </w:r>
      <w:r w:rsidR="00AF3789" w:rsidRPr="007A3223">
        <w:rPr>
          <w:bCs/>
          <w:szCs w:val="24"/>
          <w:u w:val="single"/>
        </w:rPr>
        <w:t xml:space="preserve">OvCa </w:t>
      </w:r>
      <w:r w:rsidR="007D558A">
        <w:rPr>
          <w:bCs/>
          <w:szCs w:val="24"/>
          <w:u w:val="single"/>
        </w:rPr>
        <w:t>Durvalumab</w:t>
      </w:r>
      <w:r w:rsidR="00C00897" w:rsidRPr="007A3223">
        <w:rPr>
          <w:bCs/>
          <w:szCs w:val="24"/>
          <w:u w:val="single"/>
        </w:rPr>
        <w:t>+</w:t>
      </w:r>
      <w:r w:rsidRPr="007A3223">
        <w:rPr>
          <w:bCs/>
          <w:szCs w:val="24"/>
          <w:u w:val="single"/>
        </w:rPr>
        <w:t>C</w:t>
      </w:r>
      <w:r w:rsidR="00CD17CD" w:rsidRPr="007A3223">
        <w:rPr>
          <w:bCs/>
          <w:szCs w:val="24"/>
          <w:u w:val="single"/>
        </w:rPr>
        <w:t xml:space="preserve"> arm</w:t>
      </w:r>
      <w:r w:rsidRPr="007A3223">
        <w:rPr>
          <w:bCs/>
          <w:szCs w:val="24"/>
        </w:rPr>
        <w:t xml:space="preserve">: Patients will be treated with </w:t>
      </w:r>
      <w:r w:rsidR="007D558A">
        <w:rPr>
          <w:bCs/>
          <w:szCs w:val="24"/>
        </w:rPr>
        <w:t>Durvalumab</w:t>
      </w:r>
      <w:r w:rsidR="00C00897" w:rsidRPr="007A3223">
        <w:rPr>
          <w:bCs/>
          <w:szCs w:val="24"/>
        </w:rPr>
        <w:t>+</w:t>
      </w:r>
      <w:r w:rsidRPr="007A3223">
        <w:rPr>
          <w:bCs/>
          <w:szCs w:val="24"/>
        </w:rPr>
        <w:t>C at RP2D</w:t>
      </w:r>
      <w:r w:rsidR="00E17982" w:rsidRPr="007A3223">
        <w:rPr>
          <w:bCs/>
          <w:szCs w:val="24"/>
        </w:rPr>
        <w:t xml:space="preserve"> (C 20mg once a day [5 days on/2 days off] and </w:t>
      </w:r>
      <w:r w:rsidR="007D558A">
        <w:rPr>
          <w:bCs/>
          <w:szCs w:val="24"/>
        </w:rPr>
        <w:t>Durvalumab</w:t>
      </w:r>
      <w:r w:rsidR="00E17982" w:rsidRPr="007A3223">
        <w:rPr>
          <w:bCs/>
          <w:szCs w:val="24"/>
        </w:rPr>
        <w:t xml:space="preserve"> at 1500 mg every 4 weeks)</w:t>
      </w:r>
      <w:r w:rsidRPr="007A3223">
        <w:rPr>
          <w:bCs/>
          <w:szCs w:val="24"/>
        </w:rPr>
        <w:t xml:space="preserve">. </w:t>
      </w:r>
    </w:p>
    <w:p w14:paraId="5D8BEDA4" w14:textId="5398D784" w:rsidR="005164F2" w:rsidRPr="007A3223" w:rsidRDefault="005164F2" w:rsidP="00030913">
      <w:pPr>
        <w:numPr>
          <w:ilvl w:val="0"/>
          <w:numId w:val="8"/>
        </w:numPr>
        <w:spacing w:after="0"/>
        <w:ind w:left="360"/>
        <w:rPr>
          <w:i/>
          <w:szCs w:val="24"/>
        </w:rPr>
      </w:pPr>
      <w:r w:rsidRPr="007A3223">
        <w:rPr>
          <w:bCs/>
          <w:szCs w:val="24"/>
          <w:u w:val="single"/>
        </w:rPr>
        <w:t xml:space="preserve">Phase II </w:t>
      </w:r>
      <w:r w:rsidR="00837D28" w:rsidRPr="007A3223">
        <w:rPr>
          <w:bCs/>
          <w:szCs w:val="24"/>
          <w:u w:val="single"/>
        </w:rPr>
        <w:t xml:space="preserve">Cohort 1 </w:t>
      </w:r>
      <w:r w:rsidR="00AF3789" w:rsidRPr="007A3223">
        <w:rPr>
          <w:bCs/>
          <w:szCs w:val="24"/>
          <w:u w:val="single"/>
        </w:rPr>
        <w:t xml:space="preserve">OvCa </w:t>
      </w:r>
      <w:r w:rsidR="007D558A">
        <w:rPr>
          <w:bCs/>
          <w:szCs w:val="24"/>
          <w:u w:val="single"/>
        </w:rPr>
        <w:t>Durvalumab</w:t>
      </w:r>
      <w:r w:rsidRPr="007A3223">
        <w:rPr>
          <w:bCs/>
          <w:szCs w:val="24"/>
          <w:u w:val="single"/>
        </w:rPr>
        <w:t>+O+C</w:t>
      </w:r>
      <w:r w:rsidR="008B152F" w:rsidRPr="007A3223">
        <w:rPr>
          <w:bCs/>
          <w:szCs w:val="24"/>
          <w:u w:val="single"/>
        </w:rPr>
        <w:t xml:space="preserve"> arm</w:t>
      </w:r>
      <w:r w:rsidRPr="007A3223">
        <w:rPr>
          <w:bCs/>
          <w:szCs w:val="24"/>
        </w:rPr>
        <w:t xml:space="preserve">: Patients with OvCa </w:t>
      </w:r>
      <w:r w:rsidR="003508B2" w:rsidRPr="007A3223">
        <w:rPr>
          <w:bCs/>
          <w:szCs w:val="24"/>
        </w:rPr>
        <w:t xml:space="preserve">(Cohort 1) </w:t>
      </w:r>
      <w:r w:rsidRPr="007A3223">
        <w:rPr>
          <w:bCs/>
          <w:szCs w:val="24"/>
        </w:rPr>
        <w:t xml:space="preserve">will be treated with RP2D (O tablets 300mg BID, C 20mg once a day [5 days on/2 days off] and </w:t>
      </w:r>
      <w:r w:rsidR="007D558A">
        <w:rPr>
          <w:bCs/>
          <w:szCs w:val="24"/>
        </w:rPr>
        <w:t>Durvalumab</w:t>
      </w:r>
      <w:r w:rsidRPr="007A3223">
        <w:rPr>
          <w:bCs/>
          <w:szCs w:val="24"/>
        </w:rPr>
        <w:t xml:space="preserve"> at 1500 mg every 4 weeks). </w:t>
      </w:r>
    </w:p>
    <w:p w14:paraId="5B2E161B" w14:textId="3CD95629" w:rsidR="00AF3789" w:rsidRPr="007A3223" w:rsidRDefault="00AF3789" w:rsidP="00030913">
      <w:pPr>
        <w:numPr>
          <w:ilvl w:val="0"/>
          <w:numId w:val="8"/>
        </w:numPr>
        <w:spacing w:after="0"/>
        <w:ind w:left="360"/>
        <w:rPr>
          <w:i/>
          <w:szCs w:val="24"/>
        </w:rPr>
      </w:pPr>
      <w:r w:rsidRPr="007A3223">
        <w:rPr>
          <w:bCs/>
          <w:szCs w:val="24"/>
          <w:u w:val="single"/>
        </w:rPr>
        <w:t xml:space="preserve">Phase II Cohort 2 NSCLC; </w:t>
      </w:r>
      <w:r w:rsidR="007D558A">
        <w:rPr>
          <w:bCs/>
          <w:szCs w:val="24"/>
          <w:u w:val="single"/>
        </w:rPr>
        <w:t>Durvalumab</w:t>
      </w:r>
      <w:r w:rsidRPr="007A3223">
        <w:rPr>
          <w:bCs/>
          <w:szCs w:val="24"/>
          <w:u w:val="single"/>
        </w:rPr>
        <w:t xml:space="preserve">+O arm: </w:t>
      </w:r>
      <w:r w:rsidRPr="007A3223">
        <w:rPr>
          <w:bCs/>
          <w:szCs w:val="24"/>
        </w:rPr>
        <w:t xml:space="preserve">Patients will be treated with </w:t>
      </w:r>
      <w:r w:rsidR="007D558A">
        <w:rPr>
          <w:bCs/>
          <w:szCs w:val="24"/>
        </w:rPr>
        <w:t>Durvalumab</w:t>
      </w:r>
      <w:r w:rsidRPr="007A3223">
        <w:rPr>
          <w:bCs/>
          <w:szCs w:val="24"/>
        </w:rPr>
        <w:t xml:space="preserve">+O at RP2D (O 300mg tablets bid daily and </w:t>
      </w:r>
      <w:r w:rsidR="007D558A">
        <w:rPr>
          <w:bCs/>
          <w:szCs w:val="24"/>
        </w:rPr>
        <w:t>Durvalumab</w:t>
      </w:r>
      <w:r w:rsidRPr="007A3223">
        <w:rPr>
          <w:bCs/>
          <w:szCs w:val="24"/>
        </w:rPr>
        <w:t xml:space="preserve"> at 1500 mg IV every 4 weeks).</w:t>
      </w:r>
    </w:p>
    <w:p w14:paraId="1212E7C6" w14:textId="0AA5363A" w:rsidR="00AF3789" w:rsidRPr="007A3223" w:rsidRDefault="00AF3789" w:rsidP="00030913">
      <w:pPr>
        <w:numPr>
          <w:ilvl w:val="0"/>
          <w:numId w:val="8"/>
        </w:numPr>
        <w:spacing w:after="0"/>
        <w:ind w:left="360"/>
        <w:rPr>
          <w:i/>
          <w:szCs w:val="24"/>
        </w:rPr>
      </w:pPr>
      <w:r w:rsidRPr="007A3223">
        <w:rPr>
          <w:bCs/>
          <w:szCs w:val="24"/>
          <w:u w:val="single"/>
        </w:rPr>
        <w:t xml:space="preserve">Phase II Cohort 2 NSCLC; </w:t>
      </w:r>
      <w:r w:rsidR="008416D3">
        <w:rPr>
          <w:bCs/>
          <w:szCs w:val="24"/>
          <w:u w:val="single"/>
        </w:rPr>
        <w:t>Durvalumab</w:t>
      </w:r>
      <w:r w:rsidRPr="007A3223">
        <w:rPr>
          <w:bCs/>
          <w:szCs w:val="24"/>
          <w:u w:val="single"/>
        </w:rPr>
        <w:t>+C arm</w:t>
      </w:r>
      <w:r w:rsidRPr="007A3223">
        <w:rPr>
          <w:bCs/>
          <w:szCs w:val="24"/>
        </w:rPr>
        <w:t xml:space="preserve">: Patients will be treated with </w:t>
      </w:r>
      <w:r w:rsidR="008416D3">
        <w:rPr>
          <w:bCs/>
          <w:szCs w:val="24"/>
        </w:rPr>
        <w:t>Durvalumab</w:t>
      </w:r>
      <w:r w:rsidRPr="007A3223">
        <w:rPr>
          <w:bCs/>
          <w:szCs w:val="24"/>
        </w:rPr>
        <w:t xml:space="preserve">+C at RP2D (C 20mg once a day [5 days on/2 days off] and </w:t>
      </w:r>
      <w:r w:rsidR="008416D3">
        <w:rPr>
          <w:bCs/>
          <w:szCs w:val="24"/>
        </w:rPr>
        <w:t>Durvalumab</w:t>
      </w:r>
      <w:r w:rsidRPr="007A3223">
        <w:rPr>
          <w:bCs/>
          <w:szCs w:val="24"/>
        </w:rPr>
        <w:t xml:space="preserve"> at 1500 mg every 4 weeks). </w:t>
      </w:r>
    </w:p>
    <w:p w14:paraId="35E6E4CB" w14:textId="504706D2" w:rsidR="00AF3789" w:rsidRPr="007A3223" w:rsidRDefault="00AF3789" w:rsidP="00030913">
      <w:pPr>
        <w:numPr>
          <w:ilvl w:val="0"/>
          <w:numId w:val="8"/>
        </w:numPr>
        <w:spacing w:after="0"/>
        <w:ind w:left="360"/>
        <w:rPr>
          <w:i/>
          <w:szCs w:val="24"/>
        </w:rPr>
      </w:pPr>
      <w:r w:rsidRPr="007A3223">
        <w:rPr>
          <w:bCs/>
          <w:szCs w:val="24"/>
          <w:u w:val="single"/>
        </w:rPr>
        <w:t xml:space="preserve">Phase II Cohort 3 SCLC; </w:t>
      </w:r>
      <w:r w:rsidR="007949D7">
        <w:rPr>
          <w:bCs/>
          <w:szCs w:val="24"/>
          <w:u w:val="single"/>
        </w:rPr>
        <w:t>Durvalumab</w:t>
      </w:r>
      <w:r w:rsidRPr="007A3223">
        <w:rPr>
          <w:bCs/>
          <w:szCs w:val="24"/>
          <w:u w:val="single"/>
        </w:rPr>
        <w:t xml:space="preserve">+O arm: </w:t>
      </w:r>
      <w:r w:rsidRPr="007A3223">
        <w:rPr>
          <w:bCs/>
          <w:szCs w:val="24"/>
        </w:rPr>
        <w:t xml:space="preserve">Patients will be treated with </w:t>
      </w:r>
      <w:r w:rsidR="007949D7">
        <w:rPr>
          <w:bCs/>
          <w:szCs w:val="24"/>
        </w:rPr>
        <w:t>Durvalumab</w:t>
      </w:r>
      <w:r w:rsidRPr="007A3223">
        <w:rPr>
          <w:bCs/>
          <w:szCs w:val="24"/>
        </w:rPr>
        <w:t xml:space="preserve">+O at RP2D (O 300mg tablets bid daily and </w:t>
      </w:r>
      <w:r w:rsidR="007949D7">
        <w:rPr>
          <w:bCs/>
          <w:szCs w:val="24"/>
        </w:rPr>
        <w:t>Durvalumab</w:t>
      </w:r>
      <w:r w:rsidRPr="007A3223">
        <w:rPr>
          <w:bCs/>
          <w:szCs w:val="24"/>
        </w:rPr>
        <w:t xml:space="preserve"> at 1500 mg IV every 4 weeks).</w:t>
      </w:r>
    </w:p>
    <w:p w14:paraId="75E41649" w14:textId="0E859D54" w:rsidR="00AF3789" w:rsidRPr="007A3223" w:rsidRDefault="00AF3789" w:rsidP="00030913">
      <w:pPr>
        <w:numPr>
          <w:ilvl w:val="0"/>
          <w:numId w:val="8"/>
        </w:numPr>
        <w:spacing w:after="0"/>
        <w:ind w:left="360"/>
        <w:rPr>
          <w:i/>
          <w:szCs w:val="24"/>
        </w:rPr>
      </w:pPr>
      <w:r w:rsidRPr="007A3223">
        <w:rPr>
          <w:bCs/>
          <w:szCs w:val="24"/>
          <w:u w:val="single"/>
        </w:rPr>
        <w:t xml:space="preserve">Phase II Cohort 4 mCRPC; </w:t>
      </w:r>
      <w:r w:rsidR="007949D7">
        <w:rPr>
          <w:bCs/>
          <w:szCs w:val="24"/>
          <w:u w:val="single"/>
        </w:rPr>
        <w:t>Durvalumab</w:t>
      </w:r>
      <w:r w:rsidRPr="007A3223">
        <w:rPr>
          <w:bCs/>
          <w:szCs w:val="24"/>
          <w:u w:val="single"/>
        </w:rPr>
        <w:t xml:space="preserve">+O arm: </w:t>
      </w:r>
      <w:r w:rsidRPr="007A3223">
        <w:rPr>
          <w:bCs/>
          <w:szCs w:val="24"/>
        </w:rPr>
        <w:t xml:space="preserve">Patients will be treated with </w:t>
      </w:r>
      <w:r w:rsidR="007949D7">
        <w:rPr>
          <w:bCs/>
          <w:szCs w:val="24"/>
        </w:rPr>
        <w:t>Durvalumab</w:t>
      </w:r>
      <w:r w:rsidRPr="007A3223">
        <w:rPr>
          <w:bCs/>
          <w:szCs w:val="24"/>
        </w:rPr>
        <w:t xml:space="preserve">+O at RP2D (O 300mg tablets bid daily and </w:t>
      </w:r>
      <w:r w:rsidR="007949D7">
        <w:rPr>
          <w:bCs/>
          <w:szCs w:val="24"/>
        </w:rPr>
        <w:t>Durvalumab</w:t>
      </w:r>
      <w:r w:rsidRPr="007A3223">
        <w:rPr>
          <w:bCs/>
          <w:szCs w:val="24"/>
        </w:rPr>
        <w:t xml:space="preserve"> at 1500 mg IV every 4 weeks).</w:t>
      </w:r>
    </w:p>
    <w:p w14:paraId="4A37E6DB" w14:textId="65C2FD47" w:rsidR="00AF3789" w:rsidRPr="007A3223" w:rsidRDefault="00AF3789" w:rsidP="00030913">
      <w:pPr>
        <w:numPr>
          <w:ilvl w:val="0"/>
          <w:numId w:val="8"/>
        </w:numPr>
        <w:spacing w:after="0"/>
        <w:ind w:left="360"/>
        <w:rPr>
          <w:i/>
          <w:szCs w:val="24"/>
        </w:rPr>
      </w:pPr>
      <w:r w:rsidRPr="007A3223">
        <w:rPr>
          <w:bCs/>
          <w:szCs w:val="24"/>
          <w:u w:val="single"/>
        </w:rPr>
        <w:lastRenderedPageBreak/>
        <w:t xml:space="preserve">Phase II Cohort 5 TNBC; </w:t>
      </w:r>
      <w:r w:rsidR="007949D7">
        <w:rPr>
          <w:bCs/>
          <w:szCs w:val="24"/>
          <w:u w:val="single"/>
        </w:rPr>
        <w:t>Durvalumab</w:t>
      </w:r>
      <w:r w:rsidRPr="007A3223">
        <w:rPr>
          <w:bCs/>
          <w:szCs w:val="24"/>
          <w:u w:val="single"/>
        </w:rPr>
        <w:t xml:space="preserve">+O arm: </w:t>
      </w:r>
      <w:r w:rsidRPr="007A3223">
        <w:rPr>
          <w:bCs/>
          <w:szCs w:val="24"/>
        </w:rPr>
        <w:t xml:space="preserve">Patients will be treated with </w:t>
      </w:r>
      <w:r w:rsidR="007949D7">
        <w:rPr>
          <w:bCs/>
          <w:szCs w:val="24"/>
        </w:rPr>
        <w:t>Durvalumab</w:t>
      </w:r>
      <w:r w:rsidRPr="007A3223">
        <w:rPr>
          <w:bCs/>
          <w:szCs w:val="24"/>
        </w:rPr>
        <w:t xml:space="preserve">+O at RP2D (O 300mg tablets bid daily and </w:t>
      </w:r>
      <w:r w:rsidR="007949D7">
        <w:rPr>
          <w:bCs/>
          <w:szCs w:val="24"/>
        </w:rPr>
        <w:t>Durvalumab</w:t>
      </w:r>
      <w:r w:rsidRPr="007A3223">
        <w:rPr>
          <w:bCs/>
          <w:szCs w:val="24"/>
        </w:rPr>
        <w:t xml:space="preserve"> at 1500 mg IV every 4 weeks).</w:t>
      </w:r>
    </w:p>
    <w:p w14:paraId="41803A96" w14:textId="11A0B28A" w:rsidR="00837D28" w:rsidRPr="007A3223" w:rsidRDefault="00837D28" w:rsidP="00030913">
      <w:pPr>
        <w:numPr>
          <w:ilvl w:val="0"/>
          <w:numId w:val="8"/>
        </w:numPr>
        <w:spacing w:after="0"/>
        <w:ind w:left="360"/>
        <w:rPr>
          <w:i/>
          <w:szCs w:val="24"/>
        </w:rPr>
      </w:pPr>
      <w:r w:rsidRPr="007A3223">
        <w:rPr>
          <w:bCs/>
          <w:szCs w:val="24"/>
          <w:u w:val="single"/>
        </w:rPr>
        <w:t xml:space="preserve">Phase II </w:t>
      </w:r>
      <w:r w:rsidR="00AF3789" w:rsidRPr="007A3223">
        <w:rPr>
          <w:bCs/>
          <w:szCs w:val="24"/>
          <w:u w:val="single"/>
        </w:rPr>
        <w:t xml:space="preserve">Cohort 6 CRC; </w:t>
      </w:r>
      <w:r w:rsidRPr="007A3223">
        <w:rPr>
          <w:bCs/>
          <w:szCs w:val="24"/>
          <w:u w:val="single"/>
        </w:rPr>
        <w:t>C+</w:t>
      </w:r>
      <w:r w:rsidR="00830316">
        <w:rPr>
          <w:bCs/>
          <w:szCs w:val="24"/>
          <w:u w:val="single"/>
        </w:rPr>
        <w:t>Durvalumab</w:t>
      </w:r>
      <w:r w:rsidRPr="007A3223">
        <w:rPr>
          <w:bCs/>
          <w:szCs w:val="24"/>
          <w:u w:val="single"/>
        </w:rPr>
        <w:t xml:space="preserve"> arm</w:t>
      </w:r>
      <w:r w:rsidRPr="007A3223">
        <w:rPr>
          <w:bCs/>
          <w:szCs w:val="24"/>
        </w:rPr>
        <w:t xml:space="preserve">: Patients in the Cohort 6 will be treated with C 20mg daily alone for 14 days followed by the combination at RP2D (C 20mg once a day [5 days on/2 days off] and </w:t>
      </w:r>
      <w:r w:rsidR="00830316">
        <w:rPr>
          <w:bCs/>
          <w:szCs w:val="24"/>
        </w:rPr>
        <w:t>Durvalumab</w:t>
      </w:r>
      <w:r w:rsidRPr="007A3223">
        <w:rPr>
          <w:bCs/>
          <w:szCs w:val="24"/>
        </w:rPr>
        <w:t xml:space="preserve"> at 1500 mg every 4 weeks). </w:t>
      </w:r>
    </w:p>
    <w:p w14:paraId="60E43C29" w14:textId="77777777" w:rsidR="00B72905" w:rsidRPr="007A3223" w:rsidRDefault="001901F8" w:rsidP="00FB66BA">
      <w:pPr>
        <w:numPr>
          <w:ilvl w:val="0"/>
          <w:numId w:val="24"/>
        </w:numPr>
        <w:spacing w:after="0"/>
        <w:ind w:left="360"/>
        <w:rPr>
          <w:szCs w:val="24"/>
        </w:rPr>
      </w:pPr>
      <w:r w:rsidRPr="007A3223">
        <w:rPr>
          <w:color w:val="262626"/>
          <w:u w:val="single"/>
        </w:rPr>
        <w:t xml:space="preserve">Phase II </w:t>
      </w:r>
      <w:r w:rsidR="00236215" w:rsidRPr="007A3223">
        <w:rPr>
          <w:color w:val="262626"/>
          <w:u w:val="single"/>
        </w:rPr>
        <w:t>Correlative studies</w:t>
      </w:r>
      <w:r w:rsidR="007B35CF" w:rsidRPr="007A3223">
        <w:rPr>
          <w:color w:val="262626"/>
        </w:rPr>
        <w:t xml:space="preserve">: </w:t>
      </w:r>
      <w:r w:rsidR="00B72905" w:rsidRPr="007A3223">
        <w:rPr>
          <w:szCs w:val="24"/>
        </w:rPr>
        <w:t>Research samples including whole blood</w:t>
      </w:r>
      <w:r w:rsidR="00F13173" w:rsidRPr="007A3223">
        <w:rPr>
          <w:szCs w:val="24"/>
        </w:rPr>
        <w:t>, CTCs,</w:t>
      </w:r>
      <w:r w:rsidR="007B35CF" w:rsidRPr="007A3223">
        <w:rPr>
          <w:szCs w:val="24"/>
        </w:rPr>
        <w:t xml:space="preserve"> </w:t>
      </w:r>
      <w:r w:rsidR="00DE5CE5" w:rsidRPr="007A3223">
        <w:rPr>
          <w:szCs w:val="24"/>
        </w:rPr>
        <w:t>cell free</w:t>
      </w:r>
      <w:r w:rsidR="00D66E52" w:rsidRPr="007A3223">
        <w:rPr>
          <w:szCs w:val="24"/>
        </w:rPr>
        <w:t xml:space="preserve"> DNA </w:t>
      </w:r>
      <w:r w:rsidR="007B35CF" w:rsidRPr="007A3223">
        <w:rPr>
          <w:szCs w:val="24"/>
        </w:rPr>
        <w:t>and</w:t>
      </w:r>
      <w:r w:rsidR="00B72905" w:rsidRPr="007A3223">
        <w:rPr>
          <w:szCs w:val="24"/>
        </w:rPr>
        <w:t xml:space="preserve"> plasma</w:t>
      </w:r>
      <w:r w:rsidR="007B35CF" w:rsidRPr="007A3223">
        <w:rPr>
          <w:szCs w:val="24"/>
        </w:rPr>
        <w:t xml:space="preserve"> </w:t>
      </w:r>
      <w:r w:rsidR="00B72905" w:rsidRPr="007A3223">
        <w:rPr>
          <w:szCs w:val="24"/>
        </w:rPr>
        <w:t xml:space="preserve">will be obtained at </w:t>
      </w:r>
      <w:r w:rsidR="007B35CF" w:rsidRPr="007A3223">
        <w:rPr>
          <w:szCs w:val="24"/>
        </w:rPr>
        <w:t>pretreatment</w:t>
      </w:r>
      <w:r w:rsidR="00B72905" w:rsidRPr="007A3223">
        <w:rPr>
          <w:szCs w:val="24"/>
        </w:rPr>
        <w:t xml:space="preserve">, </w:t>
      </w:r>
      <w:r w:rsidR="003929C0" w:rsidRPr="007A3223">
        <w:rPr>
          <w:szCs w:val="24"/>
        </w:rPr>
        <w:t xml:space="preserve">prior to </w:t>
      </w:r>
      <w:r w:rsidR="008518B7" w:rsidRPr="007A3223">
        <w:rPr>
          <w:szCs w:val="24"/>
        </w:rPr>
        <w:t>cycle 1 day 15</w:t>
      </w:r>
      <w:r w:rsidR="005C2679" w:rsidRPr="007A3223">
        <w:rPr>
          <w:szCs w:val="24"/>
        </w:rPr>
        <w:t xml:space="preserve">, </w:t>
      </w:r>
      <w:r w:rsidR="00EB1F94" w:rsidRPr="007A3223">
        <w:rPr>
          <w:szCs w:val="24"/>
        </w:rPr>
        <w:t xml:space="preserve">prior to </w:t>
      </w:r>
      <w:r w:rsidR="007B35CF" w:rsidRPr="007A3223">
        <w:rPr>
          <w:szCs w:val="24"/>
        </w:rPr>
        <w:t>c</w:t>
      </w:r>
      <w:r w:rsidR="004116D2" w:rsidRPr="007A3223">
        <w:rPr>
          <w:szCs w:val="24"/>
        </w:rPr>
        <w:t>ycle 3</w:t>
      </w:r>
      <w:r w:rsidR="00B72905" w:rsidRPr="007A3223">
        <w:rPr>
          <w:szCs w:val="24"/>
        </w:rPr>
        <w:t xml:space="preserve"> </w:t>
      </w:r>
      <w:r w:rsidR="007B35CF" w:rsidRPr="007A3223">
        <w:rPr>
          <w:szCs w:val="24"/>
        </w:rPr>
        <w:t>d</w:t>
      </w:r>
      <w:r w:rsidR="004116D2" w:rsidRPr="007A3223">
        <w:rPr>
          <w:szCs w:val="24"/>
        </w:rPr>
        <w:t>ay 1</w:t>
      </w:r>
      <w:r w:rsidR="005C2679" w:rsidRPr="007A3223">
        <w:rPr>
          <w:szCs w:val="24"/>
        </w:rPr>
        <w:t xml:space="preserve"> and at progression</w:t>
      </w:r>
      <w:r w:rsidR="00B72905" w:rsidRPr="007A3223">
        <w:rPr>
          <w:szCs w:val="24"/>
        </w:rPr>
        <w:t>.</w:t>
      </w:r>
      <w:r w:rsidR="007B35CF" w:rsidRPr="007A3223">
        <w:rPr>
          <w:szCs w:val="24"/>
        </w:rPr>
        <w:t xml:space="preserve"> Mandatory baseline core bio</w:t>
      </w:r>
      <w:r w:rsidR="004116D2" w:rsidRPr="007A3223">
        <w:rPr>
          <w:szCs w:val="24"/>
        </w:rPr>
        <w:t xml:space="preserve">psy and two optional biopsies </w:t>
      </w:r>
      <w:r w:rsidR="007B35CF" w:rsidRPr="007A3223">
        <w:rPr>
          <w:szCs w:val="24"/>
        </w:rPr>
        <w:t>will be obtained.</w:t>
      </w:r>
    </w:p>
    <w:p w14:paraId="2EE4C9B0" w14:textId="5CEE041D" w:rsidR="00D66E52" w:rsidRPr="007A3223" w:rsidRDefault="00B72905" w:rsidP="00030913">
      <w:pPr>
        <w:pStyle w:val="ListParagraph"/>
        <w:numPr>
          <w:ilvl w:val="0"/>
          <w:numId w:val="8"/>
        </w:numPr>
        <w:tabs>
          <w:tab w:val="left" w:pos="2520"/>
        </w:tabs>
        <w:ind w:left="360"/>
        <w:rPr>
          <w:strike/>
        </w:rPr>
      </w:pPr>
      <w:r w:rsidRPr="007A3223">
        <w:t xml:space="preserve">Patients will be evaluated for toxicity every </w:t>
      </w:r>
      <w:r w:rsidR="009B4683" w:rsidRPr="007A3223">
        <w:rPr>
          <w:lang w:eastAsia="ko-KR"/>
        </w:rPr>
        <w:t>4</w:t>
      </w:r>
      <w:r w:rsidR="009B4683" w:rsidRPr="007A3223">
        <w:t xml:space="preserve"> </w:t>
      </w:r>
      <w:r w:rsidRPr="007A3223">
        <w:t>weeks by CTCAEv4.0, and for response every two cycles (8 weeks) by RECIST 1.1.</w:t>
      </w:r>
      <w:r w:rsidR="00D66E52" w:rsidRPr="007A3223">
        <w:t xml:space="preserve"> </w:t>
      </w:r>
      <w:r w:rsidR="00D66E52" w:rsidRPr="007A3223">
        <w:rPr>
          <w:lang w:val="en-US"/>
        </w:rPr>
        <w:t>P</w:t>
      </w:r>
      <w:r w:rsidR="00D66E52" w:rsidRPr="007A3223">
        <w:t>atients with mCRPC (</w:t>
      </w:r>
      <w:r w:rsidR="00E901F7">
        <w:rPr>
          <w:lang w:val="en-US"/>
        </w:rPr>
        <w:t>Durvalumab</w:t>
      </w:r>
      <w:r w:rsidR="00C00897" w:rsidRPr="007A3223">
        <w:t>+</w:t>
      </w:r>
      <w:r w:rsidR="00D66E52" w:rsidRPr="007A3223">
        <w:t xml:space="preserve">O Cohort </w:t>
      </w:r>
      <w:r w:rsidR="00B92CE8" w:rsidRPr="007A3223">
        <w:t>4</w:t>
      </w:r>
      <w:r w:rsidR="00D66E52" w:rsidRPr="007A3223">
        <w:t xml:space="preserve">) will be evaluated for response </w:t>
      </w:r>
      <w:r w:rsidR="00D66E52" w:rsidRPr="007A3223">
        <w:rPr>
          <w:lang w:val="en-US"/>
        </w:rPr>
        <w:t xml:space="preserve">initially at 8 weeks then every 12 weeks </w:t>
      </w:r>
      <w:r w:rsidR="00D66E52" w:rsidRPr="007A3223">
        <w:t xml:space="preserve">using RECIST v1.1 criteria as per the </w:t>
      </w:r>
      <w:r w:rsidR="00D66E52" w:rsidRPr="007A3223">
        <w:rPr>
          <w:lang w:val="en-US"/>
        </w:rPr>
        <w:t xml:space="preserve">Prostate Cancer Clinical Trials Working Group 2 </w:t>
      </w:r>
      <w:r w:rsidR="00D66E52" w:rsidRPr="007A3223">
        <w:t>(PCWG2).</w:t>
      </w:r>
    </w:p>
    <w:p w14:paraId="1A1A21C8" w14:textId="77777777" w:rsidR="00B72905" w:rsidRPr="007A3223" w:rsidRDefault="00B72905" w:rsidP="00ED3D1F">
      <w:pPr>
        <w:pStyle w:val="ListParagraph"/>
        <w:tabs>
          <w:tab w:val="left" w:pos="2520"/>
        </w:tabs>
        <w:ind w:left="360"/>
      </w:pPr>
    </w:p>
    <w:p w14:paraId="778EBC03" w14:textId="77777777" w:rsidR="003C358D" w:rsidRPr="007A3223" w:rsidRDefault="003C358D" w:rsidP="00C41A55">
      <w:pPr>
        <w:pStyle w:val="ListParagraph"/>
        <w:tabs>
          <w:tab w:val="left" w:pos="2520"/>
        </w:tabs>
        <w:ind w:left="360"/>
      </w:pPr>
    </w:p>
    <w:p w14:paraId="39CFAE6F" w14:textId="77777777" w:rsidR="00FF7666" w:rsidRPr="007A3223" w:rsidRDefault="00FF7666">
      <w:pPr>
        <w:spacing w:after="0"/>
        <w:rPr>
          <w:rFonts w:ascii="Times New Roman Bold" w:hAnsi="Times New Roman Bold" w:hint="eastAsia"/>
          <w:b/>
          <w:bCs/>
          <w:caps/>
          <w:szCs w:val="28"/>
          <w:lang w:val="x-none" w:eastAsia="x-none"/>
        </w:rPr>
      </w:pPr>
      <w:r w:rsidRPr="007A3223">
        <w:br w:type="page"/>
      </w:r>
    </w:p>
    <w:p w14:paraId="6F63AF2A" w14:textId="77777777" w:rsidR="003C358D" w:rsidRPr="007A3223" w:rsidRDefault="00DC0D3B" w:rsidP="004E00BA">
      <w:pPr>
        <w:pStyle w:val="Heading1"/>
        <w:numPr>
          <w:ilvl w:val="0"/>
          <w:numId w:val="0"/>
        </w:numPr>
        <w:ind w:left="432"/>
        <w:rPr>
          <w:rFonts w:hint="eastAsia"/>
        </w:rPr>
      </w:pPr>
      <w:bookmarkStart w:id="9" w:name="_Toc82444330"/>
      <w:r w:rsidRPr="007A3223">
        <w:lastRenderedPageBreak/>
        <w:t>STUDY SCHEMA</w:t>
      </w:r>
      <w:bookmarkEnd w:id="9"/>
    </w:p>
    <w:p w14:paraId="5E43CC1A" w14:textId="77777777" w:rsidR="003C358D" w:rsidRPr="007A3223" w:rsidRDefault="003C358D" w:rsidP="00ED703B">
      <w:pPr>
        <w:pStyle w:val="Heading2"/>
        <w:numPr>
          <w:ilvl w:val="0"/>
          <w:numId w:val="0"/>
        </w:numPr>
      </w:pPr>
      <w:bookmarkStart w:id="10" w:name="_Toc82444331"/>
      <w:r w:rsidRPr="007A3223">
        <w:t>Phase I: Dose Escalation</w:t>
      </w:r>
      <w:bookmarkEnd w:id="10"/>
    </w:p>
    <w:p w14:paraId="69F9E65F" w14:textId="3220BE47" w:rsidR="003C358D" w:rsidRPr="007A3223" w:rsidRDefault="00DE5ED7" w:rsidP="005551CC">
      <w:r>
        <w:t>Durvalumab</w:t>
      </w:r>
      <w:r w:rsidR="008B458E" w:rsidRPr="007A3223">
        <w:t>+</w:t>
      </w:r>
      <w:r w:rsidR="003C358D" w:rsidRPr="007A3223">
        <w:t>O Dose Escalation Schedule</w:t>
      </w:r>
      <w:r w:rsidR="004E3DF5" w:rsidRPr="007A3223">
        <w:t xml:space="preserve"> Table</w:t>
      </w:r>
    </w:p>
    <w:tbl>
      <w:tblPr>
        <w:tblW w:w="0" w:type="auto"/>
        <w:tblLayout w:type="fixed"/>
        <w:tblCellMar>
          <w:left w:w="88" w:type="dxa"/>
          <w:right w:w="88" w:type="dxa"/>
        </w:tblCellMar>
        <w:tblLook w:val="0000" w:firstRow="0" w:lastRow="0" w:firstColumn="0" w:lastColumn="0" w:noHBand="0" w:noVBand="0"/>
      </w:tblPr>
      <w:tblGrid>
        <w:gridCol w:w="2428"/>
        <w:gridCol w:w="2880"/>
        <w:gridCol w:w="2788"/>
      </w:tblGrid>
      <w:tr w:rsidR="003C358D" w:rsidRPr="007A3223" w14:paraId="60AAAA03" w14:textId="77777777" w:rsidTr="003C358D">
        <w:tc>
          <w:tcPr>
            <w:tcW w:w="2428" w:type="dxa"/>
            <w:tcBorders>
              <w:top w:val="double" w:sz="4" w:space="0" w:color="000000"/>
              <w:left w:val="double" w:sz="4" w:space="0" w:color="000000"/>
              <w:bottom w:val="double" w:sz="4" w:space="0" w:color="000000"/>
              <w:right w:val="single" w:sz="8" w:space="0" w:color="000000"/>
            </w:tcBorders>
          </w:tcPr>
          <w:p w14:paraId="3307BE0D" w14:textId="77777777" w:rsidR="003C358D" w:rsidRPr="007A3223" w:rsidRDefault="003C358D" w:rsidP="003C358D">
            <w:pPr>
              <w:pStyle w:val="Caption"/>
              <w:jc w:val="center"/>
              <w:rPr>
                <w:szCs w:val="24"/>
              </w:rPr>
            </w:pPr>
            <w:r w:rsidRPr="007A3223">
              <w:rPr>
                <w:szCs w:val="24"/>
              </w:rPr>
              <w:t>Dose Level</w:t>
            </w:r>
          </w:p>
          <w:p w14:paraId="4B12D602" w14:textId="77777777" w:rsidR="003C358D" w:rsidRPr="007A3223" w:rsidRDefault="003C358D" w:rsidP="003C358D">
            <w:pPr>
              <w:jc w:val="center"/>
              <w:rPr>
                <w:b/>
              </w:rPr>
            </w:pPr>
            <w:r w:rsidRPr="007A3223">
              <w:rPr>
                <w:b/>
              </w:rPr>
              <w:t>(DL)</w:t>
            </w:r>
          </w:p>
        </w:tc>
        <w:tc>
          <w:tcPr>
            <w:tcW w:w="2880" w:type="dxa"/>
            <w:tcBorders>
              <w:top w:val="double" w:sz="4" w:space="0" w:color="000000"/>
              <w:left w:val="single" w:sz="8" w:space="0" w:color="000000"/>
              <w:bottom w:val="double" w:sz="4" w:space="0" w:color="000000"/>
              <w:right w:val="single" w:sz="8" w:space="0" w:color="000000"/>
            </w:tcBorders>
          </w:tcPr>
          <w:p w14:paraId="2CA8EA09" w14:textId="2D30794B" w:rsidR="003C358D" w:rsidRPr="007A3223" w:rsidRDefault="00DE5ED7" w:rsidP="003C358D">
            <w:pPr>
              <w:spacing w:after="0" w:line="22" w:lineRule="atLeast"/>
              <w:jc w:val="center"/>
              <w:rPr>
                <w:b/>
                <w:bCs/>
                <w:szCs w:val="24"/>
              </w:rPr>
            </w:pPr>
            <w:r>
              <w:rPr>
                <w:b/>
                <w:bCs/>
                <w:szCs w:val="24"/>
              </w:rPr>
              <w:t>Durvalumab</w:t>
            </w:r>
          </w:p>
          <w:p w14:paraId="672736E8" w14:textId="77777777" w:rsidR="003C358D" w:rsidRPr="007A3223" w:rsidRDefault="003C358D" w:rsidP="00C338AF">
            <w:pPr>
              <w:pStyle w:val="Caption"/>
              <w:spacing w:before="0" w:after="0"/>
              <w:jc w:val="center"/>
              <w:rPr>
                <w:szCs w:val="24"/>
              </w:rPr>
            </w:pPr>
            <w:r w:rsidRPr="007A3223">
              <w:rPr>
                <w:bCs w:val="0"/>
                <w:szCs w:val="24"/>
              </w:rPr>
              <w:t>(intravenously)</w:t>
            </w:r>
          </w:p>
        </w:tc>
        <w:tc>
          <w:tcPr>
            <w:tcW w:w="2788" w:type="dxa"/>
            <w:tcBorders>
              <w:top w:val="double" w:sz="4" w:space="0" w:color="000000"/>
              <w:left w:val="single" w:sz="8" w:space="0" w:color="000000"/>
              <w:bottom w:val="double" w:sz="4" w:space="0" w:color="000000"/>
              <w:right w:val="double" w:sz="4" w:space="0" w:color="000000"/>
            </w:tcBorders>
          </w:tcPr>
          <w:p w14:paraId="667241BD" w14:textId="77777777" w:rsidR="003C358D" w:rsidRPr="007A3223" w:rsidRDefault="003C358D" w:rsidP="003C358D">
            <w:pPr>
              <w:spacing w:after="0" w:line="22" w:lineRule="atLeast"/>
              <w:jc w:val="center"/>
              <w:rPr>
                <w:b/>
                <w:bCs/>
                <w:szCs w:val="24"/>
              </w:rPr>
            </w:pPr>
            <w:r w:rsidRPr="007A3223">
              <w:rPr>
                <w:b/>
                <w:bCs/>
                <w:szCs w:val="24"/>
              </w:rPr>
              <w:t>Olaparib tablet</w:t>
            </w:r>
          </w:p>
          <w:p w14:paraId="4850D93C" w14:textId="77777777" w:rsidR="003C358D" w:rsidRPr="007A3223" w:rsidRDefault="003C358D" w:rsidP="003C358D">
            <w:pPr>
              <w:pStyle w:val="Caption"/>
              <w:spacing w:before="0" w:after="0"/>
              <w:jc w:val="center"/>
              <w:rPr>
                <w:szCs w:val="24"/>
              </w:rPr>
            </w:pPr>
            <w:r w:rsidRPr="007A3223">
              <w:rPr>
                <w:bCs w:val="0"/>
                <w:szCs w:val="24"/>
              </w:rPr>
              <w:t>(oral, twice a day)</w:t>
            </w:r>
          </w:p>
        </w:tc>
      </w:tr>
      <w:tr w:rsidR="003C358D" w:rsidRPr="007A3223" w14:paraId="7D0362DB" w14:textId="77777777" w:rsidTr="00765CB3">
        <w:trPr>
          <w:trHeight w:val="328"/>
        </w:trPr>
        <w:tc>
          <w:tcPr>
            <w:tcW w:w="2428" w:type="dxa"/>
            <w:tcBorders>
              <w:top w:val="single" w:sz="7" w:space="0" w:color="000000"/>
              <w:left w:val="double" w:sz="4" w:space="0" w:color="000000"/>
              <w:bottom w:val="single" w:sz="4" w:space="0" w:color="auto"/>
              <w:right w:val="single" w:sz="8" w:space="0" w:color="000000"/>
            </w:tcBorders>
          </w:tcPr>
          <w:p w14:paraId="0E491F6B" w14:textId="77777777" w:rsidR="003C358D" w:rsidRPr="007A3223" w:rsidRDefault="00765CB3" w:rsidP="003C358D">
            <w:pPr>
              <w:jc w:val="center"/>
              <w:rPr>
                <w:szCs w:val="24"/>
              </w:rPr>
            </w:pPr>
            <w:r w:rsidRPr="007A3223">
              <w:rPr>
                <w:szCs w:val="24"/>
              </w:rPr>
              <w:t xml:space="preserve">DL -2 </w:t>
            </w:r>
          </w:p>
        </w:tc>
        <w:tc>
          <w:tcPr>
            <w:tcW w:w="2880" w:type="dxa"/>
            <w:tcBorders>
              <w:top w:val="single" w:sz="8" w:space="0" w:color="000000"/>
              <w:left w:val="single" w:sz="8" w:space="0" w:color="000000"/>
              <w:bottom w:val="single" w:sz="4" w:space="0" w:color="auto"/>
              <w:right w:val="single" w:sz="8" w:space="0" w:color="000000"/>
            </w:tcBorders>
          </w:tcPr>
          <w:p w14:paraId="2646F5AF" w14:textId="77777777" w:rsidR="003C358D" w:rsidRPr="007A3223" w:rsidRDefault="00765CB3" w:rsidP="003C358D">
            <w:pPr>
              <w:jc w:val="center"/>
              <w:rPr>
                <w:szCs w:val="24"/>
              </w:rPr>
            </w:pPr>
            <w:r w:rsidRPr="007A3223">
              <w:rPr>
                <w:szCs w:val="24"/>
              </w:rPr>
              <w:t xml:space="preserve">3 mg/kg </w:t>
            </w:r>
            <w:r w:rsidR="00647945" w:rsidRPr="007A3223">
              <w:rPr>
                <w:szCs w:val="24"/>
              </w:rPr>
              <w:t>every 2 weeks</w:t>
            </w:r>
          </w:p>
        </w:tc>
        <w:tc>
          <w:tcPr>
            <w:tcW w:w="2788" w:type="dxa"/>
            <w:tcBorders>
              <w:top w:val="single" w:sz="7" w:space="0" w:color="000000"/>
              <w:left w:val="single" w:sz="8" w:space="0" w:color="000000"/>
              <w:bottom w:val="single" w:sz="4" w:space="0" w:color="auto"/>
              <w:right w:val="double" w:sz="4" w:space="0" w:color="000000"/>
            </w:tcBorders>
          </w:tcPr>
          <w:p w14:paraId="0B4BFBB1" w14:textId="77777777" w:rsidR="003C358D" w:rsidRPr="007A3223" w:rsidRDefault="00765CB3" w:rsidP="000B3D63">
            <w:pPr>
              <w:jc w:val="center"/>
              <w:rPr>
                <w:szCs w:val="24"/>
              </w:rPr>
            </w:pPr>
            <w:r w:rsidRPr="007A3223">
              <w:rPr>
                <w:szCs w:val="24"/>
              </w:rPr>
              <w:t>150 mg</w:t>
            </w:r>
          </w:p>
        </w:tc>
      </w:tr>
      <w:tr w:rsidR="00765CB3" w:rsidRPr="007A3223" w14:paraId="1648DDE8" w14:textId="77777777" w:rsidTr="00765CB3">
        <w:trPr>
          <w:trHeight w:val="448"/>
        </w:trPr>
        <w:tc>
          <w:tcPr>
            <w:tcW w:w="2428" w:type="dxa"/>
            <w:tcBorders>
              <w:top w:val="single" w:sz="4" w:space="0" w:color="auto"/>
              <w:left w:val="double" w:sz="4" w:space="0" w:color="000000"/>
              <w:bottom w:val="single" w:sz="4" w:space="0" w:color="auto"/>
              <w:right w:val="single" w:sz="8" w:space="0" w:color="000000"/>
            </w:tcBorders>
          </w:tcPr>
          <w:p w14:paraId="05F4562F" w14:textId="77777777" w:rsidR="00765CB3" w:rsidRPr="007A3223" w:rsidRDefault="00765CB3" w:rsidP="003C358D">
            <w:pPr>
              <w:jc w:val="center"/>
              <w:rPr>
                <w:szCs w:val="24"/>
              </w:rPr>
            </w:pPr>
            <w:r w:rsidRPr="007A3223">
              <w:rPr>
                <w:szCs w:val="24"/>
              </w:rPr>
              <w:t>DL -1</w:t>
            </w:r>
          </w:p>
        </w:tc>
        <w:tc>
          <w:tcPr>
            <w:tcW w:w="2880" w:type="dxa"/>
            <w:tcBorders>
              <w:top w:val="single" w:sz="4" w:space="0" w:color="auto"/>
              <w:left w:val="single" w:sz="8" w:space="0" w:color="000000"/>
              <w:bottom w:val="single" w:sz="4" w:space="0" w:color="auto"/>
              <w:right w:val="single" w:sz="8" w:space="0" w:color="000000"/>
            </w:tcBorders>
          </w:tcPr>
          <w:p w14:paraId="099B0ED6" w14:textId="77777777" w:rsidR="00765CB3" w:rsidRPr="007A3223" w:rsidRDefault="00765CB3" w:rsidP="003C358D">
            <w:pPr>
              <w:jc w:val="center"/>
              <w:rPr>
                <w:szCs w:val="24"/>
              </w:rPr>
            </w:pPr>
            <w:r w:rsidRPr="007A3223">
              <w:rPr>
                <w:szCs w:val="24"/>
              </w:rPr>
              <w:t>3 mg/kg</w:t>
            </w:r>
            <w:r w:rsidR="00647945" w:rsidRPr="007A3223">
              <w:rPr>
                <w:szCs w:val="24"/>
              </w:rPr>
              <w:t xml:space="preserve"> every 2 weeks</w:t>
            </w:r>
          </w:p>
        </w:tc>
        <w:tc>
          <w:tcPr>
            <w:tcW w:w="2788" w:type="dxa"/>
            <w:tcBorders>
              <w:top w:val="single" w:sz="4" w:space="0" w:color="auto"/>
              <w:left w:val="single" w:sz="8" w:space="0" w:color="000000"/>
              <w:bottom w:val="single" w:sz="4" w:space="0" w:color="auto"/>
              <w:right w:val="double" w:sz="4" w:space="0" w:color="000000"/>
            </w:tcBorders>
          </w:tcPr>
          <w:p w14:paraId="1C94DF57" w14:textId="77777777" w:rsidR="00765CB3" w:rsidRPr="007A3223" w:rsidRDefault="00765CB3" w:rsidP="000B3D63">
            <w:pPr>
              <w:jc w:val="center"/>
              <w:rPr>
                <w:szCs w:val="24"/>
              </w:rPr>
            </w:pPr>
            <w:r w:rsidRPr="007A3223">
              <w:rPr>
                <w:szCs w:val="24"/>
              </w:rPr>
              <w:t>200 mg</w:t>
            </w:r>
          </w:p>
        </w:tc>
      </w:tr>
      <w:tr w:rsidR="003C358D" w:rsidRPr="007A3223" w14:paraId="6A3067B3" w14:textId="77777777" w:rsidTr="003C358D">
        <w:trPr>
          <w:trHeight w:val="440"/>
        </w:trPr>
        <w:tc>
          <w:tcPr>
            <w:tcW w:w="2428" w:type="dxa"/>
            <w:tcBorders>
              <w:top w:val="single" w:sz="4" w:space="0" w:color="auto"/>
              <w:left w:val="double" w:sz="4" w:space="0" w:color="000000"/>
              <w:bottom w:val="single" w:sz="7" w:space="0" w:color="000000"/>
              <w:right w:val="single" w:sz="8" w:space="0" w:color="000000"/>
            </w:tcBorders>
          </w:tcPr>
          <w:p w14:paraId="0475C3D5" w14:textId="77777777" w:rsidR="003C358D" w:rsidRPr="007A3223" w:rsidRDefault="003C358D" w:rsidP="003C358D">
            <w:pPr>
              <w:jc w:val="center"/>
              <w:rPr>
                <w:b/>
                <w:szCs w:val="24"/>
              </w:rPr>
            </w:pPr>
            <w:r w:rsidRPr="007A3223">
              <w:rPr>
                <w:b/>
                <w:szCs w:val="24"/>
              </w:rPr>
              <w:t>DL 1 (starting dose)</w:t>
            </w:r>
          </w:p>
        </w:tc>
        <w:tc>
          <w:tcPr>
            <w:tcW w:w="2880" w:type="dxa"/>
            <w:tcBorders>
              <w:top w:val="single" w:sz="4" w:space="0" w:color="auto"/>
              <w:left w:val="single" w:sz="8" w:space="0" w:color="000000"/>
              <w:bottom w:val="single" w:sz="8" w:space="0" w:color="000000"/>
              <w:right w:val="single" w:sz="8" w:space="0" w:color="000000"/>
            </w:tcBorders>
          </w:tcPr>
          <w:p w14:paraId="34E67ED9" w14:textId="77777777" w:rsidR="003C358D" w:rsidRPr="007A3223" w:rsidRDefault="003C358D" w:rsidP="003C358D">
            <w:pPr>
              <w:jc w:val="center"/>
              <w:rPr>
                <w:b/>
                <w:szCs w:val="24"/>
              </w:rPr>
            </w:pPr>
            <w:r w:rsidRPr="007A3223">
              <w:rPr>
                <w:b/>
                <w:szCs w:val="24"/>
              </w:rPr>
              <w:t>10 mg/kg</w:t>
            </w:r>
            <w:r w:rsidR="00647945" w:rsidRPr="007A3223">
              <w:rPr>
                <w:b/>
                <w:szCs w:val="24"/>
              </w:rPr>
              <w:t xml:space="preserve"> every 2 weeks</w:t>
            </w:r>
          </w:p>
        </w:tc>
        <w:tc>
          <w:tcPr>
            <w:tcW w:w="2788" w:type="dxa"/>
            <w:tcBorders>
              <w:top w:val="single" w:sz="4" w:space="0" w:color="auto"/>
              <w:left w:val="single" w:sz="8" w:space="0" w:color="000000"/>
              <w:bottom w:val="single" w:sz="7" w:space="0" w:color="000000"/>
              <w:right w:val="double" w:sz="4" w:space="0" w:color="000000"/>
            </w:tcBorders>
          </w:tcPr>
          <w:p w14:paraId="099D14B7" w14:textId="77777777" w:rsidR="003C358D" w:rsidRPr="007A3223" w:rsidRDefault="003C358D" w:rsidP="003C358D">
            <w:pPr>
              <w:jc w:val="center"/>
              <w:rPr>
                <w:b/>
                <w:szCs w:val="24"/>
              </w:rPr>
            </w:pPr>
            <w:r w:rsidRPr="007A3223">
              <w:rPr>
                <w:b/>
                <w:szCs w:val="24"/>
              </w:rPr>
              <w:t>200 mg</w:t>
            </w:r>
          </w:p>
        </w:tc>
      </w:tr>
      <w:tr w:rsidR="003C358D" w:rsidRPr="007A3223" w14:paraId="06978D2C" w14:textId="77777777" w:rsidTr="00647945">
        <w:trPr>
          <w:trHeight w:val="320"/>
        </w:trPr>
        <w:tc>
          <w:tcPr>
            <w:tcW w:w="2428" w:type="dxa"/>
            <w:tcBorders>
              <w:top w:val="single" w:sz="7" w:space="0" w:color="000000"/>
              <w:left w:val="single" w:sz="4" w:space="0" w:color="auto"/>
              <w:bottom w:val="single" w:sz="4" w:space="0" w:color="auto"/>
              <w:right w:val="single" w:sz="8" w:space="0" w:color="000000"/>
            </w:tcBorders>
          </w:tcPr>
          <w:p w14:paraId="5E073935" w14:textId="77777777" w:rsidR="003C358D" w:rsidRPr="007A3223" w:rsidRDefault="003C358D" w:rsidP="003C358D">
            <w:pPr>
              <w:jc w:val="center"/>
              <w:rPr>
                <w:szCs w:val="24"/>
              </w:rPr>
            </w:pPr>
            <w:r w:rsidRPr="007A3223">
              <w:rPr>
                <w:szCs w:val="24"/>
              </w:rPr>
              <w:t>DL 2</w:t>
            </w:r>
          </w:p>
        </w:tc>
        <w:tc>
          <w:tcPr>
            <w:tcW w:w="2880" w:type="dxa"/>
            <w:tcBorders>
              <w:top w:val="single" w:sz="8" w:space="0" w:color="000000"/>
              <w:left w:val="single" w:sz="8" w:space="0" w:color="000000"/>
              <w:bottom w:val="single" w:sz="4" w:space="0" w:color="auto"/>
              <w:right w:val="single" w:sz="8" w:space="0" w:color="000000"/>
            </w:tcBorders>
          </w:tcPr>
          <w:p w14:paraId="562A97C5" w14:textId="77777777" w:rsidR="003C358D" w:rsidRPr="007A3223" w:rsidRDefault="003C358D" w:rsidP="003C358D">
            <w:pPr>
              <w:jc w:val="center"/>
              <w:rPr>
                <w:szCs w:val="24"/>
              </w:rPr>
            </w:pPr>
            <w:r w:rsidRPr="007A3223">
              <w:rPr>
                <w:szCs w:val="24"/>
              </w:rPr>
              <w:t>10 mg/kg</w:t>
            </w:r>
            <w:r w:rsidR="00647945" w:rsidRPr="007A3223">
              <w:rPr>
                <w:szCs w:val="24"/>
              </w:rPr>
              <w:t xml:space="preserve"> every 2 weeks</w:t>
            </w:r>
          </w:p>
        </w:tc>
        <w:tc>
          <w:tcPr>
            <w:tcW w:w="2788" w:type="dxa"/>
            <w:tcBorders>
              <w:top w:val="single" w:sz="7" w:space="0" w:color="000000"/>
              <w:left w:val="single" w:sz="8" w:space="0" w:color="000000"/>
              <w:bottom w:val="single" w:sz="4" w:space="0" w:color="auto"/>
              <w:right w:val="double" w:sz="4" w:space="0" w:color="000000"/>
            </w:tcBorders>
          </w:tcPr>
          <w:p w14:paraId="3B0D4186" w14:textId="77777777" w:rsidR="00647945" w:rsidRPr="007A3223" w:rsidRDefault="003C358D" w:rsidP="003C358D">
            <w:pPr>
              <w:jc w:val="center"/>
              <w:rPr>
                <w:szCs w:val="24"/>
              </w:rPr>
            </w:pPr>
            <w:r w:rsidRPr="007A3223">
              <w:rPr>
                <w:szCs w:val="24"/>
              </w:rPr>
              <w:t>300 mg</w:t>
            </w:r>
          </w:p>
        </w:tc>
      </w:tr>
      <w:tr w:rsidR="00647945" w:rsidRPr="007A3223" w14:paraId="38251B45" w14:textId="77777777" w:rsidTr="00647945">
        <w:trPr>
          <w:trHeight w:val="480"/>
        </w:trPr>
        <w:tc>
          <w:tcPr>
            <w:tcW w:w="2428" w:type="dxa"/>
            <w:tcBorders>
              <w:top w:val="single" w:sz="4" w:space="0" w:color="auto"/>
              <w:left w:val="single" w:sz="4" w:space="0" w:color="auto"/>
              <w:bottom w:val="single" w:sz="7" w:space="0" w:color="000000"/>
              <w:right w:val="single" w:sz="8" w:space="0" w:color="000000"/>
            </w:tcBorders>
          </w:tcPr>
          <w:p w14:paraId="7F0F7C24" w14:textId="77777777" w:rsidR="00647945" w:rsidRPr="007A3223" w:rsidRDefault="004B4D7B" w:rsidP="003C358D">
            <w:pPr>
              <w:jc w:val="center"/>
              <w:rPr>
                <w:szCs w:val="24"/>
              </w:rPr>
            </w:pPr>
            <w:r w:rsidRPr="007A3223">
              <w:rPr>
                <w:szCs w:val="24"/>
              </w:rPr>
              <w:t>DL 3</w:t>
            </w:r>
          </w:p>
        </w:tc>
        <w:tc>
          <w:tcPr>
            <w:tcW w:w="2880" w:type="dxa"/>
            <w:tcBorders>
              <w:top w:val="single" w:sz="4" w:space="0" w:color="auto"/>
              <w:left w:val="single" w:sz="8" w:space="0" w:color="000000"/>
              <w:bottom w:val="single" w:sz="8" w:space="0" w:color="000000"/>
              <w:right w:val="single" w:sz="8" w:space="0" w:color="000000"/>
            </w:tcBorders>
          </w:tcPr>
          <w:p w14:paraId="101A62E6" w14:textId="77777777" w:rsidR="00647945" w:rsidRPr="007A3223" w:rsidRDefault="004B4D7B" w:rsidP="003C358D">
            <w:pPr>
              <w:jc w:val="center"/>
              <w:rPr>
                <w:szCs w:val="24"/>
              </w:rPr>
            </w:pPr>
            <w:r w:rsidRPr="007A3223">
              <w:rPr>
                <w:szCs w:val="24"/>
              </w:rPr>
              <w:t>A fixed dose of 1500mg every 4 weeks</w:t>
            </w:r>
          </w:p>
        </w:tc>
        <w:tc>
          <w:tcPr>
            <w:tcW w:w="2788" w:type="dxa"/>
            <w:tcBorders>
              <w:top w:val="single" w:sz="4" w:space="0" w:color="auto"/>
              <w:left w:val="single" w:sz="8" w:space="0" w:color="000000"/>
              <w:bottom w:val="single" w:sz="7" w:space="0" w:color="000000"/>
              <w:right w:val="double" w:sz="4" w:space="0" w:color="000000"/>
            </w:tcBorders>
          </w:tcPr>
          <w:p w14:paraId="5F50C1BB" w14:textId="77777777" w:rsidR="00647945" w:rsidRPr="007A3223" w:rsidRDefault="004B4D7B" w:rsidP="003C358D">
            <w:pPr>
              <w:jc w:val="center"/>
              <w:rPr>
                <w:szCs w:val="24"/>
              </w:rPr>
            </w:pPr>
            <w:r w:rsidRPr="007A3223">
              <w:rPr>
                <w:szCs w:val="24"/>
              </w:rPr>
              <w:t>300 mg</w:t>
            </w:r>
          </w:p>
        </w:tc>
      </w:tr>
    </w:tbl>
    <w:p w14:paraId="0293F4F8" w14:textId="77777777" w:rsidR="00DD3F6C" w:rsidRPr="007A3223" w:rsidRDefault="00DD3F6C" w:rsidP="005551CC"/>
    <w:p w14:paraId="01298BD7" w14:textId="37AA015F" w:rsidR="003C358D" w:rsidRPr="007A3223" w:rsidRDefault="00DE5ED7" w:rsidP="005551CC">
      <w:r>
        <w:t>Durvalumab</w:t>
      </w:r>
      <w:r w:rsidR="008B458E" w:rsidRPr="007A3223">
        <w:t>+</w:t>
      </w:r>
      <w:r w:rsidR="003C358D" w:rsidRPr="007A3223">
        <w:t xml:space="preserve">C </w:t>
      </w:r>
      <w:r w:rsidR="002C2231" w:rsidRPr="007A3223">
        <w:t xml:space="preserve">Daily Schedule </w:t>
      </w:r>
      <w:r w:rsidR="003C358D" w:rsidRPr="007A3223">
        <w:t xml:space="preserve">Dose Escalation </w:t>
      </w:r>
      <w:r w:rsidR="002C2231" w:rsidRPr="007A3223">
        <w:t>Table</w:t>
      </w:r>
    </w:p>
    <w:tbl>
      <w:tblPr>
        <w:tblW w:w="0" w:type="auto"/>
        <w:tblLayout w:type="fixed"/>
        <w:tblCellMar>
          <w:left w:w="88" w:type="dxa"/>
          <w:right w:w="88" w:type="dxa"/>
        </w:tblCellMar>
        <w:tblLook w:val="0000" w:firstRow="0" w:lastRow="0" w:firstColumn="0" w:lastColumn="0" w:noHBand="0" w:noVBand="0"/>
      </w:tblPr>
      <w:tblGrid>
        <w:gridCol w:w="2428"/>
        <w:gridCol w:w="2880"/>
        <w:gridCol w:w="2788"/>
      </w:tblGrid>
      <w:tr w:rsidR="003C358D" w:rsidRPr="007A3223" w14:paraId="50166BB9" w14:textId="77777777" w:rsidTr="003C358D">
        <w:tc>
          <w:tcPr>
            <w:tcW w:w="2428" w:type="dxa"/>
            <w:tcBorders>
              <w:top w:val="double" w:sz="4" w:space="0" w:color="000000"/>
              <w:left w:val="double" w:sz="4" w:space="0" w:color="000000"/>
              <w:bottom w:val="double" w:sz="4" w:space="0" w:color="000000"/>
              <w:right w:val="single" w:sz="8" w:space="0" w:color="000000"/>
            </w:tcBorders>
          </w:tcPr>
          <w:p w14:paraId="31E65DFF" w14:textId="77777777" w:rsidR="003C358D" w:rsidRPr="007A3223" w:rsidRDefault="003C358D" w:rsidP="003C358D">
            <w:pPr>
              <w:keepNext/>
              <w:jc w:val="center"/>
              <w:rPr>
                <w:b/>
                <w:szCs w:val="24"/>
              </w:rPr>
            </w:pPr>
            <w:r w:rsidRPr="007A3223">
              <w:rPr>
                <w:b/>
                <w:szCs w:val="24"/>
              </w:rPr>
              <w:t>Dose Level</w:t>
            </w:r>
          </w:p>
          <w:p w14:paraId="6DB0D486" w14:textId="77777777" w:rsidR="003C358D" w:rsidRPr="007A3223" w:rsidRDefault="003C358D" w:rsidP="003C358D">
            <w:pPr>
              <w:keepNext/>
              <w:jc w:val="center"/>
              <w:rPr>
                <w:b/>
                <w:szCs w:val="24"/>
              </w:rPr>
            </w:pPr>
            <w:r w:rsidRPr="007A3223">
              <w:rPr>
                <w:b/>
                <w:szCs w:val="24"/>
              </w:rPr>
              <w:t>(DL)</w:t>
            </w:r>
          </w:p>
        </w:tc>
        <w:tc>
          <w:tcPr>
            <w:tcW w:w="2880" w:type="dxa"/>
            <w:tcBorders>
              <w:top w:val="double" w:sz="4" w:space="0" w:color="000000"/>
              <w:left w:val="single" w:sz="8" w:space="0" w:color="000000"/>
              <w:bottom w:val="double" w:sz="4" w:space="0" w:color="000000"/>
              <w:right w:val="single" w:sz="8" w:space="0" w:color="000000"/>
            </w:tcBorders>
          </w:tcPr>
          <w:p w14:paraId="33D5FE05" w14:textId="10036C29" w:rsidR="003C358D" w:rsidRPr="007A3223" w:rsidRDefault="00DE5ED7" w:rsidP="003C358D">
            <w:pPr>
              <w:keepNext/>
              <w:spacing w:after="0" w:line="22" w:lineRule="atLeast"/>
              <w:jc w:val="center"/>
              <w:rPr>
                <w:b/>
                <w:bCs/>
                <w:szCs w:val="24"/>
              </w:rPr>
            </w:pPr>
            <w:r>
              <w:rPr>
                <w:b/>
                <w:bCs/>
                <w:szCs w:val="24"/>
              </w:rPr>
              <w:t>Durvalumab</w:t>
            </w:r>
          </w:p>
          <w:p w14:paraId="337EE640" w14:textId="77777777" w:rsidR="003C358D" w:rsidRPr="007A3223" w:rsidRDefault="003C358D" w:rsidP="00727C83">
            <w:pPr>
              <w:keepNext/>
              <w:jc w:val="center"/>
              <w:rPr>
                <w:b/>
                <w:szCs w:val="24"/>
              </w:rPr>
            </w:pPr>
            <w:r w:rsidRPr="007A3223">
              <w:rPr>
                <w:b/>
                <w:bCs/>
                <w:szCs w:val="24"/>
              </w:rPr>
              <w:t>(intravenously)</w:t>
            </w:r>
          </w:p>
        </w:tc>
        <w:tc>
          <w:tcPr>
            <w:tcW w:w="2788" w:type="dxa"/>
            <w:tcBorders>
              <w:top w:val="double" w:sz="4" w:space="0" w:color="000000"/>
              <w:left w:val="single" w:sz="8" w:space="0" w:color="000000"/>
              <w:bottom w:val="double" w:sz="4" w:space="0" w:color="000000"/>
              <w:right w:val="double" w:sz="4" w:space="0" w:color="000000"/>
            </w:tcBorders>
          </w:tcPr>
          <w:p w14:paraId="2653F653" w14:textId="77777777" w:rsidR="003C358D" w:rsidRPr="007A3223" w:rsidRDefault="003C358D" w:rsidP="003C358D">
            <w:pPr>
              <w:keepNext/>
              <w:spacing w:after="0" w:line="22" w:lineRule="atLeast"/>
              <w:jc w:val="center"/>
              <w:rPr>
                <w:b/>
                <w:bCs/>
                <w:szCs w:val="24"/>
              </w:rPr>
            </w:pPr>
            <w:r w:rsidRPr="007A3223">
              <w:rPr>
                <w:b/>
                <w:bCs/>
                <w:szCs w:val="24"/>
              </w:rPr>
              <w:t>Cediranib</w:t>
            </w:r>
          </w:p>
          <w:p w14:paraId="7E1D9628" w14:textId="77777777" w:rsidR="003C358D" w:rsidRPr="007A3223" w:rsidRDefault="003C358D" w:rsidP="003C358D">
            <w:pPr>
              <w:keepNext/>
              <w:jc w:val="center"/>
              <w:rPr>
                <w:b/>
                <w:szCs w:val="24"/>
              </w:rPr>
            </w:pPr>
            <w:r w:rsidRPr="007A3223">
              <w:rPr>
                <w:b/>
                <w:bCs/>
                <w:szCs w:val="24"/>
              </w:rPr>
              <w:t>(oral, once daily)</w:t>
            </w:r>
          </w:p>
        </w:tc>
      </w:tr>
      <w:tr w:rsidR="003C358D" w:rsidRPr="007A3223" w14:paraId="43C0CF6C" w14:textId="77777777" w:rsidTr="00765CB3">
        <w:trPr>
          <w:trHeight w:val="480"/>
        </w:trPr>
        <w:tc>
          <w:tcPr>
            <w:tcW w:w="2428" w:type="dxa"/>
            <w:tcBorders>
              <w:top w:val="double" w:sz="4" w:space="0" w:color="000000"/>
              <w:left w:val="double" w:sz="4" w:space="0" w:color="000000"/>
              <w:bottom w:val="single" w:sz="4" w:space="0" w:color="auto"/>
              <w:right w:val="single" w:sz="8" w:space="0" w:color="000000"/>
            </w:tcBorders>
          </w:tcPr>
          <w:p w14:paraId="072F8754" w14:textId="77777777" w:rsidR="003C358D" w:rsidRPr="007A3223" w:rsidRDefault="00345FB5" w:rsidP="003C358D">
            <w:pPr>
              <w:jc w:val="center"/>
              <w:rPr>
                <w:szCs w:val="24"/>
              </w:rPr>
            </w:pPr>
            <w:r w:rsidRPr="007A3223">
              <w:rPr>
                <w:szCs w:val="24"/>
              </w:rPr>
              <w:t>DL -2</w:t>
            </w:r>
          </w:p>
        </w:tc>
        <w:tc>
          <w:tcPr>
            <w:tcW w:w="2880" w:type="dxa"/>
            <w:tcBorders>
              <w:top w:val="double" w:sz="4" w:space="0" w:color="000000"/>
              <w:left w:val="single" w:sz="8" w:space="0" w:color="000000"/>
              <w:bottom w:val="single" w:sz="4" w:space="0" w:color="auto"/>
              <w:right w:val="single" w:sz="8" w:space="0" w:color="000000"/>
            </w:tcBorders>
          </w:tcPr>
          <w:p w14:paraId="4567634D" w14:textId="77777777" w:rsidR="003C358D" w:rsidRPr="007A3223" w:rsidRDefault="00345FB5" w:rsidP="003C358D">
            <w:pPr>
              <w:jc w:val="center"/>
              <w:rPr>
                <w:szCs w:val="24"/>
              </w:rPr>
            </w:pPr>
            <w:r w:rsidRPr="007A3223">
              <w:rPr>
                <w:szCs w:val="24"/>
              </w:rPr>
              <w:t>3</w:t>
            </w:r>
            <w:r w:rsidR="003C358D" w:rsidRPr="007A3223">
              <w:rPr>
                <w:szCs w:val="24"/>
              </w:rPr>
              <w:t xml:space="preserve"> mg/kg</w:t>
            </w:r>
            <w:r w:rsidR="00727C83" w:rsidRPr="007A3223">
              <w:rPr>
                <w:szCs w:val="24"/>
              </w:rPr>
              <w:t xml:space="preserve"> every 2 weeks</w:t>
            </w:r>
          </w:p>
        </w:tc>
        <w:tc>
          <w:tcPr>
            <w:tcW w:w="2788" w:type="dxa"/>
            <w:tcBorders>
              <w:top w:val="double" w:sz="4" w:space="0" w:color="000000"/>
              <w:left w:val="single" w:sz="8" w:space="0" w:color="000000"/>
              <w:bottom w:val="single" w:sz="4" w:space="0" w:color="auto"/>
              <w:right w:val="double" w:sz="4" w:space="0" w:color="000000"/>
            </w:tcBorders>
          </w:tcPr>
          <w:p w14:paraId="2A596D3F" w14:textId="77777777" w:rsidR="003C358D" w:rsidRPr="007A3223" w:rsidRDefault="00933D97" w:rsidP="003C358D">
            <w:pPr>
              <w:jc w:val="center"/>
              <w:rPr>
                <w:szCs w:val="24"/>
              </w:rPr>
            </w:pPr>
            <w:r w:rsidRPr="007A3223">
              <w:rPr>
                <w:szCs w:val="24"/>
              </w:rPr>
              <w:t>15</w:t>
            </w:r>
            <w:r w:rsidR="003C358D" w:rsidRPr="007A3223">
              <w:rPr>
                <w:szCs w:val="24"/>
              </w:rPr>
              <w:t xml:space="preserve"> mg</w:t>
            </w:r>
          </w:p>
        </w:tc>
      </w:tr>
      <w:tr w:rsidR="00765CB3" w:rsidRPr="007A3223" w14:paraId="4C6A128D" w14:textId="77777777" w:rsidTr="00765CB3">
        <w:trPr>
          <w:trHeight w:val="304"/>
        </w:trPr>
        <w:tc>
          <w:tcPr>
            <w:tcW w:w="2428" w:type="dxa"/>
            <w:tcBorders>
              <w:top w:val="single" w:sz="4" w:space="0" w:color="auto"/>
              <w:left w:val="double" w:sz="4" w:space="0" w:color="000000"/>
              <w:bottom w:val="single" w:sz="7" w:space="0" w:color="000000"/>
              <w:right w:val="single" w:sz="8" w:space="0" w:color="000000"/>
            </w:tcBorders>
          </w:tcPr>
          <w:p w14:paraId="56E22B4A" w14:textId="77777777" w:rsidR="00765CB3" w:rsidRPr="007A3223" w:rsidRDefault="00765CB3" w:rsidP="003C358D">
            <w:pPr>
              <w:jc w:val="center"/>
              <w:rPr>
                <w:szCs w:val="24"/>
              </w:rPr>
            </w:pPr>
            <w:r w:rsidRPr="007A3223">
              <w:rPr>
                <w:szCs w:val="24"/>
              </w:rPr>
              <w:t>DL -1</w:t>
            </w:r>
          </w:p>
        </w:tc>
        <w:tc>
          <w:tcPr>
            <w:tcW w:w="2880" w:type="dxa"/>
            <w:tcBorders>
              <w:top w:val="single" w:sz="4" w:space="0" w:color="auto"/>
              <w:left w:val="single" w:sz="8" w:space="0" w:color="000000"/>
              <w:bottom w:val="single" w:sz="8" w:space="0" w:color="000000"/>
              <w:right w:val="single" w:sz="8" w:space="0" w:color="000000"/>
            </w:tcBorders>
          </w:tcPr>
          <w:p w14:paraId="3DA3938B" w14:textId="77777777" w:rsidR="00765CB3" w:rsidRPr="007A3223" w:rsidRDefault="00345FB5" w:rsidP="003C358D">
            <w:pPr>
              <w:jc w:val="center"/>
              <w:rPr>
                <w:szCs w:val="24"/>
              </w:rPr>
            </w:pPr>
            <w:r w:rsidRPr="007A3223">
              <w:rPr>
                <w:szCs w:val="24"/>
              </w:rPr>
              <w:t>3 mg/kg</w:t>
            </w:r>
            <w:r w:rsidR="00727C83" w:rsidRPr="007A3223">
              <w:rPr>
                <w:szCs w:val="24"/>
              </w:rPr>
              <w:t xml:space="preserve"> every 2 weeks</w:t>
            </w:r>
          </w:p>
        </w:tc>
        <w:tc>
          <w:tcPr>
            <w:tcW w:w="2788" w:type="dxa"/>
            <w:tcBorders>
              <w:top w:val="single" w:sz="4" w:space="0" w:color="auto"/>
              <w:left w:val="single" w:sz="8" w:space="0" w:color="000000"/>
              <w:bottom w:val="single" w:sz="7" w:space="0" w:color="000000"/>
              <w:right w:val="double" w:sz="4" w:space="0" w:color="000000"/>
            </w:tcBorders>
          </w:tcPr>
          <w:p w14:paraId="47601748" w14:textId="77777777" w:rsidR="00765CB3" w:rsidRPr="007A3223" w:rsidRDefault="00345FB5" w:rsidP="003C358D">
            <w:pPr>
              <w:jc w:val="center"/>
              <w:rPr>
                <w:szCs w:val="24"/>
              </w:rPr>
            </w:pPr>
            <w:r w:rsidRPr="007A3223">
              <w:rPr>
                <w:szCs w:val="24"/>
              </w:rPr>
              <w:t>20 mg</w:t>
            </w:r>
          </w:p>
        </w:tc>
      </w:tr>
      <w:tr w:rsidR="003C358D" w:rsidRPr="007A3223" w14:paraId="31D1A931" w14:textId="77777777" w:rsidTr="003C358D">
        <w:tc>
          <w:tcPr>
            <w:tcW w:w="2428" w:type="dxa"/>
            <w:tcBorders>
              <w:top w:val="single" w:sz="7" w:space="0" w:color="000000"/>
              <w:left w:val="double" w:sz="4" w:space="0" w:color="000000"/>
              <w:bottom w:val="single" w:sz="7" w:space="0" w:color="000000"/>
              <w:right w:val="single" w:sz="8" w:space="0" w:color="000000"/>
            </w:tcBorders>
          </w:tcPr>
          <w:p w14:paraId="1C568C8F" w14:textId="77777777" w:rsidR="003C358D" w:rsidRPr="007A3223" w:rsidRDefault="003C358D" w:rsidP="003C358D">
            <w:pPr>
              <w:jc w:val="center"/>
              <w:rPr>
                <w:b/>
                <w:szCs w:val="24"/>
              </w:rPr>
            </w:pPr>
            <w:r w:rsidRPr="007A3223">
              <w:rPr>
                <w:b/>
                <w:szCs w:val="24"/>
              </w:rPr>
              <w:t>DL 1 (starting dose)</w:t>
            </w:r>
          </w:p>
        </w:tc>
        <w:tc>
          <w:tcPr>
            <w:tcW w:w="2880" w:type="dxa"/>
            <w:tcBorders>
              <w:top w:val="single" w:sz="8" w:space="0" w:color="000000"/>
              <w:left w:val="single" w:sz="8" w:space="0" w:color="000000"/>
              <w:bottom w:val="single" w:sz="8" w:space="0" w:color="000000"/>
              <w:right w:val="single" w:sz="8" w:space="0" w:color="000000"/>
            </w:tcBorders>
          </w:tcPr>
          <w:p w14:paraId="3F5AFB8D" w14:textId="77777777" w:rsidR="003C358D" w:rsidRPr="007A3223" w:rsidRDefault="003C358D" w:rsidP="003C358D">
            <w:pPr>
              <w:jc w:val="center"/>
              <w:rPr>
                <w:b/>
                <w:szCs w:val="24"/>
              </w:rPr>
            </w:pPr>
            <w:r w:rsidRPr="007A3223">
              <w:rPr>
                <w:b/>
                <w:szCs w:val="24"/>
              </w:rPr>
              <w:t>10 mg/kg</w:t>
            </w:r>
            <w:r w:rsidR="00727C83" w:rsidRPr="007A3223">
              <w:rPr>
                <w:b/>
                <w:szCs w:val="24"/>
              </w:rPr>
              <w:t xml:space="preserve"> every 2 weeks</w:t>
            </w:r>
          </w:p>
        </w:tc>
        <w:tc>
          <w:tcPr>
            <w:tcW w:w="2788" w:type="dxa"/>
            <w:tcBorders>
              <w:top w:val="single" w:sz="7" w:space="0" w:color="000000"/>
              <w:left w:val="single" w:sz="8" w:space="0" w:color="000000"/>
              <w:bottom w:val="single" w:sz="7" w:space="0" w:color="000000"/>
              <w:right w:val="double" w:sz="4" w:space="0" w:color="000000"/>
            </w:tcBorders>
          </w:tcPr>
          <w:p w14:paraId="20713381" w14:textId="77777777" w:rsidR="003C358D" w:rsidRPr="007A3223" w:rsidRDefault="003C358D" w:rsidP="003C358D">
            <w:pPr>
              <w:jc w:val="center"/>
              <w:rPr>
                <w:b/>
                <w:szCs w:val="24"/>
              </w:rPr>
            </w:pPr>
            <w:r w:rsidRPr="007A3223">
              <w:rPr>
                <w:b/>
                <w:szCs w:val="24"/>
              </w:rPr>
              <w:t>20 mg</w:t>
            </w:r>
          </w:p>
        </w:tc>
      </w:tr>
      <w:tr w:rsidR="003C358D" w:rsidRPr="007A3223" w14:paraId="4A38941A" w14:textId="77777777" w:rsidTr="004B4D7B">
        <w:trPr>
          <w:trHeight w:val="336"/>
        </w:trPr>
        <w:tc>
          <w:tcPr>
            <w:tcW w:w="2428" w:type="dxa"/>
            <w:tcBorders>
              <w:top w:val="single" w:sz="7" w:space="0" w:color="000000"/>
              <w:left w:val="double" w:sz="4" w:space="0" w:color="000000"/>
              <w:bottom w:val="single" w:sz="4" w:space="0" w:color="auto"/>
              <w:right w:val="single" w:sz="8" w:space="0" w:color="000000"/>
            </w:tcBorders>
          </w:tcPr>
          <w:p w14:paraId="535481A9" w14:textId="77777777" w:rsidR="003C358D" w:rsidRPr="007A3223" w:rsidRDefault="003C358D" w:rsidP="003C358D">
            <w:pPr>
              <w:jc w:val="center"/>
              <w:rPr>
                <w:szCs w:val="24"/>
              </w:rPr>
            </w:pPr>
            <w:r w:rsidRPr="007A3223">
              <w:rPr>
                <w:szCs w:val="24"/>
              </w:rPr>
              <w:t>DL 2</w:t>
            </w:r>
          </w:p>
        </w:tc>
        <w:tc>
          <w:tcPr>
            <w:tcW w:w="2880" w:type="dxa"/>
            <w:tcBorders>
              <w:top w:val="single" w:sz="8" w:space="0" w:color="000000"/>
              <w:left w:val="single" w:sz="8" w:space="0" w:color="000000"/>
              <w:bottom w:val="single" w:sz="4" w:space="0" w:color="auto"/>
              <w:right w:val="single" w:sz="8" w:space="0" w:color="000000"/>
            </w:tcBorders>
          </w:tcPr>
          <w:p w14:paraId="6BFF0775" w14:textId="77777777" w:rsidR="003C358D" w:rsidRPr="007A3223" w:rsidRDefault="003C358D" w:rsidP="003C358D">
            <w:pPr>
              <w:jc w:val="center"/>
              <w:rPr>
                <w:szCs w:val="24"/>
              </w:rPr>
            </w:pPr>
            <w:r w:rsidRPr="007A3223">
              <w:rPr>
                <w:szCs w:val="24"/>
              </w:rPr>
              <w:t>10 mg/kg</w:t>
            </w:r>
            <w:r w:rsidR="00727C83" w:rsidRPr="007A3223">
              <w:rPr>
                <w:szCs w:val="24"/>
              </w:rPr>
              <w:t xml:space="preserve"> every 2 weeks</w:t>
            </w:r>
          </w:p>
        </w:tc>
        <w:tc>
          <w:tcPr>
            <w:tcW w:w="2788" w:type="dxa"/>
            <w:tcBorders>
              <w:top w:val="single" w:sz="7" w:space="0" w:color="000000"/>
              <w:left w:val="single" w:sz="8" w:space="0" w:color="000000"/>
              <w:bottom w:val="single" w:sz="4" w:space="0" w:color="auto"/>
              <w:right w:val="double" w:sz="4" w:space="0" w:color="000000"/>
            </w:tcBorders>
          </w:tcPr>
          <w:p w14:paraId="31CE1641" w14:textId="77777777" w:rsidR="004B4D7B" w:rsidRPr="007A3223" w:rsidRDefault="003C358D" w:rsidP="003C358D">
            <w:pPr>
              <w:jc w:val="center"/>
              <w:rPr>
                <w:szCs w:val="24"/>
              </w:rPr>
            </w:pPr>
            <w:r w:rsidRPr="007A3223">
              <w:rPr>
                <w:szCs w:val="24"/>
              </w:rPr>
              <w:t>30 mg</w:t>
            </w:r>
          </w:p>
        </w:tc>
      </w:tr>
    </w:tbl>
    <w:p w14:paraId="77969723" w14:textId="77777777" w:rsidR="00A55919" w:rsidRPr="007A3223" w:rsidRDefault="00A55919" w:rsidP="009C4DA9"/>
    <w:p w14:paraId="673116EB" w14:textId="6E5921C8" w:rsidR="001C2836" w:rsidRPr="007A3223" w:rsidRDefault="00815D6B" w:rsidP="005551CC">
      <w:r>
        <w:t>Durvalumab</w:t>
      </w:r>
      <w:r w:rsidR="008B458E" w:rsidRPr="007A3223">
        <w:t>+</w:t>
      </w:r>
      <w:r w:rsidR="001C2836" w:rsidRPr="007A3223">
        <w:t>C</w:t>
      </w:r>
      <w:r w:rsidR="002C2231" w:rsidRPr="007A3223">
        <w:t xml:space="preserve"> Intermittent S</w:t>
      </w:r>
      <w:r w:rsidR="001C2836" w:rsidRPr="007A3223">
        <w:t xml:space="preserve">chedule Dose Escalation </w:t>
      </w:r>
      <w:r w:rsidR="002C2231" w:rsidRPr="007A3223">
        <w:t>Table</w:t>
      </w:r>
    </w:p>
    <w:tbl>
      <w:tblPr>
        <w:tblW w:w="0" w:type="auto"/>
        <w:tblLayout w:type="fixed"/>
        <w:tblCellMar>
          <w:left w:w="88" w:type="dxa"/>
          <w:right w:w="88" w:type="dxa"/>
        </w:tblCellMar>
        <w:tblLook w:val="0000" w:firstRow="0" w:lastRow="0" w:firstColumn="0" w:lastColumn="0" w:noHBand="0" w:noVBand="0"/>
      </w:tblPr>
      <w:tblGrid>
        <w:gridCol w:w="2428"/>
        <w:gridCol w:w="2880"/>
        <w:gridCol w:w="3060"/>
      </w:tblGrid>
      <w:tr w:rsidR="001C2836" w:rsidRPr="007A3223" w14:paraId="52D05A33" w14:textId="77777777" w:rsidTr="00861A7D">
        <w:tc>
          <w:tcPr>
            <w:tcW w:w="2428" w:type="dxa"/>
            <w:tcBorders>
              <w:top w:val="double" w:sz="4" w:space="0" w:color="000000"/>
              <w:left w:val="double" w:sz="4" w:space="0" w:color="000000"/>
              <w:bottom w:val="double" w:sz="4" w:space="0" w:color="000000"/>
              <w:right w:val="single" w:sz="8" w:space="0" w:color="000000"/>
            </w:tcBorders>
          </w:tcPr>
          <w:p w14:paraId="6149234A" w14:textId="77777777" w:rsidR="001C2836" w:rsidRPr="007A3223" w:rsidRDefault="001C2836" w:rsidP="00B760BE">
            <w:pPr>
              <w:keepNext/>
              <w:jc w:val="center"/>
              <w:rPr>
                <w:b/>
                <w:szCs w:val="24"/>
              </w:rPr>
            </w:pPr>
            <w:r w:rsidRPr="007A3223">
              <w:rPr>
                <w:b/>
                <w:szCs w:val="24"/>
              </w:rPr>
              <w:t>Dose Level</w:t>
            </w:r>
          </w:p>
          <w:p w14:paraId="4DDBB9A1" w14:textId="77777777" w:rsidR="001C2836" w:rsidRPr="007A3223" w:rsidRDefault="001C2836" w:rsidP="00B760BE">
            <w:pPr>
              <w:keepNext/>
              <w:jc w:val="center"/>
              <w:rPr>
                <w:b/>
                <w:szCs w:val="24"/>
              </w:rPr>
            </w:pPr>
            <w:r w:rsidRPr="007A3223">
              <w:rPr>
                <w:b/>
                <w:szCs w:val="24"/>
              </w:rPr>
              <w:t>(DL)</w:t>
            </w:r>
          </w:p>
        </w:tc>
        <w:tc>
          <w:tcPr>
            <w:tcW w:w="2880" w:type="dxa"/>
            <w:tcBorders>
              <w:top w:val="double" w:sz="4" w:space="0" w:color="000000"/>
              <w:left w:val="single" w:sz="8" w:space="0" w:color="000000"/>
              <w:bottom w:val="double" w:sz="4" w:space="0" w:color="000000"/>
              <w:right w:val="single" w:sz="8" w:space="0" w:color="000000"/>
            </w:tcBorders>
          </w:tcPr>
          <w:p w14:paraId="016D36F9" w14:textId="796F174C" w:rsidR="001C2836" w:rsidRPr="007A3223" w:rsidRDefault="00815D6B" w:rsidP="00B760BE">
            <w:pPr>
              <w:keepNext/>
              <w:spacing w:after="0" w:line="22" w:lineRule="atLeast"/>
              <w:jc w:val="center"/>
              <w:rPr>
                <w:b/>
                <w:bCs/>
                <w:szCs w:val="24"/>
              </w:rPr>
            </w:pPr>
            <w:bookmarkStart w:id="11" w:name="_Hlk82181417"/>
            <w:r>
              <w:rPr>
                <w:b/>
                <w:bCs/>
                <w:szCs w:val="24"/>
              </w:rPr>
              <w:t>Durvalumab</w:t>
            </w:r>
            <w:bookmarkEnd w:id="11"/>
          </w:p>
          <w:p w14:paraId="55E2ADFF" w14:textId="77777777" w:rsidR="001C2836" w:rsidRPr="007A3223" w:rsidRDefault="001C2836" w:rsidP="00B760BE">
            <w:pPr>
              <w:keepNext/>
              <w:jc w:val="center"/>
              <w:rPr>
                <w:b/>
                <w:szCs w:val="24"/>
              </w:rPr>
            </w:pPr>
            <w:r w:rsidRPr="007A3223">
              <w:rPr>
                <w:b/>
                <w:bCs/>
                <w:szCs w:val="24"/>
              </w:rPr>
              <w:t>(intravenously)</w:t>
            </w:r>
          </w:p>
        </w:tc>
        <w:tc>
          <w:tcPr>
            <w:tcW w:w="3060" w:type="dxa"/>
            <w:tcBorders>
              <w:top w:val="double" w:sz="4" w:space="0" w:color="000000"/>
              <w:left w:val="single" w:sz="8" w:space="0" w:color="000000"/>
              <w:bottom w:val="double" w:sz="4" w:space="0" w:color="000000"/>
              <w:right w:val="double" w:sz="4" w:space="0" w:color="000000"/>
            </w:tcBorders>
          </w:tcPr>
          <w:p w14:paraId="7439EAAC" w14:textId="77777777" w:rsidR="001C2836" w:rsidRPr="007A3223" w:rsidRDefault="001C2836" w:rsidP="00B760BE">
            <w:pPr>
              <w:keepNext/>
              <w:spacing w:after="0" w:line="22" w:lineRule="atLeast"/>
              <w:jc w:val="center"/>
              <w:rPr>
                <w:b/>
                <w:bCs/>
                <w:szCs w:val="24"/>
              </w:rPr>
            </w:pPr>
            <w:r w:rsidRPr="007A3223">
              <w:rPr>
                <w:b/>
                <w:bCs/>
                <w:szCs w:val="24"/>
              </w:rPr>
              <w:t>Cediranib</w:t>
            </w:r>
          </w:p>
          <w:p w14:paraId="6CECC862" w14:textId="77777777" w:rsidR="001C2836" w:rsidRPr="007A3223" w:rsidRDefault="001C2836" w:rsidP="001C2836">
            <w:pPr>
              <w:keepNext/>
              <w:jc w:val="center"/>
              <w:rPr>
                <w:b/>
                <w:szCs w:val="24"/>
              </w:rPr>
            </w:pPr>
            <w:r w:rsidRPr="007A3223">
              <w:rPr>
                <w:b/>
                <w:bCs/>
                <w:szCs w:val="24"/>
              </w:rPr>
              <w:t>(oral, 5 days on/2 days off)</w:t>
            </w:r>
          </w:p>
        </w:tc>
      </w:tr>
      <w:tr w:rsidR="001C2836" w:rsidRPr="007A3223" w14:paraId="17E71BF7" w14:textId="77777777" w:rsidTr="00861A7D">
        <w:trPr>
          <w:trHeight w:val="480"/>
        </w:trPr>
        <w:tc>
          <w:tcPr>
            <w:tcW w:w="2428" w:type="dxa"/>
            <w:tcBorders>
              <w:top w:val="double" w:sz="4" w:space="0" w:color="000000"/>
              <w:left w:val="double" w:sz="4" w:space="0" w:color="000000"/>
              <w:bottom w:val="single" w:sz="4" w:space="0" w:color="auto"/>
              <w:right w:val="single" w:sz="8" w:space="0" w:color="000000"/>
            </w:tcBorders>
          </w:tcPr>
          <w:p w14:paraId="1E214772" w14:textId="77777777" w:rsidR="001C2836" w:rsidRPr="007A3223" w:rsidRDefault="001C2836" w:rsidP="00B760BE">
            <w:pPr>
              <w:jc w:val="center"/>
              <w:rPr>
                <w:szCs w:val="24"/>
              </w:rPr>
            </w:pPr>
            <w:r w:rsidRPr="007A3223">
              <w:rPr>
                <w:szCs w:val="24"/>
              </w:rPr>
              <w:t>DL -2</w:t>
            </w:r>
          </w:p>
        </w:tc>
        <w:tc>
          <w:tcPr>
            <w:tcW w:w="2880" w:type="dxa"/>
            <w:tcBorders>
              <w:top w:val="double" w:sz="4" w:space="0" w:color="000000"/>
              <w:left w:val="single" w:sz="8" w:space="0" w:color="000000"/>
              <w:bottom w:val="single" w:sz="4" w:space="0" w:color="auto"/>
              <w:right w:val="single" w:sz="8" w:space="0" w:color="000000"/>
            </w:tcBorders>
          </w:tcPr>
          <w:p w14:paraId="7DBEAFFC" w14:textId="77777777" w:rsidR="001C2836" w:rsidRPr="007A3223" w:rsidRDefault="001C2836" w:rsidP="00B760BE">
            <w:pPr>
              <w:jc w:val="center"/>
              <w:rPr>
                <w:szCs w:val="24"/>
              </w:rPr>
            </w:pPr>
            <w:r w:rsidRPr="007A3223">
              <w:rPr>
                <w:szCs w:val="24"/>
              </w:rPr>
              <w:t>A fixed dose of 500mg every 4 weeks</w:t>
            </w:r>
          </w:p>
        </w:tc>
        <w:tc>
          <w:tcPr>
            <w:tcW w:w="3060" w:type="dxa"/>
            <w:tcBorders>
              <w:top w:val="double" w:sz="4" w:space="0" w:color="000000"/>
              <w:left w:val="single" w:sz="8" w:space="0" w:color="000000"/>
              <w:bottom w:val="single" w:sz="4" w:space="0" w:color="auto"/>
              <w:right w:val="double" w:sz="4" w:space="0" w:color="000000"/>
            </w:tcBorders>
          </w:tcPr>
          <w:p w14:paraId="17725301" w14:textId="77777777" w:rsidR="001C2836" w:rsidRPr="007A3223" w:rsidRDefault="001C2836" w:rsidP="00B760BE">
            <w:pPr>
              <w:jc w:val="center"/>
              <w:rPr>
                <w:szCs w:val="24"/>
              </w:rPr>
            </w:pPr>
            <w:r w:rsidRPr="007A3223">
              <w:rPr>
                <w:szCs w:val="24"/>
              </w:rPr>
              <w:t>15 mg</w:t>
            </w:r>
          </w:p>
        </w:tc>
      </w:tr>
      <w:tr w:rsidR="001C2836" w:rsidRPr="007A3223" w14:paraId="23130ACE" w14:textId="77777777" w:rsidTr="00861A7D">
        <w:trPr>
          <w:trHeight w:val="304"/>
        </w:trPr>
        <w:tc>
          <w:tcPr>
            <w:tcW w:w="2428" w:type="dxa"/>
            <w:tcBorders>
              <w:top w:val="single" w:sz="4" w:space="0" w:color="auto"/>
              <w:left w:val="double" w:sz="4" w:space="0" w:color="000000"/>
              <w:bottom w:val="single" w:sz="7" w:space="0" w:color="000000"/>
              <w:right w:val="single" w:sz="8" w:space="0" w:color="000000"/>
            </w:tcBorders>
          </w:tcPr>
          <w:p w14:paraId="18289AF7" w14:textId="77777777" w:rsidR="001C2836" w:rsidRPr="007A3223" w:rsidRDefault="001C2836" w:rsidP="00B760BE">
            <w:pPr>
              <w:jc w:val="center"/>
              <w:rPr>
                <w:szCs w:val="24"/>
              </w:rPr>
            </w:pPr>
            <w:r w:rsidRPr="007A3223">
              <w:rPr>
                <w:szCs w:val="24"/>
              </w:rPr>
              <w:t>DL -1</w:t>
            </w:r>
          </w:p>
        </w:tc>
        <w:tc>
          <w:tcPr>
            <w:tcW w:w="2880" w:type="dxa"/>
            <w:tcBorders>
              <w:top w:val="single" w:sz="4" w:space="0" w:color="auto"/>
              <w:left w:val="single" w:sz="8" w:space="0" w:color="000000"/>
              <w:bottom w:val="single" w:sz="8" w:space="0" w:color="000000"/>
              <w:right w:val="single" w:sz="8" w:space="0" w:color="000000"/>
            </w:tcBorders>
          </w:tcPr>
          <w:p w14:paraId="68CDAD1A" w14:textId="77777777" w:rsidR="001C2836" w:rsidRPr="007A3223" w:rsidRDefault="001C2836" w:rsidP="00B760BE">
            <w:pPr>
              <w:jc w:val="center"/>
              <w:rPr>
                <w:szCs w:val="24"/>
              </w:rPr>
            </w:pPr>
            <w:r w:rsidRPr="007A3223">
              <w:rPr>
                <w:szCs w:val="24"/>
              </w:rPr>
              <w:t>A fixed dose of 1500mg every 4 weeks</w:t>
            </w:r>
          </w:p>
        </w:tc>
        <w:tc>
          <w:tcPr>
            <w:tcW w:w="3060" w:type="dxa"/>
            <w:tcBorders>
              <w:top w:val="single" w:sz="4" w:space="0" w:color="auto"/>
              <w:left w:val="single" w:sz="8" w:space="0" w:color="000000"/>
              <w:bottom w:val="single" w:sz="7" w:space="0" w:color="000000"/>
              <w:right w:val="double" w:sz="4" w:space="0" w:color="000000"/>
            </w:tcBorders>
          </w:tcPr>
          <w:p w14:paraId="3576A134" w14:textId="77777777" w:rsidR="001C2836" w:rsidRPr="007A3223" w:rsidRDefault="001C2836" w:rsidP="00B760BE">
            <w:pPr>
              <w:jc w:val="center"/>
              <w:rPr>
                <w:szCs w:val="24"/>
              </w:rPr>
            </w:pPr>
            <w:r w:rsidRPr="007A3223">
              <w:rPr>
                <w:szCs w:val="24"/>
              </w:rPr>
              <w:t>15 mg</w:t>
            </w:r>
          </w:p>
        </w:tc>
      </w:tr>
      <w:tr w:rsidR="001C2836" w:rsidRPr="007A3223" w14:paraId="2623A675" w14:textId="77777777" w:rsidTr="00861A7D">
        <w:tc>
          <w:tcPr>
            <w:tcW w:w="2428" w:type="dxa"/>
            <w:tcBorders>
              <w:top w:val="single" w:sz="7" w:space="0" w:color="000000"/>
              <w:left w:val="double" w:sz="4" w:space="0" w:color="000000"/>
              <w:bottom w:val="single" w:sz="7" w:space="0" w:color="000000"/>
              <w:right w:val="single" w:sz="8" w:space="0" w:color="000000"/>
            </w:tcBorders>
          </w:tcPr>
          <w:p w14:paraId="2C923C2E" w14:textId="77777777" w:rsidR="001C2836" w:rsidRPr="007A3223" w:rsidRDefault="001C2836" w:rsidP="00B760BE">
            <w:pPr>
              <w:jc w:val="center"/>
              <w:rPr>
                <w:b/>
                <w:szCs w:val="24"/>
              </w:rPr>
            </w:pPr>
            <w:r w:rsidRPr="007A3223">
              <w:rPr>
                <w:b/>
                <w:szCs w:val="24"/>
              </w:rPr>
              <w:lastRenderedPageBreak/>
              <w:t>DL 1 (starting dose)</w:t>
            </w:r>
          </w:p>
        </w:tc>
        <w:tc>
          <w:tcPr>
            <w:tcW w:w="2880" w:type="dxa"/>
            <w:tcBorders>
              <w:top w:val="single" w:sz="8" w:space="0" w:color="000000"/>
              <w:left w:val="single" w:sz="8" w:space="0" w:color="000000"/>
              <w:bottom w:val="single" w:sz="8" w:space="0" w:color="000000"/>
              <w:right w:val="single" w:sz="8" w:space="0" w:color="000000"/>
            </w:tcBorders>
          </w:tcPr>
          <w:p w14:paraId="011B8529" w14:textId="77777777" w:rsidR="001C2836" w:rsidRPr="007A3223" w:rsidRDefault="001C2836" w:rsidP="00B760BE">
            <w:pPr>
              <w:jc w:val="center"/>
              <w:rPr>
                <w:b/>
                <w:szCs w:val="24"/>
              </w:rPr>
            </w:pPr>
            <w:r w:rsidRPr="007A3223">
              <w:rPr>
                <w:b/>
                <w:szCs w:val="24"/>
              </w:rPr>
              <w:t>A fixed dose of 1500mg every 4 weeks</w:t>
            </w:r>
          </w:p>
        </w:tc>
        <w:tc>
          <w:tcPr>
            <w:tcW w:w="3060" w:type="dxa"/>
            <w:tcBorders>
              <w:top w:val="single" w:sz="7" w:space="0" w:color="000000"/>
              <w:left w:val="single" w:sz="8" w:space="0" w:color="000000"/>
              <w:bottom w:val="single" w:sz="7" w:space="0" w:color="000000"/>
              <w:right w:val="double" w:sz="4" w:space="0" w:color="000000"/>
            </w:tcBorders>
          </w:tcPr>
          <w:p w14:paraId="17D01E35" w14:textId="77777777" w:rsidR="001C2836" w:rsidRPr="007A3223" w:rsidRDefault="001C2836" w:rsidP="00B760BE">
            <w:pPr>
              <w:jc w:val="center"/>
              <w:rPr>
                <w:b/>
                <w:szCs w:val="24"/>
              </w:rPr>
            </w:pPr>
            <w:r w:rsidRPr="007A3223">
              <w:rPr>
                <w:b/>
                <w:szCs w:val="24"/>
              </w:rPr>
              <w:t>20 mg</w:t>
            </w:r>
          </w:p>
        </w:tc>
      </w:tr>
    </w:tbl>
    <w:p w14:paraId="40B59542" w14:textId="77777777" w:rsidR="001C2836" w:rsidRPr="007A3223" w:rsidRDefault="001C2836" w:rsidP="001C2836"/>
    <w:p w14:paraId="112BD065" w14:textId="77777777" w:rsidR="00DD3F6C" w:rsidRPr="007A3223" w:rsidRDefault="00DD3F6C" w:rsidP="00DD3F6C"/>
    <w:p w14:paraId="58E67287" w14:textId="77777777" w:rsidR="00DD3F6C" w:rsidRPr="007A3223" w:rsidRDefault="00DD3F6C" w:rsidP="00DD3F6C"/>
    <w:p w14:paraId="1BC49BF5" w14:textId="77777777" w:rsidR="00DD3F6C" w:rsidRPr="007A3223" w:rsidRDefault="00DD3F6C" w:rsidP="00DD3F6C"/>
    <w:p w14:paraId="609FC398" w14:textId="01D74208" w:rsidR="00DD3F6C" w:rsidRPr="007A3223" w:rsidRDefault="006D5B62" w:rsidP="00DD3F6C">
      <w:bookmarkStart w:id="12" w:name="_Hlk82181600"/>
      <w:r w:rsidRPr="006D5B62">
        <w:t>Durvalumab</w:t>
      </w:r>
      <w:bookmarkEnd w:id="12"/>
      <w:r w:rsidR="00DD3F6C" w:rsidRPr="007A3223">
        <w:t>+O+C Dose Escalation Table</w:t>
      </w:r>
    </w:p>
    <w:tbl>
      <w:tblPr>
        <w:tblW w:w="0" w:type="auto"/>
        <w:tblLayout w:type="fixed"/>
        <w:tblCellMar>
          <w:left w:w="88" w:type="dxa"/>
          <w:right w:w="88" w:type="dxa"/>
        </w:tblCellMar>
        <w:tblLook w:val="0000" w:firstRow="0" w:lastRow="0" w:firstColumn="0" w:lastColumn="0" w:noHBand="0" w:noVBand="0"/>
      </w:tblPr>
      <w:tblGrid>
        <w:gridCol w:w="1708"/>
        <w:gridCol w:w="2880"/>
        <w:gridCol w:w="2070"/>
        <w:gridCol w:w="2610"/>
      </w:tblGrid>
      <w:tr w:rsidR="00CB5B07" w:rsidRPr="007A3223" w14:paraId="481AB4F6" w14:textId="77777777" w:rsidTr="00CB5B07">
        <w:tc>
          <w:tcPr>
            <w:tcW w:w="1708" w:type="dxa"/>
            <w:tcBorders>
              <w:top w:val="double" w:sz="4" w:space="0" w:color="000000"/>
              <w:left w:val="double" w:sz="4" w:space="0" w:color="000000"/>
              <w:bottom w:val="double" w:sz="4" w:space="0" w:color="000000"/>
              <w:right w:val="single" w:sz="8" w:space="0" w:color="000000"/>
            </w:tcBorders>
          </w:tcPr>
          <w:p w14:paraId="6C1F83E5" w14:textId="77777777" w:rsidR="00BF099E" w:rsidRPr="007A3223" w:rsidRDefault="00BF099E" w:rsidP="00CB5B07">
            <w:pPr>
              <w:keepNext/>
              <w:jc w:val="center"/>
              <w:rPr>
                <w:b/>
                <w:szCs w:val="24"/>
              </w:rPr>
            </w:pPr>
            <w:r w:rsidRPr="007A3223">
              <w:rPr>
                <w:b/>
                <w:szCs w:val="24"/>
              </w:rPr>
              <w:t>Dose Level</w:t>
            </w:r>
          </w:p>
          <w:p w14:paraId="1013D4B1" w14:textId="77777777" w:rsidR="00BF099E" w:rsidRPr="007A3223" w:rsidRDefault="00BF099E" w:rsidP="00CB5B07">
            <w:pPr>
              <w:keepNext/>
              <w:jc w:val="center"/>
              <w:rPr>
                <w:b/>
                <w:szCs w:val="24"/>
              </w:rPr>
            </w:pPr>
            <w:r w:rsidRPr="007A3223">
              <w:rPr>
                <w:b/>
                <w:szCs w:val="24"/>
              </w:rPr>
              <w:t>(DL)</w:t>
            </w:r>
          </w:p>
        </w:tc>
        <w:tc>
          <w:tcPr>
            <w:tcW w:w="2880" w:type="dxa"/>
            <w:tcBorders>
              <w:top w:val="double" w:sz="4" w:space="0" w:color="000000"/>
              <w:left w:val="single" w:sz="8" w:space="0" w:color="000000"/>
              <w:bottom w:val="double" w:sz="4" w:space="0" w:color="000000"/>
              <w:right w:val="single" w:sz="8" w:space="0" w:color="000000"/>
            </w:tcBorders>
          </w:tcPr>
          <w:p w14:paraId="63D33E60" w14:textId="3A0CDEE2" w:rsidR="00BF099E" w:rsidRPr="007A3223" w:rsidRDefault="006D5B62" w:rsidP="00CB5B07">
            <w:pPr>
              <w:keepNext/>
              <w:spacing w:after="0"/>
              <w:jc w:val="center"/>
              <w:rPr>
                <w:b/>
                <w:bCs/>
                <w:szCs w:val="24"/>
              </w:rPr>
            </w:pPr>
            <w:r w:rsidRPr="006D5B62">
              <w:rPr>
                <w:b/>
                <w:bCs/>
                <w:szCs w:val="24"/>
              </w:rPr>
              <w:t>Durvalumab</w:t>
            </w:r>
          </w:p>
          <w:p w14:paraId="3A0CCBEE" w14:textId="77777777" w:rsidR="00BF099E" w:rsidRPr="007A3223" w:rsidRDefault="00BF099E" w:rsidP="00CB5B07">
            <w:pPr>
              <w:keepNext/>
              <w:jc w:val="center"/>
              <w:rPr>
                <w:b/>
                <w:szCs w:val="24"/>
              </w:rPr>
            </w:pPr>
            <w:r w:rsidRPr="007A3223">
              <w:rPr>
                <w:b/>
                <w:bCs/>
                <w:szCs w:val="24"/>
              </w:rPr>
              <w:t>(intravenously)</w:t>
            </w:r>
          </w:p>
        </w:tc>
        <w:tc>
          <w:tcPr>
            <w:tcW w:w="2070" w:type="dxa"/>
            <w:tcBorders>
              <w:top w:val="double" w:sz="4" w:space="0" w:color="000000"/>
              <w:left w:val="single" w:sz="8" w:space="0" w:color="000000"/>
              <w:bottom w:val="double" w:sz="4" w:space="0" w:color="000000"/>
              <w:right w:val="single" w:sz="4" w:space="0" w:color="auto"/>
            </w:tcBorders>
          </w:tcPr>
          <w:p w14:paraId="17F8483F" w14:textId="77777777" w:rsidR="00CB5B07" w:rsidRPr="007A3223" w:rsidRDefault="00CB5B07" w:rsidP="00CB5B07">
            <w:pPr>
              <w:keepNext/>
              <w:spacing w:after="0"/>
              <w:rPr>
                <w:b/>
                <w:szCs w:val="24"/>
              </w:rPr>
            </w:pPr>
            <w:r w:rsidRPr="007A3223">
              <w:rPr>
                <w:b/>
                <w:szCs w:val="24"/>
              </w:rPr>
              <w:t xml:space="preserve">  Olaparib tablet</w:t>
            </w:r>
          </w:p>
          <w:p w14:paraId="2AF86A1C" w14:textId="77777777" w:rsidR="00CB5B07" w:rsidRPr="007A3223" w:rsidRDefault="00CB5B07" w:rsidP="00CB5B07">
            <w:pPr>
              <w:keepNext/>
              <w:spacing w:after="0"/>
              <w:jc w:val="center"/>
              <w:rPr>
                <w:b/>
                <w:szCs w:val="24"/>
              </w:rPr>
            </w:pPr>
            <w:r w:rsidRPr="007A3223">
              <w:rPr>
                <w:b/>
                <w:szCs w:val="24"/>
              </w:rPr>
              <w:t>(oral, twice a day)</w:t>
            </w:r>
          </w:p>
          <w:p w14:paraId="170B8A1E" w14:textId="77777777" w:rsidR="00BF099E" w:rsidRPr="007A3223" w:rsidRDefault="00BF099E" w:rsidP="00CB5B07">
            <w:pPr>
              <w:keepNext/>
              <w:jc w:val="center"/>
              <w:rPr>
                <w:b/>
                <w:szCs w:val="24"/>
              </w:rPr>
            </w:pPr>
          </w:p>
        </w:tc>
        <w:tc>
          <w:tcPr>
            <w:tcW w:w="2610" w:type="dxa"/>
            <w:tcBorders>
              <w:top w:val="double" w:sz="4" w:space="0" w:color="000000"/>
              <w:left w:val="single" w:sz="4" w:space="0" w:color="auto"/>
              <w:bottom w:val="double" w:sz="4" w:space="0" w:color="000000"/>
              <w:right w:val="double" w:sz="4" w:space="0" w:color="000000"/>
            </w:tcBorders>
          </w:tcPr>
          <w:p w14:paraId="30BE617D" w14:textId="77777777" w:rsidR="00BF099E" w:rsidRPr="007A3223" w:rsidRDefault="00BF099E" w:rsidP="00CB5B07">
            <w:pPr>
              <w:keepNext/>
              <w:spacing w:after="0"/>
              <w:jc w:val="center"/>
              <w:rPr>
                <w:b/>
                <w:bCs/>
                <w:szCs w:val="24"/>
              </w:rPr>
            </w:pPr>
            <w:r w:rsidRPr="007A3223">
              <w:rPr>
                <w:b/>
                <w:bCs/>
                <w:szCs w:val="24"/>
              </w:rPr>
              <w:t>Cediranib</w:t>
            </w:r>
          </w:p>
          <w:p w14:paraId="12AEC1EB" w14:textId="77777777" w:rsidR="00CB5B07" w:rsidRPr="007A3223" w:rsidRDefault="00BF099E" w:rsidP="00CB5B07">
            <w:pPr>
              <w:keepNext/>
              <w:spacing w:after="0"/>
              <w:jc w:val="center"/>
              <w:rPr>
                <w:b/>
                <w:bCs/>
                <w:szCs w:val="24"/>
              </w:rPr>
            </w:pPr>
            <w:r w:rsidRPr="007A3223">
              <w:rPr>
                <w:b/>
                <w:bCs/>
                <w:szCs w:val="24"/>
              </w:rPr>
              <w:t>(oral, 5 days on/</w:t>
            </w:r>
          </w:p>
          <w:p w14:paraId="55520F1D" w14:textId="77777777" w:rsidR="00BF099E" w:rsidRPr="007A3223" w:rsidRDefault="00BF099E" w:rsidP="00CB5B07">
            <w:pPr>
              <w:keepNext/>
              <w:spacing w:after="0"/>
              <w:jc w:val="center"/>
              <w:rPr>
                <w:b/>
                <w:szCs w:val="24"/>
              </w:rPr>
            </w:pPr>
            <w:r w:rsidRPr="007A3223">
              <w:rPr>
                <w:b/>
                <w:bCs/>
                <w:szCs w:val="24"/>
              </w:rPr>
              <w:t>2 days off)</w:t>
            </w:r>
          </w:p>
        </w:tc>
      </w:tr>
      <w:tr w:rsidR="00AC19ED" w:rsidRPr="007A3223" w14:paraId="49CFEB6B" w14:textId="77777777" w:rsidTr="00AC19ED">
        <w:trPr>
          <w:trHeight w:val="768"/>
        </w:trPr>
        <w:tc>
          <w:tcPr>
            <w:tcW w:w="1708" w:type="dxa"/>
            <w:tcBorders>
              <w:top w:val="single" w:sz="4" w:space="0" w:color="auto"/>
              <w:left w:val="double" w:sz="4" w:space="0" w:color="000000"/>
              <w:bottom w:val="single" w:sz="4" w:space="0" w:color="auto"/>
              <w:right w:val="single" w:sz="8" w:space="0" w:color="000000"/>
            </w:tcBorders>
          </w:tcPr>
          <w:p w14:paraId="439D0AA6" w14:textId="77777777" w:rsidR="00AC19ED" w:rsidRPr="007A3223" w:rsidRDefault="00AC19ED" w:rsidP="00C41E22">
            <w:pPr>
              <w:jc w:val="center"/>
              <w:rPr>
                <w:szCs w:val="24"/>
              </w:rPr>
            </w:pPr>
            <w:r w:rsidRPr="007A3223">
              <w:rPr>
                <w:szCs w:val="24"/>
              </w:rPr>
              <w:t>DL -1</w:t>
            </w:r>
          </w:p>
        </w:tc>
        <w:tc>
          <w:tcPr>
            <w:tcW w:w="2880" w:type="dxa"/>
            <w:tcBorders>
              <w:top w:val="single" w:sz="4" w:space="0" w:color="auto"/>
              <w:left w:val="single" w:sz="8" w:space="0" w:color="000000"/>
              <w:bottom w:val="single" w:sz="4" w:space="0" w:color="auto"/>
              <w:right w:val="single" w:sz="8" w:space="0" w:color="000000"/>
            </w:tcBorders>
          </w:tcPr>
          <w:p w14:paraId="7AAE4E81" w14:textId="77777777" w:rsidR="00AC19ED" w:rsidRPr="007A3223" w:rsidRDefault="00AC19ED" w:rsidP="00C41E22">
            <w:pPr>
              <w:jc w:val="center"/>
              <w:rPr>
                <w:szCs w:val="24"/>
              </w:rPr>
            </w:pPr>
            <w:r w:rsidRPr="007A3223">
              <w:rPr>
                <w:szCs w:val="24"/>
              </w:rPr>
              <w:t>A fixed dose of 1500 mg every 4 weeks</w:t>
            </w:r>
          </w:p>
        </w:tc>
        <w:tc>
          <w:tcPr>
            <w:tcW w:w="2070" w:type="dxa"/>
            <w:tcBorders>
              <w:top w:val="single" w:sz="4" w:space="0" w:color="auto"/>
              <w:left w:val="single" w:sz="8" w:space="0" w:color="000000"/>
              <w:bottom w:val="single" w:sz="4" w:space="0" w:color="auto"/>
              <w:right w:val="single" w:sz="4" w:space="0" w:color="auto"/>
            </w:tcBorders>
          </w:tcPr>
          <w:p w14:paraId="0C06A0A7" w14:textId="77777777" w:rsidR="00AC19ED" w:rsidRPr="007A3223" w:rsidRDefault="009F5D74" w:rsidP="00BF099E">
            <w:pPr>
              <w:jc w:val="center"/>
              <w:rPr>
                <w:szCs w:val="24"/>
              </w:rPr>
            </w:pPr>
            <w:r w:rsidRPr="007A3223">
              <w:rPr>
                <w:szCs w:val="24"/>
              </w:rPr>
              <w:t>2</w:t>
            </w:r>
            <w:r w:rsidR="00257898" w:rsidRPr="007A3223">
              <w:rPr>
                <w:szCs w:val="24"/>
              </w:rPr>
              <w:t>0</w:t>
            </w:r>
            <w:r w:rsidR="00AC19ED" w:rsidRPr="007A3223">
              <w:rPr>
                <w:szCs w:val="24"/>
              </w:rPr>
              <w:t>0 mg</w:t>
            </w:r>
          </w:p>
        </w:tc>
        <w:tc>
          <w:tcPr>
            <w:tcW w:w="2610" w:type="dxa"/>
            <w:tcBorders>
              <w:top w:val="single" w:sz="4" w:space="0" w:color="auto"/>
              <w:left w:val="single" w:sz="4" w:space="0" w:color="auto"/>
              <w:bottom w:val="single" w:sz="4" w:space="0" w:color="auto"/>
              <w:right w:val="double" w:sz="4" w:space="0" w:color="000000"/>
            </w:tcBorders>
          </w:tcPr>
          <w:p w14:paraId="754DEED2" w14:textId="77777777" w:rsidR="00AC19ED" w:rsidRPr="007A3223" w:rsidRDefault="00AC19ED" w:rsidP="00C41E22">
            <w:pPr>
              <w:jc w:val="center"/>
              <w:rPr>
                <w:szCs w:val="24"/>
              </w:rPr>
            </w:pPr>
            <w:r w:rsidRPr="007A3223">
              <w:rPr>
                <w:szCs w:val="24"/>
              </w:rPr>
              <w:t>1</w:t>
            </w:r>
            <w:r w:rsidR="00886645" w:rsidRPr="007A3223">
              <w:rPr>
                <w:szCs w:val="24"/>
              </w:rPr>
              <w:t>5</w:t>
            </w:r>
            <w:r w:rsidRPr="007A3223">
              <w:rPr>
                <w:szCs w:val="24"/>
              </w:rPr>
              <w:t xml:space="preserve"> mg</w:t>
            </w:r>
          </w:p>
        </w:tc>
      </w:tr>
      <w:tr w:rsidR="00CB5B07" w:rsidRPr="007A3223" w14:paraId="7CD77207" w14:textId="77777777" w:rsidTr="00CB5B07">
        <w:trPr>
          <w:trHeight w:val="304"/>
        </w:trPr>
        <w:tc>
          <w:tcPr>
            <w:tcW w:w="1708" w:type="dxa"/>
            <w:tcBorders>
              <w:top w:val="single" w:sz="4" w:space="0" w:color="auto"/>
              <w:left w:val="double" w:sz="4" w:space="0" w:color="000000"/>
              <w:bottom w:val="single" w:sz="7" w:space="0" w:color="000000"/>
              <w:right w:val="single" w:sz="8" w:space="0" w:color="000000"/>
            </w:tcBorders>
          </w:tcPr>
          <w:p w14:paraId="48874EE6" w14:textId="77777777" w:rsidR="00CB5B07" w:rsidRPr="007A3223" w:rsidRDefault="00BF099E" w:rsidP="00C41E22">
            <w:pPr>
              <w:jc w:val="center"/>
              <w:rPr>
                <w:b/>
                <w:szCs w:val="24"/>
              </w:rPr>
            </w:pPr>
            <w:r w:rsidRPr="007A3223">
              <w:rPr>
                <w:b/>
                <w:szCs w:val="24"/>
              </w:rPr>
              <w:t xml:space="preserve">DL 1 </w:t>
            </w:r>
          </w:p>
          <w:p w14:paraId="09EA9E08" w14:textId="77777777" w:rsidR="00BF099E" w:rsidRPr="007A3223" w:rsidRDefault="00BF099E" w:rsidP="00C41E22">
            <w:pPr>
              <w:jc w:val="center"/>
              <w:rPr>
                <w:szCs w:val="24"/>
              </w:rPr>
            </w:pPr>
            <w:r w:rsidRPr="007A3223">
              <w:rPr>
                <w:b/>
                <w:szCs w:val="24"/>
              </w:rPr>
              <w:t>(starting dose)</w:t>
            </w:r>
          </w:p>
        </w:tc>
        <w:tc>
          <w:tcPr>
            <w:tcW w:w="2880" w:type="dxa"/>
            <w:tcBorders>
              <w:top w:val="single" w:sz="4" w:space="0" w:color="auto"/>
              <w:left w:val="single" w:sz="8" w:space="0" w:color="000000"/>
              <w:bottom w:val="single" w:sz="8" w:space="0" w:color="000000"/>
              <w:right w:val="single" w:sz="8" w:space="0" w:color="000000"/>
            </w:tcBorders>
          </w:tcPr>
          <w:p w14:paraId="08BD4F88" w14:textId="77777777" w:rsidR="00BF099E" w:rsidRPr="007A3223" w:rsidRDefault="00BF099E" w:rsidP="00C41E22">
            <w:pPr>
              <w:jc w:val="center"/>
              <w:rPr>
                <w:szCs w:val="24"/>
              </w:rPr>
            </w:pPr>
            <w:r w:rsidRPr="007A3223">
              <w:rPr>
                <w:szCs w:val="24"/>
              </w:rPr>
              <w:t>A fixed dose of 1500</w:t>
            </w:r>
            <w:r w:rsidR="00AC19ED" w:rsidRPr="007A3223">
              <w:rPr>
                <w:szCs w:val="24"/>
              </w:rPr>
              <w:t xml:space="preserve"> </w:t>
            </w:r>
            <w:r w:rsidRPr="007A3223">
              <w:rPr>
                <w:szCs w:val="24"/>
              </w:rPr>
              <w:t>mg every 4 weeks</w:t>
            </w:r>
          </w:p>
        </w:tc>
        <w:tc>
          <w:tcPr>
            <w:tcW w:w="2070" w:type="dxa"/>
            <w:tcBorders>
              <w:top w:val="single" w:sz="4" w:space="0" w:color="auto"/>
              <w:left w:val="single" w:sz="8" w:space="0" w:color="000000"/>
              <w:bottom w:val="single" w:sz="7" w:space="0" w:color="000000"/>
              <w:right w:val="single" w:sz="4" w:space="0" w:color="auto"/>
            </w:tcBorders>
          </w:tcPr>
          <w:p w14:paraId="61A0D7D7" w14:textId="77777777" w:rsidR="00BF099E" w:rsidRPr="007A3223" w:rsidRDefault="00AC19ED" w:rsidP="00BF099E">
            <w:pPr>
              <w:jc w:val="center"/>
              <w:rPr>
                <w:szCs w:val="24"/>
              </w:rPr>
            </w:pPr>
            <w:r w:rsidRPr="007A3223">
              <w:rPr>
                <w:szCs w:val="24"/>
              </w:rPr>
              <w:t>3</w:t>
            </w:r>
            <w:r w:rsidR="00C41E22" w:rsidRPr="007A3223">
              <w:rPr>
                <w:szCs w:val="24"/>
              </w:rPr>
              <w:t>00</w:t>
            </w:r>
            <w:r w:rsidRPr="007A3223">
              <w:rPr>
                <w:szCs w:val="24"/>
              </w:rPr>
              <w:t xml:space="preserve"> </w:t>
            </w:r>
            <w:r w:rsidR="00C41E22" w:rsidRPr="007A3223">
              <w:rPr>
                <w:szCs w:val="24"/>
              </w:rPr>
              <w:t>mg</w:t>
            </w:r>
          </w:p>
        </w:tc>
        <w:tc>
          <w:tcPr>
            <w:tcW w:w="2610" w:type="dxa"/>
            <w:tcBorders>
              <w:top w:val="single" w:sz="4" w:space="0" w:color="auto"/>
              <w:left w:val="single" w:sz="4" w:space="0" w:color="auto"/>
              <w:bottom w:val="single" w:sz="7" w:space="0" w:color="000000"/>
              <w:right w:val="double" w:sz="4" w:space="0" w:color="000000"/>
            </w:tcBorders>
          </w:tcPr>
          <w:p w14:paraId="72853F39" w14:textId="77777777" w:rsidR="00BF099E" w:rsidRPr="007A3223" w:rsidRDefault="00BF099E" w:rsidP="00C41E22">
            <w:pPr>
              <w:jc w:val="center"/>
              <w:rPr>
                <w:szCs w:val="24"/>
              </w:rPr>
            </w:pPr>
            <w:r w:rsidRPr="007A3223">
              <w:rPr>
                <w:szCs w:val="24"/>
              </w:rPr>
              <w:t>15 mg</w:t>
            </w:r>
          </w:p>
        </w:tc>
      </w:tr>
      <w:tr w:rsidR="00CB5B07" w:rsidRPr="007A3223" w14:paraId="0FAE9A67" w14:textId="77777777" w:rsidTr="00CB5B07">
        <w:tc>
          <w:tcPr>
            <w:tcW w:w="1708" w:type="dxa"/>
            <w:tcBorders>
              <w:top w:val="single" w:sz="7" w:space="0" w:color="000000"/>
              <w:left w:val="double" w:sz="4" w:space="0" w:color="000000"/>
              <w:bottom w:val="single" w:sz="7" w:space="0" w:color="000000"/>
              <w:right w:val="single" w:sz="8" w:space="0" w:color="000000"/>
            </w:tcBorders>
          </w:tcPr>
          <w:p w14:paraId="703E6E5A" w14:textId="77777777" w:rsidR="00BF099E" w:rsidRPr="007A3223" w:rsidRDefault="00CB5B07" w:rsidP="00DD3F6C">
            <w:pPr>
              <w:jc w:val="center"/>
              <w:rPr>
                <w:szCs w:val="24"/>
              </w:rPr>
            </w:pPr>
            <w:r w:rsidRPr="007A3223">
              <w:rPr>
                <w:szCs w:val="24"/>
              </w:rPr>
              <w:t>DL 2</w:t>
            </w:r>
            <w:r w:rsidR="00BF099E" w:rsidRPr="007A3223">
              <w:rPr>
                <w:szCs w:val="24"/>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261C5D9F" w14:textId="77777777" w:rsidR="00AC19ED" w:rsidRPr="007A3223" w:rsidRDefault="00BF099E" w:rsidP="00663DF9">
            <w:pPr>
              <w:jc w:val="center"/>
              <w:rPr>
                <w:szCs w:val="24"/>
              </w:rPr>
            </w:pPr>
            <w:r w:rsidRPr="007A3223">
              <w:rPr>
                <w:szCs w:val="24"/>
              </w:rPr>
              <w:t>A fixed dose of 1500</w:t>
            </w:r>
            <w:r w:rsidR="00AC19ED" w:rsidRPr="007A3223">
              <w:rPr>
                <w:szCs w:val="24"/>
              </w:rPr>
              <w:t xml:space="preserve"> </w:t>
            </w:r>
            <w:r w:rsidRPr="007A3223">
              <w:rPr>
                <w:szCs w:val="24"/>
              </w:rPr>
              <w:t>mg every 4 weeks</w:t>
            </w:r>
          </w:p>
        </w:tc>
        <w:tc>
          <w:tcPr>
            <w:tcW w:w="2070" w:type="dxa"/>
            <w:tcBorders>
              <w:top w:val="single" w:sz="7" w:space="0" w:color="000000"/>
              <w:left w:val="single" w:sz="8" w:space="0" w:color="000000"/>
              <w:bottom w:val="single" w:sz="7" w:space="0" w:color="000000"/>
              <w:right w:val="single" w:sz="4" w:space="0" w:color="auto"/>
            </w:tcBorders>
          </w:tcPr>
          <w:p w14:paraId="29405808" w14:textId="77777777" w:rsidR="00BF099E" w:rsidRPr="007A3223" w:rsidRDefault="00AC19ED" w:rsidP="00BF099E">
            <w:pPr>
              <w:jc w:val="center"/>
              <w:rPr>
                <w:szCs w:val="24"/>
              </w:rPr>
            </w:pPr>
            <w:r w:rsidRPr="007A3223">
              <w:rPr>
                <w:szCs w:val="24"/>
              </w:rPr>
              <w:t>3</w:t>
            </w:r>
            <w:r w:rsidR="00C41E22" w:rsidRPr="007A3223">
              <w:rPr>
                <w:szCs w:val="24"/>
              </w:rPr>
              <w:t>00</w:t>
            </w:r>
            <w:r w:rsidRPr="007A3223">
              <w:rPr>
                <w:szCs w:val="24"/>
              </w:rPr>
              <w:t xml:space="preserve"> </w:t>
            </w:r>
            <w:r w:rsidR="00C41E22" w:rsidRPr="007A3223">
              <w:rPr>
                <w:szCs w:val="24"/>
              </w:rPr>
              <w:t>mg</w:t>
            </w:r>
          </w:p>
        </w:tc>
        <w:tc>
          <w:tcPr>
            <w:tcW w:w="2610" w:type="dxa"/>
            <w:tcBorders>
              <w:top w:val="single" w:sz="7" w:space="0" w:color="000000"/>
              <w:left w:val="single" w:sz="4" w:space="0" w:color="auto"/>
              <w:bottom w:val="single" w:sz="7" w:space="0" w:color="000000"/>
              <w:right w:val="double" w:sz="4" w:space="0" w:color="000000"/>
            </w:tcBorders>
          </w:tcPr>
          <w:p w14:paraId="247DF862" w14:textId="77777777" w:rsidR="00BF099E" w:rsidRPr="007A3223" w:rsidRDefault="00AC19ED" w:rsidP="00C41E22">
            <w:pPr>
              <w:jc w:val="center"/>
              <w:rPr>
                <w:szCs w:val="24"/>
              </w:rPr>
            </w:pPr>
            <w:r w:rsidRPr="007A3223">
              <w:rPr>
                <w:szCs w:val="24"/>
              </w:rPr>
              <w:t>20</w:t>
            </w:r>
            <w:r w:rsidR="00BF099E" w:rsidRPr="007A3223">
              <w:rPr>
                <w:szCs w:val="24"/>
              </w:rPr>
              <w:t xml:space="preserve"> mg</w:t>
            </w:r>
          </w:p>
        </w:tc>
      </w:tr>
    </w:tbl>
    <w:p w14:paraId="386609E1" w14:textId="77777777" w:rsidR="00DD3F6C" w:rsidRPr="007A3223" w:rsidRDefault="00DD3F6C" w:rsidP="00DD3F6C"/>
    <w:p w14:paraId="3D95D9E0" w14:textId="77777777" w:rsidR="00A55919" w:rsidRPr="007A3223" w:rsidRDefault="00A55919">
      <w:pPr>
        <w:spacing w:after="0"/>
        <w:rPr>
          <w:b/>
          <w:bCs/>
          <w:smallCaps/>
          <w:szCs w:val="24"/>
          <w:lang w:val="x-none" w:eastAsia="x-none"/>
        </w:rPr>
      </w:pPr>
      <w:r w:rsidRPr="007A3223">
        <w:br w:type="page"/>
      </w:r>
    </w:p>
    <w:p w14:paraId="38D437BF" w14:textId="77777777" w:rsidR="003C358D" w:rsidRPr="007A3223" w:rsidRDefault="003C358D" w:rsidP="00BA3B52">
      <w:pPr>
        <w:pStyle w:val="Heading2"/>
        <w:numPr>
          <w:ilvl w:val="0"/>
          <w:numId w:val="0"/>
        </w:numPr>
        <w:ind w:left="576"/>
      </w:pPr>
      <w:bookmarkStart w:id="13" w:name="_Toc82444332"/>
      <w:r w:rsidRPr="007A3223">
        <w:lastRenderedPageBreak/>
        <w:t>Phase II Schema</w:t>
      </w:r>
      <w:bookmarkEnd w:id="13"/>
    </w:p>
    <w:p w14:paraId="406B7E44" w14:textId="1ACF63DD" w:rsidR="004556C0" w:rsidRPr="007A3223" w:rsidRDefault="004556C0" w:rsidP="005551CC">
      <w:pPr>
        <w:rPr>
          <w:b/>
        </w:rPr>
      </w:pPr>
      <w:r w:rsidRPr="007A3223">
        <w:rPr>
          <w:b/>
        </w:rPr>
        <w:t xml:space="preserve">PHASE II </w:t>
      </w:r>
      <w:r w:rsidR="00CD17CD" w:rsidRPr="007A3223">
        <w:rPr>
          <w:b/>
        </w:rPr>
        <w:t xml:space="preserve">Cohorts 1-5 </w:t>
      </w:r>
      <w:r w:rsidR="00AF770D">
        <w:rPr>
          <w:b/>
        </w:rPr>
        <w:t>Durvalumab</w:t>
      </w:r>
      <w:r w:rsidR="00CD17CD" w:rsidRPr="007A3223">
        <w:rPr>
          <w:b/>
        </w:rPr>
        <w:t xml:space="preserve">+O Arm </w:t>
      </w:r>
      <w:r w:rsidRPr="007A3223">
        <w:rPr>
          <w:b/>
        </w:rPr>
        <w:t>SCHEMA: OvCa</w:t>
      </w:r>
      <w:r w:rsidR="00CD17CD" w:rsidRPr="007A3223">
        <w:rPr>
          <w:b/>
        </w:rPr>
        <w:t xml:space="preserve"> (Cohort 1)</w:t>
      </w:r>
      <w:r w:rsidRPr="007A3223">
        <w:rPr>
          <w:b/>
        </w:rPr>
        <w:t xml:space="preserve">, </w:t>
      </w:r>
      <w:r w:rsidR="00CD17CD" w:rsidRPr="007A3223">
        <w:rPr>
          <w:b/>
        </w:rPr>
        <w:t>NSCLC (Cohort 2)</w:t>
      </w:r>
      <w:r w:rsidR="00C87AE9" w:rsidRPr="007A3223">
        <w:rPr>
          <w:b/>
        </w:rPr>
        <w:t xml:space="preserve">, </w:t>
      </w:r>
      <w:r w:rsidR="00CD17CD" w:rsidRPr="007A3223">
        <w:rPr>
          <w:b/>
        </w:rPr>
        <w:t>SCLC (Cohort 3)</w:t>
      </w:r>
      <w:r w:rsidR="00B92CE8" w:rsidRPr="007A3223">
        <w:rPr>
          <w:b/>
        </w:rPr>
        <w:t>,</w:t>
      </w:r>
      <w:r w:rsidR="00A55919" w:rsidRPr="007A3223">
        <w:rPr>
          <w:b/>
        </w:rPr>
        <w:t xml:space="preserve"> </w:t>
      </w:r>
      <w:r w:rsidR="00B92CE8" w:rsidRPr="007A3223">
        <w:rPr>
          <w:b/>
        </w:rPr>
        <w:t>mCRPC</w:t>
      </w:r>
      <w:r w:rsidR="00CD17CD" w:rsidRPr="007A3223">
        <w:rPr>
          <w:b/>
        </w:rPr>
        <w:t xml:space="preserve"> (Cohort 4)</w:t>
      </w:r>
      <w:r w:rsidRPr="007A3223">
        <w:rPr>
          <w:b/>
        </w:rPr>
        <w:t xml:space="preserve"> </w:t>
      </w:r>
      <w:r w:rsidR="00B92CE8" w:rsidRPr="007A3223">
        <w:rPr>
          <w:b/>
        </w:rPr>
        <w:t>AND TNBC</w:t>
      </w:r>
      <w:r w:rsidR="00CD17CD" w:rsidRPr="007A3223">
        <w:rPr>
          <w:b/>
        </w:rPr>
        <w:t xml:space="preserve"> (Cohort 5)</w:t>
      </w:r>
      <w:r w:rsidRPr="007A3223">
        <w:rPr>
          <w:b/>
        </w:rPr>
        <w:t xml:space="preserve"> </w:t>
      </w:r>
    </w:p>
    <w:p w14:paraId="76D7D569" w14:textId="77777777" w:rsidR="004556C0" w:rsidRPr="007A3223" w:rsidRDefault="004556C0" w:rsidP="00F438F0">
      <w:r w:rsidRPr="007A3223">
        <w:rPr>
          <w:noProof/>
          <w:lang w:eastAsia="ko-KR"/>
        </w:rPr>
        <w:drawing>
          <wp:inline distT="0" distB="0" distL="0" distR="0" wp14:anchorId="68AAA938" wp14:editId="4FD7D36C">
            <wp:extent cx="5613400" cy="2118360"/>
            <wp:effectExtent l="95250" t="0" r="139700" b="0"/>
            <wp:docPr id="22"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F33908">
        <w:rPr>
          <w:noProof/>
          <w:lang w:eastAsia="ko-KR"/>
        </w:rPr>
        <mc:AlternateContent>
          <mc:Choice Requires="wpg">
            <w:drawing>
              <wp:inline distT="0" distB="0" distL="0" distR="0" wp14:anchorId="5D474DCC" wp14:editId="138066C0">
                <wp:extent cx="4987925" cy="406400"/>
                <wp:effectExtent l="0" t="0" r="15875" b="18415"/>
                <wp:docPr id="2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406400"/>
                          <a:chOff x="1349" y="0"/>
                          <a:chExt cx="71934" cy="4375"/>
                        </a:xfrm>
                      </wpg:grpSpPr>
                      <wps:wsp>
                        <wps:cNvPr id="26" name="Rectangle 17"/>
                        <wps:cNvSpPr txBox="1">
                          <a:spLocks noChangeArrowheads="1"/>
                        </wps:cNvSpPr>
                        <wps:spPr bwMode="auto">
                          <a:xfrm>
                            <a:off x="1349" y="0"/>
                            <a:ext cx="34577" cy="4375"/>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15AE01F7" w14:textId="77777777" w:rsidR="0045176A" w:rsidRPr="00576F15" w:rsidRDefault="0045176A" w:rsidP="004556C0">
                              <w:pPr>
                                <w:pStyle w:val="NormalWeb"/>
                                <w:spacing w:before="0" w:beforeAutospacing="0" w:after="0" w:afterAutospacing="0"/>
                                <w:textAlignment w:val="baseline"/>
                                <w:rPr>
                                  <w:b/>
                                  <w:bCs/>
                                  <w:color w:val="000000" w:themeColor="dark1"/>
                                  <w:kern w:val="24"/>
                                  <w:sz w:val="20"/>
                                  <w:szCs w:val="20"/>
                                  <w:lang w:val="nl-NL"/>
                                </w:rPr>
                              </w:pPr>
                              <w:r w:rsidRPr="00576F15">
                                <w:rPr>
                                  <w:b/>
                                  <w:bCs/>
                                  <w:color w:val="000000" w:themeColor="dark1"/>
                                  <w:kern w:val="24"/>
                                  <w:sz w:val="20"/>
                                  <w:szCs w:val="20"/>
                                  <w:lang w:val="nl-NL"/>
                                </w:rPr>
                                <w:t xml:space="preserve">O </w:t>
                              </w:r>
                              <w:r>
                                <w:rPr>
                                  <w:b/>
                                  <w:bCs/>
                                  <w:color w:val="000000" w:themeColor="dark1"/>
                                  <w:kern w:val="24"/>
                                  <w:sz w:val="20"/>
                                  <w:szCs w:val="20"/>
                                  <w:lang w:val="nl-NL"/>
                                </w:rPr>
                                <w:t xml:space="preserve">300mg tablets </w:t>
                              </w:r>
                              <w:r w:rsidRPr="00576F15">
                                <w:rPr>
                                  <w:b/>
                                  <w:bCs/>
                                  <w:color w:val="000000" w:themeColor="dark1"/>
                                  <w:kern w:val="24"/>
                                  <w:sz w:val="20"/>
                                  <w:szCs w:val="20"/>
                                  <w:lang w:val="nl-NL"/>
                                </w:rPr>
                                <w:t>bid</w:t>
                              </w:r>
                              <w:r>
                                <w:rPr>
                                  <w:b/>
                                  <w:bCs/>
                                  <w:color w:val="000000" w:themeColor="dark1"/>
                                  <w:kern w:val="24"/>
                                  <w:sz w:val="20"/>
                                  <w:szCs w:val="20"/>
                                  <w:lang w:val="nl-NL"/>
                                </w:rPr>
                                <w:t xml:space="preserve"> </w:t>
                              </w:r>
                              <w:r w:rsidRPr="00576F15">
                                <w:rPr>
                                  <w:b/>
                                  <w:bCs/>
                                  <w:color w:val="000000" w:themeColor="dark1"/>
                                  <w:kern w:val="24"/>
                                  <w:sz w:val="20"/>
                                  <w:szCs w:val="20"/>
                                  <w:lang w:val="nl-NL"/>
                                </w:rPr>
                                <w:t xml:space="preserve">daily po, </w:t>
                              </w:r>
                            </w:p>
                            <w:p w14:paraId="4F8E1A46" w14:textId="0F3D6CB1" w:rsidR="0045176A" w:rsidRPr="00576F15" w:rsidRDefault="0045176A" w:rsidP="004556C0">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Durvalumab</w:t>
                              </w:r>
                              <w:r w:rsidRPr="00576F15">
                                <w:rPr>
                                  <w:b/>
                                  <w:bCs/>
                                  <w:color w:val="000000" w:themeColor="dark1"/>
                                  <w:kern w:val="24"/>
                                  <w:sz w:val="20"/>
                                  <w:szCs w:val="20"/>
                                  <w:lang w:val="nl-NL"/>
                                </w:rPr>
                                <w:t xml:space="preserve"> IV </w:t>
                              </w:r>
                              <w:r>
                                <w:rPr>
                                  <w:b/>
                                  <w:bCs/>
                                  <w:color w:val="000000" w:themeColor="dark1"/>
                                  <w:kern w:val="24"/>
                                  <w:sz w:val="20"/>
                                  <w:szCs w:val="20"/>
                                  <w:lang w:val="nl-NL"/>
                                </w:rPr>
                                <w:t>1500mg q 4  weeks</w:t>
                              </w:r>
                            </w:p>
                            <w:p w14:paraId="1992DC74" w14:textId="77777777" w:rsidR="0045176A" w:rsidRPr="00E759B6" w:rsidRDefault="0045176A" w:rsidP="004556C0">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32200CA2" w14:textId="77777777" w:rsidR="0045176A" w:rsidRPr="00E759B6" w:rsidRDefault="0045176A" w:rsidP="004556C0">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2916910" w14:textId="77777777" w:rsidR="0045176A" w:rsidRPr="00E759B6" w:rsidRDefault="0045176A" w:rsidP="004556C0">
                              <w:pPr>
                                <w:pStyle w:val="NormalWeb"/>
                                <w:spacing w:before="0" w:beforeAutospacing="0" w:after="0" w:afterAutospacing="0"/>
                                <w:textAlignment w:val="baseline"/>
                                <w:rPr>
                                  <w:sz w:val="20"/>
                                  <w:szCs w:val="20"/>
                                </w:rPr>
                              </w:pPr>
                            </w:p>
                          </w:txbxContent>
                        </wps:txbx>
                        <wps:bodyPr rot="0" vert="horz" wrap="square" lIns="91440" tIns="45720" rIns="91440" bIns="45720" anchor="ctr" anchorCtr="0" upright="1">
                          <a:noAutofit/>
                        </wps:bodyPr>
                      </wps:wsp>
                      <wps:wsp>
                        <wps:cNvPr id="27" name="Rectangle 17"/>
                        <wps:cNvSpPr txBox="1">
                          <a:spLocks noChangeArrowheads="1"/>
                        </wps:cNvSpPr>
                        <wps:spPr bwMode="auto">
                          <a:xfrm>
                            <a:off x="37021" y="44"/>
                            <a:ext cx="36263" cy="4331"/>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741CC17D" w14:textId="77777777" w:rsidR="0045176A" w:rsidRPr="001A10A8" w:rsidRDefault="0045176A" w:rsidP="004556C0">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O </w:t>
                              </w:r>
                              <w:r>
                                <w:rPr>
                                  <w:b/>
                                  <w:bCs/>
                                  <w:color w:val="000000" w:themeColor="dark1"/>
                                  <w:kern w:val="24"/>
                                  <w:sz w:val="20"/>
                                  <w:szCs w:val="20"/>
                                  <w:lang w:val="nl-NL"/>
                                </w:rPr>
                                <w:t xml:space="preserve">300mg tablets </w:t>
                              </w:r>
                              <w:r w:rsidRPr="001A10A8">
                                <w:rPr>
                                  <w:b/>
                                  <w:bCs/>
                                  <w:color w:val="000000" w:themeColor="dark1"/>
                                  <w:kern w:val="24"/>
                                  <w:sz w:val="20"/>
                                  <w:szCs w:val="20"/>
                                  <w:lang w:val="nl-NL"/>
                                </w:rPr>
                                <w:t xml:space="preserve">bid daily po, </w:t>
                              </w:r>
                            </w:p>
                            <w:p w14:paraId="0E37DE03" w14:textId="427F6AFD" w:rsidR="0045176A" w:rsidRPr="001A10A8" w:rsidRDefault="0045176A" w:rsidP="004556C0">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weeks</w:t>
                              </w:r>
                            </w:p>
                            <w:p w14:paraId="104CC779" w14:textId="77777777" w:rsidR="0045176A" w:rsidRPr="005E1A08" w:rsidRDefault="0045176A" w:rsidP="004556C0">
                              <w:pPr>
                                <w:pStyle w:val="NormalWeb"/>
                                <w:spacing w:before="0" w:beforeAutospacing="0" w:after="0" w:afterAutospacing="0"/>
                                <w:textAlignment w:val="baseline"/>
                                <w:rPr>
                                  <w:sz w:val="28"/>
                                  <w:szCs w:val="28"/>
                                </w:rPr>
                              </w:pPr>
                            </w:p>
                          </w:txbxContent>
                        </wps:txbx>
                        <wps:bodyPr rot="0" vert="horz" wrap="square" lIns="91440" tIns="45720" rIns="91440" bIns="45720" anchor="ctr" anchorCtr="0" upright="1">
                          <a:noAutofit/>
                        </wps:bodyPr>
                      </wps:wsp>
                    </wpg:wgp>
                  </a:graphicData>
                </a:graphic>
              </wp:inline>
            </w:drawing>
          </mc:Choice>
          <mc:Fallback>
            <w:pict>
              <v:group w14:anchorId="5D474DCC" id="Group 30" o:spid="_x0000_s1026" style="width:392.75pt;height:32pt;mso-position-horizontal-relative:char;mso-position-vertical-relative:line" coordorigin="1349" coordsize="71934,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">
                <v:shapetype id="_x0000_t202" coordsize="21600,21600" o:spt="202" path="m,l,21600r21600,l21600,xe">
                  <v:stroke joinstyle="miter"/>
                  <v:path gradientshapeok="t" o:connecttype="rect"/>
                </v:shapetype>
                <v:shape id="Rectangle 17" o:spid="_x0000_s1027" type="#_x0000_t202" style="position:absolute;left:1349;width:34577;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" fillcolor="#f5ffe6" strokecolor="black [3213]">
                  <v:fill color2="#dafda7" rotate="t" colors="0 #f5ffe6;42598f #e4fdc2;1 #dafda7" focus="100%" type="gradient"/>
                  <v:shadow on="t" color="black" opacity="24903f" origin=",.5" offset="0,.55556mm"/>
                  <v:textbox>
                    <w:txbxContent>
                      <w:p w14:paraId="15AE01F7" w14:textId="77777777" w:rsidR="0045176A" w:rsidRPr="00576F15" w:rsidRDefault="0045176A" w:rsidP="004556C0">
                        <w:pPr>
                          <w:pStyle w:val="NormalWeb"/>
                          <w:spacing w:before="0" w:beforeAutospacing="0" w:after="0" w:afterAutospacing="0"/>
                          <w:textAlignment w:val="baseline"/>
                          <w:rPr>
                            <w:b/>
                            <w:bCs/>
                            <w:color w:val="000000" w:themeColor="dark1"/>
                            <w:kern w:val="24"/>
                            <w:sz w:val="20"/>
                            <w:szCs w:val="20"/>
                            <w:lang w:val="nl-NL"/>
                          </w:rPr>
                        </w:pPr>
                        <w:r w:rsidRPr="00576F15">
                          <w:rPr>
                            <w:b/>
                            <w:bCs/>
                            <w:color w:val="000000" w:themeColor="dark1"/>
                            <w:kern w:val="24"/>
                            <w:sz w:val="20"/>
                            <w:szCs w:val="20"/>
                            <w:lang w:val="nl-NL"/>
                          </w:rPr>
                          <w:t xml:space="preserve">O </w:t>
                        </w:r>
                        <w:r>
                          <w:rPr>
                            <w:b/>
                            <w:bCs/>
                            <w:color w:val="000000" w:themeColor="dark1"/>
                            <w:kern w:val="24"/>
                            <w:sz w:val="20"/>
                            <w:szCs w:val="20"/>
                            <w:lang w:val="nl-NL"/>
                          </w:rPr>
                          <w:t xml:space="preserve">300mg tablets </w:t>
                        </w:r>
                        <w:r w:rsidRPr="00576F15">
                          <w:rPr>
                            <w:b/>
                            <w:bCs/>
                            <w:color w:val="000000" w:themeColor="dark1"/>
                            <w:kern w:val="24"/>
                            <w:sz w:val="20"/>
                            <w:szCs w:val="20"/>
                            <w:lang w:val="nl-NL"/>
                          </w:rPr>
                          <w:t>bid</w:t>
                        </w:r>
                        <w:r>
                          <w:rPr>
                            <w:b/>
                            <w:bCs/>
                            <w:color w:val="000000" w:themeColor="dark1"/>
                            <w:kern w:val="24"/>
                            <w:sz w:val="20"/>
                            <w:szCs w:val="20"/>
                            <w:lang w:val="nl-NL"/>
                          </w:rPr>
                          <w:t xml:space="preserve"> </w:t>
                        </w:r>
                        <w:r w:rsidRPr="00576F15">
                          <w:rPr>
                            <w:b/>
                            <w:bCs/>
                            <w:color w:val="000000" w:themeColor="dark1"/>
                            <w:kern w:val="24"/>
                            <w:sz w:val="20"/>
                            <w:szCs w:val="20"/>
                            <w:lang w:val="nl-NL"/>
                          </w:rPr>
                          <w:t xml:space="preserve">daily po, </w:t>
                        </w:r>
                      </w:p>
                      <w:p w14:paraId="4F8E1A46" w14:textId="0F3D6CB1" w:rsidR="0045176A" w:rsidRPr="00576F15" w:rsidRDefault="0045176A" w:rsidP="004556C0">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Durvalumab</w:t>
                        </w:r>
                        <w:r w:rsidRPr="00576F15">
                          <w:rPr>
                            <w:b/>
                            <w:bCs/>
                            <w:color w:val="000000" w:themeColor="dark1"/>
                            <w:kern w:val="24"/>
                            <w:sz w:val="20"/>
                            <w:szCs w:val="20"/>
                            <w:lang w:val="nl-NL"/>
                          </w:rPr>
                          <w:t xml:space="preserve"> IV </w:t>
                        </w:r>
                        <w:r>
                          <w:rPr>
                            <w:b/>
                            <w:bCs/>
                            <w:color w:val="000000" w:themeColor="dark1"/>
                            <w:kern w:val="24"/>
                            <w:sz w:val="20"/>
                            <w:szCs w:val="20"/>
                            <w:lang w:val="nl-NL"/>
                          </w:rPr>
                          <w:t>1500mg q 4  weeks</w:t>
                        </w:r>
                      </w:p>
                      <w:p w14:paraId="1992DC74" w14:textId="77777777" w:rsidR="0045176A" w:rsidRPr="00E759B6" w:rsidRDefault="0045176A" w:rsidP="004556C0">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32200CA2" w14:textId="77777777" w:rsidR="0045176A" w:rsidRPr="00E759B6" w:rsidRDefault="0045176A" w:rsidP="004556C0">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2916910" w14:textId="77777777" w:rsidR="0045176A" w:rsidRPr="00E759B6" w:rsidRDefault="0045176A" w:rsidP="004556C0">
                        <w:pPr>
                          <w:pStyle w:val="NormalWeb"/>
                          <w:spacing w:before="0" w:beforeAutospacing="0" w:after="0" w:afterAutospacing="0"/>
                          <w:textAlignment w:val="baseline"/>
                          <w:rPr>
                            <w:sz w:val="20"/>
                            <w:szCs w:val="20"/>
                          </w:rPr>
                        </w:pPr>
                      </w:p>
                    </w:txbxContent>
                  </v:textbox>
                </v:shape>
                <v:shape id="Rectangle 17" o:spid="_x0000_s1028" type="#_x0000_t202" style="position:absolute;left:37021;top:44;width:36263;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" fillcolor="#f5ffe6" strokecolor="black [3213]">
                  <v:fill color2="#dafda7" rotate="t" colors="0 #f5ffe6;42598f #e4fdc2;1 #dafda7" focus="100%" type="gradient"/>
                  <v:shadow on="t" color="black" opacity="24903f" origin=",.5" offset="0,.55556mm"/>
                  <v:textbox>
                    <w:txbxContent>
                      <w:p w14:paraId="741CC17D" w14:textId="77777777" w:rsidR="0045176A" w:rsidRPr="001A10A8" w:rsidRDefault="0045176A" w:rsidP="004556C0">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O </w:t>
                        </w:r>
                        <w:r>
                          <w:rPr>
                            <w:b/>
                            <w:bCs/>
                            <w:color w:val="000000" w:themeColor="dark1"/>
                            <w:kern w:val="24"/>
                            <w:sz w:val="20"/>
                            <w:szCs w:val="20"/>
                            <w:lang w:val="nl-NL"/>
                          </w:rPr>
                          <w:t xml:space="preserve">300mg tablets </w:t>
                        </w:r>
                        <w:r w:rsidRPr="001A10A8">
                          <w:rPr>
                            <w:b/>
                            <w:bCs/>
                            <w:color w:val="000000" w:themeColor="dark1"/>
                            <w:kern w:val="24"/>
                            <w:sz w:val="20"/>
                            <w:szCs w:val="20"/>
                            <w:lang w:val="nl-NL"/>
                          </w:rPr>
                          <w:t xml:space="preserve">bid daily po, </w:t>
                        </w:r>
                      </w:p>
                      <w:p w14:paraId="0E37DE03" w14:textId="427F6AFD" w:rsidR="0045176A" w:rsidRPr="001A10A8" w:rsidRDefault="0045176A" w:rsidP="004556C0">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weeks</w:t>
                        </w:r>
                      </w:p>
                      <w:p w14:paraId="104CC779" w14:textId="77777777" w:rsidR="0045176A" w:rsidRPr="005E1A08" w:rsidRDefault="0045176A" w:rsidP="004556C0">
                        <w:pPr>
                          <w:pStyle w:val="NormalWeb"/>
                          <w:spacing w:before="0" w:beforeAutospacing="0" w:after="0" w:afterAutospacing="0"/>
                          <w:textAlignment w:val="baseline"/>
                          <w:rPr>
                            <w:sz w:val="28"/>
                            <w:szCs w:val="28"/>
                          </w:rPr>
                        </w:pPr>
                      </w:p>
                    </w:txbxContent>
                  </v:textbox>
                </v:shape>
                <w10:anchorlock/>
              </v:group>
            </w:pict>
          </mc:Fallback>
        </mc:AlternateContent>
      </w:r>
    </w:p>
    <w:tbl>
      <w:tblPr>
        <w:tblStyle w:val="TableGrid"/>
        <w:tblW w:w="85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50"/>
      </w:tblGrid>
      <w:tr w:rsidR="004556C0" w:rsidRPr="007A3223" w14:paraId="48D3CBFA" w14:textId="77777777" w:rsidTr="00A6594E">
        <w:tc>
          <w:tcPr>
            <w:tcW w:w="8280" w:type="dxa"/>
            <w:vAlign w:val="bottom"/>
          </w:tcPr>
          <w:p w14:paraId="51230DC3" w14:textId="77777777" w:rsidR="004556C0" w:rsidRPr="007A3223" w:rsidRDefault="004556C0" w:rsidP="005C75F7">
            <w:pPr>
              <w:pStyle w:val="NormalWeb"/>
              <w:spacing w:before="0" w:beforeAutospacing="0" w:after="0" w:afterAutospacing="0"/>
              <w:ind w:left="-648"/>
              <w:textAlignment w:val="baseline"/>
              <w:rPr>
                <w:b/>
                <w:bCs/>
                <w:i/>
                <w:iCs/>
                <w:color w:val="31849B" w:themeColor="accent5" w:themeShade="BF"/>
                <w:kern w:val="24"/>
                <w:sz w:val="20"/>
                <w:szCs w:val="20"/>
              </w:rPr>
            </w:pPr>
            <w:r w:rsidRPr="00F33908">
              <w:rPr>
                <w:b/>
                <w:bCs/>
                <w:i/>
                <w:iCs/>
                <w:color w:val="31849B" w:themeColor="accent5" w:themeShade="BF"/>
                <w:kern w:val="24"/>
              </w:rPr>
              <w:t xml:space="preserve">         </w:t>
            </w:r>
            <w:r w:rsidRPr="007A3223">
              <w:rPr>
                <w:b/>
                <w:bCs/>
                <w:i/>
                <w:iCs/>
                <w:color w:val="31849B" w:themeColor="accent5" w:themeShade="BF"/>
                <w:kern w:val="24"/>
              </w:rPr>
              <w:t xml:space="preserve">  </w:t>
            </w:r>
            <w:r w:rsidRPr="007A3223">
              <w:rPr>
                <w:b/>
                <w:bCs/>
                <w:i/>
                <w:iCs/>
                <w:color w:val="31849B" w:themeColor="accent5" w:themeShade="BF"/>
                <w:kern w:val="24"/>
                <w:sz w:val="20"/>
                <w:szCs w:val="20"/>
              </w:rPr>
              <w:t xml:space="preserve"> PBMCs: pretreatment, </w:t>
            </w:r>
            <w:r w:rsidR="005C75F7" w:rsidRPr="007A3223">
              <w:rPr>
                <w:b/>
                <w:bCs/>
                <w:i/>
                <w:iCs/>
                <w:color w:val="31849B" w:themeColor="accent5" w:themeShade="BF"/>
                <w:kern w:val="24"/>
                <w:sz w:val="20"/>
                <w:szCs w:val="20"/>
              </w:rPr>
              <w:t xml:space="preserve">prior </w:t>
            </w:r>
            <w:r w:rsidR="003B4A5B" w:rsidRPr="007A3223">
              <w:rPr>
                <w:b/>
                <w:bCs/>
                <w:i/>
                <w:iCs/>
                <w:color w:val="31849B" w:themeColor="accent5" w:themeShade="BF"/>
                <w:kern w:val="24"/>
                <w:sz w:val="20"/>
                <w:szCs w:val="20"/>
              </w:rPr>
              <w:t>to cycle 1 day 15</w:t>
            </w:r>
            <w:r w:rsidR="009206C2" w:rsidRPr="007A3223">
              <w:rPr>
                <w:b/>
                <w:bCs/>
                <w:i/>
                <w:iCs/>
                <w:color w:val="31849B" w:themeColor="accent5" w:themeShade="BF"/>
                <w:kern w:val="24"/>
                <w:sz w:val="20"/>
                <w:szCs w:val="20"/>
              </w:rPr>
              <w:t>,</w:t>
            </w:r>
            <w:r w:rsidR="005C75F7" w:rsidRPr="007A3223">
              <w:rPr>
                <w:b/>
                <w:bCs/>
                <w:i/>
                <w:iCs/>
                <w:color w:val="31849B" w:themeColor="accent5" w:themeShade="BF"/>
                <w:kern w:val="24"/>
                <w:sz w:val="20"/>
                <w:szCs w:val="20"/>
              </w:rPr>
              <w:t xml:space="preserve"> </w:t>
            </w:r>
            <w:r w:rsidRPr="007A3223">
              <w:rPr>
                <w:b/>
                <w:bCs/>
                <w:i/>
                <w:iCs/>
                <w:color w:val="31849B" w:themeColor="accent5" w:themeShade="BF"/>
                <w:kern w:val="24"/>
                <w:sz w:val="20"/>
                <w:szCs w:val="20"/>
              </w:rPr>
              <w:t>pre- c</w:t>
            </w:r>
            <w:r w:rsidR="00A55919" w:rsidRPr="007A3223">
              <w:rPr>
                <w:b/>
                <w:bCs/>
                <w:i/>
                <w:iCs/>
                <w:color w:val="31849B" w:themeColor="accent5" w:themeShade="BF"/>
                <w:kern w:val="24"/>
                <w:sz w:val="20"/>
                <w:szCs w:val="20"/>
              </w:rPr>
              <w:t>ycle 3 day 1</w:t>
            </w:r>
            <w:r w:rsidR="009206C2" w:rsidRPr="007A3223">
              <w:rPr>
                <w:b/>
                <w:bCs/>
                <w:i/>
                <w:iCs/>
                <w:color w:val="31849B" w:themeColor="accent5" w:themeShade="BF"/>
                <w:kern w:val="24"/>
                <w:sz w:val="20"/>
                <w:szCs w:val="20"/>
              </w:rPr>
              <w:t>, and progression</w:t>
            </w:r>
            <w:r w:rsidR="00A55919" w:rsidRPr="007A3223">
              <w:rPr>
                <w:b/>
                <w:bCs/>
                <w:i/>
                <w:iCs/>
                <w:color w:val="31849B" w:themeColor="accent5" w:themeShade="BF"/>
                <w:kern w:val="24"/>
                <w:sz w:val="20"/>
                <w:szCs w:val="20"/>
              </w:rPr>
              <w:t xml:space="preserve"> (phase II only</w:t>
            </w:r>
            <w:r w:rsidRPr="007A3223">
              <w:rPr>
                <w:b/>
                <w:bCs/>
                <w:i/>
                <w:iCs/>
                <w:color w:val="31849B" w:themeColor="accent5" w:themeShade="BF"/>
                <w:kern w:val="24"/>
                <w:sz w:val="20"/>
                <w:szCs w:val="20"/>
              </w:rPr>
              <w:t>)</w:t>
            </w:r>
          </w:p>
        </w:tc>
      </w:tr>
      <w:tr w:rsidR="004556C0" w:rsidRPr="007A3223" w14:paraId="776A960D" w14:textId="77777777" w:rsidTr="00A6594E">
        <w:tc>
          <w:tcPr>
            <w:tcW w:w="8280" w:type="dxa"/>
            <w:vAlign w:val="bottom"/>
          </w:tcPr>
          <w:p w14:paraId="0045235F" w14:textId="77777777" w:rsidR="004556C0" w:rsidRPr="007A3223" w:rsidRDefault="004556C0" w:rsidP="001F4EC2">
            <w:pPr>
              <w:pStyle w:val="NormalWeb"/>
              <w:spacing w:before="120" w:beforeAutospacing="0" w:after="0" w:afterAutospacing="0"/>
              <w:ind w:left="-18"/>
              <w:textAlignment w:val="baseline"/>
              <w:rPr>
                <w:b/>
                <w:bCs/>
                <w:i/>
                <w:iCs/>
                <w:color w:val="FF0000"/>
                <w:kern w:val="24"/>
              </w:rPr>
            </w:pPr>
            <w:r w:rsidRPr="007A3223">
              <w:rPr>
                <w:b/>
                <w:bCs/>
                <w:i/>
                <w:iCs/>
                <w:color w:val="7F0090"/>
                <w:kern w:val="24"/>
              </w:rPr>
              <w:t xml:space="preserve">Tumor core biopsy: pretreatment and two optional bx (Phase II only) </w:t>
            </w:r>
          </w:p>
        </w:tc>
      </w:tr>
    </w:tbl>
    <w:p w14:paraId="4F0B66CF" w14:textId="77777777" w:rsidR="00A55919" w:rsidRPr="007A3223" w:rsidRDefault="00A55919" w:rsidP="004556C0">
      <w:pPr>
        <w:spacing w:after="0"/>
        <w:rPr>
          <w:b/>
        </w:rPr>
      </w:pPr>
    </w:p>
    <w:p w14:paraId="0374059E" w14:textId="2136E503" w:rsidR="00A55919" w:rsidRPr="007A3223" w:rsidRDefault="00A55919" w:rsidP="005551CC">
      <w:pPr>
        <w:rPr>
          <w:b/>
        </w:rPr>
      </w:pPr>
      <w:r w:rsidRPr="007A3223">
        <w:rPr>
          <w:b/>
        </w:rPr>
        <w:t xml:space="preserve">Phase II </w:t>
      </w:r>
      <w:r w:rsidR="00CD17CD" w:rsidRPr="007A3223">
        <w:rPr>
          <w:b/>
        </w:rPr>
        <w:t xml:space="preserve">Cohorts 1-2 </w:t>
      </w:r>
      <w:r w:rsidR="005D009B" w:rsidRPr="005D009B">
        <w:rPr>
          <w:b/>
        </w:rPr>
        <w:t>Durvalumab</w:t>
      </w:r>
      <w:r w:rsidR="00A524D0" w:rsidRPr="007A3223">
        <w:rPr>
          <w:b/>
        </w:rPr>
        <w:t>+</w:t>
      </w:r>
      <w:r w:rsidRPr="007A3223">
        <w:rPr>
          <w:b/>
        </w:rPr>
        <w:t xml:space="preserve">C </w:t>
      </w:r>
      <w:r w:rsidR="00AA455C" w:rsidRPr="007A3223">
        <w:rPr>
          <w:b/>
        </w:rPr>
        <w:t xml:space="preserve">Arm </w:t>
      </w:r>
      <w:r w:rsidRPr="007A3223">
        <w:rPr>
          <w:b/>
        </w:rPr>
        <w:t>Schema</w:t>
      </w:r>
      <w:r w:rsidR="00CD17CD" w:rsidRPr="007A3223">
        <w:rPr>
          <w:b/>
        </w:rPr>
        <w:t>:</w:t>
      </w:r>
      <w:r w:rsidRPr="007A3223">
        <w:rPr>
          <w:b/>
        </w:rPr>
        <w:t xml:space="preserve"> OvCa</w:t>
      </w:r>
      <w:r w:rsidR="00CD17CD" w:rsidRPr="007A3223">
        <w:rPr>
          <w:b/>
        </w:rPr>
        <w:t xml:space="preserve"> (Cohort 1)</w:t>
      </w:r>
      <w:r w:rsidR="00790EE9" w:rsidRPr="007A3223">
        <w:rPr>
          <w:b/>
        </w:rPr>
        <w:t xml:space="preserve"> and</w:t>
      </w:r>
      <w:r w:rsidRPr="007A3223">
        <w:rPr>
          <w:b/>
        </w:rPr>
        <w:t xml:space="preserve"> NSCL</w:t>
      </w:r>
      <w:r w:rsidR="00CD17CD" w:rsidRPr="007A3223">
        <w:rPr>
          <w:b/>
        </w:rPr>
        <w:t>C (Cohort 2</w:t>
      </w:r>
      <w:r w:rsidRPr="007A3223">
        <w:rPr>
          <w:b/>
        </w:rPr>
        <w:t>)</w:t>
      </w:r>
    </w:p>
    <w:p w14:paraId="15083FE4" w14:textId="77777777" w:rsidR="00A55919" w:rsidRPr="007A3223" w:rsidRDefault="00A55919" w:rsidP="00A55919">
      <w:pPr>
        <w:spacing w:after="0"/>
        <w:rPr>
          <w:color w:val="000000"/>
          <w:sz w:val="23"/>
          <w:szCs w:val="23"/>
        </w:rPr>
      </w:pPr>
      <w:r w:rsidRPr="007A3223">
        <w:rPr>
          <w:noProof/>
          <w:szCs w:val="24"/>
          <w:lang w:eastAsia="ko-KR"/>
        </w:rPr>
        <w:drawing>
          <wp:inline distT="0" distB="0" distL="0" distR="0" wp14:anchorId="3FF28CD8" wp14:editId="0AB55E26">
            <wp:extent cx="5537200" cy="1437640"/>
            <wp:effectExtent l="76200" t="0" r="825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887B7DC" w14:textId="77777777" w:rsidR="00A55919" w:rsidRPr="007A3223" w:rsidRDefault="00A55919" w:rsidP="00A55919">
      <w:pPr>
        <w:widowControl w:val="0"/>
        <w:autoSpaceDE w:val="0"/>
        <w:autoSpaceDN w:val="0"/>
        <w:adjustRightInd w:val="0"/>
        <w:spacing w:after="0"/>
        <w:rPr>
          <w:color w:val="000000"/>
          <w:szCs w:val="24"/>
        </w:rPr>
      </w:pPr>
      <w:r w:rsidRPr="00F33908">
        <w:rPr>
          <w:color w:val="000000"/>
          <w:szCs w:val="24"/>
        </w:rPr>
        <w:t xml:space="preserve"> </w:t>
      </w:r>
    </w:p>
    <w:p w14:paraId="09A56F4E" w14:textId="77777777" w:rsidR="00A55919" w:rsidRPr="007A3223" w:rsidRDefault="00A55919" w:rsidP="00A55919">
      <w:pPr>
        <w:widowControl w:val="0"/>
        <w:autoSpaceDE w:val="0"/>
        <w:autoSpaceDN w:val="0"/>
        <w:adjustRightInd w:val="0"/>
        <w:spacing w:after="0"/>
        <w:rPr>
          <w:color w:val="000000"/>
          <w:szCs w:val="24"/>
        </w:rPr>
      </w:pPr>
      <w:r w:rsidRPr="007A3223">
        <w:rPr>
          <w:noProof/>
          <w:lang w:eastAsia="ko-KR"/>
        </w:rPr>
        <mc:AlternateContent>
          <mc:Choice Requires="wpg">
            <w:drawing>
              <wp:inline distT="0" distB="0" distL="0" distR="0" wp14:anchorId="6DFD9136" wp14:editId="33B8AEF1">
                <wp:extent cx="4987925" cy="406400"/>
                <wp:effectExtent l="0" t="0" r="15875" b="184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94" cy="406400"/>
                          <a:chOff x="1349" y="0"/>
                          <a:chExt cx="71935" cy="4375"/>
                        </a:xfrm>
                      </wpg:grpSpPr>
                      <wps:wsp>
                        <wps:cNvPr id="31" name="Rectangle 17"/>
                        <wps:cNvSpPr txBox="1">
                          <a:spLocks noChangeArrowheads="1"/>
                        </wps:cNvSpPr>
                        <wps:spPr bwMode="auto">
                          <a:xfrm>
                            <a:off x="1349" y="0"/>
                            <a:ext cx="34577" cy="4375"/>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7FA31727" w14:textId="77777777" w:rsidR="0045176A" w:rsidRPr="00576F15" w:rsidRDefault="0045176A" w:rsidP="00A55919">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 xml:space="preserve">C 20mg 5 days/week </w:t>
                              </w:r>
                              <w:r w:rsidRPr="00576F15">
                                <w:rPr>
                                  <w:b/>
                                  <w:bCs/>
                                  <w:color w:val="000000" w:themeColor="dark1"/>
                                  <w:kern w:val="24"/>
                                  <w:sz w:val="20"/>
                                  <w:szCs w:val="20"/>
                                  <w:lang w:val="nl-NL"/>
                                </w:rPr>
                                <w:t xml:space="preserve">po, </w:t>
                              </w:r>
                            </w:p>
                            <w:p w14:paraId="2EBC34B8" w14:textId="2D383797" w:rsidR="0045176A" w:rsidRPr="00576F15"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5D009B">
                                <w:rPr>
                                  <w:b/>
                                  <w:bCs/>
                                  <w:color w:val="000000" w:themeColor="dark1"/>
                                  <w:kern w:val="24"/>
                                  <w:sz w:val="20"/>
                                  <w:szCs w:val="20"/>
                                </w:rPr>
                                <w:t>Durvalumab</w:t>
                              </w:r>
                              <w:r w:rsidRPr="00576F15">
                                <w:rPr>
                                  <w:b/>
                                  <w:bCs/>
                                  <w:color w:val="000000" w:themeColor="dark1"/>
                                  <w:kern w:val="24"/>
                                  <w:sz w:val="20"/>
                                  <w:szCs w:val="20"/>
                                  <w:lang w:val="nl-NL"/>
                                </w:rPr>
                                <w:t xml:space="preserve"> IV</w:t>
                              </w:r>
                              <w:r>
                                <w:rPr>
                                  <w:b/>
                                  <w:bCs/>
                                  <w:color w:val="000000" w:themeColor="dark1"/>
                                  <w:kern w:val="24"/>
                                  <w:sz w:val="20"/>
                                  <w:szCs w:val="20"/>
                                  <w:lang w:val="nl-NL"/>
                                </w:rPr>
                                <w:t xml:space="preserve"> 1500mg q 4 weks</w:t>
                              </w:r>
                            </w:p>
                            <w:p w14:paraId="053F52EF" w14:textId="77777777" w:rsidR="0045176A" w:rsidRPr="00E759B6" w:rsidRDefault="0045176A" w:rsidP="00A55919">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695D575D" w14:textId="77777777" w:rsidR="0045176A" w:rsidRPr="00E759B6" w:rsidRDefault="0045176A" w:rsidP="00A55919">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3CED81FF" w14:textId="77777777" w:rsidR="0045176A" w:rsidRPr="00E759B6" w:rsidRDefault="0045176A" w:rsidP="00A55919">
                              <w:pPr>
                                <w:pStyle w:val="NormalWeb"/>
                                <w:spacing w:before="0" w:beforeAutospacing="0" w:after="0" w:afterAutospacing="0"/>
                                <w:textAlignment w:val="baseline"/>
                                <w:rPr>
                                  <w:sz w:val="20"/>
                                  <w:szCs w:val="20"/>
                                </w:rPr>
                              </w:pPr>
                            </w:p>
                          </w:txbxContent>
                        </wps:txbx>
                        <wps:bodyPr rot="0" vert="horz" wrap="square" lIns="91440" tIns="45720" rIns="91440" bIns="45720" anchor="ctr" anchorCtr="0" upright="1">
                          <a:noAutofit/>
                        </wps:bodyPr>
                      </wps:wsp>
                      <wps:wsp>
                        <wps:cNvPr id="1632" name="Rectangle 17"/>
                        <wps:cNvSpPr txBox="1">
                          <a:spLocks noChangeArrowheads="1"/>
                        </wps:cNvSpPr>
                        <wps:spPr bwMode="auto">
                          <a:xfrm>
                            <a:off x="37021" y="44"/>
                            <a:ext cx="36263" cy="4331"/>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7EB4D3A3" w14:textId="77777777" w:rsidR="0045176A" w:rsidRPr="001A10A8"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C </w:t>
                              </w:r>
                              <w:r>
                                <w:rPr>
                                  <w:b/>
                                  <w:bCs/>
                                  <w:color w:val="000000" w:themeColor="dark1"/>
                                  <w:kern w:val="24"/>
                                  <w:sz w:val="20"/>
                                  <w:szCs w:val="20"/>
                                  <w:lang w:val="nl-NL"/>
                                </w:rPr>
                                <w:t>20mg 5 days/week</w:t>
                              </w:r>
                              <w:r w:rsidRPr="001A10A8">
                                <w:rPr>
                                  <w:b/>
                                  <w:bCs/>
                                  <w:color w:val="000000" w:themeColor="dark1"/>
                                  <w:kern w:val="24"/>
                                  <w:sz w:val="20"/>
                                  <w:szCs w:val="20"/>
                                  <w:lang w:val="nl-NL"/>
                                </w:rPr>
                                <w:t xml:space="preserve"> po, </w:t>
                              </w:r>
                            </w:p>
                            <w:p w14:paraId="7A280248" w14:textId="42C5E34A" w:rsidR="0045176A" w:rsidRPr="001A10A8"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5D009B">
                                <w:rPr>
                                  <w:b/>
                                  <w:bCs/>
                                  <w:color w:val="000000" w:themeColor="dark1"/>
                                  <w:kern w:val="24"/>
                                  <w:sz w:val="20"/>
                                  <w:szCs w:val="20"/>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weks</w:t>
                              </w:r>
                            </w:p>
                            <w:p w14:paraId="6BEC7DEA" w14:textId="77777777" w:rsidR="0045176A" w:rsidRPr="005E1A08" w:rsidRDefault="0045176A" w:rsidP="00A55919">
                              <w:pPr>
                                <w:pStyle w:val="NormalWeb"/>
                                <w:spacing w:before="0" w:beforeAutospacing="0" w:after="0" w:afterAutospacing="0"/>
                                <w:textAlignment w:val="baseline"/>
                                <w:rPr>
                                  <w:sz w:val="28"/>
                                  <w:szCs w:val="28"/>
                                </w:rPr>
                              </w:pPr>
                            </w:p>
                          </w:txbxContent>
                        </wps:txbx>
                        <wps:bodyPr rot="0" vert="horz" wrap="square" lIns="91440" tIns="45720" rIns="91440" bIns="45720" anchor="ctr" anchorCtr="0" upright="1">
                          <a:noAutofit/>
                        </wps:bodyPr>
                      </wps:wsp>
                    </wpg:wgp>
                  </a:graphicData>
                </a:graphic>
              </wp:inline>
            </w:drawing>
          </mc:Choice>
          <mc:Fallback>
            <w:pict>
              <v:group w14:anchorId="6DFD9136" id="_x0000_s1029" style="width:392.75pt;height:32pt;mso-position-horizontal-relative:char;mso-position-vertical-relative:line" coordorigin="1349" coordsize="71935,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">
                <v:shape id="Rectangle 17" o:spid="_x0000_s1030" type="#_x0000_t202" style="position:absolute;left:1349;width:34577;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" fillcolor="#f5ffe6" strokecolor="black [3213]">
                  <v:fill color2="#dafda7" rotate="t" colors="0 #f5ffe6;42598f #e4fdc2;1 #dafda7" focus="100%" type="gradient"/>
                  <v:shadow on="t" color="black" opacity="24903f" origin=",.5" offset="0,.55556mm"/>
                  <v:textbox>
                    <w:txbxContent>
                      <w:p w14:paraId="7FA31727" w14:textId="77777777" w:rsidR="0045176A" w:rsidRPr="00576F15" w:rsidRDefault="0045176A" w:rsidP="00A55919">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 xml:space="preserve">C 20mg 5 days/week </w:t>
                        </w:r>
                        <w:r w:rsidRPr="00576F15">
                          <w:rPr>
                            <w:b/>
                            <w:bCs/>
                            <w:color w:val="000000" w:themeColor="dark1"/>
                            <w:kern w:val="24"/>
                            <w:sz w:val="20"/>
                            <w:szCs w:val="20"/>
                            <w:lang w:val="nl-NL"/>
                          </w:rPr>
                          <w:t xml:space="preserve">po, </w:t>
                        </w:r>
                      </w:p>
                      <w:p w14:paraId="2EBC34B8" w14:textId="2D383797" w:rsidR="0045176A" w:rsidRPr="00576F15"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5D009B">
                          <w:rPr>
                            <w:b/>
                            <w:bCs/>
                            <w:color w:val="000000" w:themeColor="dark1"/>
                            <w:kern w:val="24"/>
                            <w:sz w:val="20"/>
                            <w:szCs w:val="20"/>
                          </w:rPr>
                          <w:t>Durvalumab</w:t>
                        </w:r>
                        <w:r w:rsidRPr="00576F15">
                          <w:rPr>
                            <w:b/>
                            <w:bCs/>
                            <w:color w:val="000000" w:themeColor="dark1"/>
                            <w:kern w:val="24"/>
                            <w:sz w:val="20"/>
                            <w:szCs w:val="20"/>
                            <w:lang w:val="nl-NL"/>
                          </w:rPr>
                          <w:t xml:space="preserve"> IV</w:t>
                        </w:r>
                        <w:r>
                          <w:rPr>
                            <w:b/>
                            <w:bCs/>
                            <w:color w:val="000000" w:themeColor="dark1"/>
                            <w:kern w:val="24"/>
                            <w:sz w:val="20"/>
                            <w:szCs w:val="20"/>
                            <w:lang w:val="nl-NL"/>
                          </w:rPr>
                          <w:t xml:space="preserve"> 1500mg q 4 weks</w:t>
                        </w:r>
                      </w:p>
                      <w:p w14:paraId="053F52EF" w14:textId="77777777" w:rsidR="0045176A" w:rsidRPr="00E759B6" w:rsidRDefault="0045176A" w:rsidP="00A55919">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695D575D" w14:textId="77777777" w:rsidR="0045176A" w:rsidRPr="00E759B6" w:rsidRDefault="0045176A" w:rsidP="00A55919">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3CED81FF" w14:textId="77777777" w:rsidR="0045176A" w:rsidRPr="00E759B6" w:rsidRDefault="0045176A" w:rsidP="00A55919">
                        <w:pPr>
                          <w:pStyle w:val="NormalWeb"/>
                          <w:spacing w:before="0" w:beforeAutospacing="0" w:after="0" w:afterAutospacing="0"/>
                          <w:textAlignment w:val="baseline"/>
                          <w:rPr>
                            <w:sz w:val="20"/>
                            <w:szCs w:val="20"/>
                          </w:rPr>
                        </w:pPr>
                      </w:p>
                    </w:txbxContent>
                  </v:textbox>
                </v:shape>
                <v:shape id="Rectangle 17" o:spid="_x0000_s1031" type="#_x0000_t202" style="position:absolute;left:37021;top:44;width:36263;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" fillcolor="#f5ffe6" strokecolor="black [3213]">
                  <v:fill color2="#dafda7" rotate="t" colors="0 #f5ffe6;42598f #e4fdc2;1 #dafda7" focus="100%" type="gradient"/>
                  <v:shadow on="t" color="black" opacity="24903f" origin=",.5" offset="0,.55556mm"/>
                  <v:textbox>
                    <w:txbxContent>
                      <w:p w14:paraId="7EB4D3A3" w14:textId="77777777" w:rsidR="0045176A" w:rsidRPr="001A10A8"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C </w:t>
                        </w:r>
                        <w:r>
                          <w:rPr>
                            <w:b/>
                            <w:bCs/>
                            <w:color w:val="000000" w:themeColor="dark1"/>
                            <w:kern w:val="24"/>
                            <w:sz w:val="20"/>
                            <w:szCs w:val="20"/>
                            <w:lang w:val="nl-NL"/>
                          </w:rPr>
                          <w:t>20mg 5 days/week</w:t>
                        </w:r>
                        <w:r w:rsidRPr="001A10A8">
                          <w:rPr>
                            <w:b/>
                            <w:bCs/>
                            <w:color w:val="000000" w:themeColor="dark1"/>
                            <w:kern w:val="24"/>
                            <w:sz w:val="20"/>
                            <w:szCs w:val="20"/>
                            <w:lang w:val="nl-NL"/>
                          </w:rPr>
                          <w:t xml:space="preserve"> po, </w:t>
                        </w:r>
                      </w:p>
                      <w:p w14:paraId="7A280248" w14:textId="42C5E34A" w:rsidR="0045176A" w:rsidRPr="001A10A8" w:rsidRDefault="0045176A" w:rsidP="00A55919">
                        <w:pPr>
                          <w:pStyle w:val="NormalWeb"/>
                          <w:spacing w:before="0" w:beforeAutospacing="0" w:after="0" w:afterAutospacing="0"/>
                          <w:textAlignment w:val="baseline"/>
                          <w:rPr>
                            <w:b/>
                            <w:bCs/>
                            <w:color w:val="000000" w:themeColor="dark1"/>
                            <w:kern w:val="24"/>
                            <w:sz w:val="20"/>
                            <w:szCs w:val="20"/>
                            <w:lang w:val="nl-NL"/>
                          </w:rPr>
                        </w:pPr>
                        <w:r w:rsidRPr="005D009B">
                          <w:rPr>
                            <w:b/>
                            <w:bCs/>
                            <w:color w:val="000000" w:themeColor="dark1"/>
                            <w:kern w:val="24"/>
                            <w:sz w:val="20"/>
                            <w:szCs w:val="20"/>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weks</w:t>
                        </w:r>
                      </w:p>
                      <w:p w14:paraId="6BEC7DEA" w14:textId="77777777" w:rsidR="0045176A" w:rsidRPr="005E1A08" w:rsidRDefault="0045176A" w:rsidP="00A55919">
                        <w:pPr>
                          <w:pStyle w:val="NormalWeb"/>
                          <w:spacing w:before="0" w:beforeAutospacing="0" w:after="0" w:afterAutospacing="0"/>
                          <w:textAlignment w:val="baseline"/>
                          <w:rPr>
                            <w:sz w:val="28"/>
                            <w:szCs w:val="28"/>
                          </w:rPr>
                        </w:pPr>
                      </w:p>
                    </w:txbxContent>
                  </v:textbox>
                </v:shape>
                <w10:anchorlock/>
              </v:group>
            </w:pict>
          </mc:Fallback>
        </mc:AlternateContent>
      </w:r>
    </w:p>
    <w:p w14:paraId="2AABCAE5" w14:textId="77777777" w:rsidR="00A55919" w:rsidRPr="00F33908" w:rsidRDefault="00A55919" w:rsidP="00A55919">
      <w:pPr>
        <w:spacing w:after="0"/>
      </w:pPr>
    </w:p>
    <w:tbl>
      <w:tblPr>
        <w:tblStyle w:val="TableGrid"/>
        <w:tblW w:w="914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
        <w:gridCol w:w="8852"/>
      </w:tblGrid>
      <w:tr w:rsidR="00A55919" w:rsidRPr="007A3223" w14:paraId="33AE4401" w14:textId="77777777" w:rsidTr="005C75F7">
        <w:trPr>
          <w:trHeight w:val="351"/>
        </w:trPr>
        <w:tc>
          <w:tcPr>
            <w:tcW w:w="290" w:type="dxa"/>
          </w:tcPr>
          <w:p w14:paraId="1B937894" w14:textId="77777777" w:rsidR="00A55919" w:rsidRPr="007A3223" w:rsidRDefault="00A55919" w:rsidP="00A6594E">
            <w:pPr>
              <w:pStyle w:val="NormalWeb"/>
              <w:spacing w:before="0" w:beforeAutospacing="0" w:after="0" w:afterAutospacing="0" w:line="168" w:lineRule="auto"/>
              <w:ind w:left="-18"/>
              <w:textAlignment w:val="baseline"/>
              <w:rPr>
                <w:b/>
                <w:bCs/>
                <w:i/>
                <w:iCs/>
                <w:color w:val="31849B" w:themeColor="accent5" w:themeShade="BF"/>
                <w:kern w:val="24"/>
                <w:sz w:val="20"/>
                <w:szCs w:val="20"/>
              </w:rPr>
            </w:pPr>
          </w:p>
        </w:tc>
        <w:tc>
          <w:tcPr>
            <w:tcW w:w="8852" w:type="dxa"/>
            <w:vAlign w:val="bottom"/>
          </w:tcPr>
          <w:p w14:paraId="038580E3" w14:textId="77777777" w:rsidR="00A55919" w:rsidRPr="007A3223" w:rsidRDefault="00A55919" w:rsidP="003B4A5B">
            <w:pPr>
              <w:pStyle w:val="NormalWeb"/>
              <w:spacing w:before="0" w:beforeAutospacing="0" w:after="0" w:afterAutospacing="0"/>
              <w:ind w:left="-648"/>
              <w:textAlignment w:val="baseline"/>
              <w:rPr>
                <w:b/>
                <w:bCs/>
                <w:i/>
                <w:iCs/>
                <w:color w:val="31849B" w:themeColor="accent5" w:themeShade="BF"/>
                <w:kern w:val="24"/>
                <w:sz w:val="20"/>
                <w:szCs w:val="20"/>
              </w:rPr>
            </w:pPr>
            <w:r w:rsidRPr="007A3223">
              <w:rPr>
                <w:b/>
                <w:bCs/>
                <w:i/>
                <w:iCs/>
                <w:color w:val="31849B" w:themeColor="accent5" w:themeShade="BF"/>
                <w:kern w:val="24"/>
                <w:sz w:val="20"/>
                <w:szCs w:val="20"/>
              </w:rPr>
              <w:t xml:space="preserve">         </w:t>
            </w:r>
            <w:r w:rsidR="005C75F7" w:rsidRPr="007A3223">
              <w:rPr>
                <w:b/>
                <w:bCs/>
                <w:i/>
                <w:iCs/>
                <w:color w:val="31849B" w:themeColor="accent5" w:themeShade="BF"/>
                <w:kern w:val="24"/>
                <w:sz w:val="20"/>
                <w:szCs w:val="20"/>
              </w:rPr>
              <w:t xml:space="preserve"> </w:t>
            </w:r>
            <w:r w:rsidRPr="007A3223">
              <w:rPr>
                <w:b/>
                <w:bCs/>
                <w:i/>
                <w:iCs/>
                <w:color w:val="31849B" w:themeColor="accent5" w:themeShade="BF"/>
                <w:kern w:val="24"/>
                <w:sz w:val="20"/>
                <w:szCs w:val="20"/>
              </w:rPr>
              <w:t xml:space="preserve">PBMCs: pretreatment, </w:t>
            </w:r>
            <w:r w:rsidR="005C75F7" w:rsidRPr="007A3223">
              <w:rPr>
                <w:b/>
                <w:bCs/>
                <w:i/>
                <w:iCs/>
                <w:color w:val="31849B" w:themeColor="accent5" w:themeShade="BF"/>
                <w:kern w:val="24"/>
                <w:sz w:val="20"/>
                <w:szCs w:val="20"/>
              </w:rPr>
              <w:t xml:space="preserve">prior to </w:t>
            </w:r>
            <w:r w:rsidR="003B4A5B" w:rsidRPr="007A3223">
              <w:rPr>
                <w:b/>
                <w:bCs/>
                <w:i/>
                <w:iCs/>
                <w:color w:val="31849B" w:themeColor="accent5" w:themeShade="BF"/>
                <w:kern w:val="24"/>
                <w:sz w:val="20"/>
                <w:szCs w:val="20"/>
              </w:rPr>
              <w:t>cycle 1 day 15</w:t>
            </w:r>
            <w:r w:rsidR="00553B68" w:rsidRPr="007A3223">
              <w:rPr>
                <w:b/>
                <w:bCs/>
                <w:i/>
                <w:iCs/>
                <w:color w:val="31849B" w:themeColor="accent5" w:themeShade="BF"/>
                <w:kern w:val="24"/>
                <w:sz w:val="20"/>
                <w:szCs w:val="20"/>
              </w:rPr>
              <w:t>,</w:t>
            </w:r>
            <w:r w:rsidRPr="007A3223">
              <w:rPr>
                <w:b/>
                <w:bCs/>
                <w:i/>
                <w:iCs/>
                <w:color w:val="31849B" w:themeColor="accent5" w:themeShade="BF"/>
                <w:kern w:val="24"/>
                <w:sz w:val="20"/>
                <w:szCs w:val="20"/>
              </w:rPr>
              <w:t xml:space="preserve"> pre- cycle 3 day 1</w:t>
            </w:r>
            <w:r w:rsidR="00553B68" w:rsidRPr="007A3223">
              <w:rPr>
                <w:b/>
                <w:bCs/>
                <w:i/>
                <w:iCs/>
                <w:color w:val="31849B" w:themeColor="accent5" w:themeShade="BF"/>
                <w:kern w:val="24"/>
                <w:sz w:val="20"/>
                <w:szCs w:val="20"/>
              </w:rPr>
              <w:t>, and progression</w:t>
            </w:r>
            <w:r w:rsidRPr="007A3223">
              <w:rPr>
                <w:b/>
                <w:bCs/>
                <w:i/>
                <w:iCs/>
                <w:color w:val="31849B" w:themeColor="accent5" w:themeShade="BF"/>
                <w:kern w:val="24"/>
                <w:sz w:val="20"/>
                <w:szCs w:val="20"/>
              </w:rPr>
              <w:t xml:space="preserve"> (phase II only</w:t>
            </w:r>
            <w:r w:rsidR="005C75F7" w:rsidRPr="007A3223">
              <w:rPr>
                <w:b/>
                <w:bCs/>
                <w:i/>
                <w:iCs/>
                <w:color w:val="31849B" w:themeColor="accent5" w:themeShade="BF"/>
                <w:kern w:val="24"/>
                <w:sz w:val="20"/>
                <w:szCs w:val="20"/>
              </w:rPr>
              <w:t>)</w:t>
            </w:r>
          </w:p>
        </w:tc>
      </w:tr>
      <w:tr w:rsidR="00A55919" w:rsidRPr="007A3223" w14:paraId="6EEA0BF3" w14:textId="77777777" w:rsidTr="005C75F7">
        <w:trPr>
          <w:trHeight w:val="108"/>
        </w:trPr>
        <w:tc>
          <w:tcPr>
            <w:tcW w:w="290" w:type="dxa"/>
          </w:tcPr>
          <w:p w14:paraId="3F73B567" w14:textId="77777777" w:rsidR="00A55919" w:rsidRPr="007A3223" w:rsidRDefault="00A55919" w:rsidP="00A6594E">
            <w:pPr>
              <w:pStyle w:val="NormalWeb"/>
              <w:spacing w:before="0" w:beforeAutospacing="0" w:after="0" w:afterAutospacing="0" w:line="168" w:lineRule="auto"/>
              <w:textAlignment w:val="baseline"/>
            </w:pPr>
          </w:p>
        </w:tc>
        <w:tc>
          <w:tcPr>
            <w:tcW w:w="8852" w:type="dxa"/>
            <w:vAlign w:val="bottom"/>
          </w:tcPr>
          <w:p w14:paraId="5502FE7E" w14:textId="77777777" w:rsidR="00A55919" w:rsidRPr="007A3223" w:rsidRDefault="00A55919" w:rsidP="005C75F7">
            <w:pPr>
              <w:pStyle w:val="NormalWeb"/>
              <w:spacing w:before="120" w:beforeAutospacing="0" w:after="0" w:afterAutospacing="0"/>
              <w:textAlignment w:val="baseline"/>
              <w:rPr>
                <w:b/>
                <w:bCs/>
                <w:i/>
                <w:iCs/>
                <w:color w:val="FF0000"/>
                <w:kern w:val="24"/>
              </w:rPr>
            </w:pPr>
            <w:r w:rsidRPr="007A3223">
              <w:rPr>
                <w:b/>
                <w:bCs/>
                <w:i/>
                <w:iCs/>
                <w:color w:val="7F0090"/>
                <w:kern w:val="24"/>
              </w:rPr>
              <w:t xml:space="preserve">Tumor core biopsy: pretreatment and two optional bx (Phase II only) </w:t>
            </w:r>
          </w:p>
        </w:tc>
      </w:tr>
    </w:tbl>
    <w:p w14:paraId="65D8CF0E" w14:textId="77777777" w:rsidR="000723F1" w:rsidRPr="007A3223" w:rsidRDefault="000723F1" w:rsidP="004556C0">
      <w:pPr>
        <w:spacing w:after="0"/>
        <w:rPr>
          <w:sz w:val="20"/>
          <w:szCs w:val="20"/>
        </w:rPr>
      </w:pPr>
    </w:p>
    <w:p w14:paraId="498C27A6" w14:textId="3AFC6B31" w:rsidR="000723F1" w:rsidRPr="007A3223" w:rsidRDefault="000723F1" w:rsidP="000723F1">
      <w:pPr>
        <w:spacing w:after="0"/>
        <w:rPr>
          <w:sz w:val="20"/>
          <w:szCs w:val="20"/>
        </w:rPr>
      </w:pPr>
      <w:r w:rsidRPr="007A3223">
        <w:rPr>
          <w:sz w:val="20"/>
          <w:szCs w:val="20"/>
        </w:rPr>
        <w:lastRenderedPageBreak/>
        <w:t>* Randomization procedures do not apply to the Phase I and Phase II portions of the study. The arms will be open concurrently and treatment assignment for each patient will be at the PI’s discretion and/or based on prior treatment history.</w:t>
      </w:r>
    </w:p>
    <w:p w14:paraId="20D9E3CC" w14:textId="77777777" w:rsidR="000723F1" w:rsidRPr="007A3223" w:rsidRDefault="000723F1" w:rsidP="000723F1">
      <w:pPr>
        <w:spacing w:after="0"/>
        <w:rPr>
          <w:sz w:val="20"/>
          <w:szCs w:val="20"/>
        </w:rPr>
      </w:pPr>
    </w:p>
    <w:p w14:paraId="6204D070" w14:textId="77777777" w:rsidR="000723F1" w:rsidRPr="007A3223" w:rsidRDefault="000723F1" w:rsidP="004556C0">
      <w:pPr>
        <w:spacing w:after="0"/>
        <w:rPr>
          <w:sz w:val="20"/>
          <w:szCs w:val="20"/>
        </w:rPr>
      </w:pPr>
    </w:p>
    <w:p w14:paraId="0DC8D41F" w14:textId="77777777" w:rsidR="00D95F33" w:rsidRPr="007A3223" w:rsidRDefault="00D95F33" w:rsidP="00D95F33"/>
    <w:p w14:paraId="572328A4" w14:textId="77777777" w:rsidR="00E25DED" w:rsidRPr="007A3223" w:rsidRDefault="00E25DED" w:rsidP="00D95F33"/>
    <w:p w14:paraId="7ADAEE39" w14:textId="77777777" w:rsidR="00E25DED" w:rsidRPr="007A3223" w:rsidRDefault="00E25DED" w:rsidP="00D95F33"/>
    <w:p w14:paraId="62318117" w14:textId="51FC61C1" w:rsidR="00D95F33" w:rsidRPr="007A3223" w:rsidRDefault="00D95F33" w:rsidP="00D95F33">
      <w:pPr>
        <w:rPr>
          <w:b/>
        </w:rPr>
      </w:pPr>
      <w:r w:rsidRPr="007A3223">
        <w:rPr>
          <w:b/>
        </w:rPr>
        <w:t xml:space="preserve">Phase II </w:t>
      </w:r>
      <w:r w:rsidR="00CD17CD" w:rsidRPr="007A3223">
        <w:rPr>
          <w:b/>
        </w:rPr>
        <w:t xml:space="preserve">Cohort 6 </w:t>
      </w:r>
      <w:r w:rsidRPr="007A3223">
        <w:rPr>
          <w:b/>
        </w:rPr>
        <w:t>C+</w:t>
      </w:r>
      <w:r w:rsidR="00A476D8" w:rsidRPr="00A476D8">
        <w:rPr>
          <w:b/>
        </w:rPr>
        <w:t>Durvalumab</w:t>
      </w:r>
      <w:r w:rsidRPr="007A3223">
        <w:rPr>
          <w:b/>
        </w:rPr>
        <w:t xml:space="preserve"> </w:t>
      </w:r>
      <w:r w:rsidR="00AA455C" w:rsidRPr="007A3223">
        <w:rPr>
          <w:b/>
        </w:rPr>
        <w:t>Arm</w:t>
      </w:r>
      <w:r w:rsidRPr="007A3223">
        <w:rPr>
          <w:b/>
        </w:rPr>
        <w:t xml:space="preserve"> Schema (CRC)</w:t>
      </w:r>
    </w:p>
    <w:p w14:paraId="4BDDE2DF" w14:textId="061BAE35" w:rsidR="00D95F33" w:rsidRPr="007A3223" w:rsidRDefault="004F0EF5" w:rsidP="00987658">
      <w:r w:rsidRPr="007A3223">
        <w:rPr>
          <w:noProof/>
          <w:lang w:eastAsia="ko-KR"/>
        </w:rPr>
        <w:drawing>
          <wp:inline distT="0" distB="0" distL="0" distR="0" wp14:anchorId="3D4F6E81" wp14:editId="7A9B0883">
            <wp:extent cx="5943600" cy="28435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C.pdf"/>
                    <pic:cNvPicPr/>
                  </pic:nvPicPr>
                  <pic:blipFill rotWithShape="1">
                    <a:blip r:embed="rId19">
                      <a:extLst>
                        <a:ext uri="{28A0092B-C50C-407E-A947-70E740481C1C}">
                          <a14:useLocalDpi xmlns:a14="http://schemas.microsoft.com/office/drawing/2010/main" val="0"/>
                        </a:ext>
                      </a:extLst>
                    </a:blip>
                    <a:srcRect t="16540"/>
                    <a:stretch/>
                  </pic:blipFill>
                  <pic:spPr bwMode="auto">
                    <a:xfrm>
                      <a:off x="0" y="0"/>
                      <a:ext cx="5943600" cy="2843530"/>
                    </a:xfrm>
                    <a:prstGeom prst="rect">
                      <a:avLst/>
                    </a:prstGeom>
                    <a:ln>
                      <a:noFill/>
                    </a:ln>
                    <a:extLst>
                      <a:ext uri="{53640926-AAD7-44D8-BBD7-CCE9431645EC}">
                        <a14:shadowObscured xmlns:a14="http://schemas.microsoft.com/office/drawing/2010/main"/>
                      </a:ext>
                    </a:extLst>
                  </pic:spPr>
                </pic:pic>
              </a:graphicData>
            </a:graphic>
          </wp:inline>
        </w:drawing>
      </w:r>
    </w:p>
    <w:p w14:paraId="1A556B71" w14:textId="77777777" w:rsidR="00D95F33" w:rsidRPr="00F33908" w:rsidRDefault="00D95F33" w:rsidP="00D95F33">
      <w:pPr>
        <w:spacing w:after="0"/>
      </w:pPr>
    </w:p>
    <w:tbl>
      <w:tblPr>
        <w:tblStyle w:val="TableGrid"/>
        <w:tblW w:w="914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
        <w:gridCol w:w="8852"/>
      </w:tblGrid>
      <w:tr w:rsidR="00D95F33" w:rsidRPr="007A3223" w14:paraId="1BB507ED" w14:textId="77777777" w:rsidTr="00906939">
        <w:trPr>
          <w:trHeight w:val="351"/>
        </w:trPr>
        <w:tc>
          <w:tcPr>
            <w:tcW w:w="290" w:type="dxa"/>
          </w:tcPr>
          <w:p w14:paraId="5A078D24" w14:textId="77777777" w:rsidR="00D95F33" w:rsidRPr="007A3223" w:rsidRDefault="00D95F33" w:rsidP="00906939">
            <w:pPr>
              <w:pStyle w:val="NormalWeb"/>
              <w:spacing w:before="0" w:beforeAutospacing="0" w:after="0" w:afterAutospacing="0" w:line="168" w:lineRule="auto"/>
              <w:ind w:left="-18"/>
              <w:textAlignment w:val="baseline"/>
              <w:rPr>
                <w:b/>
                <w:bCs/>
                <w:i/>
                <w:iCs/>
                <w:color w:val="31849B" w:themeColor="accent5" w:themeShade="BF"/>
                <w:kern w:val="24"/>
                <w:sz w:val="20"/>
                <w:szCs w:val="20"/>
              </w:rPr>
            </w:pPr>
          </w:p>
        </w:tc>
        <w:tc>
          <w:tcPr>
            <w:tcW w:w="8852" w:type="dxa"/>
            <w:vAlign w:val="bottom"/>
          </w:tcPr>
          <w:p w14:paraId="6EBE75AB" w14:textId="24AF49A6" w:rsidR="00D95F33" w:rsidRPr="007A3223" w:rsidRDefault="006D121C" w:rsidP="00906939">
            <w:pPr>
              <w:pStyle w:val="NormalWeb"/>
              <w:spacing w:before="0" w:beforeAutospacing="0" w:after="0" w:afterAutospacing="0"/>
              <w:ind w:left="-648"/>
              <w:textAlignment w:val="baseline"/>
              <w:rPr>
                <w:b/>
                <w:bCs/>
                <w:i/>
                <w:iCs/>
                <w:color w:val="31849B" w:themeColor="accent5" w:themeShade="BF"/>
                <w:kern w:val="24"/>
                <w:sz w:val="20"/>
                <w:szCs w:val="20"/>
              </w:rPr>
            </w:pPr>
            <w:r w:rsidRPr="007A3223">
              <w:rPr>
                <w:b/>
                <w:bCs/>
                <w:i/>
                <w:iCs/>
                <w:color w:val="31849B" w:themeColor="accent5" w:themeShade="BF"/>
                <w:kern w:val="24"/>
                <w:sz w:val="20"/>
                <w:szCs w:val="20"/>
              </w:rPr>
              <w:t>S</w:t>
            </w:r>
          </w:p>
        </w:tc>
      </w:tr>
    </w:tbl>
    <w:p w14:paraId="6284298F" w14:textId="5A3F15C2" w:rsidR="00D95F33" w:rsidRPr="007A3223" w:rsidRDefault="00131FA1" w:rsidP="00D95F33">
      <w:pPr>
        <w:spacing w:after="0"/>
        <w:rPr>
          <w:sz w:val="20"/>
          <w:szCs w:val="20"/>
        </w:rPr>
      </w:pPr>
      <w:r w:rsidRPr="007A3223">
        <w:rPr>
          <w:bCs/>
          <w:sz w:val="20"/>
          <w:szCs w:val="20"/>
        </w:rPr>
        <w:t xml:space="preserve">* </w:t>
      </w:r>
      <w:r w:rsidR="00D275F9" w:rsidRPr="007A3223">
        <w:rPr>
          <w:bCs/>
          <w:sz w:val="20"/>
          <w:szCs w:val="20"/>
        </w:rPr>
        <w:t xml:space="preserve">Patients with CRC will be treated with C 20mg daily alone for 14 days (Day-14 through Day -1) followed by the combination at RP2D (C 20mg once a day [5 days on/2 days off] and </w:t>
      </w:r>
      <w:r w:rsidR="00C93CC0" w:rsidRPr="00C93CC0">
        <w:rPr>
          <w:bCs/>
          <w:sz w:val="20"/>
          <w:szCs w:val="20"/>
        </w:rPr>
        <w:t>Durvalumab</w:t>
      </w:r>
      <w:r w:rsidR="00D275F9" w:rsidRPr="007A3223">
        <w:rPr>
          <w:bCs/>
          <w:sz w:val="20"/>
          <w:szCs w:val="20"/>
        </w:rPr>
        <w:t xml:space="preserve"> at 1500 mg every 4 weeks). Of note, there is no Cycle 1 Day 0. </w:t>
      </w:r>
    </w:p>
    <w:p w14:paraId="28F92C07" w14:textId="77777777" w:rsidR="00EF400B" w:rsidRPr="007A3223" w:rsidRDefault="00EF400B">
      <w:pPr>
        <w:spacing w:after="0"/>
      </w:pPr>
    </w:p>
    <w:p w14:paraId="2D7DF3DF" w14:textId="49ECB49D" w:rsidR="00EF400B" w:rsidRPr="007A3223" w:rsidRDefault="00EF400B" w:rsidP="00EF400B">
      <w:pPr>
        <w:rPr>
          <w:b/>
        </w:rPr>
      </w:pPr>
      <w:r w:rsidRPr="007A3223">
        <w:rPr>
          <w:b/>
        </w:rPr>
        <w:t xml:space="preserve">Phase II </w:t>
      </w:r>
      <w:r w:rsidR="00CD17CD" w:rsidRPr="007A3223">
        <w:rPr>
          <w:b/>
        </w:rPr>
        <w:t xml:space="preserve">Cohort 1 </w:t>
      </w:r>
      <w:r w:rsidRPr="007A3223">
        <w:rPr>
          <w:b/>
        </w:rPr>
        <w:t>MEDI+O+C Arm Schema (OvCa)</w:t>
      </w:r>
    </w:p>
    <w:p w14:paraId="54018794" w14:textId="77777777" w:rsidR="00EF400B" w:rsidRPr="007A3223" w:rsidRDefault="00EF400B" w:rsidP="00EF400B">
      <w:r w:rsidRPr="007A3223">
        <w:rPr>
          <w:noProof/>
          <w:szCs w:val="24"/>
          <w:lang w:eastAsia="ko-KR"/>
        </w:rPr>
        <w:drawing>
          <wp:inline distT="0" distB="0" distL="0" distR="0" wp14:anchorId="4A4E25C4" wp14:editId="4774C9F1">
            <wp:extent cx="5537200" cy="1437640"/>
            <wp:effectExtent l="95250" t="57150" r="120650" b="10541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9BB233D" w14:textId="77777777" w:rsidR="00EF400B" w:rsidRPr="007A3223" w:rsidRDefault="00EF400B" w:rsidP="00EF400B">
      <w:pPr>
        <w:spacing w:after="0"/>
      </w:pPr>
      <w:r w:rsidRPr="007A3223">
        <w:rPr>
          <w:noProof/>
          <w:lang w:eastAsia="ko-KR"/>
        </w:rPr>
        <w:lastRenderedPageBreak/>
        <mc:AlternateContent>
          <mc:Choice Requires="wpg">
            <w:drawing>
              <wp:inline distT="0" distB="0" distL="0" distR="0" wp14:anchorId="60DDA14C" wp14:editId="3181C6F6">
                <wp:extent cx="4987994" cy="572397"/>
                <wp:effectExtent l="76200" t="50800" r="92075" b="13906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94" cy="572397"/>
                          <a:chOff x="1349" y="0"/>
                          <a:chExt cx="71935" cy="6162"/>
                        </a:xfrm>
                      </wpg:grpSpPr>
                      <wps:wsp>
                        <wps:cNvPr id="21" name="Rectangle 17"/>
                        <wps:cNvSpPr txBox="1">
                          <a:spLocks noChangeArrowheads="1"/>
                        </wps:cNvSpPr>
                        <wps:spPr bwMode="auto">
                          <a:xfrm>
                            <a:off x="1349" y="0"/>
                            <a:ext cx="34577" cy="6162"/>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7A1ACB00" w14:textId="77777777" w:rsidR="0045176A"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O 300mg tablets bid daily po,</w:t>
                              </w:r>
                            </w:p>
                            <w:p w14:paraId="70EAC39F" w14:textId="77777777" w:rsidR="0045176A" w:rsidRPr="00576F15"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 xml:space="preserve">C 20mg 5 days/week </w:t>
                              </w:r>
                              <w:r w:rsidRPr="00576F15">
                                <w:rPr>
                                  <w:b/>
                                  <w:bCs/>
                                  <w:color w:val="000000" w:themeColor="dark1"/>
                                  <w:kern w:val="24"/>
                                  <w:sz w:val="20"/>
                                  <w:szCs w:val="20"/>
                                  <w:lang w:val="nl-NL"/>
                                </w:rPr>
                                <w:t xml:space="preserve">po, </w:t>
                              </w:r>
                            </w:p>
                            <w:p w14:paraId="795F9814" w14:textId="3CAD6207" w:rsidR="0045176A" w:rsidRPr="00576F15"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DA4DB9">
                                <w:rPr>
                                  <w:b/>
                                  <w:bCs/>
                                  <w:color w:val="000000" w:themeColor="dark1"/>
                                  <w:kern w:val="24"/>
                                  <w:sz w:val="20"/>
                                  <w:szCs w:val="20"/>
                                </w:rPr>
                                <w:t>Durvalumab</w:t>
                              </w:r>
                              <w:r w:rsidRPr="00576F15">
                                <w:rPr>
                                  <w:b/>
                                  <w:bCs/>
                                  <w:color w:val="000000" w:themeColor="dark1"/>
                                  <w:kern w:val="24"/>
                                  <w:sz w:val="20"/>
                                  <w:szCs w:val="20"/>
                                  <w:lang w:val="nl-NL"/>
                                </w:rPr>
                                <w:t xml:space="preserve"> IV</w:t>
                              </w:r>
                              <w:r>
                                <w:rPr>
                                  <w:b/>
                                  <w:bCs/>
                                  <w:color w:val="000000" w:themeColor="dark1"/>
                                  <w:kern w:val="24"/>
                                  <w:sz w:val="20"/>
                                  <w:szCs w:val="20"/>
                                  <w:lang w:val="nl-NL"/>
                                </w:rPr>
                                <w:t xml:space="preserve"> 1500mg q 4 weks</w:t>
                              </w:r>
                            </w:p>
                            <w:p w14:paraId="635A3811" w14:textId="77777777" w:rsidR="0045176A" w:rsidRPr="00E759B6" w:rsidRDefault="0045176A" w:rsidP="00EF400B">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725C74F" w14:textId="77777777" w:rsidR="0045176A" w:rsidRPr="00E759B6" w:rsidRDefault="0045176A" w:rsidP="00EF400B">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F5BE117" w14:textId="77777777" w:rsidR="0045176A" w:rsidRPr="00E759B6" w:rsidRDefault="0045176A" w:rsidP="00EF400B">
                              <w:pPr>
                                <w:pStyle w:val="NormalWeb"/>
                                <w:spacing w:before="0" w:beforeAutospacing="0" w:after="0" w:afterAutospacing="0"/>
                                <w:textAlignment w:val="baseline"/>
                                <w:rPr>
                                  <w:sz w:val="20"/>
                                  <w:szCs w:val="20"/>
                                </w:rPr>
                              </w:pPr>
                            </w:p>
                          </w:txbxContent>
                        </wps:txbx>
                        <wps:bodyPr rot="0" vert="horz" wrap="square" lIns="91440" tIns="45720" rIns="91440" bIns="45720" anchor="ctr" anchorCtr="0" upright="1">
                          <a:noAutofit/>
                        </wps:bodyPr>
                      </wps:wsp>
                      <wps:wsp>
                        <wps:cNvPr id="28" name="Rectangle 17"/>
                        <wps:cNvSpPr txBox="1">
                          <a:spLocks noChangeArrowheads="1"/>
                        </wps:cNvSpPr>
                        <wps:spPr bwMode="auto">
                          <a:xfrm>
                            <a:off x="37021" y="44"/>
                            <a:ext cx="36263" cy="6118"/>
                          </a:xfrm>
                          <a:prstGeom prst="rect">
                            <a:avLst/>
                          </a:prstGeom>
                          <a:gradFill rotWithShape="1">
                            <a:gsLst>
                              <a:gs pos="0">
                                <a:srgbClr val="F5FFE6"/>
                              </a:gs>
                              <a:gs pos="64999">
                                <a:srgbClr val="E4FDC2"/>
                              </a:gs>
                              <a:gs pos="100000">
                                <a:srgbClr val="DAFDA7"/>
                              </a:gs>
                            </a:gsLst>
                            <a:lin ang="5400000" scaled="1"/>
                          </a:gradFill>
                          <a:ln w="9525">
                            <a:solidFill>
                              <a:schemeClr val="tx1">
                                <a:lumMod val="100000"/>
                                <a:lumOff val="0"/>
                              </a:schemeClr>
                            </a:solidFill>
                            <a:miter lim="800000"/>
                            <a:headEnd/>
                            <a:tailEnd/>
                          </a:ln>
                          <a:effectLst>
                            <a:outerShdw blurRad="63500" dist="20000" dir="5400000" rotWithShape="0">
                              <a:srgbClr val="000000">
                                <a:alpha val="37999"/>
                              </a:srgbClr>
                            </a:outerShdw>
                          </a:effectLst>
                        </wps:spPr>
                        <wps:txbx>
                          <w:txbxContent>
                            <w:p w14:paraId="2C9FEAD3" w14:textId="77777777" w:rsidR="0045176A"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O 300mg tablets bid daily po,</w:t>
                              </w:r>
                            </w:p>
                            <w:p w14:paraId="0E005DB9" w14:textId="77777777" w:rsidR="0045176A" w:rsidRPr="001A10A8"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C </w:t>
                              </w:r>
                              <w:r>
                                <w:rPr>
                                  <w:b/>
                                  <w:bCs/>
                                  <w:color w:val="000000" w:themeColor="dark1"/>
                                  <w:kern w:val="24"/>
                                  <w:sz w:val="20"/>
                                  <w:szCs w:val="20"/>
                                  <w:lang w:val="nl-NL"/>
                                </w:rPr>
                                <w:t>20mg 5 days/week</w:t>
                              </w:r>
                              <w:r w:rsidRPr="001A10A8">
                                <w:rPr>
                                  <w:b/>
                                  <w:bCs/>
                                  <w:color w:val="000000" w:themeColor="dark1"/>
                                  <w:kern w:val="24"/>
                                  <w:sz w:val="20"/>
                                  <w:szCs w:val="20"/>
                                  <w:lang w:val="nl-NL"/>
                                </w:rPr>
                                <w:t xml:space="preserve"> po, </w:t>
                              </w:r>
                            </w:p>
                            <w:p w14:paraId="3F18371B" w14:textId="62967FB5" w:rsidR="0045176A" w:rsidRPr="001A10A8"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DA4DB9">
                                <w:rPr>
                                  <w:b/>
                                  <w:bCs/>
                                  <w:color w:val="000000" w:themeColor="dark1"/>
                                  <w:kern w:val="24"/>
                                  <w:sz w:val="20"/>
                                  <w:szCs w:val="20"/>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weks</w:t>
                              </w:r>
                            </w:p>
                            <w:p w14:paraId="1F06E9CB" w14:textId="77777777" w:rsidR="0045176A" w:rsidRPr="005E1A08" w:rsidRDefault="0045176A" w:rsidP="00EF400B">
                              <w:pPr>
                                <w:pStyle w:val="NormalWeb"/>
                                <w:spacing w:before="0" w:beforeAutospacing="0" w:after="0" w:afterAutospacing="0"/>
                                <w:textAlignment w:val="baseline"/>
                                <w:rPr>
                                  <w:sz w:val="28"/>
                                  <w:szCs w:val="28"/>
                                </w:rPr>
                              </w:pPr>
                            </w:p>
                          </w:txbxContent>
                        </wps:txbx>
                        <wps:bodyPr rot="0" vert="horz" wrap="square" lIns="91440" tIns="45720" rIns="91440" bIns="45720" anchor="ctr" anchorCtr="0" upright="1">
                          <a:noAutofit/>
                        </wps:bodyPr>
                      </wps:wsp>
                    </wpg:wgp>
                  </a:graphicData>
                </a:graphic>
              </wp:inline>
            </w:drawing>
          </mc:Choice>
          <mc:Fallback>
            <w:pict>
              <v:group w14:anchorId="60DDA14C" id="Group 14" o:spid="_x0000_s1032" style="width:392.75pt;height:45.05pt;mso-position-horizontal-relative:char;mso-position-vertical-relative:line" coordorigin="1349" coordsize="71935,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">
                <v:shape id="Rectangle 17" o:spid="_x0000_s1033" type="#_x0000_t202" style="position:absolute;left:1349;width:34577;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" fillcolor="#f5ffe6" strokecolor="black [3213]">
                  <v:fill color2="#dafda7" rotate="t" colors="0 #f5ffe6;42598f #e4fdc2;1 #dafda7" focus="100%" type="gradient"/>
                  <v:shadow on="t" color="black" opacity="24903f" origin=",.5" offset="0,.55556mm"/>
                  <v:textbox>
                    <w:txbxContent>
                      <w:p w14:paraId="7A1ACB00" w14:textId="77777777" w:rsidR="0045176A"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O 300mg tablets bid daily po,</w:t>
                        </w:r>
                      </w:p>
                      <w:p w14:paraId="70EAC39F" w14:textId="77777777" w:rsidR="0045176A" w:rsidRPr="00576F15"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 xml:space="preserve">C 20mg 5 days/week </w:t>
                        </w:r>
                        <w:r w:rsidRPr="00576F15">
                          <w:rPr>
                            <w:b/>
                            <w:bCs/>
                            <w:color w:val="000000" w:themeColor="dark1"/>
                            <w:kern w:val="24"/>
                            <w:sz w:val="20"/>
                            <w:szCs w:val="20"/>
                            <w:lang w:val="nl-NL"/>
                          </w:rPr>
                          <w:t xml:space="preserve">po, </w:t>
                        </w:r>
                      </w:p>
                      <w:p w14:paraId="795F9814" w14:textId="3CAD6207" w:rsidR="0045176A" w:rsidRPr="00576F15"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DA4DB9">
                          <w:rPr>
                            <w:b/>
                            <w:bCs/>
                            <w:color w:val="000000" w:themeColor="dark1"/>
                            <w:kern w:val="24"/>
                            <w:sz w:val="20"/>
                            <w:szCs w:val="20"/>
                          </w:rPr>
                          <w:t>Durvalumab</w:t>
                        </w:r>
                        <w:r w:rsidRPr="00576F15">
                          <w:rPr>
                            <w:b/>
                            <w:bCs/>
                            <w:color w:val="000000" w:themeColor="dark1"/>
                            <w:kern w:val="24"/>
                            <w:sz w:val="20"/>
                            <w:szCs w:val="20"/>
                            <w:lang w:val="nl-NL"/>
                          </w:rPr>
                          <w:t xml:space="preserve"> IV</w:t>
                        </w:r>
                        <w:r>
                          <w:rPr>
                            <w:b/>
                            <w:bCs/>
                            <w:color w:val="000000" w:themeColor="dark1"/>
                            <w:kern w:val="24"/>
                            <w:sz w:val="20"/>
                            <w:szCs w:val="20"/>
                            <w:lang w:val="nl-NL"/>
                          </w:rPr>
                          <w:t xml:space="preserve"> 1500mg q 4 weks</w:t>
                        </w:r>
                      </w:p>
                      <w:p w14:paraId="635A3811" w14:textId="77777777" w:rsidR="0045176A" w:rsidRPr="00E759B6" w:rsidRDefault="0045176A" w:rsidP="00EF400B">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725C74F" w14:textId="77777777" w:rsidR="0045176A" w:rsidRPr="00E759B6" w:rsidRDefault="0045176A" w:rsidP="00EF400B">
                        <w:pPr>
                          <w:pStyle w:val="NormalWeb"/>
                          <w:spacing w:before="0" w:beforeAutospacing="0" w:after="0" w:afterAutospacing="0"/>
                          <w:textAlignment w:val="baseline"/>
                          <w:rPr>
                            <w:rFonts w:ascii="Arial" w:hAnsi="Arial" w:cs="Arial"/>
                            <w:b/>
                            <w:bCs/>
                            <w:color w:val="000000" w:themeColor="dark1"/>
                            <w:kern w:val="24"/>
                            <w:sz w:val="20"/>
                            <w:szCs w:val="20"/>
                            <w:lang w:val="nl-NL"/>
                          </w:rPr>
                        </w:pPr>
                      </w:p>
                      <w:p w14:paraId="1F5BE117" w14:textId="77777777" w:rsidR="0045176A" w:rsidRPr="00E759B6" w:rsidRDefault="0045176A" w:rsidP="00EF400B">
                        <w:pPr>
                          <w:pStyle w:val="NormalWeb"/>
                          <w:spacing w:before="0" w:beforeAutospacing="0" w:after="0" w:afterAutospacing="0"/>
                          <w:textAlignment w:val="baseline"/>
                          <w:rPr>
                            <w:sz w:val="20"/>
                            <w:szCs w:val="20"/>
                          </w:rPr>
                        </w:pPr>
                      </w:p>
                    </w:txbxContent>
                  </v:textbox>
                </v:shape>
                <v:shape id="Rectangle 17" o:spid="_x0000_s1034" type="#_x0000_t202" style="position:absolute;left:37021;top:44;width:36263;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" fillcolor="#f5ffe6" strokecolor="black [3213]">
                  <v:fill color2="#dafda7" rotate="t" colors="0 #f5ffe6;42598f #e4fdc2;1 #dafda7" focus="100%" type="gradient"/>
                  <v:shadow on="t" color="black" opacity="24903f" origin=",.5" offset="0,.55556mm"/>
                  <v:textbox>
                    <w:txbxContent>
                      <w:p w14:paraId="2C9FEAD3" w14:textId="77777777" w:rsidR="0045176A" w:rsidRDefault="0045176A" w:rsidP="00EF400B">
                        <w:pPr>
                          <w:pStyle w:val="NormalWeb"/>
                          <w:spacing w:before="0" w:beforeAutospacing="0" w:after="0" w:afterAutospacing="0"/>
                          <w:textAlignment w:val="baseline"/>
                          <w:rPr>
                            <w:b/>
                            <w:bCs/>
                            <w:color w:val="000000" w:themeColor="dark1"/>
                            <w:kern w:val="24"/>
                            <w:sz w:val="20"/>
                            <w:szCs w:val="20"/>
                            <w:lang w:val="nl-NL"/>
                          </w:rPr>
                        </w:pPr>
                        <w:r>
                          <w:rPr>
                            <w:b/>
                            <w:bCs/>
                            <w:color w:val="000000" w:themeColor="dark1"/>
                            <w:kern w:val="24"/>
                            <w:sz w:val="20"/>
                            <w:szCs w:val="20"/>
                            <w:lang w:val="nl-NL"/>
                          </w:rPr>
                          <w:t>O 300mg tablets bid daily po,</w:t>
                        </w:r>
                      </w:p>
                      <w:p w14:paraId="0E005DB9" w14:textId="77777777" w:rsidR="0045176A" w:rsidRPr="001A10A8"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1A10A8">
                          <w:rPr>
                            <w:b/>
                            <w:bCs/>
                            <w:color w:val="000000" w:themeColor="dark1"/>
                            <w:kern w:val="24"/>
                            <w:sz w:val="20"/>
                            <w:szCs w:val="20"/>
                            <w:lang w:val="nl-NL"/>
                          </w:rPr>
                          <w:t xml:space="preserve">C </w:t>
                        </w:r>
                        <w:r>
                          <w:rPr>
                            <w:b/>
                            <w:bCs/>
                            <w:color w:val="000000" w:themeColor="dark1"/>
                            <w:kern w:val="24"/>
                            <w:sz w:val="20"/>
                            <w:szCs w:val="20"/>
                            <w:lang w:val="nl-NL"/>
                          </w:rPr>
                          <w:t>20mg 5 days/week</w:t>
                        </w:r>
                        <w:r w:rsidRPr="001A10A8">
                          <w:rPr>
                            <w:b/>
                            <w:bCs/>
                            <w:color w:val="000000" w:themeColor="dark1"/>
                            <w:kern w:val="24"/>
                            <w:sz w:val="20"/>
                            <w:szCs w:val="20"/>
                            <w:lang w:val="nl-NL"/>
                          </w:rPr>
                          <w:t xml:space="preserve"> po, </w:t>
                        </w:r>
                      </w:p>
                      <w:p w14:paraId="3F18371B" w14:textId="62967FB5" w:rsidR="0045176A" w:rsidRPr="001A10A8" w:rsidRDefault="0045176A" w:rsidP="00EF400B">
                        <w:pPr>
                          <w:pStyle w:val="NormalWeb"/>
                          <w:spacing w:before="0" w:beforeAutospacing="0" w:after="0" w:afterAutospacing="0"/>
                          <w:textAlignment w:val="baseline"/>
                          <w:rPr>
                            <w:b/>
                            <w:bCs/>
                            <w:color w:val="000000" w:themeColor="dark1"/>
                            <w:kern w:val="24"/>
                            <w:sz w:val="20"/>
                            <w:szCs w:val="20"/>
                            <w:lang w:val="nl-NL"/>
                          </w:rPr>
                        </w:pPr>
                        <w:r w:rsidRPr="00DA4DB9">
                          <w:rPr>
                            <w:b/>
                            <w:bCs/>
                            <w:color w:val="000000" w:themeColor="dark1"/>
                            <w:kern w:val="24"/>
                            <w:sz w:val="20"/>
                            <w:szCs w:val="20"/>
                          </w:rPr>
                          <w:t>Durvalumab</w:t>
                        </w:r>
                        <w:r w:rsidRPr="001A10A8">
                          <w:rPr>
                            <w:b/>
                            <w:bCs/>
                            <w:color w:val="000000" w:themeColor="dark1"/>
                            <w:kern w:val="24"/>
                            <w:sz w:val="20"/>
                            <w:szCs w:val="20"/>
                            <w:lang w:val="nl-NL"/>
                          </w:rPr>
                          <w:t xml:space="preserve"> IV </w:t>
                        </w:r>
                        <w:r>
                          <w:rPr>
                            <w:b/>
                            <w:bCs/>
                            <w:color w:val="000000" w:themeColor="dark1"/>
                            <w:kern w:val="24"/>
                            <w:sz w:val="20"/>
                            <w:szCs w:val="20"/>
                            <w:lang w:val="nl-NL"/>
                          </w:rPr>
                          <w:t>1500mg q 4 weks</w:t>
                        </w:r>
                      </w:p>
                      <w:p w14:paraId="1F06E9CB" w14:textId="77777777" w:rsidR="0045176A" w:rsidRPr="005E1A08" w:rsidRDefault="0045176A" w:rsidP="00EF400B">
                        <w:pPr>
                          <w:pStyle w:val="NormalWeb"/>
                          <w:spacing w:before="0" w:beforeAutospacing="0" w:after="0" w:afterAutospacing="0"/>
                          <w:textAlignment w:val="baseline"/>
                          <w:rPr>
                            <w:sz w:val="28"/>
                            <w:szCs w:val="28"/>
                          </w:rPr>
                        </w:pPr>
                      </w:p>
                    </w:txbxContent>
                  </v:textbox>
                </v:shape>
                <w10:anchorlock/>
              </v:group>
            </w:pict>
          </mc:Fallback>
        </mc:AlternateContent>
      </w:r>
    </w:p>
    <w:tbl>
      <w:tblPr>
        <w:tblStyle w:val="TableGrid"/>
        <w:tblW w:w="914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2"/>
      </w:tblGrid>
      <w:tr w:rsidR="00EF400B" w:rsidRPr="007A3223" w14:paraId="70276B4C" w14:textId="77777777" w:rsidTr="00906939">
        <w:trPr>
          <w:trHeight w:val="351"/>
        </w:trPr>
        <w:tc>
          <w:tcPr>
            <w:tcW w:w="8852" w:type="dxa"/>
            <w:vAlign w:val="bottom"/>
          </w:tcPr>
          <w:p w14:paraId="7B43B944" w14:textId="77777777" w:rsidR="00EF400B" w:rsidRPr="007A3223" w:rsidRDefault="00EF400B" w:rsidP="00906939">
            <w:pPr>
              <w:pStyle w:val="NormalWeb"/>
              <w:spacing w:before="0" w:beforeAutospacing="0" w:after="0" w:afterAutospacing="0"/>
              <w:ind w:left="-648"/>
              <w:textAlignment w:val="baseline"/>
              <w:rPr>
                <w:b/>
                <w:bCs/>
                <w:i/>
                <w:iCs/>
                <w:color w:val="31849B" w:themeColor="accent5" w:themeShade="BF"/>
                <w:kern w:val="24"/>
                <w:sz w:val="20"/>
                <w:szCs w:val="20"/>
              </w:rPr>
            </w:pPr>
            <w:r w:rsidRPr="00F33908">
              <w:rPr>
                <w:b/>
                <w:bCs/>
                <w:i/>
                <w:iCs/>
                <w:color w:val="31849B" w:themeColor="accent5" w:themeShade="BF"/>
                <w:kern w:val="24"/>
                <w:sz w:val="20"/>
                <w:szCs w:val="20"/>
              </w:rPr>
              <w:t xml:space="preserve">          </w:t>
            </w:r>
            <w:r w:rsidRPr="007A3223">
              <w:rPr>
                <w:b/>
                <w:bCs/>
                <w:i/>
                <w:iCs/>
                <w:color w:val="31849B" w:themeColor="accent5" w:themeShade="BF"/>
                <w:kern w:val="24"/>
                <w:sz w:val="20"/>
                <w:szCs w:val="20"/>
              </w:rPr>
              <w:t xml:space="preserve">   PBMCs: pretreatment, prior to cycle 1 day 15, pre- cycle 3 day 1, and progression (phase II only)</w:t>
            </w:r>
          </w:p>
        </w:tc>
      </w:tr>
      <w:tr w:rsidR="00EF400B" w:rsidRPr="007A3223" w14:paraId="0EE8801B" w14:textId="77777777" w:rsidTr="00906939">
        <w:trPr>
          <w:trHeight w:val="351"/>
        </w:trPr>
        <w:tc>
          <w:tcPr>
            <w:tcW w:w="8852" w:type="dxa"/>
            <w:vAlign w:val="bottom"/>
          </w:tcPr>
          <w:p w14:paraId="334C3DB8" w14:textId="77777777" w:rsidR="00EF400B" w:rsidRPr="007A3223" w:rsidRDefault="00EF400B" w:rsidP="00906939">
            <w:pPr>
              <w:pStyle w:val="NormalWeb"/>
              <w:spacing w:before="120" w:beforeAutospacing="0" w:after="0" w:afterAutospacing="0"/>
              <w:textAlignment w:val="baseline"/>
              <w:rPr>
                <w:b/>
                <w:bCs/>
                <w:i/>
                <w:iCs/>
                <w:color w:val="FF0000"/>
                <w:kern w:val="24"/>
              </w:rPr>
            </w:pPr>
            <w:r w:rsidRPr="007A3223">
              <w:rPr>
                <w:b/>
                <w:bCs/>
                <w:i/>
                <w:iCs/>
                <w:color w:val="7F0090"/>
                <w:kern w:val="24"/>
              </w:rPr>
              <w:t xml:space="preserve">Tumor core biopsy: pretreatment and two optional bx (Phase II only) </w:t>
            </w:r>
          </w:p>
        </w:tc>
      </w:tr>
    </w:tbl>
    <w:p w14:paraId="0887517F" w14:textId="2B179F6C" w:rsidR="00EF400B" w:rsidRPr="007A3223" w:rsidRDefault="00EF400B" w:rsidP="00EF400B">
      <w:pPr>
        <w:spacing w:after="0"/>
      </w:pPr>
    </w:p>
    <w:p w14:paraId="6DBD55E4" w14:textId="77777777" w:rsidR="00C84080" w:rsidRPr="007A3223" w:rsidRDefault="00C84080">
      <w:pPr>
        <w:spacing w:after="0"/>
      </w:pPr>
      <w:r w:rsidRPr="007A3223">
        <w:br w:type="page"/>
      </w:r>
    </w:p>
    <w:p w14:paraId="1394F9AD" w14:textId="77777777" w:rsidR="007569DF" w:rsidRPr="007A3223" w:rsidRDefault="007569DF" w:rsidP="0068644C"/>
    <w:p w14:paraId="553B2069" w14:textId="77777777" w:rsidR="003A44ED" w:rsidRPr="007A3223" w:rsidRDefault="00DC0D3B" w:rsidP="00766931">
      <w:pPr>
        <w:pStyle w:val="Heading1"/>
        <w:numPr>
          <w:ilvl w:val="0"/>
          <w:numId w:val="0"/>
        </w:numPr>
        <w:ind w:left="432"/>
        <w:rPr>
          <w:rFonts w:hint="eastAsia"/>
        </w:rPr>
      </w:pPr>
      <w:bookmarkStart w:id="14" w:name="_Toc82444333"/>
      <w:r w:rsidRPr="007A3223">
        <w:t>TABLE OF CONTENTS</w:t>
      </w:r>
      <w:bookmarkEnd w:id="14"/>
      <w:r w:rsidRPr="007A3223">
        <w:t xml:space="preserve"> </w:t>
      </w:r>
    </w:p>
    <w:bookmarkStart w:id="15" w:name="_Toc250632155"/>
    <w:bookmarkStart w:id="16" w:name="_Toc281240068"/>
    <w:bookmarkStart w:id="17" w:name="_Toc281240310"/>
    <w:bookmarkStart w:id="18" w:name="_Toc288125052"/>
    <w:p w14:paraId="43CD5DFA" w14:textId="2159DF24" w:rsidR="00CD52F2" w:rsidRDefault="00864147">
      <w:pPr>
        <w:pStyle w:val="TOC1"/>
        <w:rPr>
          <w:rFonts w:asciiTheme="minorHAnsi" w:eastAsiaTheme="minorEastAsia" w:hAnsiTheme="minorHAnsi" w:cstheme="minorBidi"/>
          <w:caps w:val="0"/>
          <w:noProof/>
          <w:color w:val="auto"/>
          <w:sz w:val="22"/>
        </w:rPr>
      </w:pPr>
      <w:r w:rsidRPr="007A3223">
        <w:rPr>
          <w:caps w:val="0"/>
          <w:szCs w:val="24"/>
        </w:rPr>
        <w:fldChar w:fldCharType="begin"/>
      </w:r>
      <w:r w:rsidRPr="007A3223">
        <w:rPr>
          <w:caps w:val="0"/>
          <w:szCs w:val="24"/>
        </w:rPr>
        <w:instrText xml:space="preserve"> TOC \o "1-2" \h \z \u </w:instrText>
      </w:r>
      <w:r w:rsidRPr="007A3223">
        <w:rPr>
          <w:caps w:val="0"/>
          <w:szCs w:val="24"/>
        </w:rPr>
        <w:fldChar w:fldCharType="separate"/>
      </w:r>
      <w:hyperlink w:anchor="_Toc82444329" w:history="1">
        <w:r w:rsidR="00CD52F2" w:rsidRPr="009B4CBF">
          <w:rPr>
            <w:rStyle w:val="Hyperlink"/>
            <w:noProof/>
          </w:rPr>
          <w:t>PRÉCIS</w:t>
        </w:r>
        <w:r w:rsidR="00CD52F2">
          <w:rPr>
            <w:noProof/>
            <w:webHidden/>
          </w:rPr>
          <w:tab/>
        </w:r>
        <w:r w:rsidR="00CD52F2">
          <w:rPr>
            <w:noProof/>
            <w:webHidden/>
          </w:rPr>
          <w:fldChar w:fldCharType="begin"/>
        </w:r>
        <w:r w:rsidR="00CD52F2">
          <w:rPr>
            <w:noProof/>
            <w:webHidden/>
          </w:rPr>
          <w:instrText xml:space="preserve"> PAGEREF _Toc82444329 \h </w:instrText>
        </w:r>
        <w:r w:rsidR="00CD52F2">
          <w:rPr>
            <w:noProof/>
            <w:webHidden/>
          </w:rPr>
        </w:r>
        <w:r w:rsidR="00CD52F2">
          <w:rPr>
            <w:noProof/>
            <w:webHidden/>
          </w:rPr>
          <w:fldChar w:fldCharType="separate"/>
        </w:r>
        <w:r w:rsidR="0021078E">
          <w:rPr>
            <w:noProof/>
            <w:webHidden/>
          </w:rPr>
          <w:t>2</w:t>
        </w:r>
        <w:r w:rsidR="00CD52F2">
          <w:rPr>
            <w:noProof/>
            <w:webHidden/>
          </w:rPr>
          <w:fldChar w:fldCharType="end"/>
        </w:r>
      </w:hyperlink>
    </w:p>
    <w:p w14:paraId="389B1012" w14:textId="0AD10441" w:rsidR="00CD52F2" w:rsidRDefault="00CD52F2">
      <w:pPr>
        <w:pStyle w:val="TOC1"/>
        <w:rPr>
          <w:rFonts w:asciiTheme="minorHAnsi" w:eastAsiaTheme="minorEastAsia" w:hAnsiTheme="minorHAnsi" w:cstheme="minorBidi"/>
          <w:caps w:val="0"/>
          <w:noProof/>
          <w:color w:val="auto"/>
          <w:sz w:val="22"/>
        </w:rPr>
      </w:pPr>
      <w:hyperlink w:anchor="_Toc82444330" w:history="1">
        <w:r w:rsidRPr="009B4CBF">
          <w:rPr>
            <w:rStyle w:val="Hyperlink"/>
            <w:noProof/>
          </w:rPr>
          <w:t>STUDY SCHEMA</w:t>
        </w:r>
        <w:r>
          <w:rPr>
            <w:noProof/>
            <w:webHidden/>
          </w:rPr>
          <w:tab/>
        </w:r>
        <w:r>
          <w:rPr>
            <w:noProof/>
            <w:webHidden/>
          </w:rPr>
          <w:fldChar w:fldCharType="begin"/>
        </w:r>
        <w:r>
          <w:rPr>
            <w:noProof/>
            <w:webHidden/>
          </w:rPr>
          <w:instrText xml:space="preserve"> PAGEREF _Toc82444330 \h </w:instrText>
        </w:r>
        <w:r>
          <w:rPr>
            <w:noProof/>
            <w:webHidden/>
          </w:rPr>
        </w:r>
        <w:r>
          <w:rPr>
            <w:noProof/>
            <w:webHidden/>
          </w:rPr>
          <w:fldChar w:fldCharType="separate"/>
        </w:r>
        <w:r w:rsidR="0021078E">
          <w:rPr>
            <w:noProof/>
            <w:webHidden/>
          </w:rPr>
          <w:t>5</w:t>
        </w:r>
        <w:r>
          <w:rPr>
            <w:noProof/>
            <w:webHidden/>
          </w:rPr>
          <w:fldChar w:fldCharType="end"/>
        </w:r>
      </w:hyperlink>
    </w:p>
    <w:p w14:paraId="2FC44A9F" w14:textId="0F166BAA" w:rsidR="00CD52F2" w:rsidRDefault="00CD52F2">
      <w:pPr>
        <w:pStyle w:val="TOC2"/>
        <w:rPr>
          <w:rFonts w:asciiTheme="minorHAnsi" w:eastAsiaTheme="minorEastAsia" w:hAnsiTheme="minorHAnsi" w:cstheme="minorBidi"/>
          <w:noProof/>
          <w:color w:val="auto"/>
          <w:sz w:val="22"/>
        </w:rPr>
      </w:pPr>
      <w:hyperlink w:anchor="_Toc82444331" w:history="1">
        <w:r w:rsidRPr="009B4CBF">
          <w:rPr>
            <w:rStyle w:val="Hyperlink"/>
            <w:noProof/>
          </w:rPr>
          <w:t>Phase I: Dose Escalation</w:t>
        </w:r>
        <w:r>
          <w:rPr>
            <w:noProof/>
            <w:webHidden/>
          </w:rPr>
          <w:tab/>
        </w:r>
        <w:r>
          <w:rPr>
            <w:noProof/>
            <w:webHidden/>
          </w:rPr>
          <w:fldChar w:fldCharType="begin"/>
        </w:r>
        <w:r>
          <w:rPr>
            <w:noProof/>
            <w:webHidden/>
          </w:rPr>
          <w:instrText xml:space="preserve"> PAGEREF _Toc82444331 \h </w:instrText>
        </w:r>
        <w:r>
          <w:rPr>
            <w:noProof/>
            <w:webHidden/>
          </w:rPr>
        </w:r>
        <w:r>
          <w:rPr>
            <w:noProof/>
            <w:webHidden/>
          </w:rPr>
          <w:fldChar w:fldCharType="separate"/>
        </w:r>
        <w:r w:rsidR="0021078E">
          <w:rPr>
            <w:noProof/>
            <w:webHidden/>
          </w:rPr>
          <w:t>5</w:t>
        </w:r>
        <w:r>
          <w:rPr>
            <w:noProof/>
            <w:webHidden/>
          </w:rPr>
          <w:fldChar w:fldCharType="end"/>
        </w:r>
      </w:hyperlink>
    </w:p>
    <w:p w14:paraId="186F8590" w14:textId="5C01D990" w:rsidR="00CD52F2" w:rsidRDefault="00CD52F2">
      <w:pPr>
        <w:pStyle w:val="TOC2"/>
        <w:rPr>
          <w:rFonts w:asciiTheme="minorHAnsi" w:eastAsiaTheme="minorEastAsia" w:hAnsiTheme="minorHAnsi" w:cstheme="minorBidi"/>
          <w:noProof/>
          <w:color w:val="auto"/>
          <w:sz w:val="22"/>
        </w:rPr>
      </w:pPr>
      <w:hyperlink w:anchor="_Toc82444332" w:history="1">
        <w:r w:rsidRPr="009B4CBF">
          <w:rPr>
            <w:rStyle w:val="Hyperlink"/>
            <w:noProof/>
          </w:rPr>
          <w:t>Phase II Schema</w:t>
        </w:r>
        <w:r>
          <w:rPr>
            <w:noProof/>
            <w:webHidden/>
          </w:rPr>
          <w:tab/>
        </w:r>
        <w:r>
          <w:rPr>
            <w:noProof/>
            <w:webHidden/>
          </w:rPr>
          <w:fldChar w:fldCharType="begin"/>
        </w:r>
        <w:r>
          <w:rPr>
            <w:noProof/>
            <w:webHidden/>
          </w:rPr>
          <w:instrText xml:space="preserve"> PAGEREF _Toc82444332 \h </w:instrText>
        </w:r>
        <w:r>
          <w:rPr>
            <w:noProof/>
            <w:webHidden/>
          </w:rPr>
        </w:r>
        <w:r>
          <w:rPr>
            <w:noProof/>
            <w:webHidden/>
          </w:rPr>
          <w:fldChar w:fldCharType="separate"/>
        </w:r>
        <w:r w:rsidR="0021078E">
          <w:rPr>
            <w:noProof/>
            <w:webHidden/>
          </w:rPr>
          <w:t>7</w:t>
        </w:r>
        <w:r>
          <w:rPr>
            <w:noProof/>
            <w:webHidden/>
          </w:rPr>
          <w:fldChar w:fldCharType="end"/>
        </w:r>
      </w:hyperlink>
    </w:p>
    <w:p w14:paraId="0963A9F3" w14:textId="189332AC" w:rsidR="00CD52F2" w:rsidRDefault="00CD52F2">
      <w:pPr>
        <w:pStyle w:val="TOC1"/>
        <w:rPr>
          <w:rFonts w:asciiTheme="minorHAnsi" w:eastAsiaTheme="minorEastAsia" w:hAnsiTheme="minorHAnsi" w:cstheme="minorBidi"/>
          <w:caps w:val="0"/>
          <w:noProof/>
          <w:color w:val="auto"/>
          <w:sz w:val="22"/>
        </w:rPr>
      </w:pPr>
      <w:hyperlink w:anchor="_Toc82444333" w:history="1">
        <w:r w:rsidRPr="009B4CBF">
          <w:rPr>
            <w:rStyle w:val="Hyperlink"/>
            <w:noProof/>
          </w:rPr>
          <w:t>TABLE OF CONTENTS</w:t>
        </w:r>
        <w:r>
          <w:rPr>
            <w:noProof/>
            <w:webHidden/>
          </w:rPr>
          <w:tab/>
        </w:r>
        <w:r>
          <w:rPr>
            <w:noProof/>
            <w:webHidden/>
          </w:rPr>
          <w:fldChar w:fldCharType="begin"/>
        </w:r>
        <w:r>
          <w:rPr>
            <w:noProof/>
            <w:webHidden/>
          </w:rPr>
          <w:instrText xml:space="preserve"> PAGEREF _Toc82444333 \h </w:instrText>
        </w:r>
        <w:r>
          <w:rPr>
            <w:noProof/>
            <w:webHidden/>
          </w:rPr>
        </w:r>
        <w:r>
          <w:rPr>
            <w:noProof/>
            <w:webHidden/>
          </w:rPr>
          <w:fldChar w:fldCharType="separate"/>
        </w:r>
        <w:r w:rsidR="0021078E">
          <w:rPr>
            <w:noProof/>
            <w:webHidden/>
          </w:rPr>
          <w:t>10</w:t>
        </w:r>
        <w:r>
          <w:rPr>
            <w:noProof/>
            <w:webHidden/>
          </w:rPr>
          <w:fldChar w:fldCharType="end"/>
        </w:r>
      </w:hyperlink>
    </w:p>
    <w:p w14:paraId="4F7B9170" w14:textId="7749DBBF" w:rsidR="00CD52F2" w:rsidRDefault="00CD52F2">
      <w:pPr>
        <w:pStyle w:val="TOC1"/>
        <w:rPr>
          <w:rFonts w:asciiTheme="minorHAnsi" w:eastAsiaTheme="minorEastAsia" w:hAnsiTheme="minorHAnsi" w:cstheme="minorBidi"/>
          <w:caps w:val="0"/>
          <w:noProof/>
          <w:color w:val="auto"/>
          <w:sz w:val="22"/>
        </w:rPr>
      </w:pPr>
      <w:hyperlink w:anchor="_Toc82444334" w:history="1">
        <w:r w:rsidRPr="009B4CBF">
          <w:rPr>
            <w:rStyle w:val="Hyperlink"/>
            <w:noProof/>
          </w:rPr>
          <w:t>TABLE OF TABLES</w:t>
        </w:r>
        <w:r>
          <w:rPr>
            <w:noProof/>
            <w:webHidden/>
          </w:rPr>
          <w:tab/>
        </w:r>
        <w:r>
          <w:rPr>
            <w:noProof/>
            <w:webHidden/>
          </w:rPr>
          <w:fldChar w:fldCharType="begin"/>
        </w:r>
        <w:r>
          <w:rPr>
            <w:noProof/>
            <w:webHidden/>
          </w:rPr>
          <w:instrText xml:space="preserve"> PAGEREF _Toc82444334 \h </w:instrText>
        </w:r>
        <w:r>
          <w:rPr>
            <w:noProof/>
            <w:webHidden/>
          </w:rPr>
        </w:r>
        <w:r>
          <w:rPr>
            <w:noProof/>
            <w:webHidden/>
          </w:rPr>
          <w:fldChar w:fldCharType="separate"/>
        </w:r>
        <w:r w:rsidR="0021078E">
          <w:rPr>
            <w:noProof/>
            <w:webHidden/>
          </w:rPr>
          <w:t>14</w:t>
        </w:r>
        <w:r>
          <w:rPr>
            <w:noProof/>
            <w:webHidden/>
          </w:rPr>
          <w:fldChar w:fldCharType="end"/>
        </w:r>
      </w:hyperlink>
    </w:p>
    <w:p w14:paraId="52875E70" w14:textId="3ABC11B6" w:rsidR="00CD52F2" w:rsidRDefault="00CD52F2">
      <w:pPr>
        <w:pStyle w:val="TOC1"/>
        <w:rPr>
          <w:rFonts w:asciiTheme="minorHAnsi" w:eastAsiaTheme="minorEastAsia" w:hAnsiTheme="minorHAnsi" w:cstheme="minorBidi"/>
          <w:caps w:val="0"/>
          <w:noProof/>
          <w:color w:val="auto"/>
          <w:sz w:val="22"/>
        </w:rPr>
      </w:pPr>
      <w:hyperlink w:anchor="_Toc82444335" w:history="1">
        <w:r w:rsidRPr="009B4CBF">
          <w:rPr>
            <w:rStyle w:val="Hyperlink"/>
            <w:noProof/>
          </w:rPr>
          <w:t>STATEMENT OF COMPLIANCE</w:t>
        </w:r>
        <w:r>
          <w:rPr>
            <w:noProof/>
            <w:webHidden/>
          </w:rPr>
          <w:tab/>
        </w:r>
        <w:r>
          <w:rPr>
            <w:noProof/>
            <w:webHidden/>
          </w:rPr>
          <w:fldChar w:fldCharType="begin"/>
        </w:r>
        <w:r>
          <w:rPr>
            <w:noProof/>
            <w:webHidden/>
          </w:rPr>
          <w:instrText xml:space="preserve"> PAGEREF _Toc82444335 \h </w:instrText>
        </w:r>
        <w:r>
          <w:rPr>
            <w:noProof/>
            <w:webHidden/>
          </w:rPr>
        </w:r>
        <w:r>
          <w:rPr>
            <w:noProof/>
            <w:webHidden/>
          </w:rPr>
          <w:fldChar w:fldCharType="separate"/>
        </w:r>
        <w:r w:rsidR="0021078E">
          <w:rPr>
            <w:noProof/>
            <w:webHidden/>
          </w:rPr>
          <w:t>16</w:t>
        </w:r>
        <w:r>
          <w:rPr>
            <w:noProof/>
            <w:webHidden/>
          </w:rPr>
          <w:fldChar w:fldCharType="end"/>
        </w:r>
      </w:hyperlink>
    </w:p>
    <w:p w14:paraId="2E3EC5FB" w14:textId="105EDE28" w:rsidR="00CD52F2" w:rsidRDefault="00CD52F2">
      <w:pPr>
        <w:pStyle w:val="TOC1"/>
        <w:rPr>
          <w:rFonts w:asciiTheme="minorHAnsi" w:eastAsiaTheme="minorEastAsia" w:hAnsiTheme="minorHAnsi" w:cstheme="minorBidi"/>
          <w:caps w:val="0"/>
          <w:noProof/>
          <w:color w:val="auto"/>
          <w:sz w:val="22"/>
        </w:rPr>
      </w:pPr>
      <w:hyperlink w:anchor="_Toc82444336" w:history="1">
        <w:r w:rsidRPr="009B4CBF">
          <w:rPr>
            <w:rStyle w:val="Hyperlink"/>
            <w:noProof/>
          </w:rPr>
          <w:t>1</w:t>
        </w:r>
        <w:r>
          <w:rPr>
            <w:rFonts w:asciiTheme="minorHAnsi" w:eastAsiaTheme="minorEastAsia" w:hAnsiTheme="minorHAnsi" w:cstheme="minorBidi"/>
            <w:caps w:val="0"/>
            <w:noProof/>
            <w:color w:val="auto"/>
            <w:sz w:val="22"/>
          </w:rPr>
          <w:tab/>
        </w:r>
        <w:r w:rsidRPr="009B4CBF">
          <w:rPr>
            <w:rStyle w:val="Hyperlink"/>
            <w:noProof/>
          </w:rPr>
          <w:t>INTRODUCTION</w:t>
        </w:r>
        <w:r>
          <w:rPr>
            <w:noProof/>
            <w:webHidden/>
          </w:rPr>
          <w:tab/>
        </w:r>
        <w:r>
          <w:rPr>
            <w:noProof/>
            <w:webHidden/>
          </w:rPr>
          <w:fldChar w:fldCharType="begin"/>
        </w:r>
        <w:r>
          <w:rPr>
            <w:noProof/>
            <w:webHidden/>
          </w:rPr>
          <w:instrText xml:space="preserve"> PAGEREF _Toc82444336 \h </w:instrText>
        </w:r>
        <w:r>
          <w:rPr>
            <w:noProof/>
            <w:webHidden/>
          </w:rPr>
        </w:r>
        <w:r>
          <w:rPr>
            <w:noProof/>
            <w:webHidden/>
          </w:rPr>
          <w:fldChar w:fldCharType="separate"/>
        </w:r>
        <w:r w:rsidR="0021078E">
          <w:rPr>
            <w:noProof/>
            <w:webHidden/>
          </w:rPr>
          <w:t>16</w:t>
        </w:r>
        <w:r>
          <w:rPr>
            <w:noProof/>
            <w:webHidden/>
          </w:rPr>
          <w:fldChar w:fldCharType="end"/>
        </w:r>
      </w:hyperlink>
    </w:p>
    <w:p w14:paraId="393DF91D" w14:textId="3E836C71" w:rsidR="00CD52F2" w:rsidRDefault="00CD52F2">
      <w:pPr>
        <w:pStyle w:val="TOC2"/>
        <w:rPr>
          <w:rFonts w:asciiTheme="minorHAnsi" w:eastAsiaTheme="minorEastAsia" w:hAnsiTheme="minorHAnsi" w:cstheme="minorBidi"/>
          <w:noProof/>
          <w:color w:val="auto"/>
          <w:sz w:val="22"/>
        </w:rPr>
      </w:pPr>
      <w:hyperlink w:anchor="_Toc82444337" w:history="1">
        <w:r w:rsidRPr="009B4CBF">
          <w:rPr>
            <w:rStyle w:val="Hyperlink"/>
            <w:noProof/>
          </w:rPr>
          <w:t>1.1</w:t>
        </w:r>
        <w:r>
          <w:rPr>
            <w:rFonts w:asciiTheme="minorHAnsi" w:eastAsiaTheme="minorEastAsia" w:hAnsiTheme="minorHAnsi" w:cstheme="minorBidi"/>
            <w:noProof/>
            <w:color w:val="auto"/>
            <w:sz w:val="22"/>
          </w:rPr>
          <w:tab/>
        </w:r>
        <w:r w:rsidRPr="009B4CBF">
          <w:rPr>
            <w:rStyle w:val="Hyperlink"/>
            <w:noProof/>
          </w:rPr>
          <w:t>Study Objectives</w:t>
        </w:r>
        <w:r>
          <w:rPr>
            <w:noProof/>
            <w:webHidden/>
          </w:rPr>
          <w:tab/>
        </w:r>
        <w:r>
          <w:rPr>
            <w:noProof/>
            <w:webHidden/>
          </w:rPr>
          <w:fldChar w:fldCharType="begin"/>
        </w:r>
        <w:r>
          <w:rPr>
            <w:noProof/>
            <w:webHidden/>
          </w:rPr>
          <w:instrText xml:space="preserve"> PAGEREF _Toc82444337 \h </w:instrText>
        </w:r>
        <w:r>
          <w:rPr>
            <w:noProof/>
            <w:webHidden/>
          </w:rPr>
        </w:r>
        <w:r>
          <w:rPr>
            <w:noProof/>
            <w:webHidden/>
          </w:rPr>
          <w:fldChar w:fldCharType="separate"/>
        </w:r>
        <w:r w:rsidR="0021078E">
          <w:rPr>
            <w:noProof/>
            <w:webHidden/>
          </w:rPr>
          <w:t>16</w:t>
        </w:r>
        <w:r>
          <w:rPr>
            <w:noProof/>
            <w:webHidden/>
          </w:rPr>
          <w:fldChar w:fldCharType="end"/>
        </w:r>
      </w:hyperlink>
    </w:p>
    <w:p w14:paraId="198A9997" w14:textId="0EFBA341" w:rsidR="00CD52F2" w:rsidRDefault="00CD52F2">
      <w:pPr>
        <w:pStyle w:val="TOC2"/>
        <w:rPr>
          <w:rFonts w:asciiTheme="minorHAnsi" w:eastAsiaTheme="minorEastAsia" w:hAnsiTheme="minorHAnsi" w:cstheme="minorBidi"/>
          <w:noProof/>
          <w:color w:val="auto"/>
          <w:sz w:val="22"/>
        </w:rPr>
      </w:pPr>
      <w:hyperlink w:anchor="_Toc82444338" w:history="1">
        <w:r w:rsidRPr="009B4CBF">
          <w:rPr>
            <w:rStyle w:val="Hyperlink"/>
            <w:noProof/>
          </w:rPr>
          <w:t>1.2</w:t>
        </w:r>
        <w:r>
          <w:rPr>
            <w:rFonts w:asciiTheme="minorHAnsi" w:eastAsiaTheme="minorEastAsia" w:hAnsiTheme="minorHAnsi" w:cstheme="minorBidi"/>
            <w:noProof/>
            <w:color w:val="auto"/>
            <w:sz w:val="22"/>
          </w:rPr>
          <w:tab/>
        </w:r>
        <w:r w:rsidRPr="009B4CBF">
          <w:rPr>
            <w:rStyle w:val="Hyperlink"/>
            <w:noProof/>
          </w:rPr>
          <w:t>Background and Rationale</w:t>
        </w:r>
        <w:r>
          <w:rPr>
            <w:noProof/>
            <w:webHidden/>
          </w:rPr>
          <w:tab/>
        </w:r>
        <w:r>
          <w:rPr>
            <w:noProof/>
            <w:webHidden/>
          </w:rPr>
          <w:fldChar w:fldCharType="begin"/>
        </w:r>
        <w:r>
          <w:rPr>
            <w:noProof/>
            <w:webHidden/>
          </w:rPr>
          <w:instrText xml:space="preserve"> PAGEREF _Toc82444338 \h </w:instrText>
        </w:r>
        <w:r>
          <w:rPr>
            <w:noProof/>
            <w:webHidden/>
          </w:rPr>
        </w:r>
        <w:r>
          <w:rPr>
            <w:noProof/>
            <w:webHidden/>
          </w:rPr>
          <w:fldChar w:fldCharType="separate"/>
        </w:r>
        <w:r w:rsidR="0021078E">
          <w:rPr>
            <w:noProof/>
            <w:webHidden/>
          </w:rPr>
          <w:t>19</w:t>
        </w:r>
        <w:r>
          <w:rPr>
            <w:noProof/>
            <w:webHidden/>
          </w:rPr>
          <w:fldChar w:fldCharType="end"/>
        </w:r>
      </w:hyperlink>
    </w:p>
    <w:p w14:paraId="7532F757" w14:textId="722606A6" w:rsidR="00CD52F2" w:rsidRDefault="00CD52F2">
      <w:pPr>
        <w:pStyle w:val="TOC2"/>
        <w:rPr>
          <w:rFonts w:asciiTheme="minorHAnsi" w:eastAsiaTheme="minorEastAsia" w:hAnsiTheme="minorHAnsi" w:cstheme="minorBidi"/>
          <w:noProof/>
          <w:color w:val="auto"/>
          <w:sz w:val="22"/>
        </w:rPr>
      </w:pPr>
      <w:hyperlink w:anchor="_Toc82444339" w:history="1">
        <w:r w:rsidRPr="009B4CBF">
          <w:rPr>
            <w:rStyle w:val="Hyperlink"/>
            <w:noProof/>
          </w:rPr>
          <w:t>1.3</w:t>
        </w:r>
        <w:r>
          <w:rPr>
            <w:rFonts w:asciiTheme="minorHAnsi" w:eastAsiaTheme="minorEastAsia" w:hAnsiTheme="minorHAnsi" w:cstheme="minorBidi"/>
            <w:noProof/>
            <w:color w:val="auto"/>
            <w:sz w:val="22"/>
          </w:rPr>
          <w:tab/>
        </w:r>
        <w:r w:rsidRPr="009B4CBF">
          <w:rPr>
            <w:rStyle w:val="Hyperlink"/>
            <w:noProof/>
          </w:rPr>
          <w:t>Background for Correlative Studies</w:t>
        </w:r>
        <w:r>
          <w:rPr>
            <w:noProof/>
            <w:webHidden/>
          </w:rPr>
          <w:tab/>
        </w:r>
        <w:r>
          <w:rPr>
            <w:noProof/>
            <w:webHidden/>
          </w:rPr>
          <w:fldChar w:fldCharType="begin"/>
        </w:r>
        <w:r>
          <w:rPr>
            <w:noProof/>
            <w:webHidden/>
          </w:rPr>
          <w:instrText xml:space="preserve"> PAGEREF _Toc82444339 \h </w:instrText>
        </w:r>
        <w:r>
          <w:rPr>
            <w:noProof/>
            <w:webHidden/>
          </w:rPr>
        </w:r>
        <w:r>
          <w:rPr>
            <w:noProof/>
            <w:webHidden/>
          </w:rPr>
          <w:fldChar w:fldCharType="separate"/>
        </w:r>
        <w:r w:rsidR="0021078E">
          <w:rPr>
            <w:noProof/>
            <w:webHidden/>
          </w:rPr>
          <w:t>38</w:t>
        </w:r>
        <w:r>
          <w:rPr>
            <w:noProof/>
            <w:webHidden/>
          </w:rPr>
          <w:fldChar w:fldCharType="end"/>
        </w:r>
      </w:hyperlink>
    </w:p>
    <w:p w14:paraId="3F47BB5E" w14:textId="431806CD" w:rsidR="00CD52F2" w:rsidRDefault="00CD52F2">
      <w:pPr>
        <w:pStyle w:val="TOC2"/>
        <w:rPr>
          <w:rFonts w:asciiTheme="minorHAnsi" w:eastAsiaTheme="minorEastAsia" w:hAnsiTheme="minorHAnsi" w:cstheme="minorBidi"/>
          <w:noProof/>
          <w:color w:val="auto"/>
          <w:sz w:val="22"/>
        </w:rPr>
      </w:pPr>
      <w:hyperlink w:anchor="_Toc82444340" w:history="1">
        <w:r w:rsidRPr="009B4CBF">
          <w:rPr>
            <w:rStyle w:val="Hyperlink"/>
            <w:noProof/>
          </w:rPr>
          <w:t>1.4</w:t>
        </w:r>
        <w:r>
          <w:rPr>
            <w:rFonts w:asciiTheme="minorHAnsi" w:eastAsiaTheme="minorEastAsia" w:hAnsiTheme="minorHAnsi" w:cstheme="minorBidi"/>
            <w:noProof/>
            <w:color w:val="auto"/>
            <w:sz w:val="22"/>
          </w:rPr>
          <w:tab/>
        </w:r>
        <w:r w:rsidRPr="009B4CBF">
          <w:rPr>
            <w:rStyle w:val="Hyperlink"/>
            <w:noProof/>
          </w:rPr>
          <w:t>Rationale</w:t>
        </w:r>
        <w:r>
          <w:rPr>
            <w:noProof/>
            <w:webHidden/>
          </w:rPr>
          <w:tab/>
        </w:r>
        <w:r>
          <w:rPr>
            <w:noProof/>
            <w:webHidden/>
          </w:rPr>
          <w:fldChar w:fldCharType="begin"/>
        </w:r>
        <w:r>
          <w:rPr>
            <w:noProof/>
            <w:webHidden/>
          </w:rPr>
          <w:instrText xml:space="preserve"> PAGEREF _Toc82444340 \h </w:instrText>
        </w:r>
        <w:r>
          <w:rPr>
            <w:noProof/>
            <w:webHidden/>
          </w:rPr>
        </w:r>
        <w:r>
          <w:rPr>
            <w:noProof/>
            <w:webHidden/>
          </w:rPr>
          <w:fldChar w:fldCharType="separate"/>
        </w:r>
        <w:r w:rsidR="0021078E">
          <w:rPr>
            <w:noProof/>
            <w:webHidden/>
          </w:rPr>
          <w:t>41</w:t>
        </w:r>
        <w:r>
          <w:rPr>
            <w:noProof/>
            <w:webHidden/>
          </w:rPr>
          <w:fldChar w:fldCharType="end"/>
        </w:r>
      </w:hyperlink>
    </w:p>
    <w:p w14:paraId="3DEBDB3E" w14:textId="52D2D20A" w:rsidR="00CD52F2" w:rsidRDefault="00CD52F2">
      <w:pPr>
        <w:pStyle w:val="TOC2"/>
        <w:rPr>
          <w:rFonts w:asciiTheme="minorHAnsi" w:eastAsiaTheme="minorEastAsia" w:hAnsiTheme="minorHAnsi" w:cstheme="minorBidi"/>
          <w:noProof/>
          <w:color w:val="auto"/>
          <w:sz w:val="22"/>
        </w:rPr>
      </w:pPr>
      <w:hyperlink w:anchor="_Toc82444341" w:history="1">
        <w:r w:rsidRPr="009B4CBF">
          <w:rPr>
            <w:rStyle w:val="Hyperlink"/>
            <w:noProof/>
          </w:rPr>
          <w:t>1.5</w:t>
        </w:r>
        <w:r>
          <w:rPr>
            <w:rFonts w:asciiTheme="minorHAnsi" w:eastAsiaTheme="minorEastAsia" w:hAnsiTheme="minorHAnsi" w:cstheme="minorBidi"/>
            <w:noProof/>
            <w:color w:val="auto"/>
            <w:sz w:val="22"/>
          </w:rPr>
          <w:tab/>
        </w:r>
        <w:r w:rsidRPr="009B4CBF">
          <w:rPr>
            <w:rStyle w:val="Hyperlink"/>
            <w:noProof/>
          </w:rPr>
          <w:t>Phase I Results and Implementation of Phase II</w:t>
        </w:r>
        <w:r>
          <w:rPr>
            <w:noProof/>
            <w:webHidden/>
          </w:rPr>
          <w:tab/>
        </w:r>
        <w:r>
          <w:rPr>
            <w:noProof/>
            <w:webHidden/>
          </w:rPr>
          <w:fldChar w:fldCharType="begin"/>
        </w:r>
        <w:r>
          <w:rPr>
            <w:noProof/>
            <w:webHidden/>
          </w:rPr>
          <w:instrText xml:space="preserve"> PAGEREF _Toc82444341 \h </w:instrText>
        </w:r>
        <w:r>
          <w:rPr>
            <w:noProof/>
            <w:webHidden/>
          </w:rPr>
        </w:r>
        <w:r>
          <w:rPr>
            <w:noProof/>
            <w:webHidden/>
          </w:rPr>
          <w:fldChar w:fldCharType="separate"/>
        </w:r>
        <w:r w:rsidR="0021078E">
          <w:rPr>
            <w:noProof/>
            <w:webHidden/>
          </w:rPr>
          <w:t>42</w:t>
        </w:r>
        <w:r>
          <w:rPr>
            <w:noProof/>
            <w:webHidden/>
          </w:rPr>
          <w:fldChar w:fldCharType="end"/>
        </w:r>
      </w:hyperlink>
    </w:p>
    <w:p w14:paraId="1C46A80D" w14:textId="6CEAF5CE" w:rsidR="00CD52F2" w:rsidRDefault="00CD52F2">
      <w:pPr>
        <w:pStyle w:val="TOC2"/>
        <w:rPr>
          <w:rFonts w:asciiTheme="minorHAnsi" w:eastAsiaTheme="minorEastAsia" w:hAnsiTheme="minorHAnsi" w:cstheme="minorBidi"/>
          <w:noProof/>
          <w:color w:val="auto"/>
          <w:sz w:val="22"/>
        </w:rPr>
      </w:pPr>
      <w:hyperlink w:anchor="_Toc82444342" w:history="1">
        <w:r w:rsidRPr="009B4CBF">
          <w:rPr>
            <w:rStyle w:val="Hyperlink"/>
            <w:noProof/>
          </w:rPr>
          <w:t>1.6</w:t>
        </w:r>
        <w:r>
          <w:rPr>
            <w:rFonts w:asciiTheme="minorHAnsi" w:eastAsiaTheme="minorEastAsia" w:hAnsiTheme="minorHAnsi" w:cstheme="minorBidi"/>
            <w:noProof/>
            <w:color w:val="auto"/>
            <w:sz w:val="22"/>
          </w:rPr>
          <w:tab/>
        </w:r>
        <w:r w:rsidRPr="009B4CBF">
          <w:rPr>
            <w:rStyle w:val="Hyperlink"/>
            <w:noProof/>
          </w:rPr>
          <w:t>Pharmaceutical Manufacturer Updates</w:t>
        </w:r>
        <w:r>
          <w:rPr>
            <w:noProof/>
            <w:webHidden/>
          </w:rPr>
          <w:tab/>
        </w:r>
        <w:r>
          <w:rPr>
            <w:noProof/>
            <w:webHidden/>
          </w:rPr>
          <w:fldChar w:fldCharType="begin"/>
        </w:r>
        <w:r>
          <w:rPr>
            <w:noProof/>
            <w:webHidden/>
          </w:rPr>
          <w:instrText xml:space="preserve"> PAGEREF _Toc82444342 \h </w:instrText>
        </w:r>
        <w:r>
          <w:rPr>
            <w:noProof/>
            <w:webHidden/>
          </w:rPr>
        </w:r>
        <w:r>
          <w:rPr>
            <w:noProof/>
            <w:webHidden/>
          </w:rPr>
          <w:fldChar w:fldCharType="separate"/>
        </w:r>
        <w:r w:rsidR="0021078E">
          <w:rPr>
            <w:noProof/>
            <w:webHidden/>
          </w:rPr>
          <w:t>43</w:t>
        </w:r>
        <w:r>
          <w:rPr>
            <w:noProof/>
            <w:webHidden/>
          </w:rPr>
          <w:fldChar w:fldCharType="end"/>
        </w:r>
      </w:hyperlink>
    </w:p>
    <w:p w14:paraId="5DA9BBFC" w14:textId="41B3458E" w:rsidR="00CD52F2" w:rsidRDefault="00CD52F2">
      <w:pPr>
        <w:pStyle w:val="TOC1"/>
        <w:rPr>
          <w:rFonts w:asciiTheme="minorHAnsi" w:eastAsiaTheme="minorEastAsia" w:hAnsiTheme="minorHAnsi" w:cstheme="minorBidi"/>
          <w:caps w:val="0"/>
          <w:noProof/>
          <w:color w:val="auto"/>
          <w:sz w:val="22"/>
        </w:rPr>
      </w:pPr>
      <w:hyperlink w:anchor="_Toc82444343" w:history="1">
        <w:r w:rsidRPr="009B4CBF">
          <w:rPr>
            <w:rStyle w:val="Hyperlink"/>
            <w:noProof/>
          </w:rPr>
          <w:t>2</w:t>
        </w:r>
        <w:r>
          <w:rPr>
            <w:rFonts w:asciiTheme="minorHAnsi" w:eastAsiaTheme="minorEastAsia" w:hAnsiTheme="minorHAnsi" w:cstheme="minorBidi"/>
            <w:caps w:val="0"/>
            <w:noProof/>
            <w:color w:val="auto"/>
            <w:sz w:val="22"/>
          </w:rPr>
          <w:tab/>
        </w:r>
        <w:r w:rsidRPr="009B4CBF">
          <w:rPr>
            <w:rStyle w:val="Hyperlink"/>
            <w:noProof/>
          </w:rPr>
          <w:t>ELIGIBILITY ASSESSMENT AND ENROLLMENT</w:t>
        </w:r>
        <w:r>
          <w:rPr>
            <w:noProof/>
            <w:webHidden/>
          </w:rPr>
          <w:tab/>
        </w:r>
        <w:r>
          <w:rPr>
            <w:noProof/>
            <w:webHidden/>
          </w:rPr>
          <w:fldChar w:fldCharType="begin"/>
        </w:r>
        <w:r>
          <w:rPr>
            <w:noProof/>
            <w:webHidden/>
          </w:rPr>
          <w:instrText xml:space="preserve"> PAGEREF _Toc82444343 \h </w:instrText>
        </w:r>
        <w:r>
          <w:rPr>
            <w:noProof/>
            <w:webHidden/>
          </w:rPr>
        </w:r>
        <w:r>
          <w:rPr>
            <w:noProof/>
            <w:webHidden/>
          </w:rPr>
          <w:fldChar w:fldCharType="separate"/>
        </w:r>
        <w:r w:rsidR="0021078E">
          <w:rPr>
            <w:noProof/>
            <w:webHidden/>
          </w:rPr>
          <w:t>43</w:t>
        </w:r>
        <w:r>
          <w:rPr>
            <w:noProof/>
            <w:webHidden/>
          </w:rPr>
          <w:fldChar w:fldCharType="end"/>
        </w:r>
      </w:hyperlink>
    </w:p>
    <w:p w14:paraId="539D9467" w14:textId="71B0F60D" w:rsidR="00CD52F2" w:rsidRDefault="00CD52F2">
      <w:pPr>
        <w:pStyle w:val="TOC2"/>
        <w:rPr>
          <w:rFonts w:asciiTheme="minorHAnsi" w:eastAsiaTheme="minorEastAsia" w:hAnsiTheme="minorHAnsi" w:cstheme="minorBidi"/>
          <w:noProof/>
          <w:color w:val="auto"/>
          <w:sz w:val="22"/>
        </w:rPr>
      </w:pPr>
      <w:hyperlink w:anchor="_Toc82444344" w:history="1">
        <w:r w:rsidRPr="009B4CBF">
          <w:rPr>
            <w:rStyle w:val="Hyperlink"/>
            <w:noProof/>
          </w:rPr>
          <w:t>2.1</w:t>
        </w:r>
        <w:r>
          <w:rPr>
            <w:rFonts w:asciiTheme="minorHAnsi" w:eastAsiaTheme="minorEastAsia" w:hAnsiTheme="minorHAnsi" w:cstheme="minorBidi"/>
            <w:noProof/>
            <w:color w:val="auto"/>
            <w:sz w:val="22"/>
          </w:rPr>
          <w:tab/>
        </w:r>
        <w:r w:rsidRPr="009B4CBF">
          <w:rPr>
            <w:rStyle w:val="Hyperlink"/>
            <w:noProof/>
          </w:rPr>
          <w:t>Phase I Study Eligibility Criteria</w:t>
        </w:r>
        <w:r>
          <w:rPr>
            <w:noProof/>
            <w:webHidden/>
          </w:rPr>
          <w:tab/>
        </w:r>
        <w:r>
          <w:rPr>
            <w:noProof/>
            <w:webHidden/>
          </w:rPr>
          <w:fldChar w:fldCharType="begin"/>
        </w:r>
        <w:r>
          <w:rPr>
            <w:noProof/>
            <w:webHidden/>
          </w:rPr>
          <w:instrText xml:space="preserve"> PAGEREF _Toc82444344 \h </w:instrText>
        </w:r>
        <w:r>
          <w:rPr>
            <w:noProof/>
            <w:webHidden/>
          </w:rPr>
        </w:r>
        <w:r>
          <w:rPr>
            <w:noProof/>
            <w:webHidden/>
          </w:rPr>
          <w:fldChar w:fldCharType="separate"/>
        </w:r>
        <w:r w:rsidR="0021078E">
          <w:rPr>
            <w:noProof/>
            <w:webHidden/>
          </w:rPr>
          <w:t>43</w:t>
        </w:r>
        <w:r>
          <w:rPr>
            <w:noProof/>
            <w:webHidden/>
          </w:rPr>
          <w:fldChar w:fldCharType="end"/>
        </w:r>
      </w:hyperlink>
    </w:p>
    <w:p w14:paraId="5F5315CC" w14:textId="1AE2C83B" w:rsidR="00CD52F2" w:rsidRDefault="00CD52F2">
      <w:pPr>
        <w:pStyle w:val="TOC2"/>
        <w:rPr>
          <w:rFonts w:asciiTheme="minorHAnsi" w:eastAsiaTheme="minorEastAsia" w:hAnsiTheme="minorHAnsi" w:cstheme="minorBidi"/>
          <w:noProof/>
          <w:color w:val="auto"/>
          <w:sz w:val="22"/>
        </w:rPr>
      </w:pPr>
      <w:hyperlink w:anchor="_Toc82444345" w:history="1">
        <w:r w:rsidRPr="009B4CBF">
          <w:rPr>
            <w:rStyle w:val="Hyperlink"/>
            <w:noProof/>
          </w:rPr>
          <w:t>2.2</w:t>
        </w:r>
        <w:r>
          <w:rPr>
            <w:rFonts w:asciiTheme="minorHAnsi" w:eastAsiaTheme="minorEastAsia" w:hAnsiTheme="minorHAnsi" w:cstheme="minorBidi"/>
            <w:noProof/>
            <w:color w:val="auto"/>
            <w:sz w:val="22"/>
          </w:rPr>
          <w:tab/>
        </w:r>
        <w:r w:rsidRPr="009B4CBF">
          <w:rPr>
            <w:rStyle w:val="Hyperlink"/>
            <w:noProof/>
          </w:rPr>
          <w:t>Phase II Study Cohort 1 Ovarian Cancer Eligibility Criteria (Durvalumab+O, Durvalumab+C AND Durvalumab+O+C)</w:t>
        </w:r>
        <w:r>
          <w:rPr>
            <w:noProof/>
            <w:webHidden/>
          </w:rPr>
          <w:tab/>
        </w:r>
        <w:r>
          <w:rPr>
            <w:noProof/>
            <w:webHidden/>
          </w:rPr>
          <w:fldChar w:fldCharType="begin"/>
        </w:r>
        <w:r>
          <w:rPr>
            <w:noProof/>
            <w:webHidden/>
          </w:rPr>
          <w:instrText xml:space="preserve"> PAGEREF _Toc82444345 \h </w:instrText>
        </w:r>
        <w:r>
          <w:rPr>
            <w:noProof/>
            <w:webHidden/>
          </w:rPr>
        </w:r>
        <w:r>
          <w:rPr>
            <w:noProof/>
            <w:webHidden/>
          </w:rPr>
          <w:fldChar w:fldCharType="separate"/>
        </w:r>
        <w:r w:rsidR="0021078E">
          <w:rPr>
            <w:noProof/>
            <w:webHidden/>
          </w:rPr>
          <w:t>47</w:t>
        </w:r>
        <w:r>
          <w:rPr>
            <w:noProof/>
            <w:webHidden/>
          </w:rPr>
          <w:fldChar w:fldCharType="end"/>
        </w:r>
      </w:hyperlink>
    </w:p>
    <w:p w14:paraId="11781FE9" w14:textId="66610460" w:rsidR="00CD52F2" w:rsidRDefault="00CD52F2">
      <w:pPr>
        <w:pStyle w:val="TOC2"/>
        <w:rPr>
          <w:rFonts w:asciiTheme="minorHAnsi" w:eastAsiaTheme="minorEastAsia" w:hAnsiTheme="minorHAnsi" w:cstheme="minorBidi"/>
          <w:noProof/>
          <w:color w:val="auto"/>
          <w:sz w:val="22"/>
        </w:rPr>
      </w:pPr>
      <w:hyperlink w:anchor="_Toc82444346" w:history="1">
        <w:r w:rsidRPr="009B4CBF">
          <w:rPr>
            <w:rStyle w:val="Hyperlink"/>
            <w:noProof/>
          </w:rPr>
          <w:t>2.3</w:t>
        </w:r>
        <w:r>
          <w:rPr>
            <w:rFonts w:asciiTheme="minorHAnsi" w:eastAsiaTheme="minorEastAsia" w:hAnsiTheme="minorHAnsi" w:cstheme="minorBidi"/>
            <w:noProof/>
            <w:color w:val="auto"/>
            <w:sz w:val="22"/>
          </w:rPr>
          <w:tab/>
        </w:r>
        <w:r w:rsidRPr="009B4CBF">
          <w:rPr>
            <w:rStyle w:val="Hyperlink"/>
            <w:noProof/>
          </w:rPr>
          <w:t>Phase II Study cohort 5 Triple Negative Breast Cancer Eligibility Criteria (Durvalumab+O Only)</w:t>
        </w:r>
        <w:r>
          <w:rPr>
            <w:noProof/>
            <w:webHidden/>
          </w:rPr>
          <w:tab/>
        </w:r>
        <w:r>
          <w:rPr>
            <w:noProof/>
            <w:webHidden/>
          </w:rPr>
          <w:fldChar w:fldCharType="begin"/>
        </w:r>
        <w:r>
          <w:rPr>
            <w:noProof/>
            <w:webHidden/>
          </w:rPr>
          <w:instrText xml:space="preserve"> PAGEREF _Toc82444346 \h </w:instrText>
        </w:r>
        <w:r>
          <w:rPr>
            <w:noProof/>
            <w:webHidden/>
          </w:rPr>
        </w:r>
        <w:r>
          <w:rPr>
            <w:noProof/>
            <w:webHidden/>
          </w:rPr>
          <w:fldChar w:fldCharType="separate"/>
        </w:r>
        <w:r w:rsidR="0021078E">
          <w:rPr>
            <w:noProof/>
            <w:webHidden/>
          </w:rPr>
          <w:t>52</w:t>
        </w:r>
        <w:r>
          <w:rPr>
            <w:noProof/>
            <w:webHidden/>
          </w:rPr>
          <w:fldChar w:fldCharType="end"/>
        </w:r>
      </w:hyperlink>
    </w:p>
    <w:p w14:paraId="486CD73B" w14:textId="7F3FF530" w:rsidR="00CD52F2" w:rsidRDefault="00CD52F2">
      <w:pPr>
        <w:pStyle w:val="TOC2"/>
        <w:rPr>
          <w:rFonts w:asciiTheme="minorHAnsi" w:eastAsiaTheme="minorEastAsia" w:hAnsiTheme="minorHAnsi" w:cstheme="minorBidi"/>
          <w:noProof/>
          <w:color w:val="auto"/>
          <w:sz w:val="22"/>
        </w:rPr>
      </w:pPr>
      <w:hyperlink w:anchor="_Toc82444347" w:history="1">
        <w:r w:rsidRPr="009B4CBF">
          <w:rPr>
            <w:rStyle w:val="Hyperlink"/>
            <w:noProof/>
          </w:rPr>
          <w:t>2.4</w:t>
        </w:r>
        <w:r>
          <w:rPr>
            <w:rFonts w:asciiTheme="minorHAnsi" w:eastAsiaTheme="minorEastAsia" w:hAnsiTheme="minorHAnsi" w:cstheme="minorBidi"/>
            <w:noProof/>
            <w:color w:val="auto"/>
            <w:sz w:val="22"/>
          </w:rPr>
          <w:tab/>
        </w:r>
        <w:r w:rsidRPr="009B4CBF">
          <w:rPr>
            <w:rStyle w:val="Hyperlink"/>
            <w:noProof/>
          </w:rPr>
          <w:t>Phase II Study Non-Small Cell Lung Cancer (cohort 2; Durvalumab+O And Durvalumab+C) And Small Cell Lung Cancer (cohort 3; Durvalumab+O Only) Eligibility Criteria</w:t>
        </w:r>
        <w:r>
          <w:rPr>
            <w:noProof/>
            <w:webHidden/>
          </w:rPr>
          <w:tab/>
        </w:r>
        <w:r>
          <w:rPr>
            <w:noProof/>
            <w:webHidden/>
          </w:rPr>
          <w:fldChar w:fldCharType="begin"/>
        </w:r>
        <w:r>
          <w:rPr>
            <w:noProof/>
            <w:webHidden/>
          </w:rPr>
          <w:instrText xml:space="preserve"> PAGEREF _Toc82444347 \h </w:instrText>
        </w:r>
        <w:r>
          <w:rPr>
            <w:noProof/>
            <w:webHidden/>
          </w:rPr>
        </w:r>
        <w:r>
          <w:rPr>
            <w:noProof/>
            <w:webHidden/>
          </w:rPr>
          <w:fldChar w:fldCharType="separate"/>
        </w:r>
        <w:r w:rsidR="0021078E">
          <w:rPr>
            <w:noProof/>
            <w:webHidden/>
          </w:rPr>
          <w:t>56</w:t>
        </w:r>
        <w:r>
          <w:rPr>
            <w:noProof/>
            <w:webHidden/>
          </w:rPr>
          <w:fldChar w:fldCharType="end"/>
        </w:r>
      </w:hyperlink>
    </w:p>
    <w:p w14:paraId="1289C502" w14:textId="5E521E75" w:rsidR="00CD52F2" w:rsidRDefault="00CD52F2">
      <w:pPr>
        <w:pStyle w:val="TOC2"/>
        <w:rPr>
          <w:rFonts w:asciiTheme="minorHAnsi" w:eastAsiaTheme="minorEastAsia" w:hAnsiTheme="minorHAnsi" w:cstheme="minorBidi"/>
          <w:noProof/>
          <w:color w:val="auto"/>
          <w:sz w:val="22"/>
        </w:rPr>
      </w:pPr>
      <w:hyperlink w:anchor="_Toc82444348" w:history="1">
        <w:r w:rsidRPr="009B4CBF">
          <w:rPr>
            <w:rStyle w:val="Hyperlink"/>
            <w:noProof/>
          </w:rPr>
          <w:t>2.5</w:t>
        </w:r>
        <w:r>
          <w:rPr>
            <w:rFonts w:asciiTheme="minorHAnsi" w:eastAsiaTheme="minorEastAsia" w:hAnsiTheme="minorHAnsi" w:cstheme="minorBidi"/>
            <w:noProof/>
            <w:color w:val="auto"/>
            <w:sz w:val="22"/>
          </w:rPr>
          <w:tab/>
        </w:r>
        <w:r w:rsidRPr="009B4CBF">
          <w:rPr>
            <w:rStyle w:val="Hyperlink"/>
            <w:noProof/>
          </w:rPr>
          <w:t>Phase II Study Metastatic Castrate-Resistant Prostate Cancer cohort 4 Eligibility Criteria (Durvalumab+O Only)</w:t>
        </w:r>
        <w:r>
          <w:rPr>
            <w:noProof/>
            <w:webHidden/>
          </w:rPr>
          <w:tab/>
        </w:r>
        <w:r>
          <w:rPr>
            <w:noProof/>
            <w:webHidden/>
          </w:rPr>
          <w:fldChar w:fldCharType="begin"/>
        </w:r>
        <w:r>
          <w:rPr>
            <w:noProof/>
            <w:webHidden/>
          </w:rPr>
          <w:instrText xml:space="preserve"> PAGEREF _Toc82444348 \h </w:instrText>
        </w:r>
        <w:r>
          <w:rPr>
            <w:noProof/>
            <w:webHidden/>
          </w:rPr>
        </w:r>
        <w:r>
          <w:rPr>
            <w:noProof/>
            <w:webHidden/>
          </w:rPr>
          <w:fldChar w:fldCharType="separate"/>
        </w:r>
        <w:r w:rsidR="0021078E">
          <w:rPr>
            <w:noProof/>
            <w:webHidden/>
          </w:rPr>
          <w:t>60</w:t>
        </w:r>
        <w:r>
          <w:rPr>
            <w:noProof/>
            <w:webHidden/>
          </w:rPr>
          <w:fldChar w:fldCharType="end"/>
        </w:r>
      </w:hyperlink>
    </w:p>
    <w:p w14:paraId="4A5797A5" w14:textId="09EA3727" w:rsidR="00CD52F2" w:rsidRDefault="00CD52F2">
      <w:pPr>
        <w:pStyle w:val="TOC2"/>
        <w:rPr>
          <w:rFonts w:asciiTheme="minorHAnsi" w:eastAsiaTheme="minorEastAsia" w:hAnsiTheme="minorHAnsi" w:cstheme="minorBidi"/>
          <w:noProof/>
          <w:color w:val="auto"/>
          <w:sz w:val="22"/>
        </w:rPr>
      </w:pPr>
      <w:hyperlink w:anchor="_Toc82444349" w:history="1">
        <w:r w:rsidRPr="009B4CBF">
          <w:rPr>
            <w:rStyle w:val="Hyperlink"/>
            <w:noProof/>
          </w:rPr>
          <w:t>2.6</w:t>
        </w:r>
        <w:r>
          <w:rPr>
            <w:rFonts w:asciiTheme="minorHAnsi" w:eastAsiaTheme="minorEastAsia" w:hAnsiTheme="minorHAnsi" w:cstheme="minorBidi"/>
            <w:noProof/>
            <w:color w:val="auto"/>
            <w:sz w:val="22"/>
          </w:rPr>
          <w:tab/>
        </w:r>
        <w:r w:rsidRPr="009B4CBF">
          <w:rPr>
            <w:rStyle w:val="Hyperlink"/>
            <w:noProof/>
          </w:rPr>
          <w:t>Phase II Colorectal Cancer Cohort 6 (Durvalumab+C Only)</w:t>
        </w:r>
        <w:r>
          <w:rPr>
            <w:noProof/>
            <w:webHidden/>
          </w:rPr>
          <w:tab/>
        </w:r>
        <w:r>
          <w:rPr>
            <w:noProof/>
            <w:webHidden/>
          </w:rPr>
          <w:fldChar w:fldCharType="begin"/>
        </w:r>
        <w:r>
          <w:rPr>
            <w:noProof/>
            <w:webHidden/>
          </w:rPr>
          <w:instrText xml:space="preserve"> PAGEREF _Toc82444349 \h </w:instrText>
        </w:r>
        <w:r>
          <w:rPr>
            <w:noProof/>
            <w:webHidden/>
          </w:rPr>
        </w:r>
        <w:r>
          <w:rPr>
            <w:noProof/>
            <w:webHidden/>
          </w:rPr>
          <w:fldChar w:fldCharType="separate"/>
        </w:r>
        <w:r w:rsidR="0021078E">
          <w:rPr>
            <w:noProof/>
            <w:webHidden/>
          </w:rPr>
          <w:t>64</w:t>
        </w:r>
        <w:r>
          <w:rPr>
            <w:noProof/>
            <w:webHidden/>
          </w:rPr>
          <w:fldChar w:fldCharType="end"/>
        </w:r>
      </w:hyperlink>
    </w:p>
    <w:p w14:paraId="1D617E71" w14:textId="6BDF3250" w:rsidR="00CD52F2" w:rsidRDefault="00CD52F2">
      <w:pPr>
        <w:pStyle w:val="TOC2"/>
        <w:rPr>
          <w:rFonts w:asciiTheme="minorHAnsi" w:eastAsiaTheme="minorEastAsia" w:hAnsiTheme="minorHAnsi" w:cstheme="minorBidi"/>
          <w:noProof/>
          <w:color w:val="auto"/>
          <w:sz w:val="22"/>
        </w:rPr>
      </w:pPr>
      <w:hyperlink w:anchor="_Toc82444350" w:history="1">
        <w:r w:rsidRPr="009B4CBF">
          <w:rPr>
            <w:rStyle w:val="Hyperlink"/>
            <w:noProof/>
          </w:rPr>
          <w:t>2.7</w:t>
        </w:r>
        <w:r>
          <w:rPr>
            <w:rFonts w:asciiTheme="minorHAnsi" w:eastAsiaTheme="minorEastAsia" w:hAnsiTheme="minorHAnsi" w:cstheme="minorBidi"/>
            <w:noProof/>
            <w:color w:val="auto"/>
            <w:sz w:val="22"/>
          </w:rPr>
          <w:tab/>
        </w:r>
        <w:r w:rsidRPr="009B4CBF">
          <w:rPr>
            <w:rStyle w:val="Hyperlink"/>
            <w:noProof/>
          </w:rPr>
          <w:t>Screening Evaluation</w:t>
        </w:r>
        <w:r>
          <w:rPr>
            <w:noProof/>
            <w:webHidden/>
          </w:rPr>
          <w:tab/>
        </w:r>
        <w:r>
          <w:rPr>
            <w:noProof/>
            <w:webHidden/>
          </w:rPr>
          <w:fldChar w:fldCharType="begin"/>
        </w:r>
        <w:r>
          <w:rPr>
            <w:noProof/>
            <w:webHidden/>
          </w:rPr>
          <w:instrText xml:space="preserve"> PAGEREF _Toc82444350 \h </w:instrText>
        </w:r>
        <w:r>
          <w:rPr>
            <w:noProof/>
            <w:webHidden/>
          </w:rPr>
        </w:r>
        <w:r>
          <w:rPr>
            <w:noProof/>
            <w:webHidden/>
          </w:rPr>
          <w:fldChar w:fldCharType="separate"/>
        </w:r>
        <w:r w:rsidR="0021078E">
          <w:rPr>
            <w:noProof/>
            <w:webHidden/>
          </w:rPr>
          <w:t>68</w:t>
        </w:r>
        <w:r>
          <w:rPr>
            <w:noProof/>
            <w:webHidden/>
          </w:rPr>
          <w:fldChar w:fldCharType="end"/>
        </w:r>
      </w:hyperlink>
    </w:p>
    <w:p w14:paraId="403C854D" w14:textId="6E0CCE0A" w:rsidR="00CD52F2" w:rsidRDefault="00CD52F2">
      <w:pPr>
        <w:pStyle w:val="TOC2"/>
        <w:rPr>
          <w:rFonts w:asciiTheme="minorHAnsi" w:eastAsiaTheme="minorEastAsia" w:hAnsiTheme="minorHAnsi" w:cstheme="minorBidi"/>
          <w:noProof/>
          <w:color w:val="auto"/>
          <w:sz w:val="22"/>
        </w:rPr>
      </w:pPr>
      <w:hyperlink w:anchor="_Toc82444351" w:history="1">
        <w:r w:rsidRPr="009B4CBF">
          <w:rPr>
            <w:rStyle w:val="Hyperlink"/>
            <w:noProof/>
          </w:rPr>
          <w:t>2.8</w:t>
        </w:r>
        <w:r>
          <w:rPr>
            <w:rFonts w:asciiTheme="minorHAnsi" w:eastAsiaTheme="minorEastAsia" w:hAnsiTheme="minorHAnsi" w:cstheme="minorBidi"/>
            <w:noProof/>
            <w:color w:val="auto"/>
            <w:sz w:val="22"/>
          </w:rPr>
          <w:tab/>
        </w:r>
        <w:r w:rsidRPr="009B4CBF">
          <w:rPr>
            <w:rStyle w:val="Hyperlink"/>
            <w:noProof/>
          </w:rPr>
          <w:t>Participant Registration and Status Update Procedures</w:t>
        </w:r>
        <w:r>
          <w:rPr>
            <w:noProof/>
            <w:webHidden/>
          </w:rPr>
          <w:tab/>
        </w:r>
        <w:r>
          <w:rPr>
            <w:noProof/>
            <w:webHidden/>
          </w:rPr>
          <w:fldChar w:fldCharType="begin"/>
        </w:r>
        <w:r>
          <w:rPr>
            <w:noProof/>
            <w:webHidden/>
          </w:rPr>
          <w:instrText xml:space="preserve"> PAGEREF _Toc82444351 \h </w:instrText>
        </w:r>
        <w:r>
          <w:rPr>
            <w:noProof/>
            <w:webHidden/>
          </w:rPr>
        </w:r>
        <w:r>
          <w:rPr>
            <w:noProof/>
            <w:webHidden/>
          </w:rPr>
          <w:fldChar w:fldCharType="separate"/>
        </w:r>
        <w:r w:rsidR="0021078E">
          <w:rPr>
            <w:noProof/>
            <w:webHidden/>
          </w:rPr>
          <w:t>70</w:t>
        </w:r>
        <w:r>
          <w:rPr>
            <w:noProof/>
            <w:webHidden/>
          </w:rPr>
          <w:fldChar w:fldCharType="end"/>
        </w:r>
      </w:hyperlink>
    </w:p>
    <w:p w14:paraId="6CD2A30D" w14:textId="201376AB" w:rsidR="00CD52F2" w:rsidRDefault="00CD52F2">
      <w:pPr>
        <w:pStyle w:val="TOC2"/>
        <w:rPr>
          <w:rFonts w:asciiTheme="minorHAnsi" w:eastAsiaTheme="minorEastAsia" w:hAnsiTheme="minorHAnsi" w:cstheme="minorBidi"/>
          <w:noProof/>
          <w:color w:val="auto"/>
          <w:sz w:val="22"/>
        </w:rPr>
      </w:pPr>
      <w:hyperlink w:anchor="_Toc82444352" w:history="1">
        <w:r w:rsidRPr="009B4CBF">
          <w:rPr>
            <w:rStyle w:val="Hyperlink"/>
            <w:noProof/>
          </w:rPr>
          <w:t>2.9</w:t>
        </w:r>
        <w:r>
          <w:rPr>
            <w:rFonts w:asciiTheme="minorHAnsi" w:eastAsiaTheme="minorEastAsia" w:hAnsiTheme="minorHAnsi" w:cstheme="minorBidi"/>
            <w:noProof/>
            <w:color w:val="auto"/>
            <w:sz w:val="22"/>
          </w:rPr>
          <w:tab/>
        </w:r>
        <w:r w:rsidRPr="009B4CBF">
          <w:rPr>
            <w:rStyle w:val="Hyperlink"/>
            <w:noProof/>
          </w:rPr>
          <w:t>Treatment Assignment and Randomization/Stratification Procedures</w:t>
        </w:r>
        <w:r>
          <w:rPr>
            <w:noProof/>
            <w:webHidden/>
          </w:rPr>
          <w:tab/>
        </w:r>
        <w:r>
          <w:rPr>
            <w:noProof/>
            <w:webHidden/>
          </w:rPr>
          <w:fldChar w:fldCharType="begin"/>
        </w:r>
        <w:r>
          <w:rPr>
            <w:noProof/>
            <w:webHidden/>
          </w:rPr>
          <w:instrText xml:space="preserve"> PAGEREF _Toc82444352 \h </w:instrText>
        </w:r>
        <w:r>
          <w:rPr>
            <w:noProof/>
            <w:webHidden/>
          </w:rPr>
        </w:r>
        <w:r>
          <w:rPr>
            <w:noProof/>
            <w:webHidden/>
          </w:rPr>
          <w:fldChar w:fldCharType="separate"/>
        </w:r>
        <w:r w:rsidR="0021078E">
          <w:rPr>
            <w:noProof/>
            <w:webHidden/>
          </w:rPr>
          <w:t>71</w:t>
        </w:r>
        <w:r>
          <w:rPr>
            <w:noProof/>
            <w:webHidden/>
          </w:rPr>
          <w:fldChar w:fldCharType="end"/>
        </w:r>
      </w:hyperlink>
    </w:p>
    <w:p w14:paraId="67C61FE2" w14:textId="44ACD3DE" w:rsidR="00CD52F2" w:rsidRDefault="00CD52F2">
      <w:pPr>
        <w:pStyle w:val="TOC2"/>
        <w:rPr>
          <w:rFonts w:asciiTheme="minorHAnsi" w:eastAsiaTheme="minorEastAsia" w:hAnsiTheme="minorHAnsi" w:cstheme="minorBidi"/>
          <w:noProof/>
          <w:color w:val="auto"/>
          <w:sz w:val="22"/>
        </w:rPr>
      </w:pPr>
      <w:hyperlink w:anchor="_Toc82444353" w:history="1">
        <w:r w:rsidRPr="009B4CBF">
          <w:rPr>
            <w:rStyle w:val="Hyperlink"/>
            <w:noProof/>
          </w:rPr>
          <w:t>2.10</w:t>
        </w:r>
        <w:r>
          <w:rPr>
            <w:rFonts w:asciiTheme="minorHAnsi" w:eastAsiaTheme="minorEastAsia" w:hAnsiTheme="minorHAnsi" w:cstheme="minorBidi"/>
            <w:noProof/>
            <w:color w:val="auto"/>
            <w:sz w:val="22"/>
          </w:rPr>
          <w:tab/>
        </w:r>
        <w:r w:rsidRPr="009B4CBF">
          <w:rPr>
            <w:rStyle w:val="Hyperlink"/>
            <w:noProof/>
          </w:rPr>
          <w:t>RESTRICTIONS DURING THE STUDY</w:t>
        </w:r>
        <w:r>
          <w:rPr>
            <w:noProof/>
            <w:webHidden/>
          </w:rPr>
          <w:tab/>
        </w:r>
        <w:r>
          <w:rPr>
            <w:noProof/>
            <w:webHidden/>
          </w:rPr>
          <w:fldChar w:fldCharType="begin"/>
        </w:r>
        <w:r>
          <w:rPr>
            <w:noProof/>
            <w:webHidden/>
          </w:rPr>
          <w:instrText xml:space="preserve"> PAGEREF _Toc82444353 \h </w:instrText>
        </w:r>
        <w:r>
          <w:rPr>
            <w:noProof/>
            <w:webHidden/>
          </w:rPr>
        </w:r>
        <w:r>
          <w:rPr>
            <w:noProof/>
            <w:webHidden/>
          </w:rPr>
          <w:fldChar w:fldCharType="separate"/>
        </w:r>
        <w:r w:rsidR="0021078E">
          <w:rPr>
            <w:noProof/>
            <w:webHidden/>
          </w:rPr>
          <w:t>74</w:t>
        </w:r>
        <w:r>
          <w:rPr>
            <w:noProof/>
            <w:webHidden/>
          </w:rPr>
          <w:fldChar w:fldCharType="end"/>
        </w:r>
      </w:hyperlink>
    </w:p>
    <w:p w14:paraId="36C20C2D" w14:textId="44AD53FF" w:rsidR="00CD52F2" w:rsidRDefault="00CD52F2">
      <w:pPr>
        <w:pStyle w:val="TOC1"/>
        <w:rPr>
          <w:rFonts w:asciiTheme="minorHAnsi" w:eastAsiaTheme="minorEastAsia" w:hAnsiTheme="minorHAnsi" w:cstheme="minorBidi"/>
          <w:caps w:val="0"/>
          <w:noProof/>
          <w:color w:val="auto"/>
          <w:sz w:val="22"/>
        </w:rPr>
      </w:pPr>
      <w:hyperlink w:anchor="_Toc82444354" w:history="1">
        <w:r w:rsidRPr="009B4CBF">
          <w:rPr>
            <w:rStyle w:val="Hyperlink"/>
            <w:noProof/>
          </w:rPr>
          <w:t>3</w:t>
        </w:r>
        <w:r>
          <w:rPr>
            <w:rFonts w:asciiTheme="minorHAnsi" w:eastAsiaTheme="minorEastAsia" w:hAnsiTheme="minorHAnsi" w:cstheme="minorBidi"/>
            <w:caps w:val="0"/>
            <w:noProof/>
            <w:color w:val="auto"/>
            <w:sz w:val="22"/>
          </w:rPr>
          <w:tab/>
        </w:r>
        <w:r w:rsidRPr="009B4CBF">
          <w:rPr>
            <w:rStyle w:val="Hyperlink"/>
            <w:noProof/>
          </w:rPr>
          <w:t>STUDY IMPLEMENTATION</w:t>
        </w:r>
        <w:r>
          <w:rPr>
            <w:noProof/>
            <w:webHidden/>
          </w:rPr>
          <w:tab/>
        </w:r>
        <w:r>
          <w:rPr>
            <w:noProof/>
            <w:webHidden/>
          </w:rPr>
          <w:fldChar w:fldCharType="begin"/>
        </w:r>
        <w:r>
          <w:rPr>
            <w:noProof/>
            <w:webHidden/>
          </w:rPr>
          <w:instrText xml:space="preserve"> PAGEREF _Toc82444354 \h </w:instrText>
        </w:r>
        <w:r>
          <w:rPr>
            <w:noProof/>
            <w:webHidden/>
          </w:rPr>
        </w:r>
        <w:r>
          <w:rPr>
            <w:noProof/>
            <w:webHidden/>
          </w:rPr>
          <w:fldChar w:fldCharType="separate"/>
        </w:r>
        <w:r w:rsidR="0021078E">
          <w:rPr>
            <w:noProof/>
            <w:webHidden/>
          </w:rPr>
          <w:t>74</w:t>
        </w:r>
        <w:r>
          <w:rPr>
            <w:noProof/>
            <w:webHidden/>
          </w:rPr>
          <w:fldChar w:fldCharType="end"/>
        </w:r>
      </w:hyperlink>
    </w:p>
    <w:p w14:paraId="4D59E37A" w14:textId="5E2A2EDB" w:rsidR="00CD52F2" w:rsidRDefault="00CD52F2">
      <w:pPr>
        <w:pStyle w:val="TOC2"/>
        <w:rPr>
          <w:rFonts w:asciiTheme="minorHAnsi" w:eastAsiaTheme="minorEastAsia" w:hAnsiTheme="minorHAnsi" w:cstheme="minorBidi"/>
          <w:noProof/>
          <w:color w:val="auto"/>
          <w:sz w:val="22"/>
        </w:rPr>
      </w:pPr>
      <w:hyperlink w:anchor="_Toc82444355" w:history="1">
        <w:r w:rsidRPr="009B4CBF">
          <w:rPr>
            <w:rStyle w:val="Hyperlink"/>
            <w:noProof/>
          </w:rPr>
          <w:t>3.1</w:t>
        </w:r>
        <w:r>
          <w:rPr>
            <w:rFonts w:asciiTheme="minorHAnsi" w:eastAsiaTheme="minorEastAsia" w:hAnsiTheme="minorHAnsi" w:cstheme="minorBidi"/>
            <w:noProof/>
            <w:color w:val="auto"/>
            <w:sz w:val="22"/>
          </w:rPr>
          <w:tab/>
        </w:r>
        <w:r w:rsidRPr="009B4CBF">
          <w:rPr>
            <w:rStyle w:val="Hyperlink"/>
            <w:noProof/>
          </w:rPr>
          <w:t>Study Design</w:t>
        </w:r>
        <w:r>
          <w:rPr>
            <w:noProof/>
            <w:webHidden/>
          </w:rPr>
          <w:tab/>
        </w:r>
        <w:r>
          <w:rPr>
            <w:noProof/>
            <w:webHidden/>
          </w:rPr>
          <w:fldChar w:fldCharType="begin"/>
        </w:r>
        <w:r>
          <w:rPr>
            <w:noProof/>
            <w:webHidden/>
          </w:rPr>
          <w:instrText xml:space="preserve"> PAGEREF _Toc82444355 \h </w:instrText>
        </w:r>
        <w:r>
          <w:rPr>
            <w:noProof/>
            <w:webHidden/>
          </w:rPr>
        </w:r>
        <w:r>
          <w:rPr>
            <w:noProof/>
            <w:webHidden/>
          </w:rPr>
          <w:fldChar w:fldCharType="separate"/>
        </w:r>
        <w:r w:rsidR="0021078E">
          <w:rPr>
            <w:noProof/>
            <w:webHidden/>
          </w:rPr>
          <w:t>74</w:t>
        </w:r>
        <w:r>
          <w:rPr>
            <w:noProof/>
            <w:webHidden/>
          </w:rPr>
          <w:fldChar w:fldCharType="end"/>
        </w:r>
      </w:hyperlink>
    </w:p>
    <w:p w14:paraId="0C78A3F4" w14:textId="29E0F86E" w:rsidR="00CD52F2" w:rsidRDefault="00CD52F2">
      <w:pPr>
        <w:pStyle w:val="TOC2"/>
        <w:rPr>
          <w:rFonts w:asciiTheme="minorHAnsi" w:eastAsiaTheme="minorEastAsia" w:hAnsiTheme="minorHAnsi" w:cstheme="minorBidi"/>
          <w:noProof/>
          <w:color w:val="auto"/>
          <w:sz w:val="22"/>
        </w:rPr>
      </w:pPr>
      <w:hyperlink w:anchor="_Toc82444356" w:history="1">
        <w:r w:rsidRPr="009B4CBF">
          <w:rPr>
            <w:rStyle w:val="Hyperlink"/>
            <w:noProof/>
            <w:lang w:eastAsia="ko-KR"/>
          </w:rPr>
          <w:t>3.2</w:t>
        </w:r>
        <w:r>
          <w:rPr>
            <w:rFonts w:asciiTheme="minorHAnsi" w:eastAsiaTheme="minorEastAsia" w:hAnsiTheme="minorHAnsi" w:cstheme="minorBidi"/>
            <w:noProof/>
            <w:color w:val="auto"/>
            <w:sz w:val="22"/>
          </w:rPr>
          <w:tab/>
        </w:r>
        <w:r w:rsidRPr="009B4CBF">
          <w:rPr>
            <w:rStyle w:val="Hyperlink"/>
            <w:noProof/>
          </w:rPr>
          <w:t>Drug Administration</w:t>
        </w:r>
        <w:r>
          <w:rPr>
            <w:noProof/>
            <w:webHidden/>
          </w:rPr>
          <w:tab/>
        </w:r>
        <w:r>
          <w:rPr>
            <w:noProof/>
            <w:webHidden/>
          </w:rPr>
          <w:fldChar w:fldCharType="begin"/>
        </w:r>
        <w:r>
          <w:rPr>
            <w:noProof/>
            <w:webHidden/>
          </w:rPr>
          <w:instrText xml:space="preserve"> PAGEREF _Toc82444356 \h </w:instrText>
        </w:r>
        <w:r>
          <w:rPr>
            <w:noProof/>
            <w:webHidden/>
          </w:rPr>
        </w:r>
        <w:r>
          <w:rPr>
            <w:noProof/>
            <w:webHidden/>
          </w:rPr>
          <w:fldChar w:fldCharType="separate"/>
        </w:r>
        <w:r w:rsidR="0021078E">
          <w:rPr>
            <w:noProof/>
            <w:webHidden/>
          </w:rPr>
          <w:t>79</w:t>
        </w:r>
        <w:r>
          <w:rPr>
            <w:noProof/>
            <w:webHidden/>
          </w:rPr>
          <w:fldChar w:fldCharType="end"/>
        </w:r>
      </w:hyperlink>
    </w:p>
    <w:p w14:paraId="0B3678F2" w14:textId="5020A3A9" w:rsidR="00CD52F2" w:rsidRDefault="00CD52F2">
      <w:pPr>
        <w:pStyle w:val="TOC2"/>
        <w:rPr>
          <w:rFonts w:asciiTheme="minorHAnsi" w:eastAsiaTheme="minorEastAsia" w:hAnsiTheme="minorHAnsi" w:cstheme="minorBidi"/>
          <w:noProof/>
          <w:color w:val="auto"/>
          <w:sz w:val="22"/>
        </w:rPr>
      </w:pPr>
      <w:hyperlink w:anchor="_Toc82444357" w:history="1">
        <w:r w:rsidRPr="009B4CBF">
          <w:rPr>
            <w:rStyle w:val="Hyperlink"/>
            <w:noProof/>
          </w:rPr>
          <w:t>3.3</w:t>
        </w:r>
        <w:r>
          <w:rPr>
            <w:rFonts w:asciiTheme="minorHAnsi" w:eastAsiaTheme="minorEastAsia" w:hAnsiTheme="minorHAnsi" w:cstheme="minorBidi"/>
            <w:noProof/>
            <w:color w:val="auto"/>
            <w:sz w:val="22"/>
          </w:rPr>
          <w:tab/>
        </w:r>
        <w:r w:rsidRPr="009B4CBF">
          <w:rPr>
            <w:rStyle w:val="Hyperlink"/>
            <w:noProof/>
          </w:rPr>
          <w:t>Self Administered IND agents</w:t>
        </w:r>
        <w:r>
          <w:rPr>
            <w:noProof/>
            <w:webHidden/>
          </w:rPr>
          <w:tab/>
        </w:r>
        <w:r>
          <w:rPr>
            <w:noProof/>
            <w:webHidden/>
          </w:rPr>
          <w:fldChar w:fldCharType="begin"/>
        </w:r>
        <w:r>
          <w:rPr>
            <w:noProof/>
            <w:webHidden/>
          </w:rPr>
          <w:instrText xml:space="preserve"> PAGEREF _Toc82444357 \h </w:instrText>
        </w:r>
        <w:r>
          <w:rPr>
            <w:noProof/>
            <w:webHidden/>
          </w:rPr>
        </w:r>
        <w:r>
          <w:rPr>
            <w:noProof/>
            <w:webHidden/>
          </w:rPr>
          <w:fldChar w:fldCharType="separate"/>
        </w:r>
        <w:r w:rsidR="0021078E">
          <w:rPr>
            <w:noProof/>
            <w:webHidden/>
          </w:rPr>
          <w:t>81</w:t>
        </w:r>
        <w:r>
          <w:rPr>
            <w:noProof/>
            <w:webHidden/>
          </w:rPr>
          <w:fldChar w:fldCharType="end"/>
        </w:r>
      </w:hyperlink>
    </w:p>
    <w:p w14:paraId="43CAA352" w14:textId="440047CB" w:rsidR="00CD52F2" w:rsidRDefault="00CD52F2">
      <w:pPr>
        <w:pStyle w:val="TOC2"/>
        <w:rPr>
          <w:rFonts w:asciiTheme="minorHAnsi" w:eastAsiaTheme="minorEastAsia" w:hAnsiTheme="minorHAnsi" w:cstheme="minorBidi"/>
          <w:noProof/>
          <w:color w:val="auto"/>
          <w:sz w:val="22"/>
        </w:rPr>
      </w:pPr>
      <w:hyperlink w:anchor="_Toc82444358" w:history="1">
        <w:r w:rsidRPr="009B4CBF">
          <w:rPr>
            <w:rStyle w:val="Hyperlink"/>
            <w:noProof/>
          </w:rPr>
          <w:t>3.4</w:t>
        </w:r>
        <w:r>
          <w:rPr>
            <w:rFonts w:asciiTheme="minorHAnsi" w:eastAsiaTheme="minorEastAsia" w:hAnsiTheme="minorHAnsi" w:cstheme="minorBidi"/>
            <w:noProof/>
            <w:color w:val="auto"/>
            <w:sz w:val="22"/>
          </w:rPr>
          <w:tab/>
        </w:r>
        <w:r w:rsidRPr="009B4CBF">
          <w:rPr>
            <w:rStyle w:val="Hyperlink"/>
            <w:noProof/>
          </w:rPr>
          <w:t>Dosing Delays/Dose Modifications And Management Of Toxicities Associated With Durvalumab, Olaparib, Cediranib</w:t>
        </w:r>
        <w:r>
          <w:rPr>
            <w:noProof/>
            <w:webHidden/>
          </w:rPr>
          <w:tab/>
        </w:r>
        <w:r>
          <w:rPr>
            <w:noProof/>
            <w:webHidden/>
          </w:rPr>
          <w:fldChar w:fldCharType="begin"/>
        </w:r>
        <w:r>
          <w:rPr>
            <w:noProof/>
            <w:webHidden/>
          </w:rPr>
          <w:instrText xml:space="preserve"> PAGEREF _Toc82444358 \h </w:instrText>
        </w:r>
        <w:r>
          <w:rPr>
            <w:noProof/>
            <w:webHidden/>
          </w:rPr>
        </w:r>
        <w:r>
          <w:rPr>
            <w:noProof/>
            <w:webHidden/>
          </w:rPr>
          <w:fldChar w:fldCharType="separate"/>
        </w:r>
        <w:r w:rsidR="0021078E">
          <w:rPr>
            <w:noProof/>
            <w:webHidden/>
          </w:rPr>
          <w:t>82</w:t>
        </w:r>
        <w:r>
          <w:rPr>
            <w:noProof/>
            <w:webHidden/>
          </w:rPr>
          <w:fldChar w:fldCharType="end"/>
        </w:r>
      </w:hyperlink>
    </w:p>
    <w:p w14:paraId="4FE85E99" w14:textId="77BC1C29" w:rsidR="00CD52F2" w:rsidRDefault="00CD52F2">
      <w:pPr>
        <w:pStyle w:val="TOC2"/>
        <w:rPr>
          <w:rFonts w:asciiTheme="minorHAnsi" w:eastAsiaTheme="minorEastAsia" w:hAnsiTheme="minorHAnsi" w:cstheme="minorBidi"/>
          <w:noProof/>
          <w:color w:val="auto"/>
          <w:sz w:val="22"/>
        </w:rPr>
      </w:pPr>
      <w:hyperlink w:anchor="_Toc82444359" w:history="1">
        <w:r w:rsidRPr="009B4CBF">
          <w:rPr>
            <w:rStyle w:val="Hyperlink"/>
            <w:noProof/>
          </w:rPr>
          <w:t>3.5</w:t>
        </w:r>
        <w:r>
          <w:rPr>
            <w:rFonts w:asciiTheme="minorHAnsi" w:eastAsiaTheme="minorEastAsia" w:hAnsiTheme="minorHAnsi" w:cstheme="minorBidi"/>
            <w:noProof/>
            <w:color w:val="auto"/>
            <w:sz w:val="22"/>
          </w:rPr>
          <w:tab/>
        </w:r>
        <w:r w:rsidRPr="009B4CBF">
          <w:rPr>
            <w:rStyle w:val="Hyperlink"/>
            <w:noProof/>
          </w:rPr>
          <w:t>Study Calendar</w:t>
        </w:r>
        <w:r>
          <w:rPr>
            <w:noProof/>
            <w:webHidden/>
          </w:rPr>
          <w:tab/>
        </w:r>
        <w:r>
          <w:rPr>
            <w:noProof/>
            <w:webHidden/>
          </w:rPr>
          <w:fldChar w:fldCharType="begin"/>
        </w:r>
        <w:r>
          <w:rPr>
            <w:noProof/>
            <w:webHidden/>
          </w:rPr>
          <w:instrText xml:space="preserve"> PAGEREF _Toc82444359 \h </w:instrText>
        </w:r>
        <w:r>
          <w:rPr>
            <w:noProof/>
            <w:webHidden/>
          </w:rPr>
        </w:r>
        <w:r>
          <w:rPr>
            <w:noProof/>
            <w:webHidden/>
          </w:rPr>
          <w:fldChar w:fldCharType="separate"/>
        </w:r>
        <w:r w:rsidR="0021078E">
          <w:rPr>
            <w:noProof/>
            <w:webHidden/>
          </w:rPr>
          <w:t>110</w:t>
        </w:r>
        <w:r>
          <w:rPr>
            <w:noProof/>
            <w:webHidden/>
          </w:rPr>
          <w:fldChar w:fldCharType="end"/>
        </w:r>
      </w:hyperlink>
    </w:p>
    <w:p w14:paraId="2081FD4F" w14:textId="0FCFBE9C" w:rsidR="00CD52F2" w:rsidRDefault="00CD52F2">
      <w:pPr>
        <w:pStyle w:val="TOC2"/>
        <w:rPr>
          <w:rFonts w:asciiTheme="minorHAnsi" w:eastAsiaTheme="minorEastAsia" w:hAnsiTheme="minorHAnsi" w:cstheme="minorBidi"/>
          <w:noProof/>
          <w:color w:val="auto"/>
          <w:sz w:val="22"/>
        </w:rPr>
      </w:pPr>
      <w:hyperlink w:anchor="_Toc82444360" w:history="1">
        <w:r w:rsidRPr="009B4CBF">
          <w:rPr>
            <w:rStyle w:val="Hyperlink"/>
            <w:noProof/>
          </w:rPr>
          <w:t>3.6</w:t>
        </w:r>
        <w:r>
          <w:rPr>
            <w:rFonts w:asciiTheme="minorHAnsi" w:eastAsiaTheme="minorEastAsia" w:hAnsiTheme="minorHAnsi" w:cstheme="minorBidi"/>
            <w:noProof/>
            <w:color w:val="auto"/>
            <w:sz w:val="22"/>
          </w:rPr>
          <w:tab/>
        </w:r>
        <w:r w:rsidRPr="009B4CBF">
          <w:rPr>
            <w:rStyle w:val="Hyperlink"/>
            <w:noProof/>
          </w:rPr>
          <w:t>Cost and Compensation</w:t>
        </w:r>
        <w:r>
          <w:rPr>
            <w:noProof/>
            <w:webHidden/>
          </w:rPr>
          <w:tab/>
        </w:r>
        <w:r>
          <w:rPr>
            <w:noProof/>
            <w:webHidden/>
          </w:rPr>
          <w:fldChar w:fldCharType="begin"/>
        </w:r>
        <w:r>
          <w:rPr>
            <w:noProof/>
            <w:webHidden/>
          </w:rPr>
          <w:instrText xml:space="preserve"> PAGEREF _Toc82444360 \h </w:instrText>
        </w:r>
        <w:r>
          <w:rPr>
            <w:noProof/>
            <w:webHidden/>
          </w:rPr>
        </w:r>
        <w:r>
          <w:rPr>
            <w:noProof/>
            <w:webHidden/>
          </w:rPr>
          <w:fldChar w:fldCharType="separate"/>
        </w:r>
        <w:r w:rsidR="0021078E">
          <w:rPr>
            <w:noProof/>
            <w:webHidden/>
          </w:rPr>
          <w:t>113</w:t>
        </w:r>
        <w:r>
          <w:rPr>
            <w:noProof/>
            <w:webHidden/>
          </w:rPr>
          <w:fldChar w:fldCharType="end"/>
        </w:r>
      </w:hyperlink>
    </w:p>
    <w:p w14:paraId="35DF7E7D" w14:textId="5C76E1C3" w:rsidR="00CD52F2" w:rsidRDefault="00CD52F2">
      <w:pPr>
        <w:pStyle w:val="TOC2"/>
        <w:rPr>
          <w:rFonts w:asciiTheme="minorHAnsi" w:eastAsiaTheme="minorEastAsia" w:hAnsiTheme="minorHAnsi" w:cstheme="minorBidi"/>
          <w:noProof/>
          <w:color w:val="auto"/>
          <w:sz w:val="22"/>
        </w:rPr>
      </w:pPr>
      <w:hyperlink w:anchor="_Toc82444361" w:history="1">
        <w:r w:rsidRPr="009B4CBF">
          <w:rPr>
            <w:rStyle w:val="Hyperlink"/>
            <w:noProof/>
          </w:rPr>
          <w:t>3.7</w:t>
        </w:r>
        <w:r>
          <w:rPr>
            <w:rFonts w:asciiTheme="minorHAnsi" w:eastAsiaTheme="minorEastAsia" w:hAnsiTheme="minorHAnsi" w:cstheme="minorBidi"/>
            <w:noProof/>
            <w:color w:val="auto"/>
            <w:sz w:val="22"/>
          </w:rPr>
          <w:tab/>
        </w:r>
        <w:r w:rsidRPr="009B4CBF">
          <w:rPr>
            <w:rStyle w:val="Hyperlink"/>
            <w:noProof/>
          </w:rPr>
          <w:t>Criteria for Removal from Protocol Therapy and Off Study Criteria</w:t>
        </w:r>
        <w:r>
          <w:rPr>
            <w:noProof/>
            <w:webHidden/>
          </w:rPr>
          <w:tab/>
        </w:r>
        <w:r>
          <w:rPr>
            <w:noProof/>
            <w:webHidden/>
          </w:rPr>
          <w:fldChar w:fldCharType="begin"/>
        </w:r>
        <w:r>
          <w:rPr>
            <w:noProof/>
            <w:webHidden/>
          </w:rPr>
          <w:instrText xml:space="preserve"> PAGEREF _Toc82444361 \h </w:instrText>
        </w:r>
        <w:r>
          <w:rPr>
            <w:noProof/>
            <w:webHidden/>
          </w:rPr>
        </w:r>
        <w:r>
          <w:rPr>
            <w:noProof/>
            <w:webHidden/>
          </w:rPr>
          <w:fldChar w:fldCharType="separate"/>
        </w:r>
        <w:r w:rsidR="0021078E">
          <w:rPr>
            <w:noProof/>
            <w:webHidden/>
          </w:rPr>
          <w:t>114</w:t>
        </w:r>
        <w:r>
          <w:rPr>
            <w:noProof/>
            <w:webHidden/>
          </w:rPr>
          <w:fldChar w:fldCharType="end"/>
        </w:r>
      </w:hyperlink>
    </w:p>
    <w:p w14:paraId="5A04637D" w14:textId="75ABAB14" w:rsidR="00CD52F2" w:rsidRDefault="00CD52F2">
      <w:pPr>
        <w:pStyle w:val="TOC1"/>
        <w:rPr>
          <w:rFonts w:asciiTheme="minorHAnsi" w:eastAsiaTheme="minorEastAsia" w:hAnsiTheme="minorHAnsi" w:cstheme="minorBidi"/>
          <w:caps w:val="0"/>
          <w:noProof/>
          <w:color w:val="auto"/>
          <w:sz w:val="22"/>
        </w:rPr>
      </w:pPr>
      <w:hyperlink w:anchor="_Toc82444362" w:history="1">
        <w:r w:rsidRPr="009B4CBF">
          <w:rPr>
            <w:rStyle w:val="Hyperlink"/>
            <w:noProof/>
          </w:rPr>
          <w:t>4</w:t>
        </w:r>
        <w:r>
          <w:rPr>
            <w:rFonts w:asciiTheme="minorHAnsi" w:eastAsiaTheme="minorEastAsia" w:hAnsiTheme="minorHAnsi" w:cstheme="minorBidi"/>
            <w:caps w:val="0"/>
            <w:noProof/>
            <w:color w:val="auto"/>
            <w:sz w:val="22"/>
          </w:rPr>
          <w:tab/>
        </w:r>
        <w:r w:rsidRPr="009B4CBF">
          <w:rPr>
            <w:rStyle w:val="Hyperlink"/>
            <w:noProof/>
          </w:rPr>
          <w:t>CONCOMITANT MEDICATIONS/MEASURES</w:t>
        </w:r>
        <w:r>
          <w:rPr>
            <w:noProof/>
            <w:webHidden/>
          </w:rPr>
          <w:tab/>
        </w:r>
        <w:r>
          <w:rPr>
            <w:noProof/>
            <w:webHidden/>
          </w:rPr>
          <w:fldChar w:fldCharType="begin"/>
        </w:r>
        <w:r>
          <w:rPr>
            <w:noProof/>
            <w:webHidden/>
          </w:rPr>
          <w:instrText xml:space="preserve"> PAGEREF _Toc82444362 \h </w:instrText>
        </w:r>
        <w:r>
          <w:rPr>
            <w:noProof/>
            <w:webHidden/>
          </w:rPr>
        </w:r>
        <w:r>
          <w:rPr>
            <w:noProof/>
            <w:webHidden/>
          </w:rPr>
          <w:fldChar w:fldCharType="separate"/>
        </w:r>
        <w:r w:rsidR="0021078E">
          <w:rPr>
            <w:noProof/>
            <w:webHidden/>
          </w:rPr>
          <w:t>115</w:t>
        </w:r>
        <w:r>
          <w:rPr>
            <w:noProof/>
            <w:webHidden/>
          </w:rPr>
          <w:fldChar w:fldCharType="end"/>
        </w:r>
      </w:hyperlink>
    </w:p>
    <w:p w14:paraId="7569A9B1" w14:textId="02193E14" w:rsidR="00CD52F2" w:rsidRDefault="00CD52F2">
      <w:pPr>
        <w:pStyle w:val="TOC2"/>
        <w:rPr>
          <w:rFonts w:asciiTheme="minorHAnsi" w:eastAsiaTheme="minorEastAsia" w:hAnsiTheme="minorHAnsi" w:cstheme="minorBidi"/>
          <w:noProof/>
          <w:color w:val="auto"/>
          <w:sz w:val="22"/>
        </w:rPr>
      </w:pPr>
      <w:hyperlink w:anchor="_Toc82444363" w:history="1">
        <w:r w:rsidRPr="009B4CBF">
          <w:rPr>
            <w:rStyle w:val="Hyperlink"/>
            <w:noProof/>
          </w:rPr>
          <w:t>4.1</w:t>
        </w:r>
        <w:r>
          <w:rPr>
            <w:rFonts w:asciiTheme="minorHAnsi" w:eastAsiaTheme="minorEastAsia" w:hAnsiTheme="minorHAnsi" w:cstheme="minorBidi"/>
            <w:noProof/>
            <w:color w:val="auto"/>
            <w:sz w:val="22"/>
          </w:rPr>
          <w:tab/>
        </w:r>
        <w:r w:rsidRPr="009B4CBF">
          <w:rPr>
            <w:rStyle w:val="Hyperlink"/>
            <w:noProof/>
          </w:rPr>
          <w:t>Prohibited Medications</w:t>
        </w:r>
        <w:r>
          <w:rPr>
            <w:noProof/>
            <w:webHidden/>
          </w:rPr>
          <w:tab/>
        </w:r>
        <w:r>
          <w:rPr>
            <w:noProof/>
            <w:webHidden/>
          </w:rPr>
          <w:fldChar w:fldCharType="begin"/>
        </w:r>
        <w:r>
          <w:rPr>
            <w:noProof/>
            <w:webHidden/>
          </w:rPr>
          <w:instrText xml:space="preserve"> PAGEREF _Toc82444363 \h </w:instrText>
        </w:r>
        <w:r>
          <w:rPr>
            <w:noProof/>
            <w:webHidden/>
          </w:rPr>
        </w:r>
        <w:r>
          <w:rPr>
            <w:noProof/>
            <w:webHidden/>
          </w:rPr>
          <w:fldChar w:fldCharType="separate"/>
        </w:r>
        <w:r w:rsidR="0021078E">
          <w:rPr>
            <w:noProof/>
            <w:webHidden/>
          </w:rPr>
          <w:t>115</w:t>
        </w:r>
        <w:r>
          <w:rPr>
            <w:noProof/>
            <w:webHidden/>
          </w:rPr>
          <w:fldChar w:fldCharType="end"/>
        </w:r>
      </w:hyperlink>
    </w:p>
    <w:p w14:paraId="719FF218" w14:textId="4C42E0D5" w:rsidR="00CD52F2" w:rsidRDefault="00CD52F2">
      <w:pPr>
        <w:pStyle w:val="TOC2"/>
        <w:rPr>
          <w:rFonts w:asciiTheme="minorHAnsi" w:eastAsiaTheme="minorEastAsia" w:hAnsiTheme="minorHAnsi" w:cstheme="minorBidi"/>
          <w:noProof/>
          <w:color w:val="auto"/>
          <w:sz w:val="22"/>
        </w:rPr>
      </w:pPr>
      <w:hyperlink w:anchor="_Toc82444364" w:history="1">
        <w:r w:rsidRPr="009B4CBF">
          <w:rPr>
            <w:rStyle w:val="Hyperlink"/>
            <w:noProof/>
          </w:rPr>
          <w:t>4.2</w:t>
        </w:r>
        <w:r>
          <w:rPr>
            <w:rFonts w:asciiTheme="minorHAnsi" w:eastAsiaTheme="minorEastAsia" w:hAnsiTheme="minorHAnsi" w:cstheme="minorBidi"/>
            <w:noProof/>
            <w:color w:val="auto"/>
            <w:sz w:val="22"/>
          </w:rPr>
          <w:tab/>
        </w:r>
        <w:r w:rsidRPr="009B4CBF">
          <w:rPr>
            <w:rStyle w:val="Hyperlink"/>
            <w:noProof/>
          </w:rPr>
          <w:t>Supportive Care</w:t>
        </w:r>
        <w:r>
          <w:rPr>
            <w:noProof/>
            <w:webHidden/>
          </w:rPr>
          <w:tab/>
        </w:r>
        <w:r>
          <w:rPr>
            <w:noProof/>
            <w:webHidden/>
          </w:rPr>
          <w:fldChar w:fldCharType="begin"/>
        </w:r>
        <w:r>
          <w:rPr>
            <w:noProof/>
            <w:webHidden/>
          </w:rPr>
          <w:instrText xml:space="preserve"> PAGEREF _Toc82444364 \h </w:instrText>
        </w:r>
        <w:r>
          <w:rPr>
            <w:noProof/>
            <w:webHidden/>
          </w:rPr>
        </w:r>
        <w:r>
          <w:rPr>
            <w:noProof/>
            <w:webHidden/>
          </w:rPr>
          <w:fldChar w:fldCharType="separate"/>
        </w:r>
        <w:r w:rsidR="0021078E">
          <w:rPr>
            <w:noProof/>
            <w:webHidden/>
          </w:rPr>
          <w:t>116</w:t>
        </w:r>
        <w:r>
          <w:rPr>
            <w:noProof/>
            <w:webHidden/>
          </w:rPr>
          <w:fldChar w:fldCharType="end"/>
        </w:r>
      </w:hyperlink>
    </w:p>
    <w:p w14:paraId="20177A3B" w14:textId="7D45405C" w:rsidR="00CD52F2" w:rsidRDefault="00CD52F2">
      <w:pPr>
        <w:pStyle w:val="TOC1"/>
        <w:rPr>
          <w:rFonts w:asciiTheme="minorHAnsi" w:eastAsiaTheme="minorEastAsia" w:hAnsiTheme="minorHAnsi" w:cstheme="minorBidi"/>
          <w:caps w:val="0"/>
          <w:noProof/>
          <w:color w:val="auto"/>
          <w:sz w:val="22"/>
        </w:rPr>
      </w:pPr>
      <w:hyperlink w:anchor="_Toc82444365" w:history="1">
        <w:r w:rsidRPr="009B4CBF">
          <w:rPr>
            <w:rStyle w:val="Hyperlink"/>
            <w:noProof/>
          </w:rPr>
          <w:t>5</w:t>
        </w:r>
        <w:r>
          <w:rPr>
            <w:rFonts w:asciiTheme="minorHAnsi" w:eastAsiaTheme="minorEastAsia" w:hAnsiTheme="minorHAnsi" w:cstheme="minorBidi"/>
            <w:caps w:val="0"/>
            <w:noProof/>
            <w:color w:val="auto"/>
            <w:sz w:val="22"/>
          </w:rPr>
          <w:tab/>
        </w:r>
        <w:r w:rsidRPr="009B4CBF">
          <w:rPr>
            <w:rStyle w:val="Hyperlink"/>
            <w:noProof/>
          </w:rPr>
          <w:t>CORRELATIVE STUDIES</w:t>
        </w:r>
        <w:r>
          <w:rPr>
            <w:noProof/>
            <w:webHidden/>
          </w:rPr>
          <w:tab/>
        </w:r>
        <w:r>
          <w:rPr>
            <w:noProof/>
            <w:webHidden/>
          </w:rPr>
          <w:fldChar w:fldCharType="begin"/>
        </w:r>
        <w:r>
          <w:rPr>
            <w:noProof/>
            <w:webHidden/>
          </w:rPr>
          <w:instrText xml:space="preserve"> PAGEREF _Toc82444365 \h </w:instrText>
        </w:r>
        <w:r>
          <w:rPr>
            <w:noProof/>
            <w:webHidden/>
          </w:rPr>
        </w:r>
        <w:r>
          <w:rPr>
            <w:noProof/>
            <w:webHidden/>
          </w:rPr>
          <w:fldChar w:fldCharType="separate"/>
        </w:r>
        <w:r w:rsidR="0021078E">
          <w:rPr>
            <w:noProof/>
            <w:webHidden/>
          </w:rPr>
          <w:t>116</w:t>
        </w:r>
        <w:r>
          <w:rPr>
            <w:noProof/>
            <w:webHidden/>
          </w:rPr>
          <w:fldChar w:fldCharType="end"/>
        </w:r>
      </w:hyperlink>
    </w:p>
    <w:p w14:paraId="3FB8F87C" w14:textId="29944E07" w:rsidR="00CD52F2" w:rsidRDefault="00CD52F2">
      <w:pPr>
        <w:pStyle w:val="TOC2"/>
        <w:rPr>
          <w:rFonts w:asciiTheme="minorHAnsi" w:eastAsiaTheme="minorEastAsia" w:hAnsiTheme="minorHAnsi" w:cstheme="minorBidi"/>
          <w:noProof/>
          <w:color w:val="auto"/>
          <w:sz w:val="22"/>
        </w:rPr>
      </w:pPr>
      <w:hyperlink w:anchor="_Toc82444366" w:history="1">
        <w:r w:rsidRPr="009B4CBF">
          <w:rPr>
            <w:rStyle w:val="Hyperlink"/>
            <w:noProof/>
          </w:rPr>
          <w:t>5.1</w:t>
        </w:r>
        <w:r>
          <w:rPr>
            <w:rFonts w:asciiTheme="minorHAnsi" w:eastAsiaTheme="minorEastAsia" w:hAnsiTheme="minorHAnsi" w:cstheme="minorBidi"/>
            <w:noProof/>
            <w:color w:val="auto"/>
            <w:sz w:val="22"/>
          </w:rPr>
          <w:tab/>
        </w:r>
        <w:r w:rsidRPr="009B4CBF">
          <w:rPr>
            <w:rStyle w:val="Hyperlink"/>
            <w:noProof/>
          </w:rPr>
          <w:t>Rationale for Selected Endpoints</w:t>
        </w:r>
        <w:r>
          <w:rPr>
            <w:noProof/>
            <w:webHidden/>
          </w:rPr>
          <w:tab/>
        </w:r>
        <w:r>
          <w:rPr>
            <w:noProof/>
            <w:webHidden/>
          </w:rPr>
          <w:fldChar w:fldCharType="begin"/>
        </w:r>
        <w:r>
          <w:rPr>
            <w:noProof/>
            <w:webHidden/>
          </w:rPr>
          <w:instrText xml:space="preserve"> PAGEREF _Toc82444366 \h </w:instrText>
        </w:r>
        <w:r>
          <w:rPr>
            <w:noProof/>
            <w:webHidden/>
          </w:rPr>
        </w:r>
        <w:r>
          <w:rPr>
            <w:noProof/>
            <w:webHidden/>
          </w:rPr>
          <w:fldChar w:fldCharType="separate"/>
        </w:r>
        <w:r w:rsidR="0021078E">
          <w:rPr>
            <w:noProof/>
            <w:webHidden/>
          </w:rPr>
          <w:t>122</w:t>
        </w:r>
        <w:r>
          <w:rPr>
            <w:noProof/>
            <w:webHidden/>
          </w:rPr>
          <w:fldChar w:fldCharType="end"/>
        </w:r>
      </w:hyperlink>
    </w:p>
    <w:p w14:paraId="362178BA" w14:textId="5336BA13" w:rsidR="00CD52F2" w:rsidRDefault="00CD52F2">
      <w:pPr>
        <w:pStyle w:val="TOC2"/>
        <w:rPr>
          <w:rFonts w:asciiTheme="minorHAnsi" w:eastAsiaTheme="minorEastAsia" w:hAnsiTheme="minorHAnsi" w:cstheme="minorBidi"/>
          <w:noProof/>
          <w:color w:val="auto"/>
          <w:sz w:val="22"/>
        </w:rPr>
      </w:pPr>
      <w:hyperlink w:anchor="_Toc82444367" w:history="1">
        <w:r w:rsidRPr="009B4CBF">
          <w:rPr>
            <w:rStyle w:val="Hyperlink"/>
            <w:noProof/>
          </w:rPr>
          <w:t>5.2</w:t>
        </w:r>
        <w:r>
          <w:rPr>
            <w:rFonts w:asciiTheme="minorHAnsi" w:eastAsiaTheme="minorEastAsia" w:hAnsiTheme="minorHAnsi" w:cstheme="minorBidi"/>
            <w:noProof/>
            <w:color w:val="auto"/>
            <w:sz w:val="22"/>
          </w:rPr>
          <w:tab/>
        </w:r>
        <w:r w:rsidRPr="009B4CBF">
          <w:rPr>
            <w:rStyle w:val="Hyperlink"/>
            <w:noProof/>
          </w:rPr>
          <w:t>Tumor biopsies (phase II study only)</w:t>
        </w:r>
        <w:r>
          <w:rPr>
            <w:noProof/>
            <w:webHidden/>
          </w:rPr>
          <w:tab/>
        </w:r>
        <w:r>
          <w:rPr>
            <w:noProof/>
            <w:webHidden/>
          </w:rPr>
          <w:fldChar w:fldCharType="begin"/>
        </w:r>
        <w:r>
          <w:rPr>
            <w:noProof/>
            <w:webHidden/>
          </w:rPr>
          <w:instrText xml:space="preserve"> PAGEREF _Toc82444367 \h </w:instrText>
        </w:r>
        <w:r>
          <w:rPr>
            <w:noProof/>
            <w:webHidden/>
          </w:rPr>
        </w:r>
        <w:r>
          <w:rPr>
            <w:noProof/>
            <w:webHidden/>
          </w:rPr>
          <w:fldChar w:fldCharType="separate"/>
        </w:r>
        <w:r w:rsidR="0021078E">
          <w:rPr>
            <w:noProof/>
            <w:webHidden/>
          </w:rPr>
          <w:t>122</w:t>
        </w:r>
        <w:r>
          <w:rPr>
            <w:noProof/>
            <w:webHidden/>
          </w:rPr>
          <w:fldChar w:fldCharType="end"/>
        </w:r>
      </w:hyperlink>
    </w:p>
    <w:p w14:paraId="3D213C94" w14:textId="4B27F571" w:rsidR="00CD52F2" w:rsidRDefault="00CD52F2">
      <w:pPr>
        <w:pStyle w:val="TOC2"/>
        <w:rPr>
          <w:rFonts w:asciiTheme="minorHAnsi" w:eastAsiaTheme="minorEastAsia" w:hAnsiTheme="minorHAnsi" w:cstheme="minorBidi"/>
          <w:noProof/>
          <w:color w:val="auto"/>
          <w:sz w:val="22"/>
        </w:rPr>
      </w:pPr>
      <w:hyperlink w:anchor="_Toc82444368" w:history="1">
        <w:r w:rsidRPr="009B4CBF">
          <w:rPr>
            <w:rStyle w:val="Hyperlink"/>
            <w:noProof/>
          </w:rPr>
          <w:t>5.3</w:t>
        </w:r>
        <w:r>
          <w:rPr>
            <w:rFonts w:asciiTheme="minorHAnsi" w:eastAsiaTheme="minorEastAsia" w:hAnsiTheme="minorHAnsi" w:cstheme="minorBidi"/>
            <w:noProof/>
            <w:color w:val="auto"/>
            <w:sz w:val="22"/>
          </w:rPr>
          <w:tab/>
        </w:r>
        <w:r w:rsidRPr="009B4CBF">
          <w:rPr>
            <w:rStyle w:val="Hyperlink"/>
            <w:noProof/>
          </w:rPr>
          <w:t>Studies Performed</w:t>
        </w:r>
        <w:r>
          <w:rPr>
            <w:noProof/>
            <w:webHidden/>
          </w:rPr>
          <w:tab/>
        </w:r>
        <w:r>
          <w:rPr>
            <w:noProof/>
            <w:webHidden/>
          </w:rPr>
          <w:fldChar w:fldCharType="begin"/>
        </w:r>
        <w:r>
          <w:rPr>
            <w:noProof/>
            <w:webHidden/>
          </w:rPr>
          <w:instrText xml:space="preserve"> PAGEREF _Toc82444368 \h </w:instrText>
        </w:r>
        <w:r>
          <w:rPr>
            <w:noProof/>
            <w:webHidden/>
          </w:rPr>
        </w:r>
        <w:r>
          <w:rPr>
            <w:noProof/>
            <w:webHidden/>
          </w:rPr>
          <w:fldChar w:fldCharType="separate"/>
        </w:r>
        <w:r w:rsidR="0021078E">
          <w:rPr>
            <w:noProof/>
            <w:webHidden/>
          </w:rPr>
          <w:t>123</w:t>
        </w:r>
        <w:r>
          <w:rPr>
            <w:noProof/>
            <w:webHidden/>
          </w:rPr>
          <w:fldChar w:fldCharType="end"/>
        </w:r>
      </w:hyperlink>
    </w:p>
    <w:p w14:paraId="3F1DDEC5" w14:textId="2C58D3DE" w:rsidR="00CD52F2" w:rsidRDefault="00CD52F2">
      <w:pPr>
        <w:pStyle w:val="TOC2"/>
        <w:rPr>
          <w:rFonts w:asciiTheme="minorHAnsi" w:eastAsiaTheme="minorEastAsia" w:hAnsiTheme="minorHAnsi" w:cstheme="minorBidi"/>
          <w:noProof/>
          <w:color w:val="auto"/>
          <w:sz w:val="22"/>
        </w:rPr>
      </w:pPr>
      <w:hyperlink w:anchor="_Toc82444369" w:history="1">
        <w:r w:rsidRPr="009B4CBF">
          <w:rPr>
            <w:rStyle w:val="Hyperlink"/>
            <w:noProof/>
          </w:rPr>
          <w:t>5.4</w:t>
        </w:r>
        <w:r>
          <w:rPr>
            <w:rFonts w:asciiTheme="minorHAnsi" w:eastAsiaTheme="minorEastAsia" w:hAnsiTheme="minorHAnsi" w:cstheme="minorBidi"/>
            <w:noProof/>
            <w:color w:val="auto"/>
            <w:sz w:val="22"/>
          </w:rPr>
          <w:tab/>
        </w:r>
        <w:r w:rsidRPr="009B4CBF">
          <w:rPr>
            <w:rStyle w:val="Hyperlink"/>
            <w:noProof/>
          </w:rPr>
          <w:t>Blood samples</w:t>
        </w:r>
        <w:r>
          <w:rPr>
            <w:noProof/>
            <w:webHidden/>
          </w:rPr>
          <w:tab/>
        </w:r>
        <w:r>
          <w:rPr>
            <w:noProof/>
            <w:webHidden/>
          </w:rPr>
          <w:fldChar w:fldCharType="begin"/>
        </w:r>
        <w:r>
          <w:rPr>
            <w:noProof/>
            <w:webHidden/>
          </w:rPr>
          <w:instrText xml:space="preserve"> PAGEREF _Toc82444369 \h </w:instrText>
        </w:r>
        <w:r>
          <w:rPr>
            <w:noProof/>
            <w:webHidden/>
          </w:rPr>
        </w:r>
        <w:r>
          <w:rPr>
            <w:noProof/>
            <w:webHidden/>
          </w:rPr>
          <w:fldChar w:fldCharType="separate"/>
        </w:r>
        <w:r w:rsidR="0021078E">
          <w:rPr>
            <w:noProof/>
            <w:webHidden/>
          </w:rPr>
          <w:t>126</w:t>
        </w:r>
        <w:r>
          <w:rPr>
            <w:noProof/>
            <w:webHidden/>
          </w:rPr>
          <w:fldChar w:fldCharType="end"/>
        </w:r>
      </w:hyperlink>
    </w:p>
    <w:p w14:paraId="77F7FFB5" w14:textId="217DD043" w:rsidR="00CD52F2" w:rsidRDefault="00CD52F2">
      <w:pPr>
        <w:pStyle w:val="TOC2"/>
        <w:rPr>
          <w:rFonts w:asciiTheme="minorHAnsi" w:eastAsiaTheme="minorEastAsia" w:hAnsiTheme="minorHAnsi" w:cstheme="minorBidi"/>
          <w:noProof/>
          <w:color w:val="auto"/>
          <w:sz w:val="22"/>
        </w:rPr>
      </w:pPr>
      <w:hyperlink w:anchor="_Toc82444370" w:history="1">
        <w:r w:rsidRPr="009B4CBF">
          <w:rPr>
            <w:rStyle w:val="Hyperlink"/>
            <w:noProof/>
          </w:rPr>
          <w:t>5.5</w:t>
        </w:r>
        <w:r>
          <w:rPr>
            <w:rFonts w:asciiTheme="minorHAnsi" w:eastAsiaTheme="minorEastAsia" w:hAnsiTheme="minorHAnsi" w:cstheme="minorBidi"/>
            <w:noProof/>
            <w:color w:val="auto"/>
            <w:sz w:val="22"/>
          </w:rPr>
          <w:tab/>
        </w:r>
        <w:r w:rsidRPr="009B4CBF">
          <w:rPr>
            <w:rStyle w:val="Hyperlink"/>
            <w:noProof/>
          </w:rPr>
          <w:t>Radiomics</w:t>
        </w:r>
        <w:r>
          <w:rPr>
            <w:noProof/>
            <w:webHidden/>
          </w:rPr>
          <w:tab/>
        </w:r>
        <w:r>
          <w:rPr>
            <w:noProof/>
            <w:webHidden/>
          </w:rPr>
          <w:fldChar w:fldCharType="begin"/>
        </w:r>
        <w:r>
          <w:rPr>
            <w:noProof/>
            <w:webHidden/>
          </w:rPr>
          <w:instrText xml:space="preserve"> PAGEREF _Toc82444370 \h </w:instrText>
        </w:r>
        <w:r>
          <w:rPr>
            <w:noProof/>
            <w:webHidden/>
          </w:rPr>
        </w:r>
        <w:r>
          <w:rPr>
            <w:noProof/>
            <w:webHidden/>
          </w:rPr>
          <w:fldChar w:fldCharType="separate"/>
        </w:r>
        <w:r w:rsidR="0021078E">
          <w:rPr>
            <w:noProof/>
            <w:webHidden/>
          </w:rPr>
          <w:t>130</w:t>
        </w:r>
        <w:r>
          <w:rPr>
            <w:noProof/>
            <w:webHidden/>
          </w:rPr>
          <w:fldChar w:fldCharType="end"/>
        </w:r>
      </w:hyperlink>
    </w:p>
    <w:p w14:paraId="0019C249" w14:textId="34AC305F" w:rsidR="00CD52F2" w:rsidRDefault="00CD52F2">
      <w:pPr>
        <w:pStyle w:val="TOC2"/>
        <w:rPr>
          <w:rFonts w:asciiTheme="minorHAnsi" w:eastAsiaTheme="minorEastAsia" w:hAnsiTheme="minorHAnsi" w:cstheme="minorBidi"/>
          <w:noProof/>
          <w:color w:val="auto"/>
          <w:sz w:val="22"/>
        </w:rPr>
      </w:pPr>
      <w:hyperlink w:anchor="_Toc82444371" w:history="1">
        <w:r w:rsidRPr="009B4CBF">
          <w:rPr>
            <w:rStyle w:val="Hyperlink"/>
            <w:noProof/>
          </w:rPr>
          <w:t>5.6</w:t>
        </w:r>
        <w:r>
          <w:rPr>
            <w:rFonts w:asciiTheme="minorHAnsi" w:eastAsiaTheme="minorEastAsia" w:hAnsiTheme="minorHAnsi" w:cstheme="minorBidi"/>
            <w:noProof/>
            <w:color w:val="auto"/>
            <w:sz w:val="22"/>
          </w:rPr>
          <w:tab/>
        </w:r>
        <w:r w:rsidRPr="009B4CBF">
          <w:rPr>
            <w:rStyle w:val="Hyperlink"/>
            <w:noProof/>
          </w:rPr>
          <w:t>Patient sample protections, storage, tracking, disposition</w:t>
        </w:r>
        <w:r>
          <w:rPr>
            <w:noProof/>
            <w:webHidden/>
          </w:rPr>
          <w:tab/>
        </w:r>
        <w:r>
          <w:rPr>
            <w:noProof/>
            <w:webHidden/>
          </w:rPr>
          <w:fldChar w:fldCharType="begin"/>
        </w:r>
        <w:r>
          <w:rPr>
            <w:noProof/>
            <w:webHidden/>
          </w:rPr>
          <w:instrText xml:space="preserve"> PAGEREF _Toc82444371 \h </w:instrText>
        </w:r>
        <w:r>
          <w:rPr>
            <w:noProof/>
            <w:webHidden/>
          </w:rPr>
        </w:r>
        <w:r>
          <w:rPr>
            <w:noProof/>
            <w:webHidden/>
          </w:rPr>
          <w:fldChar w:fldCharType="separate"/>
        </w:r>
        <w:r w:rsidR="0021078E">
          <w:rPr>
            <w:noProof/>
            <w:webHidden/>
          </w:rPr>
          <w:t>131</w:t>
        </w:r>
        <w:r>
          <w:rPr>
            <w:noProof/>
            <w:webHidden/>
          </w:rPr>
          <w:fldChar w:fldCharType="end"/>
        </w:r>
      </w:hyperlink>
    </w:p>
    <w:p w14:paraId="773F23FD" w14:textId="3F872E07" w:rsidR="00CD52F2" w:rsidRDefault="00CD52F2">
      <w:pPr>
        <w:pStyle w:val="TOC1"/>
        <w:rPr>
          <w:rFonts w:asciiTheme="minorHAnsi" w:eastAsiaTheme="minorEastAsia" w:hAnsiTheme="minorHAnsi" w:cstheme="minorBidi"/>
          <w:caps w:val="0"/>
          <w:noProof/>
          <w:color w:val="auto"/>
          <w:sz w:val="22"/>
        </w:rPr>
      </w:pPr>
      <w:hyperlink w:anchor="_Toc82444372" w:history="1">
        <w:r w:rsidRPr="009B4CBF">
          <w:rPr>
            <w:rStyle w:val="Hyperlink"/>
            <w:noProof/>
          </w:rPr>
          <w:t>6</w:t>
        </w:r>
        <w:r>
          <w:rPr>
            <w:rFonts w:asciiTheme="minorHAnsi" w:eastAsiaTheme="minorEastAsia" w:hAnsiTheme="minorHAnsi" w:cstheme="minorBidi"/>
            <w:caps w:val="0"/>
            <w:noProof/>
            <w:color w:val="auto"/>
            <w:sz w:val="22"/>
          </w:rPr>
          <w:tab/>
        </w:r>
        <w:r w:rsidRPr="009B4CBF">
          <w:rPr>
            <w:rStyle w:val="Hyperlink"/>
            <w:noProof/>
          </w:rPr>
          <w:t>Sample Storage, Tracking and Disposition</w:t>
        </w:r>
        <w:r>
          <w:rPr>
            <w:noProof/>
            <w:webHidden/>
          </w:rPr>
          <w:tab/>
        </w:r>
        <w:r>
          <w:rPr>
            <w:noProof/>
            <w:webHidden/>
          </w:rPr>
          <w:fldChar w:fldCharType="begin"/>
        </w:r>
        <w:r>
          <w:rPr>
            <w:noProof/>
            <w:webHidden/>
          </w:rPr>
          <w:instrText xml:space="preserve"> PAGEREF _Toc82444372 \h </w:instrText>
        </w:r>
        <w:r>
          <w:rPr>
            <w:noProof/>
            <w:webHidden/>
          </w:rPr>
        </w:r>
        <w:r>
          <w:rPr>
            <w:noProof/>
            <w:webHidden/>
          </w:rPr>
          <w:fldChar w:fldCharType="separate"/>
        </w:r>
        <w:r w:rsidR="0021078E">
          <w:rPr>
            <w:noProof/>
            <w:webHidden/>
          </w:rPr>
          <w:t>131</w:t>
        </w:r>
        <w:r>
          <w:rPr>
            <w:noProof/>
            <w:webHidden/>
          </w:rPr>
          <w:fldChar w:fldCharType="end"/>
        </w:r>
      </w:hyperlink>
    </w:p>
    <w:p w14:paraId="4C5486F7" w14:textId="00C3DD80" w:rsidR="00CD52F2" w:rsidRDefault="00CD52F2">
      <w:pPr>
        <w:pStyle w:val="TOC2"/>
        <w:rPr>
          <w:rFonts w:asciiTheme="minorHAnsi" w:eastAsiaTheme="minorEastAsia" w:hAnsiTheme="minorHAnsi" w:cstheme="minorBidi"/>
          <w:noProof/>
          <w:color w:val="auto"/>
          <w:sz w:val="22"/>
        </w:rPr>
      </w:pPr>
      <w:hyperlink w:anchor="_Toc82444373" w:history="1">
        <w:r w:rsidRPr="009B4CBF">
          <w:rPr>
            <w:rStyle w:val="Hyperlink"/>
            <w:noProof/>
          </w:rPr>
          <w:t>6.1</w:t>
        </w:r>
        <w:r>
          <w:rPr>
            <w:rFonts w:asciiTheme="minorHAnsi" w:eastAsiaTheme="minorEastAsia" w:hAnsiTheme="minorHAnsi" w:cstheme="minorBidi"/>
            <w:noProof/>
            <w:color w:val="auto"/>
            <w:sz w:val="22"/>
          </w:rPr>
          <w:tab/>
        </w:r>
        <w:r w:rsidRPr="009B4CBF">
          <w:rPr>
            <w:rStyle w:val="Hyperlink"/>
            <w:noProof/>
          </w:rPr>
          <w:t>Blood Processing Core (BPC)</w:t>
        </w:r>
        <w:r>
          <w:rPr>
            <w:noProof/>
            <w:webHidden/>
          </w:rPr>
          <w:tab/>
        </w:r>
        <w:r>
          <w:rPr>
            <w:noProof/>
            <w:webHidden/>
          </w:rPr>
          <w:fldChar w:fldCharType="begin"/>
        </w:r>
        <w:r>
          <w:rPr>
            <w:noProof/>
            <w:webHidden/>
          </w:rPr>
          <w:instrText xml:space="preserve"> PAGEREF _Toc82444373 \h </w:instrText>
        </w:r>
        <w:r>
          <w:rPr>
            <w:noProof/>
            <w:webHidden/>
          </w:rPr>
        </w:r>
        <w:r>
          <w:rPr>
            <w:noProof/>
            <w:webHidden/>
          </w:rPr>
          <w:fldChar w:fldCharType="separate"/>
        </w:r>
        <w:r w:rsidR="0021078E">
          <w:rPr>
            <w:noProof/>
            <w:webHidden/>
          </w:rPr>
          <w:t>131</w:t>
        </w:r>
        <w:r>
          <w:rPr>
            <w:noProof/>
            <w:webHidden/>
          </w:rPr>
          <w:fldChar w:fldCharType="end"/>
        </w:r>
      </w:hyperlink>
    </w:p>
    <w:p w14:paraId="61CA8220" w14:textId="47721241" w:rsidR="00CD52F2" w:rsidRDefault="00CD52F2">
      <w:pPr>
        <w:pStyle w:val="TOC1"/>
        <w:rPr>
          <w:rFonts w:asciiTheme="minorHAnsi" w:eastAsiaTheme="minorEastAsia" w:hAnsiTheme="minorHAnsi" w:cstheme="minorBidi"/>
          <w:caps w:val="0"/>
          <w:noProof/>
          <w:color w:val="auto"/>
          <w:sz w:val="22"/>
        </w:rPr>
      </w:pPr>
      <w:hyperlink w:anchor="_Toc82444374" w:history="1">
        <w:r w:rsidRPr="009B4CBF">
          <w:rPr>
            <w:rStyle w:val="Hyperlink"/>
            <w:noProof/>
          </w:rPr>
          <w:t>7</w:t>
        </w:r>
        <w:r>
          <w:rPr>
            <w:rFonts w:asciiTheme="minorHAnsi" w:eastAsiaTheme="minorEastAsia" w:hAnsiTheme="minorHAnsi" w:cstheme="minorBidi"/>
            <w:caps w:val="0"/>
            <w:noProof/>
            <w:color w:val="auto"/>
            <w:sz w:val="22"/>
          </w:rPr>
          <w:tab/>
        </w:r>
        <w:r w:rsidRPr="009B4CBF">
          <w:rPr>
            <w:rStyle w:val="Hyperlink"/>
            <w:noProof/>
          </w:rPr>
          <w:t>DATA COLLECTION AND EVALUATION</w:t>
        </w:r>
        <w:r>
          <w:rPr>
            <w:noProof/>
            <w:webHidden/>
          </w:rPr>
          <w:tab/>
        </w:r>
        <w:r>
          <w:rPr>
            <w:noProof/>
            <w:webHidden/>
          </w:rPr>
          <w:fldChar w:fldCharType="begin"/>
        </w:r>
        <w:r>
          <w:rPr>
            <w:noProof/>
            <w:webHidden/>
          </w:rPr>
          <w:instrText xml:space="preserve"> PAGEREF _Toc82444374 \h </w:instrText>
        </w:r>
        <w:r>
          <w:rPr>
            <w:noProof/>
            <w:webHidden/>
          </w:rPr>
        </w:r>
        <w:r>
          <w:rPr>
            <w:noProof/>
            <w:webHidden/>
          </w:rPr>
          <w:fldChar w:fldCharType="separate"/>
        </w:r>
        <w:r w:rsidR="0021078E">
          <w:rPr>
            <w:noProof/>
            <w:webHidden/>
          </w:rPr>
          <w:t>133</w:t>
        </w:r>
        <w:r>
          <w:rPr>
            <w:noProof/>
            <w:webHidden/>
          </w:rPr>
          <w:fldChar w:fldCharType="end"/>
        </w:r>
      </w:hyperlink>
    </w:p>
    <w:p w14:paraId="30EF0202" w14:textId="09104268" w:rsidR="00CD52F2" w:rsidRDefault="00CD52F2">
      <w:pPr>
        <w:pStyle w:val="TOC2"/>
        <w:rPr>
          <w:rFonts w:asciiTheme="minorHAnsi" w:eastAsiaTheme="minorEastAsia" w:hAnsiTheme="minorHAnsi" w:cstheme="minorBidi"/>
          <w:noProof/>
          <w:color w:val="auto"/>
          <w:sz w:val="22"/>
        </w:rPr>
      </w:pPr>
      <w:hyperlink w:anchor="_Toc82444375" w:history="1">
        <w:r w:rsidRPr="009B4CBF">
          <w:rPr>
            <w:rStyle w:val="Hyperlink"/>
            <w:noProof/>
          </w:rPr>
          <w:t>7.1</w:t>
        </w:r>
        <w:r>
          <w:rPr>
            <w:rFonts w:asciiTheme="minorHAnsi" w:eastAsiaTheme="minorEastAsia" w:hAnsiTheme="minorHAnsi" w:cstheme="minorBidi"/>
            <w:noProof/>
            <w:color w:val="auto"/>
            <w:sz w:val="22"/>
          </w:rPr>
          <w:tab/>
        </w:r>
        <w:r w:rsidRPr="009B4CBF">
          <w:rPr>
            <w:rStyle w:val="Hyperlink"/>
            <w:noProof/>
          </w:rPr>
          <w:t>Data Collection</w:t>
        </w:r>
        <w:r>
          <w:rPr>
            <w:noProof/>
            <w:webHidden/>
          </w:rPr>
          <w:tab/>
        </w:r>
        <w:r>
          <w:rPr>
            <w:noProof/>
            <w:webHidden/>
          </w:rPr>
          <w:fldChar w:fldCharType="begin"/>
        </w:r>
        <w:r>
          <w:rPr>
            <w:noProof/>
            <w:webHidden/>
          </w:rPr>
          <w:instrText xml:space="preserve"> PAGEREF _Toc82444375 \h </w:instrText>
        </w:r>
        <w:r>
          <w:rPr>
            <w:noProof/>
            <w:webHidden/>
          </w:rPr>
        </w:r>
        <w:r>
          <w:rPr>
            <w:noProof/>
            <w:webHidden/>
          </w:rPr>
          <w:fldChar w:fldCharType="separate"/>
        </w:r>
        <w:r w:rsidR="0021078E">
          <w:rPr>
            <w:noProof/>
            <w:webHidden/>
          </w:rPr>
          <w:t>133</w:t>
        </w:r>
        <w:r>
          <w:rPr>
            <w:noProof/>
            <w:webHidden/>
          </w:rPr>
          <w:fldChar w:fldCharType="end"/>
        </w:r>
      </w:hyperlink>
    </w:p>
    <w:p w14:paraId="5C2CCE48" w14:textId="0166A709" w:rsidR="00CD52F2" w:rsidRDefault="00CD52F2">
      <w:pPr>
        <w:pStyle w:val="TOC2"/>
        <w:rPr>
          <w:rFonts w:asciiTheme="minorHAnsi" w:eastAsiaTheme="minorEastAsia" w:hAnsiTheme="minorHAnsi" w:cstheme="minorBidi"/>
          <w:noProof/>
          <w:color w:val="auto"/>
          <w:sz w:val="22"/>
        </w:rPr>
      </w:pPr>
      <w:hyperlink w:anchor="_Toc82444376" w:history="1">
        <w:r w:rsidRPr="009B4CBF">
          <w:rPr>
            <w:rStyle w:val="Hyperlink"/>
            <w:noProof/>
          </w:rPr>
          <w:t>7.2</w:t>
        </w:r>
        <w:r>
          <w:rPr>
            <w:rFonts w:asciiTheme="minorHAnsi" w:eastAsiaTheme="minorEastAsia" w:hAnsiTheme="minorHAnsi" w:cstheme="minorBidi"/>
            <w:noProof/>
            <w:color w:val="auto"/>
            <w:sz w:val="22"/>
          </w:rPr>
          <w:tab/>
        </w:r>
        <w:r w:rsidRPr="009B4CBF">
          <w:rPr>
            <w:rStyle w:val="Hyperlink"/>
            <w:noProof/>
          </w:rPr>
          <w:t>Source Documents</w:t>
        </w:r>
        <w:r>
          <w:rPr>
            <w:noProof/>
            <w:webHidden/>
          </w:rPr>
          <w:tab/>
        </w:r>
        <w:r>
          <w:rPr>
            <w:noProof/>
            <w:webHidden/>
          </w:rPr>
          <w:fldChar w:fldCharType="begin"/>
        </w:r>
        <w:r>
          <w:rPr>
            <w:noProof/>
            <w:webHidden/>
          </w:rPr>
          <w:instrText xml:space="preserve"> PAGEREF _Toc82444376 \h </w:instrText>
        </w:r>
        <w:r>
          <w:rPr>
            <w:noProof/>
            <w:webHidden/>
          </w:rPr>
        </w:r>
        <w:r>
          <w:rPr>
            <w:noProof/>
            <w:webHidden/>
          </w:rPr>
          <w:fldChar w:fldCharType="separate"/>
        </w:r>
        <w:r w:rsidR="0021078E">
          <w:rPr>
            <w:noProof/>
            <w:webHidden/>
          </w:rPr>
          <w:t>133</w:t>
        </w:r>
        <w:r>
          <w:rPr>
            <w:noProof/>
            <w:webHidden/>
          </w:rPr>
          <w:fldChar w:fldCharType="end"/>
        </w:r>
      </w:hyperlink>
    </w:p>
    <w:p w14:paraId="3DF28BE7" w14:textId="00603288" w:rsidR="00CD52F2" w:rsidRDefault="00CD52F2">
      <w:pPr>
        <w:pStyle w:val="TOC2"/>
        <w:rPr>
          <w:rFonts w:asciiTheme="minorHAnsi" w:eastAsiaTheme="minorEastAsia" w:hAnsiTheme="minorHAnsi" w:cstheme="minorBidi"/>
          <w:noProof/>
          <w:color w:val="auto"/>
          <w:sz w:val="22"/>
        </w:rPr>
      </w:pPr>
      <w:hyperlink w:anchor="_Toc82444377" w:history="1">
        <w:r w:rsidRPr="009B4CBF">
          <w:rPr>
            <w:rStyle w:val="Hyperlink"/>
            <w:noProof/>
          </w:rPr>
          <w:t>7.3</w:t>
        </w:r>
        <w:r>
          <w:rPr>
            <w:rFonts w:asciiTheme="minorHAnsi" w:eastAsiaTheme="minorEastAsia" w:hAnsiTheme="minorHAnsi" w:cstheme="minorBidi"/>
            <w:noProof/>
            <w:color w:val="auto"/>
            <w:sz w:val="22"/>
          </w:rPr>
          <w:tab/>
        </w:r>
        <w:r w:rsidRPr="009B4CBF">
          <w:rPr>
            <w:rStyle w:val="Hyperlink"/>
            <w:noProof/>
          </w:rPr>
          <w:t>Case Report Forms</w:t>
        </w:r>
        <w:r>
          <w:rPr>
            <w:noProof/>
            <w:webHidden/>
          </w:rPr>
          <w:tab/>
        </w:r>
        <w:r>
          <w:rPr>
            <w:noProof/>
            <w:webHidden/>
          </w:rPr>
          <w:fldChar w:fldCharType="begin"/>
        </w:r>
        <w:r>
          <w:rPr>
            <w:noProof/>
            <w:webHidden/>
          </w:rPr>
          <w:instrText xml:space="preserve"> PAGEREF _Toc82444377 \h </w:instrText>
        </w:r>
        <w:r>
          <w:rPr>
            <w:noProof/>
            <w:webHidden/>
          </w:rPr>
        </w:r>
        <w:r>
          <w:rPr>
            <w:noProof/>
            <w:webHidden/>
          </w:rPr>
          <w:fldChar w:fldCharType="separate"/>
        </w:r>
        <w:r w:rsidR="0021078E">
          <w:rPr>
            <w:noProof/>
            <w:webHidden/>
          </w:rPr>
          <w:t>134</w:t>
        </w:r>
        <w:r>
          <w:rPr>
            <w:noProof/>
            <w:webHidden/>
          </w:rPr>
          <w:fldChar w:fldCharType="end"/>
        </w:r>
      </w:hyperlink>
    </w:p>
    <w:p w14:paraId="1CEDFE67" w14:textId="7BA52C67" w:rsidR="00CD52F2" w:rsidRDefault="00CD52F2">
      <w:pPr>
        <w:pStyle w:val="TOC2"/>
        <w:rPr>
          <w:rFonts w:asciiTheme="minorHAnsi" w:eastAsiaTheme="minorEastAsia" w:hAnsiTheme="minorHAnsi" w:cstheme="minorBidi"/>
          <w:noProof/>
          <w:color w:val="auto"/>
          <w:sz w:val="22"/>
        </w:rPr>
      </w:pPr>
      <w:hyperlink w:anchor="_Toc82444378" w:history="1">
        <w:r w:rsidRPr="009B4CBF">
          <w:rPr>
            <w:rStyle w:val="Hyperlink"/>
            <w:noProof/>
          </w:rPr>
          <w:t>7.4</w:t>
        </w:r>
        <w:r>
          <w:rPr>
            <w:rFonts w:asciiTheme="minorHAnsi" w:eastAsiaTheme="minorEastAsia" w:hAnsiTheme="minorHAnsi" w:cstheme="minorBidi"/>
            <w:noProof/>
            <w:color w:val="auto"/>
            <w:sz w:val="22"/>
          </w:rPr>
          <w:tab/>
        </w:r>
        <w:r w:rsidRPr="009B4CBF">
          <w:rPr>
            <w:rStyle w:val="Hyperlink"/>
            <w:noProof/>
          </w:rPr>
          <w:t>Genomic Data Sharing Plan</w:t>
        </w:r>
        <w:r>
          <w:rPr>
            <w:noProof/>
            <w:webHidden/>
          </w:rPr>
          <w:tab/>
        </w:r>
        <w:r>
          <w:rPr>
            <w:noProof/>
            <w:webHidden/>
          </w:rPr>
          <w:fldChar w:fldCharType="begin"/>
        </w:r>
        <w:r>
          <w:rPr>
            <w:noProof/>
            <w:webHidden/>
          </w:rPr>
          <w:instrText xml:space="preserve"> PAGEREF _Toc82444378 \h </w:instrText>
        </w:r>
        <w:r>
          <w:rPr>
            <w:noProof/>
            <w:webHidden/>
          </w:rPr>
        </w:r>
        <w:r>
          <w:rPr>
            <w:noProof/>
            <w:webHidden/>
          </w:rPr>
          <w:fldChar w:fldCharType="separate"/>
        </w:r>
        <w:r w:rsidR="0021078E">
          <w:rPr>
            <w:noProof/>
            <w:webHidden/>
          </w:rPr>
          <w:t>134</w:t>
        </w:r>
        <w:r>
          <w:rPr>
            <w:noProof/>
            <w:webHidden/>
          </w:rPr>
          <w:fldChar w:fldCharType="end"/>
        </w:r>
      </w:hyperlink>
    </w:p>
    <w:p w14:paraId="714574F4" w14:textId="080C8FD6" w:rsidR="00CD52F2" w:rsidRDefault="00CD52F2">
      <w:pPr>
        <w:pStyle w:val="TOC2"/>
        <w:rPr>
          <w:rFonts w:asciiTheme="minorHAnsi" w:eastAsiaTheme="minorEastAsia" w:hAnsiTheme="minorHAnsi" w:cstheme="minorBidi"/>
          <w:noProof/>
          <w:color w:val="auto"/>
          <w:sz w:val="22"/>
        </w:rPr>
      </w:pPr>
      <w:hyperlink w:anchor="_Toc82444379" w:history="1">
        <w:r w:rsidRPr="009B4CBF">
          <w:rPr>
            <w:rStyle w:val="Hyperlink"/>
            <w:noProof/>
          </w:rPr>
          <w:t>7.5</w:t>
        </w:r>
        <w:r>
          <w:rPr>
            <w:rFonts w:asciiTheme="minorHAnsi" w:eastAsiaTheme="minorEastAsia" w:hAnsiTheme="minorHAnsi" w:cstheme="minorBidi"/>
            <w:noProof/>
            <w:color w:val="auto"/>
            <w:sz w:val="22"/>
          </w:rPr>
          <w:tab/>
        </w:r>
        <w:r w:rsidRPr="009B4CBF">
          <w:rPr>
            <w:rStyle w:val="Hyperlink"/>
            <w:noProof/>
          </w:rPr>
          <w:t>Response Criteria</w:t>
        </w:r>
        <w:r>
          <w:rPr>
            <w:noProof/>
            <w:webHidden/>
          </w:rPr>
          <w:tab/>
        </w:r>
        <w:r>
          <w:rPr>
            <w:noProof/>
            <w:webHidden/>
          </w:rPr>
          <w:fldChar w:fldCharType="begin"/>
        </w:r>
        <w:r>
          <w:rPr>
            <w:noProof/>
            <w:webHidden/>
          </w:rPr>
          <w:instrText xml:space="preserve"> PAGEREF _Toc82444379 \h </w:instrText>
        </w:r>
        <w:r>
          <w:rPr>
            <w:noProof/>
            <w:webHidden/>
          </w:rPr>
        </w:r>
        <w:r>
          <w:rPr>
            <w:noProof/>
            <w:webHidden/>
          </w:rPr>
          <w:fldChar w:fldCharType="separate"/>
        </w:r>
        <w:r w:rsidR="0021078E">
          <w:rPr>
            <w:noProof/>
            <w:webHidden/>
          </w:rPr>
          <w:t>134</w:t>
        </w:r>
        <w:r>
          <w:rPr>
            <w:noProof/>
            <w:webHidden/>
          </w:rPr>
          <w:fldChar w:fldCharType="end"/>
        </w:r>
      </w:hyperlink>
    </w:p>
    <w:p w14:paraId="10A4B60C" w14:textId="672E77B7" w:rsidR="00CD52F2" w:rsidRDefault="00CD52F2">
      <w:pPr>
        <w:pStyle w:val="TOC2"/>
        <w:rPr>
          <w:rFonts w:asciiTheme="minorHAnsi" w:eastAsiaTheme="minorEastAsia" w:hAnsiTheme="minorHAnsi" w:cstheme="minorBidi"/>
          <w:noProof/>
          <w:color w:val="auto"/>
          <w:sz w:val="22"/>
        </w:rPr>
      </w:pPr>
      <w:hyperlink w:anchor="_Toc82444380" w:history="1">
        <w:r w:rsidRPr="009B4CBF">
          <w:rPr>
            <w:rStyle w:val="Hyperlink"/>
            <w:noProof/>
          </w:rPr>
          <w:t>7.6</w:t>
        </w:r>
        <w:r>
          <w:rPr>
            <w:rFonts w:asciiTheme="minorHAnsi" w:eastAsiaTheme="minorEastAsia" w:hAnsiTheme="minorHAnsi" w:cstheme="minorBidi"/>
            <w:noProof/>
            <w:color w:val="auto"/>
            <w:sz w:val="22"/>
          </w:rPr>
          <w:tab/>
        </w:r>
        <w:r w:rsidRPr="009B4CBF">
          <w:rPr>
            <w:rStyle w:val="Hyperlink"/>
            <w:noProof/>
          </w:rPr>
          <w:t>Toxicity Criteria</w:t>
        </w:r>
        <w:r>
          <w:rPr>
            <w:noProof/>
            <w:webHidden/>
          </w:rPr>
          <w:tab/>
        </w:r>
        <w:r>
          <w:rPr>
            <w:noProof/>
            <w:webHidden/>
          </w:rPr>
          <w:fldChar w:fldCharType="begin"/>
        </w:r>
        <w:r>
          <w:rPr>
            <w:noProof/>
            <w:webHidden/>
          </w:rPr>
          <w:instrText xml:space="preserve"> PAGEREF _Toc82444380 \h </w:instrText>
        </w:r>
        <w:r>
          <w:rPr>
            <w:noProof/>
            <w:webHidden/>
          </w:rPr>
        </w:r>
        <w:r>
          <w:rPr>
            <w:noProof/>
            <w:webHidden/>
          </w:rPr>
          <w:fldChar w:fldCharType="separate"/>
        </w:r>
        <w:r w:rsidR="0021078E">
          <w:rPr>
            <w:noProof/>
            <w:webHidden/>
          </w:rPr>
          <w:t>142</w:t>
        </w:r>
        <w:r>
          <w:rPr>
            <w:noProof/>
            <w:webHidden/>
          </w:rPr>
          <w:fldChar w:fldCharType="end"/>
        </w:r>
      </w:hyperlink>
    </w:p>
    <w:p w14:paraId="19E89226" w14:textId="0DB7157D" w:rsidR="00CD52F2" w:rsidRDefault="00CD52F2">
      <w:pPr>
        <w:pStyle w:val="TOC1"/>
        <w:rPr>
          <w:rFonts w:asciiTheme="minorHAnsi" w:eastAsiaTheme="minorEastAsia" w:hAnsiTheme="minorHAnsi" w:cstheme="minorBidi"/>
          <w:caps w:val="0"/>
          <w:noProof/>
          <w:color w:val="auto"/>
          <w:sz w:val="22"/>
        </w:rPr>
      </w:pPr>
      <w:hyperlink w:anchor="_Toc82444381" w:history="1">
        <w:r w:rsidRPr="009B4CBF">
          <w:rPr>
            <w:rStyle w:val="Hyperlink"/>
            <w:noProof/>
          </w:rPr>
          <w:t>8</w:t>
        </w:r>
        <w:r>
          <w:rPr>
            <w:rFonts w:asciiTheme="minorHAnsi" w:eastAsiaTheme="minorEastAsia" w:hAnsiTheme="minorHAnsi" w:cstheme="minorBidi"/>
            <w:caps w:val="0"/>
            <w:noProof/>
            <w:color w:val="auto"/>
            <w:sz w:val="22"/>
          </w:rPr>
          <w:tab/>
        </w:r>
        <w:r w:rsidRPr="009B4CBF">
          <w:rPr>
            <w:rStyle w:val="Hyperlink"/>
            <w:noProof/>
          </w:rPr>
          <w:t>NIH REPORTING REQUIREMENTS/DATA AND SAFETY MONITORING PLAN</w:t>
        </w:r>
        <w:r>
          <w:rPr>
            <w:noProof/>
            <w:webHidden/>
          </w:rPr>
          <w:tab/>
        </w:r>
        <w:r>
          <w:rPr>
            <w:noProof/>
            <w:webHidden/>
          </w:rPr>
          <w:fldChar w:fldCharType="begin"/>
        </w:r>
        <w:r>
          <w:rPr>
            <w:noProof/>
            <w:webHidden/>
          </w:rPr>
          <w:instrText xml:space="preserve"> PAGEREF _Toc82444381 \h </w:instrText>
        </w:r>
        <w:r>
          <w:rPr>
            <w:noProof/>
            <w:webHidden/>
          </w:rPr>
        </w:r>
        <w:r>
          <w:rPr>
            <w:noProof/>
            <w:webHidden/>
          </w:rPr>
          <w:fldChar w:fldCharType="separate"/>
        </w:r>
        <w:r w:rsidR="0021078E">
          <w:rPr>
            <w:noProof/>
            <w:webHidden/>
          </w:rPr>
          <w:t>142</w:t>
        </w:r>
        <w:r>
          <w:rPr>
            <w:noProof/>
            <w:webHidden/>
          </w:rPr>
          <w:fldChar w:fldCharType="end"/>
        </w:r>
      </w:hyperlink>
    </w:p>
    <w:p w14:paraId="0A3B8098" w14:textId="3D2AE6BD" w:rsidR="00CD52F2" w:rsidRDefault="00CD52F2">
      <w:pPr>
        <w:pStyle w:val="TOC2"/>
        <w:rPr>
          <w:rFonts w:asciiTheme="minorHAnsi" w:eastAsiaTheme="minorEastAsia" w:hAnsiTheme="minorHAnsi" w:cstheme="minorBidi"/>
          <w:noProof/>
          <w:color w:val="auto"/>
          <w:sz w:val="22"/>
        </w:rPr>
      </w:pPr>
      <w:hyperlink w:anchor="_Toc82444382" w:history="1">
        <w:r w:rsidRPr="009B4CBF">
          <w:rPr>
            <w:rStyle w:val="Hyperlink"/>
            <w:noProof/>
          </w:rPr>
          <w:t>8.1</w:t>
        </w:r>
        <w:r>
          <w:rPr>
            <w:rFonts w:asciiTheme="minorHAnsi" w:eastAsiaTheme="minorEastAsia" w:hAnsiTheme="minorHAnsi" w:cstheme="minorBidi"/>
            <w:noProof/>
            <w:color w:val="auto"/>
            <w:sz w:val="22"/>
          </w:rPr>
          <w:tab/>
        </w:r>
        <w:r w:rsidRPr="009B4CBF">
          <w:rPr>
            <w:rStyle w:val="Hyperlink"/>
            <w:noProof/>
          </w:rPr>
          <w:t>Definitions</w:t>
        </w:r>
        <w:r>
          <w:rPr>
            <w:noProof/>
            <w:webHidden/>
          </w:rPr>
          <w:tab/>
        </w:r>
        <w:r>
          <w:rPr>
            <w:noProof/>
            <w:webHidden/>
          </w:rPr>
          <w:fldChar w:fldCharType="begin"/>
        </w:r>
        <w:r>
          <w:rPr>
            <w:noProof/>
            <w:webHidden/>
          </w:rPr>
          <w:instrText xml:space="preserve"> PAGEREF _Toc82444382 \h </w:instrText>
        </w:r>
        <w:r>
          <w:rPr>
            <w:noProof/>
            <w:webHidden/>
          </w:rPr>
        </w:r>
        <w:r>
          <w:rPr>
            <w:noProof/>
            <w:webHidden/>
          </w:rPr>
          <w:fldChar w:fldCharType="separate"/>
        </w:r>
        <w:r w:rsidR="0021078E">
          <w:rPr>
            <w:noProof/>
            <w:webHidden/>
          </w:rPr>
          <w:t>142</w:t>
        </w:r>
        <w:r>
          <w:rPr>
            <w:noProof/>
            <w:webHidden/>
          </w:rPr>
          <w:fldChar w:fldCharType="end"/>
        </w:r>
      </w:hyperlink>
    </w:p>
    <w:p w14:paraId="27C0F0F5" w14:textId="5EBB38F8" w:rsidR="00CD52F2" w:rsidRDefault="00CD52F2">
      <w:pPr>
        <w:pStyle w:val="TOC2"/>
        <w:rPr>
          <w:rFonts w:asciiTheme="minorHAnsi" w:eastAsiaTheme="minorEastAsia" w:hAnsiTheme="minorHAnsi" w:cstheme="minorBidi"/>
          <w:noProof/>
          <w:color w:val="auto"/>
          <w:sz w:val="22"/>
        </w:rPr>
      </w:pPr>
      <w:hyperlink w:anchor="_Toc82444383" w:history="1">
        <w:r w:rsidRPr="009B4CBF">
          <w:rPr>
            <w:rStyle w:val="Hyperlink"/>
            <w:noProof/>
          </w:rPr>
          <w:t>8.2</w:t>
        </w:r>
        <w:r>
          <w:rPr>
            <w:rFonts w:asciiTheme="minorHAnsi" w:eastAsiaTheme="minorEastAsia" w:hAnsiTheme="minorHAnsi" w:cstheme="minorBidi"/>
            <w:noProof/>
            <w:color w:val="auto"/>
            <w:sz w:val="22"/>
          </w:rPr>
          <w:tab/>
        </w:r>
        <w:r w:rsidRPr="009B4CBF">
          <w:rPr>
            <w:rStyle w:val="Hyperlink"/>
            <w:noProof/>
          </w:rPr>
          <w:t>OHSRP Office of Compliance and Training / IRB</w:t>
        </w:r>
        <w:r w:rsidRPr="009B4CBF">
          <w:rPr>
            <w:rStyle w:val="Hyperlink"/>
            <w:rFonts w:eastAsia="Calibri"/>
            <w:noProof/>
          </w:rPr>
          <w:t xml:space="preserve"> </w:t>
        </w:r>
        <w:r w:rsidRPr="009B4CBF">
          <w:rPr>
            <w:rStyle w:val="Hyperlink"/>
            <w:noProof/>
          </w:rPr>
          <w:t>Reporting</w:t>
        </w:r>
        <w:r>
          <w:rPr>
            <w:noProof/>
            <w:webHidden/>
          </w:rPr>
          <w:tab/>
        </w:r>
        <w:r>
          <w:rPr>
            <w:noProof/>
            <w:webHidden/>
          </w:rPr>
          <w:fldChar w:fldCharType="begin"/>
        </w:r>
        <w:r>
          <w:rPr>
            <w:noProof/>
            <w:webHidden/>
          </w:rPr>
          <w:instrText xml:space="preserve"> PAGEREF _Toc82444383 \h </w:instrText>
        </w:r>
        <w:r>
          <w:rPr>
            <w:noProof/>
            <w:webHidden/>
          </w:rPr>
        </w:r>
        <w:r>
          <w:rPr>
            <w:noProof/>
            <w:webHidden/>
          </w:rPr>
          <w:fldChar w:fldCharType="separate"/>
        </w:r>
        <w:r w:rsidR="0021078E">
          <w:rPr>
            <w:noProof/>
            <w:webHidden/>
          </w:rPr>
          <w:t>142</w:t>
        </w:r>
        <w:r>
          <w:rPr>
            <w:noProof/>
            <w:webHidden/>
          </w:rPr>
          <w:fldChar w:fldCharType="end"/>
        </w:r>
      </w:hyperlink>
    </w:p>
    <w:p w14:paraId="2FE8A126" w14:textId="4B60E345" w:rsidR="00CD52F2" w:rsidRDefault="00CD52F2">
      <w:pPr>
        <w:pStyle w:val="TOC2"/>
        <w:rPr>
          <w:rFonts w:asciiTheme="minorHAnsi" w:eastAsiaTheme="minorEastAsia" w:hAnsiTheme="minorHAnsi" w:cstheme="minorBidi"/>
          <w:noProof/>
          <w:color w:val="auto"/>
          <w:sz w:val="22"/>
        </w:rPr>
      </w:pPr>
      <w:hyperlink w:anchor="_Toc82444384" w:history="1">
        <w:r w:rsidRPr="009B4CBF">
          <w:rPr>
            <w:rStyle w:val="Hyperlink"/>
            <w:noProof/>
          </w:rPr>
          <w:t>8.3</w:t>
        </w:r>
        <w:r>
          <w:rPr>
            <w:rFonts w:asciiTheme="minorHAnsi" w:eastAsiaTheme="minorEastAsia" w:hAnsiTheme="minorHAnsi" w:cstheme="minorBidi"/>
            <w:noProof/>
            <w:color w:val="auto"/>
            <w:sz w:val="22"/>
          </w:rPr>
          <w:tab/>
        </w:r>
        <w:r w:rsidRPr="009B4CBF">
          <w:rPr>
            <w:rStyle w:val="Hyperlink"/>
            <w:noProof/>
          </w:rPr>
          <w:t>NCI Clinical Director Reporting</w:t>
        </w:r>
        <w:r>
          <w:rPr>
            <w:noProof/>
            <w:webHidden/>
          </w:rPr>
          <w:tab/>
        </w:r>
        <w:r>
          <w:rPr>
            <w:noProof/>
            <w:webHidden/>
          </w:rPr>
          <w:fldChar w:fldCharType="begin"/>
        </w:r>
        <w:r>
          <w:rPr>
            <w:noProof/>
            <w:webHidden/>
          </w:rPr>
          <w:instrText xml:space="preserve"> PAGEREF _Toc82444384 \h </w:instrText>
        </w:r>
        <w:r>
          <w:rPr>
            <w:noProof/>
            <w:webHidden/>
          </w:rPr>
        </w:r>
        <w:r>
          <w:rPr>
            <w:noProof/>
            <w:webHidden/>
          </w:rPr>
          <w:fldChar w:fldCharType="separate"/>
        </w:r>
        <w:r w:rsidR="0021078E">
          <w:rPr>
            <w:noProof/>
            <w:webHidden/>
          </w:rPr>
          <w:t>143</w:t>
        </w:r>
        <w:r>
          <w:rPr>
            <w:noProof/>
            <w:webHidden/>
          </w:rPr>
          <w:fldChar w:fldCharType="end"/>
        </w:r>
      </w:hyperlink>
    </w:p>
    <w:p w14:paraId="0A7B06D9" w14:textId="78623592" w:rsidR="00CD52F2" w:rsidRDefault="00CD52F2">
      <w:pPr>
        <w:pStyle w:val="TOC2"/>
        <w:rPr>
          <w:rFonts w:asciiTheme="minorHAnsi" w:eastAsiaTheme="minorEastAsia" w:hAnsiTheme="minorHAnsi" w:cstheme="minorBidi"/>
          <w:noProof/>
          <w:color w:val="auto"/>
          <w:sz w:val="22"/>
        </w:rPr>
      </w:pPr>
      <w:hyperlink w:anchor="_Toc82444385" w:history="1">
        <w:r w:rsidRPr="009B4CBF">
          <w:rPr>
            <w:rStyle w:val="Hyperlink"/>
            <w:noProof/>
          </w:rPr>
          <w:t>8.4</w:t>
        </w:r>
        <w:r>
          <w:rPr>
            <w:rFonts w:asciiTheme="minorHAnsi" w:eastAsiaTheme="minorEastAsia" w:hAnsiTheme="minorHAnsi" w:cstheme="minorBidi"/>
            <w:noProof/>
            <w:color w:val="auto"/>
            <w:sz w:val="22"/>
          </w:rPr>
          <w:tab/>
        </w:r>
        <w:r w:rsidRPr="009B4CBF">
          <w:rPr>
            <w:rStyle w:val="Hyperlink"/>
            <w:noProof/>
          </w:rPr>
          <w:t>NIH Required Data and Safety Monitoring Plan</w:t>
        </w:r>
        <w:r>
          <w:rPr>
            <w:noProof/>
            <w:webHidden/>
          </w:rPr>
          <w:tab/>
        </w:r>
        <w:r>
          <w:rPr>
            <w:noProof/>
            <w:webHidden/>
          </w:rPr>
          <w:fldChar w:fldCharType="begin"/>
        </w:r>
        <w:r>
          <w:rPr>
            <w:noProof/>
            <w:webHidden/>
          </w:rPr>
          <w:instrText xml:space="preserve"> PAGEREF _Toc82444385 \h </w:instrText>
        </w:r>
        <w:r>
          <w:rPr>
            <w:noProof/>
            <w:webHidden/>
          </w:rPr>
        </w:r>
        <w:r>
          <w:rPr>
            <w:noProof/>
            <w:webHidden/>
          </w:rPr>
          <w:fldChar w:fldCharType="separate"/>
        </w:r>
        <w:r w:rsidR="0021078E">
          <w:rPr>
            <w:noProof/>
            <w:webHidden/>
          </w:rPr>
          <w:t>143</w:t>
        </w:r>
        <w:r>
          <w:rPr>
            <w:noProof/>
            <w:webHidden/>
          </w:rPr>
          <w:fldChar w:fldCharType="end"/>
        </w:r>
      </w:hyperlink>
    </w:p>
    <w:p w14:paraId="2CC276B8" w14:textId="32B8550D" w:rsidR="00CD52F2" w:rsidRDefault="00CD52F2">
      <w:pPr>
        <w:pStyle w:val="TOC1"/>
        <w:rPr>
          <w:rFonts w:asciiTheme="minorHAnsi" w:eastAsiaTheme="minorEastAsia" w:hAnsiTheme="minorHAnsi" w:cstheme="minorBidi"/>
          <w:caps w:val="0"/>
          <w:noProof/>
          <w:color w:val="auto"/>
          <w:sz w:val="22"/>
        </w:rPr>
      </w:pPr>
      <w:hyperlink w:anchor="_Toc82444386" w:history="1">
        <w:r w:rsidRPr="009B4CBF">
          <w:rPr>
            <w:rStyle w:val="Hyperlink"/>
            <w:noProof/>
          </w:rPr>
          <w:t>9</w:t>
        </w:r>
        <w:r>
          <w:rPr>
            <w:rFonts w:asciiTheme="minorHAnsi" w:eastAsiaTheme="minorEastAsia" w:hAnsiTheme="minorHAnsi" w:cstheme="minorBidi"/>
            <w:caps w:val="0"/>
            <w:noProof/>
            <w:color w:val="auto"/>
            <w:sz w:val="22"/>
          </w:rPr>
          <w:tab/>
        </w:r>
        <w:r w:rsidRPr="009B4CBF">
          <w:rPr>
            <w:rStyle w:val="Hyperlink"/>
            <w:noProof/>
          </w:rPr>
          <w:t>Sponsor SAFETY  REPorting</w:t>
        </w:r>
        <w:r>
          <w:rPr>
            <w:noProof/>
            <w:webHidden/>
          </w:rPr>
          <w:tab/>
        </w:r>
        <w:r>
          <w:rPr>
            <w:noProof/>
            <w:webHidden/>
          </w:rPr>
          <w:fldChar w:fldCharType="begin"/>
        </w:r>
        <w:r>
          <w:rPr>
            <w:noProof/>
            <w:webHidden/>
          </w:rPr>
          <w:instrText xml:space="preserve"> PAGEREF _Toc82444386 \h </w:instrText>
        </w:r>
        <w:r>
          <w:rPr>
            <w:noProof/>
            <w:webHidden/>
          </w:rPr>
        </w:r>
        <w:r>
          <w:rPr>
            <w:noProof/>
            <w:webHidden/>
          </w:rPr>
          <w:fldChar w:fldCharType="separate"/>
        </w:r>
        <w:r w:rsidR="0021078E">
          <w:rPr>
            <w:noProof/>
            <w:webHidden/>
          </w:rPr>
          <w:t>143</w:t>
        </w:r>
        <w:r>
          <w:rPr>
            <w:noProof/>
            <w:webHidden/>
          </w:rPr>
          <w:fldChar w:fldCharType="end"/>
        </w:r>
      </w:hyperlink>
    </w:p>
    <w:p w14:paraId="3B513A0D" w14:textId="74C23071" w:rsidR="00CD52F2" w:rsidRDefault="00CD52F2">
      <w:pPr>
        <w:pStyle w:val="TOC2"/>
        <w:rPr>
          <w:rFonts w:asciiTheme="minorHAnsi" w:eastAsiaTheme="minorEastAsia" w:hAnsiTheme="minorHAnsi" w:cstheme="minorBidi"/>
          <w:noProof/>
          <w:color w:val="auto"/>
          <w:sz w:val="22"/>
        </w:rPr>
      </w:pPr>
      <w:hyperlink w:anchor="_Toc82444387" w:history="1">
        <w:r w:rsidRPr="009B4CBF">
          <w:rPr>
            <w:rStyle w:val="Hyperlink"/>
            <w:noProof/>
          </w:rPr>
          <w:t>9.1</w:t>
        </w:r>
        <w:r>
          <w:rPr>
            <w:rFonts w:asciiTheme="minorHAnsi" w:eastAsiaTheme="minorEastAsia" w:hAnsiTheme="minorHAnsi" w:cstheme="minorBidi"/>
            <w:noProof/>
            <w:color w:val="auto"/>
            <w:sz w:val="22"/>
          </w:rPr>
          <w:tab/>
        </w:r>
        <w:r w:rsidRPr="009B4CBF">
          <w:rPr>
            <w:rStyle w:val="Hyperlink"/>
            <w:noProof/>
          </w:rPr>
          <w:t>Definitions</w:t>
        </w:r>
        <w:r>
          <w:rPr>
            <w:noProof/>
            <w:webHidden/>
          </w:rPr>
          <w:tab/>
        </w:r>
        <w:r>
          <w:rPr>
            <w:noProof/>
            <w:webHidden/>
          </w:rPr>
          <w:fldChar w:fldCharType="begin"/>
        </w:r>
        <w:r>
          <w:rPr>
            <w:noProof/>
            <w:webHidden/>
          </w:rPr>
          <w:instrText xml:space="preserve"> PAGEREF _Toc82444387 \h </w:instrText>
        </w:r>
        <w:r>
          <w:rPr>
            <w:noProof/>
            <w:webHidden/>
          </w:rPr>
        </w:r>
        <w:r>
          <w:rPr>
            <w:noProof/>
            <w:webHidden/>
          </w:rPr>
          <w:fldChar w:fldCharType="separate"/>
        </w:r>
        <w:r w:rsidR="0021078E">
          <w:rPr>
            <w:noProof/>
            <w:webHidden/>
          </w:rPr>
          <w:t>143</w:t>
        </w:r>
        <w:r>
          <w:rPr>
            <w:noProof/>
            <w:webHidden/>
          </w:rPr>
          <w:fldChar w:fldCharType="end"/>
        </w:r>
      </w:hyperlink>
    </w:p>
    <w:p w14:paraId="362CC9F5" w14:textId="3D69D431" w:rsidR="00CD52F2" w:rsidRDefault="00CD52F2">
      <w:pPr>
        <w:pStyle w:val="TOC2"/>
        <w:rPr>
          <w:rFonts w:asciiTheme="minorHAnsi" w:eastAsiaTheme="minorEastAsia" w:hAnsiTheme="minorHAnsi" w:cstheme="minorBidi"/>
          <w:noProof/>
          <w:color w:val="auto"/>
          <w:sz w:val="22"/>
        </w:rPr>
      </w:pPr>
      <w:hyperlink w:anchor="_Toc82444388" w:history="1">
        <w:r w:rsidRPr="009B4CBF">
          <w:rPr>
            <w:rStyle w:val="Hyperlink"/>
            <w:noProof/>
          </w:rPr>
          <w:t>9.2</w:t>
        </w:r>
        <w:r>
          <w:rPr>
            <w:rFonts w:asciiTheme="minorHAnsi" w:eastAsiaTheme="minorEastAsia" w:hAnsiTheme="minorHAnsi" w:cstheme="minorBidi"/>
            <w:noProof/>
            <w:color w:val="auto"/>
            <w:sz w:val="22"/>
          </w:rPr>
          <w:tab/>
        </w:r>
        <w:r w:rsidRPr="009B4CBF">
          <w:rPr>
            <w:rStyle w:val="Hyperlink"/>
            <w:noProof/>
          </w:rPr>
          <w:t>Assessment of Safety Events</w:t>
        </w:r>
        <w:r>
          <w:rPr>
            <w:noProof/>
            <w:webHidden/>
          </w:rPr>
          <w:tab/>
        </w:r>
        <w:r>
          <w:rPr>
            <w:noProof/>
            <w:webHidden/>
          </w:rPr>
          <w:fldChar w:fldCharType="begin"/>
        </w:r>
        <w:r>
          <w:rPr>
            <w:noProof/>
            <w:webHidden/>
          </w:rPr>
          <w:instrText xml:space="preserve"> PAGEREF _Toc82444388 \h </w:instrText>
        </w:r>
        <w:r>
          <w:rPr>
            <w:noProof/>
            <w:webHidden/>
          </w:rPr>
        </w:r>
        <w:r>
          <w:rPr>
            <w:noProof/>
            <w:webHidden/>
          </w:rPr>
          <w:fldChar w:fldCharType="separate"/>
        </w:r>
        <w:r w:rsidR="0021078E">
          <w:rPr>
            <w:noProof/>
            <w:webHidden/>
          </w:rPr>
          <w:t>147</w:t>
        </w:r>
        <w:r>
          <w:rPr>
            <w:noProof/>
            <w:webHidden/>
          </w:rPr>
          <w:fldChar w:fldCharType="end"/>
        </w:r>
      </w:hyperlink>
    </w:p>
    <w:p w14:paraId="6F4C8F8C" w14:textId="72D8EEBA" w:rsidR="00CD52F2" w:rsidRDefault="00CD52F2">
      <w:pPr>
        <w:pStyle w:val="TOC2"/>
        <w:rPr>
          <w:rFonts w:asciiTheme="minorHAnsi" w:eastAsiaTheme="minorEastAsia" w:hAnsiTheme="minorHAnsi" w:cstheme="minorBidi"/>
          <w:noProof/>
          <w:color w:val="auto"/>
          <w:sz w:val="22"/>
        </w:rPr>
      </w:pPr>
      <w:hyperlink w:anchor="_Toc82444389" w:history="1">
        <w:r w:rsidRPr="009B4CBF">
          <w:rPr>
            <w:rStyle w:val="Hyperlink"/>
            <w:noProof/>
          </w:rPr>
          <w:t>9.3</w:t>
        </w:r>
        <w:r>
          <w:rPr>
            <w:rFonts w:asciiTheme="minorHAnsi" w:eastAsiaTheme="minorEastAsia" w:hAnsiTheme="minorHAnsi" w:cstheme="minorBidi"/>
            <w:noProof/>
            <w:color w:val="auto"/>
            <w:sz w:val="22"/>
          </w:rPr>
          <w:tab/>
        </w:r>
        <w:r w:rsidRPr="009B4CBF">
          <w:rPr>
            <w:rStyle w:val="Hyperlink"/>
            <w:noProof/>
          </w:rPr>
          <w:t>Reporting of Serious Adverse Events</w:t>
        </w:r>
        <w:r>
          <w:rPr>
            <w:noProof/>
            <w:webHidden/>
          </w:rPr>
          <w:tab/>
        </w:r>
        <w:r>
          <w:rPr>
            <w:noProof/>
            <w:webHidden/>
          </w:rPr>
          <w:fldChar w:fldCharType="begin"/>
        </w:r>
        <w:r>
          <w:rPr>
            <w:noProof/>
            <w:webHidden/>
          </w:rPr>
          <w:instrText xml:space="preserve"> PAGEREF _Toc82444389 \h </w:instrText>
        </w:r>
        <w:r>
          <w:rPr>
            <w:noProof/>
            <w:webHidden/>
          </w:rPr>
        </w:r>
        <w:r>
          <w:rPr>
            <w:noProof/>
            <w:webHidden/>
          </w:rPr>
          <w:fldChar w:fldCharType="separate"/>
        </w:r>
        <w:r w:rsidR="0021078E">
          <w:rPr>
            <w:noProof/>
            <w:webHidden/>
          </w:rPr>
          <w:t>148</w:t>
        </w:r>
        <w:r>
          <w:rPr>
            <w:noProof/>
            <w:webHidden/>
          </w:rPr>
          <w:fldChar w:fldCharType="end"/>
        </w:r>
      </w:hyperlink>
    </w:p>
    <w:p w14:paraId="672BDC00" w14:textId="6DEA5856" w:rsidR="00CD52F2" w:rsidRDefault="00CD52F2">
      <w:pPr>
        <w:pStyle w:val="TOC2"/>
        <w:rPr>
          <w:rFonts w:asciiTheme="minorHAnsi" w:eastAsiaTheme="minorEastAsia" w:hAnsiTheme="minorHAnsi" w:cstheme="minorBidi"/>
          <w:noProof/>
          <w:color w:val="auto"/>
          <w:sz w:val="22"/>
        </w:rPr>
      </w:pPr>
      <w:hyperlink w:anchor="_Toc82444390" w:history="1">
        <w:r w:rsidRPr="009B4CBF">
          <w:rPr>
            <w:rStyle w:val="Hyperlink"/>
            <w:noProof/>
          </w:rPr>
          <w:t>9.4</w:t>
        </w:r>
        <w:r>
          <w:rPr>
            <w:rFonts w:asciiTheme="minorHAnsi" w:eastAsiaTheme="minorEastAsia" w:hAnsiTheme="minorHAnsi" w:cstheme="minorBidi"/>
            <w:noProof/>
            <w:color w:val="auto"/>
            <w:sz w:val="22"/>
          </w:rPr>
          <w:tab/>
        </w:r>
        <w:r w:rsidRPr="009B4CBF">
          <w:rPr>
            <w:rStyle w:val="Hyperlink"/>
            <w:noProof/>
          </w:rPr>
          <w:t>Safety Reporting Criteria to the Pharmaceutical Collaborators</w:t>
        </w:r>
        <w:r>
          <w:rPr>
            <w:noProof/>
            <w:webHidden/>
          </w:rPr>
          <w:tab/>
        </w:r>
        <w:r>
          <w:rPr>
            <w:noProof/>
            <w:webHidden/>
          </w:rPr>
          <w:fldChar w:fldCharType="begin"/>
        </w:r>
        <w:r>
          <w:rPr>
            <w:noProof/>
            <w:webHidden/>
          </w:rPr>
          <w:instrText xml:space="preserve"> PAGEREF _Toc82444390 \h </w:instrText>
        </w:r>
        <w:r>
          <w:rPr>
            <w:noProof/>
            <w:webHidden/>
          </w:rPr>
        </w:r>
        <w:r>
          <w:rPr>
            <w:noProof/>
            <w:webHidden/>
          </w:rPr>
          <w:fldChar w:fldCharType="separate"/>
        </w:r>
        <w:r w:rsidR="0021078E">
          <w:rPr>
            <w:noProof/>
            <w:webHidden/>
          </w:rPr>
          <w:t>148</w:t>
        </w:r>
        <w:r>
          <w:rPr>
            <w:noProof/>
            <w:webHidden/>
          </w:rPr>
          <w:fldChar w:fldCharType="end"/>
        </w:r>
      </w:hyperlink>
    </w:p>
    <w:p w14:paraId="18A3ECCE" w14:textId="3F884044" w:rsidR="00CD52F2" w:rsidRDefault="00CD52F2">
      <w:pPr>
        <w:pStyle w:val="TOC2"/>
        <w:rPr>
          <w:rFonts w:asciiTheme="minorHAnsi" w:eastAsiaTheme="minorEastAsia" w:hAnsiTheme="minorHAnsi" w:cstheme="minorBidi"/>
          <w:noProof/>
          <w:color w:val="auto"/>
          <w:sz w:val="22"/>
        </w:rPr>
      </w:pPr>
      <w:hyperlink w:anchor="_Toc82444391" w:history="1">
        <w:r w:rsidRPr="009B4CBF">
          <w:rPr>
            <w:rStyle w:val="Hyperlink"/>
            <w:noProof/>
          </w:rPr>
          <w:t>9.5</w:t>
        </w:r>
        <w:r>
          <w:rPr>
            <w:rFonts w:asciiTheme="minorHAnsi" w:eastAsiaTheme="minorEastAsia" w:hAnsiTheme="minorHAnsi" w:cstheme="minorBidi"/>
            <w:noProof/>
            <w:color w:val="auto"/>
            <w:sz w:val="22"/>
          </w:rPr>
          <w:tab/>
        </w:r>
        <w:r w:rsidRPr="009B4CBF">
          <w:rPr>
            <w:rStyle w:val="Hyperlink"/>
            <w:noProof/>
          </w:rPr>
          <w:t>Reporting Pregnancy</w:t>
        </w:r>
        <w:r>
          <w:rPr>
            <w:noProof/>
            <w:webHidden/>
          </w:rPr>
          <w:tab/>
        </w:r>
        <w:r>
          <w:rPr>
            <w:noProof/>
            <w:webHidden/>
          </w:rPr>
          <w:fldChar w:fldCharType="begin"/>
        </w:r>
        <w:r>
          <w:rPr>
            <w:noProof/>
            <w:webHidden/>
          </w:rPr>
          <w:instrText xml:space="preserve"> PAGEREF _Toc82444391 \h </w:instrText>
        </w:r>
        <w:r>
          <w:rPr>
            <w:noProof/>
            <w:webHidden/>
          </w:rPr>
        </w:r>
        <w:r>
          <w:rPr>
            <w:noProof/>
            <w:webHidden/>
          </w:rPr>
          <w:fldChar w:fldCharType="separate"/>
        </w:r>
        <w:r w:rsidR="0021078E">
          <w:rPr>
            <w:noProof/>
            <w:webHidden/>
          </w:rPr>
          <w:t>149</w:t>
        </w:r>
        <w:r>
          <w:rPr>
            <w:noProof/>
            <w:webHidden/>
          </w:rPr>
          <w:fldChar w:fldCharType="end"/>
        </w:r>
      </w:hyperlink>
    </w:p>
    <w:p w14:paraId="63C05787" w14:textId="18BA96B6" w:rsidR="00CD52F2" w:rsidRDefault="00CD52F2">
      <w:pPr>
        <w:pStyle w:val="TOC2"/>
        <w:rPr>
          <w:rFonts w:asciiTheme="minorHAnsi" w:eastAsiaTheme="minorEastAsia" w:hAnsiTheme="minorHAnsi" w:cstheme="minorBidi"/>
          <w:noProof/>
          <w:color w:val="auto"/>
          <w:sz w:val="22"/>
        </w:rPr>
      </w:pPr>
      <w:hyperlink w:anchor="_Toc82444392" w:history="1">
        <w:r w:rsidRPr="009B4CBF">
          <w:rPr>
            <w:rStyle w:val="Hyperlink"/>
            <w:noProof/>
          </w:rPr>
          <w:t>9.6</w:t>
        </w:r>
        <w:r>
          <w:rPr>
            <w:rFonts w:asciiTheme="minorHAnsi" w:eastAsiaTheme="minorEastAsia" w:hAnsiTheme="minorHAnsi" w:cstheme="minorBidi"/>
            <w:noProof/>
            <w:color w:val="auto"/>
            <w:sz w:val="22"/>
          </w:rPr>
          <w:tab/>
        </w:r>
        <w:r w:rsidRPr="009B4CBF">
          <w:rPr>
            <w:rStyle w:val="Hyperlink"/>
            <w:noProof/>
          </w:rPr>
          <w:t>Regulatory Reporting for Studies Conducted Under CCR</w:t>
        </w:r>
        <w:r w:rsidRPr="009B4CBF">
          <w:rPr>
            <w:rStyle w:val="Hyperlink"/>
            <w:noProof/>
          </w:rPr>
          <w:noBreakHyphen/>
          <w:t>Sponsored IND</w:t>
        </w:r>
        <w:r>
          <w:rPr>
            <w:noProof/>
            <w:webHidden/>
          </w:rPr>
          <w:tab/>
        </w:r>
        <w:r>
          <w:rPr>
            <w:noProof/>
            <w:webHidden/>
          </w:rPr>
          <w:fldChar w:fldCharType="begin"/>
        </w:r>
        <w:r>
          <w:rPr>
            <w:noProof/>
            <w:webHidden/>
          </w:rPr>
          <w:instrText xml:space="preserve"> PAGEREF _Toc82444392 \h </w:instrText>
        </w:r>
        <w:r>
          <w:rPr>
            <w:noProof/>
            <w:webHidden/>
          </w:rPr>
        </w:r>
        <w:r>
          <w:rPr>
            <w:noProof/>
            <w:webHidden/>
          </w:rPr>
          <w:fldChar w:fldCharType="separate"/>
        </w:r>
        <w:r w:rsidR="0021078E">
          <w:rPr>
            <w:noProof/>
            <w:webHidden/>
          </w:rPr>
          <w:t>150</w:t>
        </w:r>
        <w:r>
          <w:rPr>
            <w:noProof/>
            <w:webHidden/>
          </w:rPr>
          <w:fldChar w:fldCharType="end"/>
        </w:r>
      </w:hyperlink>
    </w:p>
    <w:p w14:paraId="64EAB4D3" w14:textId="7FA893AF" w:rsidR="00CD52F2" w:rsidRDefault="00CD52F2">
      <w:pPr>
        <w:pStyle w:val="TOC1"/>
        <w:rPr>
          <w:rFonts w:asciiTheme="minorHAnsi" w:eastAsiaTheme="minorEastAsia" w:hAnsiTheme="minorHAnsi" w:cstheme="minorBidi"/>
          <w:caps w:val="0"/>
          <w:noProof/>
          <w:color w:val="auto"/>
          <w:sz w:val="22"/>
        </w:rPr>
      </w:pPr>
      <w:hyperlink w:anchor="_Toc82444393" w:history="1">
        <w:r w:rsidRPr="009B4CBF">
          <w:rPr>
            <w:rStyle w:val="Hyperlink"/>
            <w:noProof/>
          </w:rPr>
          <w:t>10</w:t>
        </w:r>
        <w:r>
          <w:rPr>
            <w:rFonts w:asciiTheme="minorHAnsi" w:eastAsiaTheme="minorEastAsia" w:hAnsiTheme="minorHAnsi" w:cstheme="minorBidi"/>
            <w:caps w:val="0"/>
            <w:noProof/>
            <w:color w:val="auto"/>
            <w:sz w:val="22"/>
          </w:rPr>
          <w:tab/>
        </w:r>
        <w:r w:rsidRPr="009B4CBF">
          <w:rPr>
            <w:rStyle w:val="Hyperlink"/>
            <w:noProof/>
          </w:rPr>
          <w:t>Clinical Monitoring Plan</w:t>
        </w:r>
        <w:r>
          <w:rPr>
            <w:noProof/>
            <w:webHidden/>
          </w:rPr>
          <w:tab/>
        </w:r>
        <w:r>
          <w:rPr>
            <w:noProof/>
            <w:webHidden/>
          </w:rPr>
          <w:fldChar w:fldCharType="begin"/>
        </w:r>
        <w:r>
          <w:rPr>
            <w:noProof/>
            <w:webHidden/>
          </w:rPr>
          <w:instrText xml:space="preserve"> PAGEREF _Toc82444393 \h </w:instrText>
        </w:r>
        <w:r>
          <w:rPr>
            <w:noProof/>
            <w:webHidden/>
          </w:rPr>
        </w:r>
        <w:r>
          <w:rPr>
            <w:noProof/>
            <w:webHidden/>
          </w:rPr>
          <w:fldChar w:fldCharType="separate"/>
        </w:r>
        <w:r w:rsidR="0021078E">
          <w:rPr>
            <w:noProof/>
            <w:webHidden/>
          </w:rPr>
          <w:t>150</w:t>
        </w:r>
        <w:r>
          <w:rPr>
            <w:noProof/>
            <w:webHidden/>
          </w:rPr>
          <w:fldChar w:fldCharType="end"/>
        </w:r>
      </w:hyperlink>
    </w:p>
    <w:p w14:paraId="1B27FA3E" w14:textId="29245436" w:rsidR="00CD52F2" w:rsidRDefault="00CD52F2">
      <w:pPr>
        <w:pStyle w:val="TOC1"/>
        <w:rPr>
          <w:rFonts w:asciiTheme="minorHAnsi" w:eastAsiaTheme="minorEastAsia" w:hAnsiTheme="minorHAnsi" w:cstheme="minorBidi"/>
          <w:caps w:val="0"/>
          <w:noProof/>
          <w:color w:val="auto"/>
          <w:sz w:val="22"/>
        </w:rPr>
      </w:pPr>
      <w:hyperlink w:anchor="_Toc82444394" w:history="1">
        <w:r w:rsidRPr="009B4CBF">
          <w:rPr>
            <w:rStyle w:val="Hyperlink"/>
            <w:noProof/>
          </w:rPr>
          <w:t>11</w:t>
        </w:r>
        <w:r>
          <w:rPr>
            <w:rFonts w:asciiTheme="minorHAnsi" w:eastAsiaTheme="minorEastAsia" w:hAnsiTheme="minorHAnsi" w:cstheme="minorBidi"/>
            <w:caps w:val="0"/>
            <w:noProof/>
            <w:color w:val="auto"/>
            <w:sz w:val="22"/>
          </w:rPr>
          <w:tab/>
        </w:r>
        <w:r w:rsidRPr="009B4CBF">
          <w:rPr>
            <w:rStyle w:val="Hyperlink"/>
            <w:noProof/>
          </w:rPr>
          <w:t>STATISTICAL CONSIDERATIONS</w:t>
        </w:r>
        <w:r>
          <w:rPr>
            <w:noProof/>
            <w:webHidden/>
          </w:rPr>
          <w:tab/>
        </w:r>
        <w:r>
          <w:rPr>
            <w:noProof/>
            <w:webHidden/>
          </w:rPr>
          <w:fldChar w:fldCharType="begin"/>
        </w:r>
        <w:r>
          <w:rPr>
            <w:noProof/>
            <w:webHidden/>
          </w:rPr>
          <w:instrText xml:space="preserve"> PAGEREF _Toc82444394 \h </w:instrText>
        </w:r>
        <w:r>
          <w:rPr>
            <w:noProof/>
            <w:webHidden/>
          </w:rPr>
        </w:r>
        <w:r>
          <w:rPr>
            <w:noProof/>
            <w:webHidden/>
          </w:rPr>
          <w:fldChar w:fldCharType="separate"/>
        </w:r>
        <w:r w:rsidR="0021078E">
          <w:rPr>
            <w:noProof/>
            <w:webHidden/>
          </w:rPr>
          <w:t>150</w:t>
        </w:r>
        <w:r>
          <w:rPr>
            <w:noProof/>
            <w:webHidden/>
          </w:rPr>
          <w:fldChar w:fldCharType="end"/>
        </w:r>
      </w:hyperlink>
    </w:p>
    <w:p w14:paraId="67B7CC1A" w14:textId="54163FB6" w:rsidR="00CD52F2" w:rsidRDefault="00CD52F2">
      <w:pPr>
        <w:pStyle w:val="TOC2"/>
        <w:rPr>
          <w:rFonts w:asciiTheme="minorHAnsi" w:eastAsiaTheme="minorEastAsia" w:hAnsiTheme="minorHAnsi" w:cstheme="minorBidi"/>
          <w:noProof/>
          <w:color w:val="auto"/>
          <w:sz w:val="22"/>
        </w:rPr>
      </w:pPr>
      <w:hyperlink w:anchor="_Toc82444395" w:history="1">
        <w:r w:rsidRPr="009B4CBF">
          <w:rPr>
            <w:rStyle w:val="Hyperlink"/>
            <w:noProof/>
          </w:rPr>
          <w:t>11.1</w:t>
        </w:r>
        <w:r>
          <w:rPr>
            <w:rFonts w:asciiTheme="minorHAnsi" w:eastAsiaTheme="minorEastAsia" w:hAnsiTheme="minorHAnsi" w:cstheme="minorBidi"/>
            <w:noProof/>
            <w:color w:val="auto"/>
            <w:sz w:val="22"/>
          </w:rPr>
          <w:tab/>
        </w:r>
        <w:r w:rsidRPr="009B4CBF">
          <w:rPr>
            <w:rStyle w:val="Hyperlink"/>
            <w:noProof/>
          </w:rPr>
          <w:t>Phase I and Phase II Ovarian Cancer Cohort 1 (Durvalumab+O and Durvalumab+C)</w:t>
        </w:r>
        <w:r>
          <w:rPr>
            <w:noProof/>
            <w:webHidden/>
          </w:rPr>
          <w:tab/>
        </w:r>
        <w:r>
          <w:rPr>
            <w:noProof/>
            <w:webHidden/>
          </w:rPr>
          <w:fldChar w:fldCharType="begin"/>
        </w:r>
        <w:r>
          <w:rPr>
            <w:noProof/>
            <w:webHidden/>
          </w:rPr>
          <w:instrText xml:space="preserve"> PAGEREF _Toc82444395 \h </w:instrText>
        </w:r>
        <w:r>
          <w:rPr>
            <w:noProof/>
            <w:webHidden/>
          </w:rPr>
        </w:r>
        <w:r>
          <w:rPr>
            <w:noProof/>
            <w:webHidden/>
          </w:rPr>
          <w:fldChar w:fldCharType="separate"/>
        </w:r>
        <w:r w:rsidR="0021078E">
          <w:rPr>
            <w:noProof/>
            <w:webHidden/>
          </w:rPr>
          <w:t>150</w:t>
        </w:r>
        <w:r>
          <w:rPr>
            <w:noProof/>
            <w:webHidden/>
          </w:rPr>
          <w:fldChar w:fldCharType="end"/>
        </w:r>
      </w:hyperlink>
    </w:p>
    <w:p w14:paraId="111DE866" w14:textId="5EE3937D" w:rsidR="00CD52F2" w:rsidRDefault="00CD52F2">
      <w:pPr>
        <w:pStyle w:val="TOC2"/>
        <w:rPr>
          <w:rFonts w:asciiTheme="minorHAnsi" w:eastAsiaTheme="minorEastAsia" w:hAnsiTheme="minorHAnsi" w:cstheme="minorBidi"/>
          <w:noProof/>
          <w:color w:val="auto"/>
          <w:sz w:val="22"/>
        </w:rPr>
      </w:pPr>
      <w:hyperlink w:anchor="_Toc82444396" w:history="1">
        <w:r w:rsidRPr="009B4CBF">
          <w:rPr>
            <w:rStyle w:val="Hyperlink"/>
            <w:noProof/>
          </w:rPr>
          <w:t>11.2</w:t>
        </w:r>
        <w:r>
          <w:rPr>
            <w:rFonts w:asciiTheme="minorHAnsi" w:eastAsiaTheme="minorEastAsia" w:hAnsiTheme="minorHAnsi" w:cstheme="minorBidi"/>
            <w:noProof/>
            <w:color w:val="auto"/>
            <w:sz w:val="22"/>
          </w:rPr>
          <w:tab/>
        </w:r>
        <w:r w:rsidRPr="009B4CBF">
          <w:rPr>
            <w:rStyle w:val="Hyperlink"/>
            <w:noProof/>
          </w:rPr>
          <w:t>Phase II triple negative breast cancer (TNBC) Cohort 5 (Durvalumab+O only)</w:t>
        </w:r>
        <w:r>
          <w:rPr>
            <w:noProof/>
            <w:webHidden/>
          </w:rPr>
          <w:tab/>
        </w:r>
        <w:r>
          <w:rPr>
            <w:noProof/>
            <w:webHidden/>
          </w:rPr>
          <w:fldChar w:fldCharType="begin"/>
        </w:r>
        <w:r>
          <w:rPr>
            <w:noProof/>
            <w:webHidden/>
          </w:rPr>
          <w:instrText xml:space="preserve"> PAGEREF _Toc82444396 \h </w:instrText>
        </w:r>
        <w:r>
          <w:rPr>
            <w:noProof/>
            <w:webHidden/>
          </w:rPr>
        </w:r>
        <w:r>
          <w:rPr>
            <w:noProof/>
            <w:webHidden/>
          </w:rPr>
          <w:fldChar w:fldCharType="separate"/>
        </w:r>
        <w:r w:rsidR="0021078E">
          <w:rPr>
            <w:noProof/>
            <w:webHidden/>
          </w:rPr>
          <w:t>152</w:t>
        </w:r>
        <w:r>
          <w:rPr>
            <w:noProof/>
            <w:webHidden/>
          </w:rPr>
          <w:fldChar w:fldCharType="end"/>
        </w:r>
      </w:hyperlink>
    </w:p>
    <w:p w14:paraId="43695A8F" w14:textId="569DF806" w:rsidR="00CD52F2" w:rsidRDefault="00CD52F2">
      <w:pPr>
        <w:pStyle w:val="TOC2"/>
        <w:rPr>
          <w:rFonts w:asciiTheme="minorHAnsi" w:eastAsiaTheme="minorEastAsia" w:hAnsiTheme="minorHAnsi" w:cstheme="minorBidi"/>
          <w:noProof/>
          <w:color w:val="auto"/>
          <w:sz w:val="22"/>
        </w:rPr>
      </w:pPr>
      <w:hyperlink w:anchor="_Toc82444397" w:history="1">
        <w:r w:rsidRPr="009B4CBF">
          <w:rPr>
            <w:rStyle w:val="Hyperlink"/>
            <w:noProof/>
          </w:rPr>
          <w:t>11.3</w:t>
        </w:r>
        <w:r>
          <w:rPr>
            <w:rFonts w:asciiTheme="minorHAnsi" w:eastAsiaTheme="minorEastAsia" w:hAnsiTheme="minorHAnsi" w:cstheme="minorBidi"/>
            <w:noProof/>
            <w:color w:val="auto"/>
            <w:sz w:val="22"/>
          </w:rPr>
          <w:tab/>
        </w:r>
        <w:r w:rsidRPr="009B4CBF">
          <w:rPr>
            <w:rStyle w:val="Hyperlink"/>
            <w:noProof/>
          </w:rPr>
          <w:t>Phase II non-small cell lung cancer (NSCLC) Cohort 2 (Durvalumab+O and Durvalumab+C)</w:t>
        </w:r>
        <w:r>
          <w:rPr>
            <w:noProof/>
            <w:webHidden/>
          </w:rPr>
          <w:tab/>
        </w:r>
        <w:r>
          <w:rPr>
            <w:noProof/>
            <w:webHidden/>
          </w:rPr>
          <w:fldChar w:fldCharType="begin"/>
        </w:r>
        <w:r>
          <w:rPr>
            <w:noProof/>
            <w:webHidden/>
          </w:rPr>
          <w:instrText xml:space="preserve"> PAGEREF _Toc82444397 \h </w:instrText>
        </w:r>
        <w:r>
          <w:rPr>
            <w:noProof/>
            <w:webHidden/>
          </w:rPr>
        </w:r>
        <w:r>
          <w:rPr>
            <w:noProof/>
            <w:webHidden/>
          </w:rPr>
          <w:fldChar w:fldCharType="separate"/>
        </w:r>
        <w:r w:rsidR="0021078E">
          <w:rPr>
            <w:noProof/>
            <w:webHidden/>
          </w:rPr>
          <w:t>153</w:t>
        </w:r>
        <w:r>
          <w:rPr>
            <w:noProof/>
            <w:webHidden/>
          </w:rPr>
          <w:fldChar w:fldCharType="end"/>
        </w:r>
      </w:hyperlink>
    </w:p>
    <w:p w14:paraId="3BC4010F" w14:textId="26EDA3FC" w:rsidR="00CD52F2" w:rsidRDefault="00CD52F2">
      <w:pPr>
        <w:pStyle w:val="TOC2"/>
        <w:rPr>
          <w:rFonts w:asciiTheme="minorHAnsi" w:eastAsiaTheme="minorEastAsia" w:hAnsiTheme="minorHAnsi" w:cstheme="minorBidi"/>
          <w:noProof/>
          <w:color w:val="auto"/>
          <w:sz w:val="22"/>
        </w:rPr>
      </w:pPr>
      <w:hyperlink w:anchor="_Toc82444398" w:history="1">
        <w:r w:rsidRPr="009B4CBF">
          <w:rPr>
            <w:rStyle w:val="Hyperlink"/>
            <w:noProof/>
          </w:rPr>
          <w:t>11.4</w:t>
        </w:r>
        <w:r>
          <w:rPr>
            <w:rFonts w:asciiTheme="minorHAnsi" w:eastAsiaTheme="minorEastAsia" w:hAnsiTheme="minorHAnsi" w:cstheme="minorBidi"/>
            <w:noProof/>
            <w:color w:val="auto"/>
            <w:sz w:val="22"/>
          </w:rPr>
          <w:tab/>
        </w:r>
        <w:r w:rsidRPr="009B4CBF">
          <w:rPr>
            <w:rStyle w:val="Hyperlink"/>
            <w:noProof/>
          </w:rPr>
          <w:t>Phase II small cell lung cancer (SCLC) Cohort 3 (Durvalumab+O only)</w:t>
        </w:r>
        <w:r>
          <w:rPr>
            <w:noProof/>
            <w:webHidden/>
          </w:rPr>
          <w:tab/>
        </w:r>
        <w:r>
          <w:rPr>
            <w:noProof/>
            <w:webHidden/>
          </w:rPr>
          <w:fldChar w:fldCharType="begin"/>
        </w:r>
        <w:r>
          <w:rPr>
            <w:noProof/>
            <w:webHidden/>
          </w:rPr>
          <w:instrText xml:space="preserve"> PAGEREF _Toc82444398 \h </w:instrText>
        </w:r>
        <w:r>
          <w:rPr>
            <w:noProof/>
            <w:webHidden/>
          </w:rPr>
        </w:r>
        <w:r>
          <w:rPr>
            <w:noProof/>
            <w:webHidden/>
          </w:rPr>
          <w:fldChar w:fldCharType="separate"/>
        </w:r>
        <w:r w:rsidR="0021078E">
          <w:rPr>
            <w:noProof/>
            <w:webHidden/>
          </w:rPr>
          <w:t>154</w:t>
        </w:r>
        <w:r>
          <w:rPr>
            <w:noProof/>
            <w:webHidden/>
          </w:rPr>
          <w:fldChar w:fldCharType="end"/>
        </w:r>
      </w:hyperlink>
    </w:p>
    <w:p w14:paraId="69695F82" w14:textId="1DC73681" w:rsidR="00CD52F2" w:rsidRDefault="00CD52F2">
      <w:pPr>
        <w:pStyle w:val="TOC2"/>
        <w:rPr>
          <w:rFonts w:asciiTheme="minorHAnsi" w:eastAsiaTheme="minorEastAsia" w:hAnsiTheme="minorHAnsi" w:cstheme="minorBidi"/>
          <w:noProof/>
          <w:color w:val="auto"/>
          <w:sz w:val="22"/>
        </w:rPr>
      </w:pPr>
      <w:hyperlink w:anchor="_Toc82444399" w:history="1">
        <w:r w:rsidRPr="009B4CBF">
          <w:rPr>
            <w:rStyle w:val="Hyperlink"/>
            <w:noProof/>
          </w:rPr>
          <w:t>11.5</w:t>
        </w:r>
        <w:r>
          <w:rPr>
            <w:rFonts w:asciiTheme="minorHAnsi" w:eastAsiaTheme="minorEastAsia" w:hAnsiTheme="minorHAnsi" w:cstheme="minorBidi"/>
            <w:noProof/>
            <w:color w:val="auto"/>
            <w:sz w:val="22"/>
          </w:rPr>
          <w:tab/>
        </w:r>
        <w:r w:rsidRPr="009B4CBF">
          <w:rPr>
            <w:rStyle w:val="Hyperlink"/>
            <w:noProof/>
          </w:rPr>
          <w:t>Phase II metastatic castrate-resistance prostate cancer (mCRPC) Cohort 4 (Durvalumab+O only)</w:t>
        </w:r>
        <w:r>
          <w:rPr>
            <w:noProof/>
            <w:webHidden/>
          </w:rPr>
          <w:tab/>
        </w:r>
        <w:r>
          <w:rPr>
            <w:noProof/>
            <w:webHidden/>
          </w:rPr>
          <w:fldChar w:fldCharType="begin"/>
        </w:r>
        <w:r>
          <w:rPr>
            <w:noProof/>
            <w:webHidden/>
          </w:rPr>
          <w:instrText xml:space="preserve"> PAGEREF _Toc82444399 \h </w:instrText>
        </w:r>
        <w:r>
          <w:rPr>
            <w:noProof/>
            <w:webHidden/>
          </w:rPr>
        </w:r>
        <w:r>
          <w:rPr>
            <w:noProof/>
            <w:webHidden/>
          </w:rPr>
          <w:fldChar w:fldCharType="separate"/>
        </w:r>
        <w:r w:rsidR="0021078E">
          <w:rPr>
            <w:noProof/>
            <w:webHidden/>
          </w:rPr>
          <w:t>154</w:t>
        </w:r>
        <w:r>
          <w:rPr>
            <w:noProof/>
            <w:webHidden/>
          </w:rPr>
          <w:fldChar w:fldCharType="end"/>
        </w:r>
      </w:hyperlink>
    </w:p>
    <w:p w14:paraId="0A81EDE0" w14:textId="75456880" w:rsidR="00CD52F2" w:rsidRDefault="00CD52F2">
      <w:pPr>
        <w:pStyle w:val="TOC2"/>
        <w:rPr>
          <w:rFonts w:asciiTheme="minorHAnsi" w:eastAsiaTheme="minorEastAsia" w:hAnsiTheme="minorHAnsi" w:cstheme="minorBidi"/>
          <w:noProof/>
          <w:color w:val="auto"/>
          <w:sz w:val="22"/>
        </w:rPr>
      </w:pPr>
      <w:hyperlink w:anchor="_Toc82444400" w:history="1">
        <w:r w:rsidRPr="009B4CBF">
          <w:rPr>
            <w:rStyle w:val="Hyperlink"/>
            <w:noProof/>
          </w:rPr>
          <w:t>11.6</w:t>
        </w:r>
        <w:r>
          <w:rPr>
            <w:rFonts w:asciiTheme="minorHAnsi" w:eastAsiaTheme="minorEastAsia" w:hAnsiTheme="minorHAnsi" w:cstheme="minorBidi"/>
            <w:noProof/>
            <w:color w:val="auto"/>
            <w:sz w:val="22"/>
          </w:rPr>
          <w:tab/>
        </w:r>
        <w:r w:rsidRPr="009B4CBF">
          <w:rPr>
            <w:rStyle w:val="Hyperlink"/>
            <w:noProof/>
          </w:rPr>
          <w:t>Phase II colorectal cancer (CRC) Cohort 6 (C+Durvalumab only)</w:t>
        </w:r>
        <w:r>
          <w:rPr>
            <w:noProof/>
            <w:webHidden/>
          </w:rPr>
          <w:tab/>
        </w:r>
        <w:r>
          <w:rPr>
            <w:noProof/>
            <w:webHidden/>
          </w:rPr>
          <w:fldChar w:fldCharType="begin"/>
        </w:r>
        <w:r>
          <w:rPr>
            <w:noProof/>
            <w:webHidden/>
          </w:rPr>
          <w:instrText xml:space="preserve"> PAGEREF _Toc82444400 \h </w:instrText>
        </w:r>
        <w:r>
          <w:rPr>
            <w:noProof/>
            <w:webHidden/>
          </w:rPr>
        </w:r>
        <w:r>
          <w:rPr>
            <w:noProof/>
            <w:webHidden/>
          </w:rPr>
          <w:fldChar w:fldCharType="separate"/>
        </w:r>
        <w:r w:rsidR="0021078E">
          <w:rPr>
            <w:noProof/>
            <w:webHidden/>
          </w:rPr>
          <w:t>156</w:t>
        </w:r>
        <w:r>
          <w:rPr>
            <w:noProof/>
            <w:webHidden/>
          </w:rPr>
          <w:fldChar w:fldCharType="end"/>
        </w:r>
      </w:hyperlink>
    </w:p>
    <w:p w14:paraId="358F5037" w14:textId="222D5498" w:rsidR="00CD52F2" w:rsidRDefault="00CD52F2">
      <w:pPr>
        <w:pStyle w:val="TOC2"/>
        <w:rPr>
          <w:rFonts w:asciiTheme="minorHAnsi" w:eastAsiaTheme="minorEastAsia" w:hAnsiTheme="minorHAnsi" w:cstheme="minorBidi"/>
          <w:noProof/>
          <w:color w:val="auto"/>
          <w:sz w:val="22"/>
        </w:rPr>
      </w:pPr>
      <w:hyperlink w:anchor="_Toc82444401" w:history="1">
        <w:r w:rsidRPr="009B4CBF">
          <w:rPr>
            <w:rStyle w:val="Hyperlink"/>
            <w:noProof/>
          </w:rPr>
          <w:t>11.7</w:t>
        </w:r>
        <w:r>
          <w:rPr>
            <w:rFonts w:asciiTheme="minorHAnsi" w:eastAsiaTheme="minorEastAsia" w:hAnsiTheme="minorHAnsi" w:cstheme="minorBidi"/>
            <w:noProof/>
            <w:color w:val="auto"/>
            <w:sz w:val="22"/>
          </w:rPr>
          <w:tab/>
        </w:r>
        <w:r w:rsidRPr="009B4CBF">
          <w:rPr>
            <w:rStyle w:val="Hyperlink"/>
            <w:noProof/>
          </w:rPr>
          <w:t>Phase II Durvalumab+O+C in patients with ovarian cancer</w:t>
        </w:r>
        <w:r>
          <w:rPr>
            <w:noProof/>
            <w:webHidden/>
          </w:rPr>
          <w:tab/>
        </w:r>
        <w:r>
          <w:rPr>
            <w:noProof/>
            <w:webHidden/>
          </w:rPr>
          <w:fldChar w:fldCharType="begin"/>
        </w:r>
        <w:r>
          <w:rPr>
            <w:noProof/>
            <w:webHidden/>
          </w:rPr>
          <w:instrText xml:space="preserve"> PAGEREF _Toc82444401 \h </w:instrText>
        </w:r>
        <w:r>
          <w:rPr>
            <w:noProof/>
            <w:webHidden/>
          </w:rPr>
        </w:r>
        <w:r>
          <w:rPr>
            <w:noProof/>
            <w:webHidden/>
          </w:rPr>
          <w:fldChar w:fldCharType="separate"/>
        </w:r>
        <w:r w:rsidR="0021078E">
          <w:rPr>
            <w:noProof/>
            <w:webHidden/>
          </w:rPr>
          <w:t>156</w:t>
        </w:r>
        <w:r>
          <w:rPr>
            <w:noProof/>
            <w:webHidden/>
          </w:rPr>
          <w:fldChar w:fldCharType="end"/>
        </w:r>
      </w:hyperlink>
    </w:p>
    <w:p w14:paraId="56051D67" w14:textId="3545E9E2" w:rsidR="00CD52F2" w:rsidRDefault="00CD52F2">
      <w:pPr>
        <w:pStyle w:val="TOC2"/>
        <w:rPr>
          <w:rFonts w:asciiTheme="minorHAnsi" w:eastAsiaTheme="minorEastAsia" w:hAnsiTheme="minorHAnsi" w:cstheme="minorBidi"/>
          <w:noProof/>
          <w:color w:val="auto"/>
          <w:sz w:val="22"/>
        </w:rPr>
      </w:pPr>
      <w:hyperlink w:anchor="_Toc82444402" w:history="1">
        <w:r w:rsidRPr="009B4CBF">
          <w:rPr>
            <w:rStyle w:val="Hyperlink"/>
            <w:noProof/>
          </w:rPr>
          <w:t>11.8</w:t>
        </w:r>
        <w:r>
          <w:rPr>
            <w:rFonts w:asciiTheme="minorHAnsi" w:eastAsiaTheme="minorEastAsia" w:hAnsiTheme="minorHAnsi" w:cstheme="minorBidi"/>
            <w:noProof/>
            <w:color w:val="auto"/>
            <w:sz w:val="22"/>
          </w:rPr>
          <w:tab/>
        </w:r>
        <w:r w:rsidRPr="009B4CBF">
          <w:rPr>
            <w:rStyle w:val="Hyperlink"/>
            <w:noProof/>
          </w:rPr>
          <w:t>Expected patient enrollment and accrual ceiling</w:t>
        </w:r>
        <w:r>
          <w:rPr>
            <w:noProof/>
            <w:webHidden/>
          </w:rPr>
          <w:tab/>
        </w:r>
        <w:r>
          <w:rPr>
            <w:noProof/>
            <w:webHidden/>
          </w:rPr>
          <w:fldChar w:fldCharType="begin"/>
        </w:r>
        <w:r>
          <w:rPr>
            <w:noProof/>
            <w:webHidden/>
          </w:rPr>
          <w:instrText xml:space="preserve"> PAGEREF _Toc82444402 \h </w:instrText>
        </w:r>
        <w:r>
          <w:rPr>
            <w:noProof/>
            <w:webHidden/>
          </w:rPr>
        </w:r>
        <w:r>
          <w:rPr>
            <w:noProof/>
            <w:webHidden/>
          </w:rPr>
          <w:fldChar w:fldCharType="separate"/>
        </w:r>
        <w:r w:rsidR="0021078E">
          <w:rPr>
            <w:noProof/>
            <w:webHidden/>
          </w:rPr>
          <w:t>157</w:t>
        </w:r>
        <w:r>
          <w:rPr>
            <w:noProof/>
            <w:webHidden/>
          </w:rPr>
          <w:fldChar w:fldCharType="end"/>
        </w:r>
      </w:hyperlink>
    </w:p>
    <w:p w14:paraId="1D45E6F1" w14:textId="2DEC8CE3" w:rsidR="00CD52F2" w:rsidRDefault="00CD52F2">
      <w:pPr>
        <w:pStyle w:val="TOC1"/>
        <w:rPr>
          <w:rFonts w:asciiTheme="minorHAnsi" w:eastAsiaTheme="minorEastAsia" w:hAnsiTheme="minorHAnsi" w:cstheme="minorBidi"/>
          <w:caps w:val="0"/>
          <w:noProof/>
          <w:color w:val="auto"/>
          <w:sz w:val="22"/>
        </w:rPr>
      </w:pPr>
      <w:hyperlink w:anchor="_Toc82444403" w:history="1">
        <w:r w:rsidRPr="009B4CBF">
          <w:rPr>
            <w:rStyle w:val="Hyperlink"/>
            <w:noProof/>
          </w:rPr>
          <w:t>12</w:t>
        </w:r>
        <w:r>
          <w:rPr>
            <w:rFonts w:asciiTheme="minorHAnsi" w:eastAsiaTheme="minorEastAsia" w:hAnsiTheme="minorHAnsi" w:cstheme="minorBidi"/>
            <w:caps w:val="0"/>
            <w:noProof/>
            <w:color w:val="auto"/>
            <w:sz w:val="22"/>
          </w:rPr>
          <w:tab/>
        </w:r>
        <w:r w:rsidRPr="009B4CBF">
          <w:rPr>
            <w:rStyle w:val="Hyperlink"/>
            <w:noProof/>
          </w:rPr>
          <w:t>COLLABORATIVE AGREEMENTS</w:t>
        </w:r>
        <w:r>
          <w:rPr>
            <w:noProof/>
            <w:webHidden/>
          </w:rPr>
          <w:tab/>
        </w:r>
        <w:r>
          <w:rPr>
            <w:noProof/>
            <w:webHidden/>
          </w:rPr>
          <w:fldChar w:fldCharType="begin"/>
        </w:r>
        <w:r>
          <w:rPr>
            <w:noProof/>
            <w:webHidden/>
          </w:rPr>
          <w:instrText xml:space="preserve"> PAGEREF _Toc82444403 \h </w:instrText>
        </w:r>
        <w:r>
          <w:rPr>
            <w:noProof/>
            <w:webHidden/>
          </w:rPr>
        </w:r>
        <w:r>
          <w:rPr>
            <w:noProof/>
            <w:webHidden/>
          </w:rPr>
          <w:fldChar w:fldCharType="separate"/>
        </w:r>
        <w:r w:rsidR="0021078E">
          <w:rPr>
            <w:noProof/>
            <w:webHidden/>
          </w:rPr>
          <w:t>158</w:t>
        </w:r>
        <w:r>
          <w:rPr>
            <w:noProof/>
            <w:webHidden/>
          </w:rPr>
          <w:fldChar w:fldCharType="end"/>
        </w:r>
      </w:hyperlink>
    </w:p>
    <w:p w14:paraId="1DB95BF5" w14:textId="11C80673" w:rsidR="00CD52F2" w:rsidRDefault="00CD52F2">
      <w:pPr>
        <w:pStyle w:val="TOC1"/>
        <w:rPr>
          <w:rFonts w:asciiTheme="minorHAnsi" w:eastAsiaTheme="minorEastAsia" w:hAnsiTheme="minorHAnsi" w:cstheme="minorBidi"/>
          <w:caps w:val="0"/>
          <w:noProof/>
          <w:color w:val="auto"/>
          <w:sz w:val="22"/>
        </w:rPr>
      </w:pPr>
      <w:hyperlink w:anchor="_Toc82444404" w:history="1">
        <w:r w:rsidRPr="009B4CBF">
          <w:rPr>
            <w:rStyle w:val="Hyperlink"/>
            <w:noProof/>
          </w:rPr>
          <w:t>13</w:t>
        </w:r>
        <w:r>
          <w:rPr>
            <w:rFonts w:asciiTheme="minorHAnsi" w:eastAsiaTheme="minorEastAsia" w:hAnsiTheme="minorHAnsi" w:cstheme="minorBidi"/>
            <w:caps w:val="0"/>
            <w:noProof/>
            <w:color w:val="auto"/>
            <w:sz w:val="22"/>
          </w:rPr>
          <w:tab/>
        </w:r>
        <w:r w:rsidRPr="009B4CBF">
          <w:rPr>
            <w:rStyle w:val="Hyperlink"/>
            <w:noProof/>
          </w:rPr>
          <w:t>HUMAN SUBJECTS PROTECTIONS</w:t>
        </w:r>
        <w:r>
          <w:rPr>
            <w:noProof/>
            <w:webHidden/>
          </w:rPr>
          <w:tab/>
        </w:r>
        <w:r>
          <w:rPr>
            <w:noProof/>
            <w:webHidden/>
          </w:rPr>
          <w:fldChar w:fldCharType="begin"/>
        </w:r>
        <w:r>
          <w:rPr>
            <w:noProof/>
            <w:webHidden/>
          </w:rPr>
          <w:instrText xml:space="preserve"> PAGEREF _Toc82444404 \h </w:instrText>
        </w:r>
        <w:r>
          <w:rPr>
            <w:noProof/>
            <w:webHidden/>
          </w:rPr>
        </w:r>
        <w:r>
          <w:rPr>
            <w:noProof/>
            <w:webHidden/>
          </w:rPr>
          <w:fldChar w:fldCharType="separate"/>
        </w:r>
        <w:r w:rsidR="0021078E">
          <w:rPr>
            <w:noProof/>
            <w:webHidden/>
          </w:rPr>
          <w:t>158</w:t>
        </w:r>
        <w:r>
          <w:rPr>
            <w:noProof/>
            <w:webHidden/>
          </w:rPr>
          <w:fldChar w:fldCharType="end"/>
        </w:r>
      </w:hyperlink>
    </w:p>
    <w:p w14:paraId="6B098684" w14:textId="023EA00C" w:rsidR="00CD52F2" w:rsidRDefault="00CD52F2">
      <w:pPr>
        <w:pStyle w:val="TOC2"/>
        <w:rPr>
          <w:rFonts w:asciiTheme="minorHAnsi" w:eastAsiaTheme="minorEastAsia" w:hAnsiTheme="minorHAnsi" w:cstheme="minorBidi"/>
          <w:noProof/>
          <w:color w:val="auto"/>
          <w:sz w:val="22"/>
        </w:rPr>
      </w:pPr>
      <w:hyperlink w:anchor="_Toc82444405" w:history="1">
        <w:r w:rsidRPr="009B4CBF">
          <w:rPr>
            <w:rStyle w:val="Hyperlink"/>
            <w:noProof/>
          </w:rPr>
          <w:t>13.1</w:t>
        </w:r>
        <w:r>
          <w:rPr>
            <w:rFonts w:asciiTheme="minorHAnsi" w:eastAsiaTheme="minorEastAsia" w:hAnsiTheme="minorHAnsi" w:cstheme="minorBidi"/>
            <w:noProof/>
            <w:color w:val="auto"/>
            <w:sz w:val="22"/>
          </w:rPr>
          <w:tab/>
        </w:r>
        <w:r w:rsidRPr="009B4CBF">
          <w:rPr>
            <w:rStyle w:val="Hyperlink"/>
            <w:noProof/>
          </w:rPr>
          <w:t>Rationale For Subject Selection</w:t>
        </w:r>
        <w:r>
          <w:rPr>
            <w:noProof/>
            <w:webHidden/>
          </w:rPr>
          <w:tab/>
        </w:r>
        <w:r>
          <w:rPr>
            <w:noProof/>
            <w:webHidden/>
          </w:rPr>
          <w:fldChar w:fldCharType="begin"/>
        </w:r>
        <w:r>
          <w:rPr>
            <w:noProof/>
            <w:webHidden/>
          </w:rPr>
          <w:instrText xml:space="preserve"> PAGEREF _Toc82444405 \h </w:instrText>
        </w:r>
        <w:r>
          <w:rPr>
            <w:noProof/>
            <w:webHidden/>
          </w:rPr>
        </w:r>
        <w:r>
          <w:rPr>
            <w:noProof/>
            <w:webHidden/>
          </w:rPr>
          <w:fldChar w:fldCharType="separate"/>
        </w:r>
        <w:r w:rsidR="0021078E">
          <w:rPr>
            <w:noProof/>
            <w:webHidden/>
          </w:rPr>
          <w:t>158</w:t>
        </w:r>
        <w:r>
          <w:rPr>
            <w:noProof/>
            <w:webHidden/>
          </w:rPr>
          <w:fldChar w:fldCharType="end"/>
        </w:r>
      </w:hyperlink>
    </w:p>
    <w:p w14:paraId="677A5EDA" w14:textId="7814C9B4" w:rsidR="00CD52F2" w:rsidRDefault="00CD52F2">
      <w:pPr>
        <w:pStyle w:val="TOC2"/>
        <w:rPr>
          <w:rFonts w:asciiTheme="minorHAnsi" w:eastAsiaTheme="minorEastAsia" w:hAnsiTheme="minorHAnsi" w:cstheme="minorBidi"/>
          <w:noProof/>
          <w:color w:val="auto"/>
          <w:sz w:val="22"/>
        </w:rPr>
      </w:pPr>
      <w:hyperlink w:anchor="_Toc82444406" w:history="1">
        <w:r w:rsidRPr="009B4CBF">
          <w:rPr>
            <w:rStyle w:val="Hyperlink"/>
            <w:noProof/>
          </w:rPr>
          <w:t>13.2</w:t>
        </w:r>
        <w:r>
          <w:rPr>
            <w:rFonts w:asciiTheme="minorHAnsi" w:eastAsiaTheme="minorEastAsia" w:hAnsiTheme="minorHAnsi" w:cstheme="minorBidi"/>
            <w:noProof/>
            <w:color w:val="auto"/>
            <w:sz w:val="22"/>
          </w:rPr>
          <w:tab/>
        </w:r>
        <w:r w:rsidRPr="009B4CBF">
          <w:rPr>
            <w:rStyle w:val="Hyperlink"/>
            <w:noProof/>
          </w:rPr>
          <w:t>Participation of Children</w:t>
        </w:r>
        <w:r>
          <w:rPr>
            <w:noProof/>
            <w:webHidden/>
          </w:rPr>
          <w:tab/>
        </w:r>
        <w:r>
          <w:rPr>
            <w:noProof/>
            <w:webHidden/>
          </w:rPr>
          <w:fldChar w:fldCharType="begin"/>
        </w:r>
        <w:r>
          <w:rPr>
            <w:noProof/>
            <w:webHidden/>
          </w:rPr>
          <w:instrText xml:space="preserve"> PAGEREF _Toc82444406 \h </w:instrText>
        </w:r>
        <w:r>
          <w:rPr>
            <w:noProof/>
            <w:webHidden/>
          </w:rPr>
        </w:r>
        <w:r>
          <w:rPr>
            <w:noProof/>
            <w:webHidden/>
          </w:rPr>
          <w:fldChar w:fldCharType="separate"/>
        </w:r>
        <w:r w:rsidR="0021078E">
          <w:rPr>
            <w:noProof/>
            <w:webHidden/>
          </w:rPr>
          <w:t>158</w:t>
        </w:r>
        <w:r>
          <w:rPr>
            <w:noProof/>
            <w:webHidden/>
          </w:rPr>
          <w:fldChar w:fldCharType="end"/>
        </w:r>
      </w:hyperlink>
    </w:p>
    <w:p w14:paraId="5C95B66C" w14:textId="7DD7903D" w:rsidR="00CD52F2" w:rsidRDefault="00CD52F2">
      <w:pPr>
        <w:pStyle w:val="TOC2"/>
        <w:rPr>
          <w:rFonts w:asciiTheme="minorHAnsi" w:eastAsiaTheme="minorEastAsia" w:hAnsiTheme="minorHAnsi" w:cstheme="minorBidi"/>
          <w:noProof/>
          <w:color w:val="auto"/>
          <w:sz w:val="22"/>
        </w:rPr>
      </w:pPr>
      <w:hyperlink w:anchor="_Toc82444407" w:history="1">
        <w:r w:rsidRPr="009B4CBF">
          <w:rPr>
            <w:rStyle w:val="Hyperlink"/>
            <w:noProof/>
          </w:rPr>
          <w:t>13.3</w:t>
        </w:r>
        <w:r>
          <w:rPr>
            <w:rFonts w:asciiTheme="minorHAnsi" w:eastAsiaTheme="minorEastAsia" w:hAnsiTheme="minorHAnsi" w:cstheme="minorBidi"/>
            <w:noProof/>
            <w:color w:val="auto"/>
            <w:sz w:val="22"/>
          </w:rPr>
          <w:tab/>
        </w:r>
        <w:r w:rsidRPr="009B4CBF">
          <w:rPr>
            <w:rStyle w:val="Hyperlink"/>
            <w:noProof/>
          </w:rPr>
          <w:t>Participation of Subjects Unable to Give Consent</w:t>
        </w:r>
        <w:r>
          <w:rPr>
            <w:noProof/>
            <w:webHidden/>
          </w:rPr>
          <w:tab/>
        </w:r>
        <w:r>
          <w:rPr>
            <w:noProof/>
            <w:webHidden/>
          </w:rPr>
          <w:fldChar w:fldCharType="begin"/>
        </w:r>
        <w:r>
          <w:rPr>
            <w:noProof/>
            <w:webHidden/>
          </w:rPr>
          <w:instrText xml:space="preserve"> PAGEREF _Toc82444407 \h </w:instrText>
        </w:r>
        <w:r>
          <w:rPr>
            <w:noProof/>
            <w:webHidden/>
          </w:rPr>
        </w:r>
        <w:r>
          <w:rPr>
            <w:noProof/>
            <w:webHidden/>
          </w:rPr>
          <w:fldChar w:fldCharType="separate"/>
        </w:r>
        <w:r w:rsidR="0021078E">
          <w:rPr>
            <w:noProof/>
            <w:webHidden/>
          </w:rPr>
          <w:t>158</w:t>
        </w:r>
        <w:r>
          <w:rPr>
            <w:noProof/>
            <w:webHidden/>
          </w:rPr>
          <w:fldChar w:fldCharType="end"/>
        </w:r>
      </w:hyperlink>
    </w:p>
    <w:p w14:paraId="76843648" w14:textId="1CFA1D89" w:rsidR="00CD52F2" w:rsidRDefault="00CD52F2">
      <w:pPr>
        <w:pStyle w:val="TOC2"/>
        <w:rPr>
          <w:rFonts w:asciiTheme="minorHAnsi" w:eastAsiaTheme="minorEastAsia" w:hAnsiTheme="minorHAnsi" w:cstheme="minorBidi"/>
          <w:noProof/>
          <w:color w:val="auto"/>
          <w:sz w:val="22"/>
        </w:rPr>
      </w:pPr>
      <w:hyperlink w:anchor="_Toc82444408" w:history="1">
        <w:r w:rsidRPr="009B4CBF">
          <w:rPr>
            <w:rStyle w:val="Hyperlink"/>
            <w:noProof/>
          </w:rPr>
          <w:t>13.4</w:t>
        </w:r>
        <w:r>
          <w:rPr>
            <w:rFonts w:asciiTheme="minorHAnsi" w:eastAsiaTheme="minorEastAsia" w:hAnsiTheme="minorHAnsi" w:cstheme="minorBidi"/>
            <w:noProof/>
            <w:color w:val="auto"/>
            <w:sz w:val="22"/>
          </w:rPr>
          <w:tab/>
        </w:r>
        <w:r w:rsidRPr="009B4CBF">
          <w:rPr>
            <w:rStyle w:val="Hyperlink"/>
            <w:noProof/>
          </w:rPr>
          <w:t>Evaluation of Benefits and Risks/Discomforts</w:t>
        </w:r>
        <w:r>
          <w:rPr>
            <w:noProof/>
            <w:webHidden/>
          </w:rPr>
          <w:tab/>
        </w:r>
        <w:r>
          <w:rPr>
            <w:noProof/>
            <w:webHidden/>
          </w:rPr>
          <w:fldChar w:fldCharType="begin"/>
        </w:r>
        <w:r>
          <w:rPr>
            <w:noProof/>
            <w:webHidden/>
          </w:rPr>
          <w:instrText xml:space="preserve"> PAGEREF _Toc82444408 \h </w:instrText>
        </w:r>
        <w:r>
          <w:rPr>
            <w:noProof/>
            <w:webHidden/>
          </w:rPr>
        </w:r>
        <w:r>
          <w:rPr>
            <w:noProof/>
            <w:webHidden/>
          </w:rPr>
          <w:fldChar w:fldCharType="separate"/>
        </w:r>
        <w:r w:rsidR="0021078E">
          <w:rPr>
            <w:noProof/>
            <w:webHidden/>
          </w:rPr>
          <w:t>159</w:t>
        </w:r>
        <w:r>
          <w:rPr>
            <w:noProof/>
            <w:webHidden/>
          </w:rPr>
          <w:fldChar w:fldCharType="end"/>
        </w:r>
      </w:hyperlink>
    </w:p>
    <w:p w14:paraId="49235B52" w14:textId="70FF07AF" w:rsidR="00CD52F2" w:rsidRDefault="00CD52F2">
      <w:pPr>
        <w:pStyle w:val="TOC2"/>
        <w:rPr>
          <w:rFonts w:asciiTheme="minorHAnsi" w:eastAsiaTheme="minorEastAsia" w:hAnsiTheme="minorHAnsi" w:cstheme="minorBidi"/>
          <w:noProof/>
          <w:color w:val="auto"/>
          <w:sz w:val="22"/>
        </w:rPr>
      </w:pPr>
      <w:hyperlink w:anchor="_Toc82444409" w:history="1">
        <w:r w:rsidRPr="009B4CBF">
          <w:rPr>
            <w:rStyle w:val="Hyperlink"/>
            <w:noProof/>
          </w:rPr>
          <w:t>13.5</w:t>
        </w:r>
        <w:r>
          <w:rPr>
            <w:rFonts w:asciiTheme="minorHAnsi" w:eastAsiaTheme="minorEastAsia" w:hAnsiTheme="minorHAnsi" w:cstheme="minorBidi"/>
            <w:noProof/>
            <w:color w:val="auto"/>
            <w:sz w:val="22"/>
          </w:rPr>
          <w:tab/>
        </w:r>
        <w:r w:rsidRPr="009B4CBF">
          <w:rPr>
            <w:rStyle w:val="Hyperlink"/>
            <w:noProof/>
          </w:rPr>
          <w:t>Risks/Benefits Analysis</w:t>
        </w:r>
        <w:r>
          <w:rPr>
            <w:noProof/>
            <w:webHidden/>
          </w:rPr>
          <w:tab/>
        </w:r>
        <w:r>
          <w:rPr>
            <w:noProof/>
            <w:webHidden/>
          </w:rPr>
          <w:fldChar w:fldCharType="begin"/>
        </w:r>
        <w:r>
          <w:rPr>
            <w:noProof/>
            <w:webHidden/>
          </w:rPr>
          <w:instrText xml:space="preserve"> PAGEREF _Toc82444409 \h </w:instrText>
        </w:r>
        <w:r>
          <w:rPr>
            <w:noProof/>
            <w:webHidden/>
          </w:rPr>
        </w:r>
        <w:r>
          <w:rPr>
            <w:noProof/>
            <w:webHidden/>
          </w:rPr>
          <w:fldChar w:fldCharType="separate"/>
        </w:r>
        <w:r w:rsidR="0021078E">
          <w:rPr>
            <w:noProof/>
            <w:webHidden/>
          </w:rPr>
          <w:t>160</w:t>
        </w:r>
        <w:r>
          <w:rPr>
            <w:noProof/>
            <w:webHidden/>
          </w:rPr>
          <w:fldChar w:fldCharType="end"/>
        </w:r>
      </w:hyperlink>
    </w:p>
    <w:p w14:paraId="6C7339AB" w14:textId="022E5027" w:rsidR="00CD52F2" w:rsidRDefault="00CD52F2">
      <w:pPr>
        <w:pStyle w:val="TOC2"/>
        <w:rPr>
          <w:rFonts w:asciiTheme="minorHAnsi" w:eastAsiaTheme="minorEastAsia" w:hAnsiTheme="minorHAnsi" w:cstheme="minorBidi"/>
          <w:noProof/>
          <w:color w:val="auto"/>
          <w:sz w:val="22"/>
        </w:rPr>
      </w:pPr>
      <w:hyperlink w:anchor="_Toc82444410" w:history="1">
        <w:r w:rsidRPr="009B4CBF">
          <w:rPr>
            <w:rStyle w:val="Hyperlink"/>
            <w:noProof/>
          </w:rPr>
          <w:t>13.6</w:t>
        </w:r>
        <w:r>
          <w:rPr>
            <w:rFonts w:asciiTheme="minorHAnsi" w:eastAsiaTheme="minorEastAsia" w:hAnsiTheme="minorHAnsi" w:cstheme="minorBidi"/>
            <w:noProof/>
            <w:color w:val="auto"/>
            <w:sz w:val="22"/>
          </w:rPr>
          <w:tab/>
        </w:r>
        <w:r w:rsidRPr="009B4CBF">
          <w:rPr>
            <w:rStyle w:val="Hyperlink"/>
            <w:noProof/>
          </w:rPr>
          <w:t>Consent Process and Documentation</w:t>
        </w:r>
        <w:r>
          <w:rPr>
            <w:noProof/>
            <w:webHidden/>
          </w:rPr>
          <w:tab/>
        </w:r>
        <w:r>
          <w:rPr>
            <w:noProof/>
            <w:webHidden/>
          </w:rPr>
          <w:fldChar w:fldCharType="begin"/>
        </w:r>
        <w:r>
          <w:rPr>
            <w:noProof/>
            <w:webHidden/>
          </w:rPr>
          <w:instrText xml:space="preserve"> PAGEREF _Toc82444410 \h </w:instrText>
        </w:r>
        <w:r>
          <w:rPr>
            <w:noProof/>
            <w:webHidden/>
          </w:rPr>
        </w:r>
        <w:r>
          <w:rPr>
            <w:noProof/>
            <w:webHidden/>
          </w:rPr>
          <w:fldChar w:fldCharType="separate"/>
        </w:r>
        <w:r w:rsidR="0021078E">
          <w:rPr>
            <w:noProof/>
            <w:webHidden/>
          </w:rPr>
          <w:t>161</w:t>
        </w:r>
        <w:r>
          <w:rPr>
            <w:noProof/>
            <w:webHidden/>
          </w:rPr>
          <w:fldChar w:fldCharType="end"/>
        </w:r>
      </w:hyperlink>
    </w:p>
    <w:p w14:paraId="1B785002" w14:textId="49610C91" w:rsidR="00CD52F2" w:rsidRDefault="00CD52F2">
      <w:pPr>
        <w:pStyle w:val="TOC2"/>
        <w:rPr>
          <w:rFonts w:asciiTheme="minorHAnsi" w:eastAsiaTheme="minorEastAsia" w:hAnsiTheme="minorHAnsi" w:cstheme="minorBidi"/>
          <w:noProof/>
          <w:color w:val="auto"/>
          <w:sz w:val="22"/>
        </w:rPr>
      </w:pPr>
      <w:hyperlink w:anchor="_Toc82444411" w:history="1">
        <w:r w:rsidRPr="009B4CBF">
          <w:rPr>
            <w:rStyle w:val="Hyperlink"/>
            <w:noProof/>
          </w:rPr>
          <w:t>13.7</w:t>
        </w:r>
        <w:r>
          <w:rPr>
            <w:rFonts w:asciiTheme="minorHAnsi" w:eastAsiaTheme="minorEastAsia" w:hAnsiTheme="minorHAnsi" w:cstheme="minorBidi"/>
            <w:noProof/>
            <w:color w:val="auto"/>
            <w:sz w:val="22"/>
          </w:rPr>
          <w:tab/>
        </w:r>
        <w:r w:rsidRPr="009B4CBF">
          <w:rPr>
            <w:rStyle w:val="Hyperlink"/>
            <w:noProof/>
          </w:rPr>
          <w:t>Study Documentation</w:t>
        </w:r>
        <w:r>
          <w:rPr>
            <w:noProof/>
            <w:webHidden/>
          </w:rPr>
          <w:tab/>
        </w:r>
        <w:r>
          <w:rPr>
            <w:noProof/>
            <w:webHidden/>
          </w:rPr>
          <w:fldChar w:fldCharType="begin"/>
        </w:r>
        <w:r>
          <w:rPr>
            <w:noProof/>
            <w:webHidden/>
          </w:rPr>
          <w:instrText xml:space="preserve"> PAGEREF _Toc82444411 \h </w:instrText>
        </w:r>
        <w:r>
          <w:rPr>
            <w:noProof/>
            <w:webHidden/>
          </w:rPr>
        </w:r>
        <w:r>
          <w:rPr>
            <w:noProof/>
            <w:webHidden/>
          </w:rPr>
          <w:fldChar w:fldCharType="separate"/>
        </w:r>
        <w:r w:rsidR="0021078E">
          <w:rPr>
            <w:noProof/>
            <w:webHidden/>
          </w:rPr>
          <w:t>162</w:t>
        </w:r>
        <w:r>
          <w:rPr>
            <w:noProof/>
            <w:webHidden/>
          </w:rPr>
          <w:fldChar w:fldCharType="end"/>
        </w:r>
      </w:hyperlink>
    </w:p>
    <w:p w14:paraId="71A20C01" w14:textId="51CD7192" w:rsidR="00CD52F2" w:rsidRDefault="00CD52F2">
      <w:pPr>
        <w:pStyle w:val="TOC2"/>
        <w:rPr>
          <w:rFonts w:asciiTheme="minorHAnsi" w:eastAsiaTheme="minorEastAsia" w:hAnsiTheme="minorHAnsi" w:cstheme="minorBidi"/>
          <w:noProof/>
          <w:color w:val="auto"/>
          <w:sz w:val="22"/>
        </w:rPr>
      </w:pPr>
      <w:hyperlink w:anchor="_Toc82444412" w:history="1">
        <w:r w:rsidRPr="009B4CBF">
          <w:rPr>
            <w:rStyle w:val="Hyperlink"/>
            <w:noProof/>
          </w:rPr>
          <w:t>13.8</w:t>
        </w:r>
        <w:r>
          <w:rPr>
            <w:rFonts w:asciiTheme="minorHAnsi" w:eastAsiaTheme="minorEastAsia" w:hAnsiTheme="minorHAnsi" w:cstheme="minorBidi"/>
            <w:noProof/>
            <w:color w:val="auto"/>
            <w:sz w:val="22"/>
          </w:rPr>
          <w:tab/>
        </w:r>
        <w:r w:rsidRPr="009B4CBF">
          <w:rPr>
            <w:rStyle w:val="Hyperlink"/>
            <w:noProof/>
          </w:rPr>
          <w:t>Records Retention</w:t>
        </w:r>
        <w:r>
          <w:rPr>
            <w:noProof/>
            <w:webHidden/>
          </w:rPr>
          <w:tab/>
        </w:r>
        <w:r>
          <w:rPr>
            <w:noProof/>
            <w:webHidden/>
          </w:rPr>
          <w:fldChar w:fldCharType="begin"/>
        </w:r>
        <w:r>
          <w:rPr>
            <w:noProof/>
            <w:webHidden/>
          </w:rPr>
          <w:instrText xml:space="preserve"> PAGEREF _Toc82444412 \h </w:instrText>
        </w:r>
        <w:r>
          <w:rPr>
            <w:noProof/>
            <w:webHidden/>
          </w:rPr>
        </w:r>
        <w:r>
          <w:rPr>
            <w:noProof/>
            <w:webHidden/>
          </w:rPr>
          <w:fldChar w:fldCharType="separate"/>
        </w:r>
        <w:r w:rsidR="0021078E">
          <w:rPr>
            <w:noProof/>
            <w:webHidden/>
          </w:rPr>
          <w:t>162</w:t>
        </w:r>
        <w:r>
          <w:rPr>
            <w:noProof/>
            <w:webHidden/>
          </w:rPr>
          <w:fldChar w:fldCharType="end"/>
        </w:r>
      </w:hyperlink>
    </w:p>
    <w:p w14:paraId="70B373CD" w14:textId="542E53E4" w:rsidR="00CD52F2" w:rsidRDefault="00CD52F2">
      <w:pPr>
        <w:pStyle w:val="TOC1"/>
        <w:rPr>
          <w:rFonts w:asciiTheme="minorHAnsi" w:eastAsiaTheme="minorEastAsia" w:hAnsiTheme="minorHAnsi" w:cstheme="minorBidi"/>
          <w:caps w:val="0"/>
          <w:noProof/>
          <w:color w:val="auto"/>
          <w:sz w:val="22"/>
        </w:rPr>
      </w:pPr>
      <w:hyperlink w:anchor="_Toc82444413" w:history="1">
        <w:r w:rsidRPr="009B4CBF">
          <w:rPr>
            <w:rStyle w:val="Hyperlink"/>
            <w:noProof/>
          </w:rPr>
          <w:t>14</w:t>
        </w:r>
        <w:r>
          <w:rPr>
            <w:rFonts w:asciiTheme="minorHAnsi" w:eastAsiaTheme="minorEastAsia" w:hAnsiTheme="minorHAnsi" w:cstheme="minorBidi"/>
            <w:caps w:val="0"/>
            <w:noProof/>
            <w:color w:val="auto"/>
            <w:sz w:val="22"/>
          </w:rPr>
          <w:tab/>
        </w:r>
        <w:r w:rsidRPr="009B4CBF">
          <w:rPr>
            <w:rStyle w:val="Hyperlink"/>
            <w:noProof/>
          </w:rPr>
          <w:t>REGULATORY AND OPERATIONAL CONSIDERATIONS</w:t>
        </w:r>
        <w:r>
          <w:rPr>
            <w:noProof/>
            <w:webHidden/>
          </w:rPr>
          <w:tab/>
        </w:r>
        <w:r>
          <w:rPr>
            <w:noProof/>
            <w:webHidden/>
          </w:rPr>
          <w:fldChar w:fldCharType="begin"/>
        </w:r>
        <w:r>
          <w:rPr>
            <w:noProof/>
            <w:webHidden/>
          </w:rPr>
          <w:instrText xml:space="preserve"> PAGEREF _Toc82444413 \h </w:instrText>
        </w:r>
        <w:r>
          <w:rPr>
            <w:noProof/>
            <w:webHidden/>
          </w:rPr>
        </w:r>
        <w:r>
          <w:rPr>
            <w:noProof/>
            <w:webHidden/>
          </w:rPr>
          <w:fldChar w:fldCharType="separate"/>
        </w:r>
        <w:r w:rsidR="0021078E">
          <w:rPr>
            <w:noProof/>
            <w:webHidden/>
          </w:rPr>
          <w:t>163</w:t>
        </w:r>
        <w:r>
          <w:rPr>
            <w:noProof/>
            <w:webHidden/>
          </w:rPr>
          <w:fldChar w:fldCharType="end"/>
        </w:r>
      </w:hyperlink>
    </w:p>
    <w:p w14:paraId="2F6E7FFA" w14:textId="31AF2BCF" w:rsidR="00CD52F2" w:rsidRDefault="00CD52F2">
      <w:pPr>
        <w:pStyle w:val="TOC2"/>
        <w:rPr>
          <w:rFonts w:asciiTheme="minorHAnsi" w:eastAsiaTheme="minorEastAsia" w:hAnsiTheme="minorHAnsi" w:cstheme="minorBidi"/>
          <w:noProof/>
          <w:color w:val="auto"/>
          <w:sz w:val="22"/>
        </w:rPr>
      </w:pPr>
      <w:hyperlink w:anchor="_Toc82444414" w:history="1">
        <w:r w:rsidRPr="009B4CBF">
          <w:rPr>
            <w:rStyle w:val="Hyperlink"/>
            <w:noProof/>
          </w:rPr>
          <w:t>14.1</w:t>
        </w:r>
        <w:r>
          <w:rPr>
            <w:rFonts w:asciiTheme="minorHAnsi" w:eastAsiaTheme="minorEastAsia" w:hAnsiTheme="minorHAnsi" w:cstheme="minorBidi"/>
            <w:noProof/>
            <w:color w:val="auto"/>
            <w:sz w:val="22"/>
          </w:rPr>
          <w:tab/>
        </w:r>
        <w:r w:rsidRPr="009B4CBF">
          <w:rPr>
            <w:rStyle w:val="Hyperlink"/>
            <w:noProof/>
          </w:rPr>
          <w:t>STUDY DISCONTINUATION AND CLOSURE</w:t>
        </w:r>
        <w:r>
          <w:rPr>
            <w:noProof/>
            <w:webHidden/>
          </w:rPr>
          <w:tab/>
        </w:r>
        <w:r>
          <w:rPr>
            <w:noProof/>
            <w:webHidden/>
          </w:rPr>
          <w:fldChar w:fldCharType="begin"/>
        </w:r>
        <w:r>
          <w:rPr>
            <w:noProof/>
            <w:webHidden/>
          </w:rPr>
          <w:instrText xml:space="preserve"> PAGEREF _Toc82444414 \h </w:instrText>
        </w:r>
        <w:r>
          <w:rPr>
            <w:noProof/>
            <w:webHidden/>
          </w:rPr>
        </w:r>
        <w:r>
          <w:rPr>
            <w:noProof/>
            <w:webHidden/>
          </w:rPr>
          <w:fldChar w:fldCharType="separate"/>
        </w:r>
        <w:r w:rsidR="0021078E">
          <w:rPr>
            <w:noProof/>
            <w:webHidden/>
          </w:rPr>
          <w:t>163</w:t>
        </w:r>
        <w:r>
          <w:rPr>
            <w:noProof/>
            <w:webHidden/>
          </w:rPr>
          <w:fldChar w:fldCharType="end"/>
        </w:r>
      </w:hyperlink>
    </w:p>
    <w:p w14:paraId="3D306114" w14:textId="632747EE" w:rsidR="00CD52F2" w:rsidRDefault="00CD52F2">
      <w:pPr>
        <w:pStyle w:val="TOC2"/>
        <w:rPr>
          <w:rFonts w:asciiTheme="minorHAnsi" w:eastAsiaTheme="minorEastAsia" w:hAnsiTheme="minorHAnsi" w:cstheme="minorBidi"/>
          <w:noProof/>
          <w:color w:val="auto"/>
          <w:sz w:val="22"/>
        </w:rPr>
      </w:pPr>
      <w:hyperlink w:anchor="_Toc82444415" w:history="1">
        <w:r w:rsidRPr="009B4CBF">
          <w:rPr>
            <w:rStyle w:val="Hyperlink"/>
            <w:noProof/>
          </w:rPr>
          <w:t>14.2</w:t>
        </w:r>
        <w:r>
          <w:rPr>
            <w:rFonts w:asciiTheme="minorHAnsi" w:eastAsiaTheme="minorEastAsia" w:hAnsiTheme="minorHAnsi" w:cstheme="minorBidi"/>
            <w:noProof/>
            <w:color w:val="auto"/>
            <w:sz w:val="22"/>
          </w:rPr>
          <w:tab/>
        </w:r>
        <w:r w:rsidRPr="009B4CBF">
          <w:rPr>
            <w:rStyle w:val="Hyperlink"/>
            <w:noProof/>
          </w:rPr>
          <w:t>QUALITY ASSURANCE AND QUALITY CONTROL</w:t>
        </w:r>
        <w:r>
          <w:rPr>
            <w:noProof/>
            <w:webHidden/>
          </w:rPr>
          <w:tab/>
        </w:r>
        <w:r>
          <w:rPr>
            <w:noProof/>
            <w:webHidden/>
          </w:rPr>
          <w:fldChar w:fldCharType="begin"/>
        </w:r>
        <w:r>
          <w:rPr>
            <w:noProof/>
            <w:webHidden/>
          </w:rPr>
          <w:instrText xml:space="preserve"> PAGEREF _Toc82444415 \h </w:instrText>
        </w:r>
        <w:r>
          <w:rPr>
            <w:noProof/>
            <w:webHidden/>
          </w:rPr>
        </w:r>
        <w:r>
          <w:rPr>
            <w:noProof/>
            <w:webHidden/>
          </w:rPr>
          <w:fldChar w:fldCharType="separate"/>
        </w:r>
        <w:r w:rsidR="0021078E">
          <w:rPr>
            <w:noProof/>
            <w:webHidden/>
          </w:rPr>
          <w:t>163</w:t>
        </w:r>
        <w:r>
          <w:rPr>
            <w:noProof/>
            <w:webHidden/>
          </w:rPr>
          <w:fldChar w:fldCharType="end"/>
        </w:r>
      </w:hyperlink>
    </w:p>
    <w:p w14:paraId="04090C25" w14:textId="03BFB58F" w:rsidR="00CD52F2" w:rsidRDefault="00CD52F2">
      <w:pPr>
        <w:pStyle w:val="TOC2"/>
        <w:rPr>
          <w:rFonts w:asciiTheme="minorHAnsi" w:eastAsiaTheme="minorEastAsia" w:hAnsiTheme="minorHAnsi" w:cstheme="minorBidi"/>
          <w:noProof/>
          <w:color w:val="auto"/>
          <w:sz w:val="22"/>
        </w:rPr>
      </w:pPr>
      <w:hyperlink w:anchor="_Toc82444416" w:history="1">
        <w:r w:rsidRPr="009B4CBF">
          <w:rPr>
            <w:rStyle w:val="Hyperlink"/>
            <w:noProof/>
          </w:rPr>
          <w:t>14.3</w:t>
        </w:r>
        <w:r>
          <w:rPr>
            <w:rFonts w:asciiTheme="minorHAnsi" w:eastAsiaTheme="minorEastAsia" w:hAnsiTheme="minorHAnsi" w:cstheme="minorBidi"/>
            <w:noProof/>
            <w:color w:val="auto"/>
            <w:sz w:val="22"/>
          </w:rPr>
          <w:tab/>
        </w:r>
        <w:r w:rsidRPr="009B4CBF">
          <w:rPr>
            <w:rStyle w:val="Hyperlink"/>
            <w:noProof/>
          </w:rPr>
          <w:t>CONFLICT OF INTEREST POLICY</w:t>
        </w:r>
        <w:r>
          <w:rPr>
            <w:noProof/>
            <w:webHidden/>
          </w:rPr>
          <w:tab/>
        </w:r>
        <w:r>
          <w:rPr>
            <w:noProof/>
            <w:webHidden/>
          </w:rPr>
          <w:fldChar w:fldCharType="begin"/>
        </w:r>
        <w:r>
          <w:rPr>
            <w:noProof/>
            <w:webHidden/>
          </w:rPr>
          <w:instrText xml:space="preserve"> PAGEREF _Toc82444416 \h </w:instrText>
        </w:r>
        <w:r>
          <w:rPr>
            <w:noProof/>
            <w:webHidden/>
          </w:rPr>
        </w:r>
        <w:r>
          <w:rPr>
            <w:noProof/>
            <w:webHidden/>
          </w:rPr>
          <w:fldChar w:fldCharType="separate"/>
        </w:r>
        <w:r w:rsidR="0021078E">
          <w:rPr>
            <w:noProof/>
            <w:webHidden/>
          </w:rPr>
          <w:t>164</w:t>
        </w:r>
        <w:r>
          <w:rPr>
            <w:noProof/>
            <w:webHidden/>
          </w:rPr>
          <w:fldChar w:fldCharType="end"/>
        </w:r>
      </w:hyperlink>
    </w:p>
    <w:p w14:paraId="6A238CAE" w14:textId="0D69B772" w:rsidR="00CD52F2" w:rsidRDefault="00CD52F2">
      <w:pPr>
        <w:pStyle w:val="TOC2"/>
        <w:rPr>
          <w:rFonts w:asciiTheme="minorHAnsi" w:eastAsiaTheme="minorEastAsia" w:hAnsiTheme="minorHAnsi" w:cstheme="minorBidi"/>
          <w:noProof/>
          <w:color w:val="auto"/>
          <w:sz w:val="22"/>
        </w:rPr>
      </w:pPr>
      <w:hyperlink w:anchor="_Toc82444417" w:history="1">
        <w:r w:rsidRPr="009B4CBF">
          <w:rPr>
            <w:rStyle w:val="Hyperlink"/>
            <w:noProof/>
          </w:rPr>
          <w:t>14.4</w:t>
        </w:r>
        <w:r>
          <w:rPr>
            <w:rFonts w:asciiTheme="minorHAnsi" w:eastAsiaTheme="minorEastAsia" w:hAnsiTheme="minorHAnsi" w:cstheme="minorBidi"/>
            <w:noProof/>
            <w:color w:val="auto"/>
            <w:sz w:val="22"/>
          </w:rPr>
          <w:tab/>
        </w:r>
        <w:r w:rsidRPr="009B4CBF">
          <w:rPr>
            <w:rStyle w:val="Hyperlink"/>
            <w:noProof/>
          </w:rPr>
          <w:t>CONFIDENTIALITY AND PRIVACY</w:t>
        </w:r>
        <w:r>
          <w:rPr>
            <w:noProof/>
            <w:webHidden/>
          </w:rPr>
          <w:tab/>
        </w:r>
        <w:r>
          <w:rPr>
            <w:noProof/>
            <w:webHidden/>
          </w:rPr>
          <w:fldChar w:fldCharType="begin"/>
        </w:r>
        <w:r>
          <w:rPr>
            <w:noProof/>
            <w:webHidden/>
          </w:rPr>
          <w:instrText xml:space="preserve"> PAGEREF _Toc82444417 \h </w:instrText>
        </w:r>
        <w:r>
          <w:rPr>
            <w:noProof/>
            <w:webHidden/>
          </w:rPr>
        </w:r>
        <w:r>
          <w:rPr>
            <w:noProof/>
            <w:webHidden/>
          </w:rPr>
          <w:fldChar w:fldCharType="separate"/>
        </w:r>
        <w:r w:rsidR="0021078E">
          <w:rPr>
            <w:noProof/>
            <w:webHidden/>
          </w:rPr>
          <w:t>164</w:t>
        </w:r>
        <w:r>
          <w:rPr>
            <w:noProof/>
            <w:webHidden/>
          </w:rPr>
          <w:fldChar w:fldCharType="end"/>
        </w:r>
      </w:hyperlink>
    </w:p>
    <w:p w14:paraId="70D8D39D" w14:textId="7CCF5EE1" w:rsidR="00CD52F2" w:rsidRDefault="00CD52F2">
      <w:pPr>
        <w:pStyle w:val="TOC1"/>
        <w:rPr>
          <w:rFonts w:asciiTheme="minorHAnsi" w:eastAsiaTheme="minorEastAsia" w:hAnsiTheme="minorHAnsi" w:cstheme="minorBidi"/>
          <w:caps w:val="0"/>
          <w:noProof/>
          <w:color w:val="auto"/>
          <w:sz w:val="22"/>
        </w:rPr>
      </w:pPr>
      <w:hyperlink w:anchor="_Toc82444418" w:history="1">
        <w:r w:rsidRPr="009B4CBF">
          <w:rPr>
            <w:rStyle w:val="Hyperlink"/>
            <w:noProof/>
          </w:rPr>
          <w:t>15</w:t>
        </w:r>
        <w:r>
          <w:rPr>
            <w:rFonts w:asciiTheme="minorHAnsi" w:eastAsiaTheme="minorEastAsia" w:hAnsiTheme="minorHAnsi" w:cstheme="minorBidi"/>
            <w:caps w:val="0"/>
            <w:noProof/>
            <w:color w:val="auto"/>
            <w:sz w:val="22"/>
          </w:rPr>
          <w:tab/>
        </w:r>
        <w:r w:rsidRPr="009B4CBF">
          <w:rPr>
            <w:rStyle w:val="Hyperlink"/>
            <w:noProof/>
          </w:rPr>
          <w:t>PHARMACEUTICAL INFORMATION: DRUG Formulation and administration</w:t>
        </w:r>
        <w:r>
          <w:rPr>
            <w:noProof/>
            <w:webHidden/>
          </w:rPr>
          <w:tab/>
        </w:r>
        <w:r>
          <w:rPr>
            <w:noProof/>
            <w:webHidden/>
          </w:rPr>
          <w:fldChar w:fldCharType="begin"/>
        </w:r>
        <w:r>
          <w:rPr>
            <w:noProof/>
            <w:webHidden/>
          </w:rPr>
          <w:instrText xml:space="preserve"> PAGEREF _Toc82444418 \h </w:instrText>
        </w:r>
        <w:r>
          <w:rPr>
            <w:noProof/>
            <w:webHidden/>
          </w:rPr>
        </w:r>
        <w:r>
          <w:rPr>
            <w:noProof/>
            <w:webHidden/>
          </w:rPr>
          <w:fldChar w:fldCharType="separate"/>
        </w:r>
        <w:r w:rsidR="0021078E">
          <w:rPr>
            <w:noProof/>
            <w:webHidden/>
          </w:rPr>
          <w:t>165</w:t>
        </w:r>
        <w:r>
          <w:rPr>
            <w:noProof/>
            <w:webHidden/>
          </w:rPr>
          <w:fldChar w:fldCharType="end"/>
        </w:r>
      </w:hyperlink>
    </w:p>
    <w:p w14:paraId="493B1729" w14:textId="20541D49" w:rsidR="00CD52F2" w:rsidRDefault="00CD52F2">
      <w:pPr>
        <w:pStyle w:val="TOC2"/>
        <w:rPr>
          <w:rFonts w:asciiTheme="minorHAnsi" w:eastAsiaTheme="minorEastAsia" w:hAnsiTheme="minorHAnsi" w:cstheme="minorBidi"/>
          <w:noProof/>
          <w:color w:val="auto"/>
          <w:sz w:val="22"/>
        </w:rPr>
      </w:pPr>
      <w:hyperlink w:anchor="_Toc82444419" w:history="1">
        <w:r w:rsidRPr="009B4CBF">
          <w:rPr>
            <w:rStyle w:val="Hyperlink"/>
            <w:noProof/>
          </w:rPr>
          <w:t>15.1</w:t>
        </w:r>
        <w:r>
          <w:rPr>
            <w:rFonts w:asciiTheme="minorHAnsi" w:eastAsiaTheme="minorEastAsia" w:hAnsiTheme="minorHAnsi" w:cstheme="minorBidi"/>
            <w:noProof/>
            <w:color w:val="auto"/>
            <w:sz w:val="22"/>
          </w:rPr>
          <w:tab/>
        </w:r>
        <w:r w:rsidRPr="009B4CBF">
          <w:rPr>
            <w:rStyle w:val="Hyperlink"/>
            <w:noProof/>
          </w:rPr>
          <w:t>Durvalumab</w:t>
        </w:r>
        <w:r>
          <w:rPr>
            <w:noProof/>
            <w:webHidden/>
          </w:rPr>
          <w:tab/>
        </w:r>
        <w:r>
          <w:rPr>
            <w:noProof/>
            <w:webHidden/>
          </w:rPr>
          <w:fldChar w:fldCharType="begin"/>
        </w:r>
        <w:r>
          <w:rPr>
            <w:noProof/>
            <w:webHidden/>
          </w:rPr>
          <w:instrText xml:space="preserve"> PAGEREF _Toc82444419 \h </w:instrText>
        </w:r>
        <w:r>
          <w:rPr>
            <w:noProof/>
            <w:webHidden/>
          </w:rPr>
        </w:r>
        <w:r>
          <w:rPr>
            <w:noProof/>
            <w:webHidden/>
          </w:rPr>
          <w:fldChar w:fldCharType="separate"/>
        </w:r>
        <w:r w:rsidR="0021078E">
          <w:rPr>
            <w:noProof/>
            <w:webHidden/>
          </w:rPr>
          <w:t>165</w:t>
        </w:r>
        <w:r>
          <w:rPr>
            <w:noProof/>
            <w:webHidden/>
          </w:rPr>
          <w:fldChar w:fldCharType="end"/>
        </w:r>
      </w:hyperlink>
    </w:p>
    <w:p w14:paraId="7AF453BC" w14:textId="1890A936" w:rsidR="00CD52F2" w:rsidRDefault="00CD52F2">
      <w:pPr>
        <w:pStyle w:val="TOC2"/>
        <w:rPr>
          <w:rFonts w:asciiTheme="minorHAnsi" w:eastAsiaTheme="minorEastAsia" w:hAnsiTheme="minorHAnsi" w:cstheme="minorBidi"/>
          <w:noProof/>
          <w:color w:val="auto"/>
          <w:sz w:val="22"/>
        </w:rPr>
      </w:pPr>
      <w:hyperlink w:anchor="_Toc82444420" w:history="1">
        <w:r w:rsidRPr="009B4CBF">
          <w:rPr>
            <w:rStyle w:val="Hyperlink"/>
            <w:noProof/>
          </w:rPr>
          <w:t>15.2</w:t>
        </w:r>
        <w:r>
          <w:rPr>
            <w:rFonts w:asciiTheme="minorHAnsi" w:eastAsiaTheme="minorEastAsia" w:hAnsiTheme="minorHAnsi" w:cstheme="minorBidi"/>
            <w:noProof/>
            <w:color w:val="auto"/>
            <w:sz w:val="22"/>
          </w:rPr>
          <w:tab/>
        </w:r>
        <w:r w:rsidRPr="009B4CBF">
          <w:rPr>
            <w:rStyle w:val="Hyperlink"/>
            <w:noProof/>
          </w:rPr>
          <w:t>Olaparib</w:t>
        </w:r>
        <w:r>
          <w:rPr>
            <w:noProof/>
            <w:webHidden/>
          </w:rPr>
          <w:tab/>
        </w:r>
        <w:r>
          <w:rPr>
            <w:noProof/>
            <w:webHidden/>
          </w:rPr>
          <w:fldChar w:fldCharType="begin"/>
        </w:r>
        <w:r>
          <w:rPr>
            <w:noProof/>
            <w:webHidden/>
          </w:rPr>
          <w:instrText xml:space="preserve"> PAGEREF _Toc82444420 \h </w:instrText>
        </w:r>
        <w:r>
          <w:rPr>
            <w:noProof/>
            <w:webHidden/>
          </w:rPr>
        </w:r>
        <w:r>
          <w:rPr>
            <w:noProof/>
            <w:webHidden/>
          </w:rPr>
          <w:fldChar w:fldCharType="separate"/>
        </w:r>
        <w:r w:rsidR="0021078E">
          <w:rPr>
            <w:noProof/>
            <w:webHidden/>
          </w:rPr>
          <w:t>169</w:t>
        </w:r>
        <w:r>
          <w:rPr>
            <w:noProof/>
            <w:webHidden/>
          </w:rPr>
          <w:fldChar w:fldCharType="end"/>
        </w:r>
      </w:hyperlink>
    </w:p>
    <w:p w14:paraId="0A3D5D52" w14:textId="3481813F" w:rsidR="00CD52F2" w:rsidRDefault="00CD52F2">
      <w:pPr>
        <w:pStyle w:val="TOC2"/>
        <w:rPr>
          <w:rFonts w:asciiTheme="minorHAnsi" w:eastAsiaTheme="minorEastAsia" w:hAnsiTheme="minorHAnsi" w:cstheme="minorBidi"/>
          <w:noProof/>
          <w:color w:val="auto"/>
          <w:sz w:val="22"/>
        </w:rPr>
      </w:pPr>
      <w:hyperlink w:anchor="_Toc82444421" w:history="1">
        <w:r w:rsidRPr="009B4CBF">
          <w:rPr>
            <w:rStyle w:val="Hyperlink"/>
            <w:noProof/>
          </w:rPr>
          <w:t>15.3</w:t>
        </w:r>
        <w:r>
          <w:rPr>
            <w:rFonts w:asciiTheme="minorHAnsi" w:eastAsiaTheme="minorEastAsia" w:hAnsiTheme="minorHAnsi" w:cstheme="minorBidi"/>
            <w:noProof/>
            <w:color w:val="auto"/>
            <w:sz w:val="22"/>
          </w:rPr>
          <w:tab/>
        </w:r>
        <w:r w:rsidRPr="009B4CBF">
          <w:rPr>
            <w:rStyle w:val="Hyperlink"/>
            <w:noProof/>
          </w:rPr>
          <w:t>Cediranib</w:t>
        </w:r>
        <w:r>
          <w:rPr>
            <w:noProof/>
            <w:webHidden/>
          </w:rPr>
          <w:tab/>
        </w:r>
        <w:r>
          <w:rPr>
            <w:noProof/>
            <w:webHidden/>
          </w:rPr>
          <w:fldChar w:fldCharType="begin"/>
        </w:r>
        <w:r>
          <w:rPr>
            <w:noProof/>
            <w:webHidden/>
          </w:rPr>
          <w:instrText xml:space="preserve"> PAGEREF _Toc82444421 \h </w:instrText>
        </w:r>
        <w:r>
          <w:rPr>
            <w:noProof/>
            <w:webHidden/>
          </w:rPr>
        </w:r>
        <w:r>
          <w:rPr>
            <w:noProof/>
            <w:webHidden/>
          </w:rPr>
          <w:fldChar w:fldCharType="separate"/>
        </w:r>
        <w:r w:rsidR="0021078E">
          <w:rPr>
            <w:noProof/>
            <w:webHidden/>
          </w:rPr>
          <w:t>171</w:t>
        </w:r>
        <w:r>
          <w:rPr>
            <w:noProof/>
            <w:webHidden/>
          </w:rPr>
          <w:fldChar w:fldCharType="end"/>
        </w:r>
      </w:hyperlink>
    </w:p>
    <w:p w14:paraId="6F31B661" w14:textId="54545CD3" w:rsidR="00CD52F2" w:rsidRDefault="00CD52F2">
      <w:pPr>
        <w:pStyle w:val="TOC1"/>
        <w:rPr>
          <w:rFonts w:asciiTheme="minorHAnsi" w:eastAsiaTheme="minorEastAsia" w:hAnsiTheme="minorHAnsi" w:cstheme="minorBidi"/>
          <w:caps w:val="0"/>
          <w:noProof/>
          <w:color w:val="auto"/>
          <w:sz w:val="22"/>
        </w:rPr>
      </w:pPr>
      <w:hyperlink w:anchor="_Toc82444422" w:history="1">
        <w:r w:rsidRPr="009B4CBF">
          <w:rPr>
            <w:rStyle w:val="Hyperlink"/>
            <w:noProof/>
          </w:rPr>
          <w:t>16</w:t>
        </w:r>
        <w:r>
          <w:rPr>
            <w:rFonts w:asciiTheme="minorHAnsi" w:eastAsiaTheme="minorEastAsia" w:hAnsiTheme="minorHAnsi" w:cstheme="minorBidi"/>
            <w:caps w:val="0"/>
            <w:noProof/>
            <w:color w:val="auto"/>
            <w:sz w:val="22"/>
          </w:rPr>
          <w:tab/>
        </w:r>
        <w:r w:rsidRPr="009B4CBF">
          <w:rPr>
            <w:rStyle w:val="Hyperlink"/>
            <w:noProof/>
          </w:rPr>
          <w:t>REFERENCES</w:t>
        </w:r>
        <w:r>
          <w:rPr>
            <w:noProof/>
            <w:webHidden/>
          </w:rPr>
          <w:tab/>
        </w:r>
        <w:r>
          <w:rPr>
            <w:noProof/>
            <w:webHidden/>
          </w:rPr>
          <w:fldChar w:fldCharType="begin"/>
        </w:r>
        <w:r>
          <w:rPr>
            <w:noProof/>
            <w:webHidden/>
          </w:rPr>
          <w:instrText xml:space="preserve"> PAGEREF _Toc82444422 \h </w:instrText>
        </w:r>
        <w:r>
          <w:rPr>
            <w:noProof/>
            <w:webHidden/>
          </w:rPr>
        </w:r>
        <w:r>
          <w:rPr>
            <w:noProof/>
            <w:webHidden/>
          </w:rPr>
          <w:fldChar w:fldCharType="separate"/>
        </w:r>
        <w:r w:rsidR="0021078E">
          <w:rPr>
            <w:noProof/>
            <w:webHidden/>
          </w:rPr>
          <w:t>173</w:t>
        </w:r>
        <w:r>
          <w:rPr>
            <w:noProof/>
            <w:webHidden/>
          </w:rPr>
          <w:fldChar w:fldCharType="end"/>
        </w:r>
      </w:hyperlink>
    </w:p>
    <w:p w14:paraId="612E8BCA" w14:textId="35902F56" w:rsidR="00CD52F2" w:rsidRDefault="00CD52F2">
      <w:pPr>
        <w:pStyle w:val="TOC1"/>
        <w:rPr>
          <w:rFonts w:asciiTheme="minorHAnsi" w:eastAsiaTheme="minorEastAsia" w:hAnsiTheme="minorHAnsi" w:cstheme="minorBidi"/>
          <w:caps w:val="0"/>
          <w:noProof/>
          <w:color w:val="auto"/>
          <w:sz w:val="22"/>
        </w:rPr>
      </w:pPr>
      <w:hyperlink w:anchor="_Toc82444423" w:history="1">
        <w:r w:rsidRPr="009B4CBF">
          <w:rPr>
            <w:rStyle w:val="Hyperlink"/>
            <w:noProof/>
          </w:rPr>
          <w:t>17</w:t>
        </w:r>
        <w:r>
          <w:rPr>
            <w:rFonts w:asciiTheme="minorHAnsi" w:eastAsiaTheme="minorEastAsia" w:hAnsiTheme="minorHAnsi" w:cstheme="minorBidi"/>
            <w:caps w:val="0"/>
            <w:noProof/>
            <w:color w:val="auto"/>
            <w:sz w:val="22"/>
          </w:rPr>
          <w:tab/>
        </w:r>
        <w:r w:rsidRPr="009B4CBF">
          <w:rPr>
            <w:rStyle w:val="Hyperlink"/>
            <w:noProof/>
          </w:rPr>
          <w:t>APPENDICES</w:t>
        </w:r>
        <w:r>
          <w:rPr>
            <w:noProof/>
            <w:webHidden/>
          </w:rPr>
          <w:tab/>
        </w:r>
        <w:r>
          <w:rPr>
            <w:noProof/>
            <w:webHidden/>
          </w:rPr>
          <w:fldChar w:fldCharType="begin"/>
        </w:r>
        <w:r>
          <w:rPr>
            <w:noProof/>
            <w:webHidden/>
          </w:rPr>
          <w:instrText xml:space="preserve"> PAGEREF _Toc82444423 \h </w:instrText>
        </w:r>
        <w:r>
          <w:rPr>
            <w:noProof/>
            <w:webHidden/>
          </w:rPr>
        </w:r>
        <w:r>
          <w:rPr>
            <w:noProof/>
            <w:webHidden/>
          </w:rPr>
          <w:fldChar w:fldCharType="separate"/>
        </w:r>
        <w:r w:rsidR="0021078E">
          <w:rPr>
            <w:noProof/>
            <w:webHidden/>
          </w:rPr>
          <w:t>186</w:t>
        </w:r>
        <w:r>
          <w:rPr>
            <w:noProof/>
            <w:webHidden/>
          </w:rPr>
          <w:fldChar w:fldCharType="end"/>
        </w:r>
      </w:hyperlink>
    </w:p>
    <w:p w14:paraId="51B5BB98" w14:textId="54BC05B1" w:rsidR="00CD52F2" w:rsidRDefault="00CD52F2">
      <w:pPr>
        <w:pStyle w:val="TOC2"/>
        <w:rPr>
          <w:rFonts w:asciiTheme="minorHAnsi" w:eastAsiaTheme="minorEastAsia" w:hAnsiTheme="minorHAnsi" w:cstheme="minorBidi"/>
          <w:noProof/>
          <w:color w:val="auto"/>
          <w:sz w:val="22"/>
        </w:rPr>
      </w:pPr>
      <w:hyperlink w:anchor="_Toc82444424" w:history="1">
        <w:r w:rsidRPr="009B4CBF">
          <w:rPr>
            <w:rStyle w:val="Hyperlink"/>
            <w:noProof/>
          </w:rPr>
          <w:t>17.1</w:t>
        </w:r>
        <w:r>
          <w:rPr>
            <w:rFonts w:asciiTheme="minorHAnsi" w:eastAsiaTheme="minorEastAsia" w:hAnsiTheme="minorHAnsi" w:cstheme="minorBidi"/>
            <w:noProof/>
            <w:color w:val="auto"/>
            <w:sz w:val="22"/>
          </w:rPr>
          <w:tab/>
        </w:r>
        <w:r w:rsidRPr="009B4CBF">
          <w:rPr>
            <w:rStyle w:val="Hyperlink"/>
            <w:noProof/>
          </w:rPr>
          <w:t>Appendix A: Performance Status Criteria</w:t>
        </w:r>
        <w:r>
          <w:rPr>
            <w:noProof/>
            <w:webHidden/>
          </w:rPr>
          <w:tab/>
        </w:r>
        <w:r>
          <w:rPr>
            <w:noProof/>
            <w:webHidden/>
          </w:rPr>
          <w:fldChar w:fldCharType="begin"/>
        </w:r>
        <w:r>
          <w:rPr>
            <w:noProof/>
            <w:webHidden/>
          </w:rPr>
          <w:instrText xml:space="preserve"> PAGEREF _Toc82444424 \h </w:instrText>
        </w:r>
        <w:r>
          <w:rPr>
            <w:noProof/>
            <w:webHidden/>
          </w:rPr>
        </w:r>
        <w:r>
          <w:rPr>
            <w:noProof/>
            <w:webHidden/>
          </w:rPr>
          <w:fldChar w:fldCharType="separate"/>
        </w:r>
        <w:r w:rsidR="0021078E">
          <w:rPr>
            <w:noProof/>
            <w:webHidden/>
          </w:rPr>
          <w:t>186</w:t>
        </w:r>
        <w:r>
          <w:rPr>
            <w:noProof/>
            <w:webHidden/>
          </w:rPr>
          <w:fldChar w:fldCharType="end"/>
        </w:r>
      </w:hyperlink>
    </w:p>
    <w:p w14:paraId="43EA8FAF" w14:textId="6449F43B" w:rsidR="00CD52F2" w:rsidRDefault="00CD52F2">
      <w:pPr>
        <w:pStyle w:val="TOC2"/>
        <w:rPr>
          <w:rFonts w:asciiTheme="minorHAnsi" w:eastAsiaTheme="minorEastAsia" w:hAnsiTheme="minorHAnsi" w:cstheme="minorBidi"/>
          <w:noProof/>
          <w:color w:val="auto"/>
          <w:sz w:val="22"/>
        </w:rPr>
      </w:pPr>
      <w:hyperlink w:anchor="_Toc82444425" w:history="1">
        <w:r w:rsidRPr="009B4CBF">
          <w:rPr>
            <w:rStyle w:val="Hyperlink"/>
            <w:noProof/>
          </w:rPr>
          <w:t>17.2</w:t>
        </w:r>
        <w:r>
          <w:rPr>
            <w:rFonts w:asciiTheme="minorHAnsi" w:eastAsiaTheme="minorEastAsia" w:hAnsiTheme="minorHAnsi" w:cstheme="minorBidi"/>
            <w:noProof/>
            <w:color w:val="auto"/>
            <w:sz w:val="22"/>
          </w:rPr>
          <w:tab/>
        </w:r>
        <w:r w:rsidRPr="009B4CBF">
          <w:rPr>
            <w:rStyle w:val="Hyperlink"/>
            <w:noProof/>
          </w:rPr>
          <w:t>Appendix B: Inhibitors and Inducers of CYP3A4</w:t>
        </w:r>
        <w:r>
          <w:rPr>
            <w:noProof/>
            <w:webHidden/>
          </w:rPr>
          <w:tab/>
        </w:r>
        <w:r>
          <w:rPr>
            <w:noProof/>
            <w:webHidden/>
          </w:rPr>
          <w:fldChar w:fldCharType="begin"/>
        </w:r>
        <w:r>
          <w:rPr>
            <w:noProof/>
            <w:webHidden/>
          </w:rPr>
          <w:instrText xml:space="preserve"> PAGEREF _Toc82444425 \h </w:instrText>
        </w:r>
        <w:r>
          <w:rPr>
            <w:noProof/>
            <w:webHidden/>
          </w:rPr>
        </w:r>
        <w:r>
          <w:rPr>
            <w:noProof/>
            <w:webHidden/>
          </w:rPr>
          <w:fldChar w:fldCharType="separate"/>
        </w:r>
        <w:r w:rsidR="0021078E">
          <w:rPr>
            <w:noProof/>
            <w:webHidden/>
          </w:rPr>
          <w:t>187</w:t>
        </w:r>
        <w:r>
          <w:rPr>
            <w:noProof/>
            <w:webHidden/>
          </w:rPr>
          <w:fldChar w:fldCharType="end"/>
        </w:r>
      </w:hyperlink>
    </w:p>
    <w:p w14:paraId="189701C5" w14:textId="0E02E9A3" w:rsidR="00CD52F2" w:rsidRDefault="00CD52F2">
      <w:pPr>
        <w:pStyle w:val="TOC2"/>
        <w:rPr>
          <w:rFonts w:asciiTheme="minorHAnsi" w:eastAsiaTheme="minorEastAsia" w:hAnsiTheme="minorHAnsi" w:cstheme="minorBidi"/>
          <w:noProof/>
          <w:color w:val="auto"/>
          <w:sz w:val="22"/>
        </w:rPr>
      </w:pPr>
      <w:hyperlink w:anchor="_Toc82444426" w:history="1">
        <w:r w:rsidRPr="009B4CBF">
          <w:rPr>
            <w:rStyle w:val="Hyperlink"/>
            <w:noProof/>
          </w:rPr>
          <w:t>17.3</w:t>
        </w:r>
        <w:r>
          <w:rPr>
            <w:rFonts w:asciiTheme="minorHAnsi" w:eastAsiaTheme="minorEastAsia" w:hAnsiTheme="minorHAnsi" w:cstheme="minorBidi"/>
            <w:noProof/>
            <w:color w:val="auto"/>
            <w:sz w:val="22"/>
          </w:rPr>
          <w:tab/>
        </w:r>
        <w:r w:rsidRPr="009B4CBF">
          <w:rPr>
            <w:rStyle w:val="Hyperlink"/>
            <w:noProof/>
          </w:rPr>
          <w:t>Appendix C: Oral Medication Diary</w:t>
        </w:r>
        <w:r>
          <w:rPr>
            <w:noProof/>
            <w:webHidden/>
          </w:rPr>
          <w:tab/>
        </w:r>
        <w:r>
          <w:rPr>
            <w:noProof/>
            <w:webHidden/>
          </w:rPr>
          <w:fldChar w:fldCharType="begin"/>
        </w:r>
        <w:r>
          <w:rPr>
            <w:noProof/>
            <w:webHidden/>
          </w:rPr>
          <w:instrText xml:space="preserve"> PAGEREF _Toc82444426 \h </w:instrText>
        </w:r>
        <w:r>
          <w:rPr>
            <w:noProof/>
            <w:webHidden/>
          </w:rPr>
        </w:r>
        <w:r>
          <w:rPr>
            <w:noProof/>
            <w:webHidden/>
          </w:rPr>
          <w:fldChar w:fldCharType="separate"/>
        </w:r>
        <w:r w:rsidR="0021078E">
          <w:rPr>
            <w:noProof/>
            <w:webHidden/>
          </w:rPr>
          <w:t>191</w:t>
        </w:r>
        <w:r>
          <w:rPr>
            <w:noProof/>
            <w:webHidden/>
          </w:rPr>
          <w:fldChar w:fldCharType="end"/>
        </w:r>
      </w:hyperlink>
    </w:p>
    <w:p w14:paraId="742BAA32" w14:textId="7B3E401A" w:rsidR="00CD52F2" w:rsidRDefault="00CD52F2">
      <w:pPr>
        <w:pStyle w:val="TOC2"/>
        <w:rPr>
          <w:rFonts w:asciiTheme="minorHAnsi" w:eastAsiaTheme="minorEastAsia" w:hAnsiTheme="minorHAnsi" w:cstheme="minorBidi"/>
          <w:noProof/>
          <w:color w:val="auto"/>
          <w:sz w:val="22"/>
        </w:rPr>
      </w:pPr>
      <w:hyperlink w:anchor="_Toc82444427" w:history="1">
        <w:r w:rsidRPr="009B4CBF">
          <w:rPr>
            <w:rStyle w:val="Hyperlink"/>
            <w:noProof/>
          </w:rPr>
          <w:t>17.4</w:t>
        </w:r>
        <w:r>
          <w:rPr>
            <w:rFonts w:asciiTheme="minorHAnsi" w:eastAsiaTheme="minorEastAsia" w:hAnsiTheme="minorHAnsi" w:cstheme="minorBidi"/>
            <w:noProof/>
            <w:color w:val="auto"/>
            <w:sz w:val="22"/>
          </w:rPr>
          <w:tab/>
        </w:r>
        <w:r w:rsidRPr="009B4CBF">
          <w:rPr>
            <w:rStyle w:val="Hyperlink"/>
            <w:noProof/>
          </w:rPr>
          <w:t>Appendix D: Patient’s Blood Pressure Diary (Durvalumab+C or Durvalumab+O+C Arm only)</w:t>
        </w:r>
        <w:r>
          <w:rPr>
            <w:noProof/>
            <w:webHidden/>
          </w:rPr>
          <w:tab/>
        </w:r>
        <w:r>
          <w:rPr>
            <w:noProof/>
            <w:webHidden/>
          </w:rPr>
          <w:fldChar w:fldCharType="begin"/>
        </w:r>
        <w:r>
          <w:rPr>
            <w:noProof/>
            <w:webHidden/>
          </w:rPr>
          <w:instrText xml:space="preserve"> PAGEREF _Toc82444427 \h </w:instrText>
        </w:r>
        <w:r>
          <w:rPr>
            <w:noProof/>
            <w:webHidden/>
          </w:rPr>
        </w:r>
        <w:r>
          <w:rPr>
            <w:noProof/>
            <w:webHidden/>
          </w:rPr>
          <w:fldChar w:fldCharType="separate"/>
        </w:r>
        <w:r w:rsidR="0021078E">
          <w:rPr>
            <w:noProof/>
            <w:webHidden/>
          </w:rPr>
          <w:t>195</w:t>
        </w:r>
        <w:r>
          <w:rPr>
            <w:noProof/>
            <w:webHidden/>
          </w:rPr>
          <w:fldChar w:fldCharType="end"/>
        </w:r>
      </w:hyperlink>
    </w:p>
    <w:p w14:paraId="4A2D32E1" w14:textId="6BA66034" w:rsidR="00CD52F2" w:rsidRDefault="00CD52F2">
      <w:pPr>
        <w:pStyle w:val="TOC2"/>
        <w:rPr>
          <w:rFonts w:asciiTheme="minorHAnsi" w:eastAsiaTheme="minorEastAsia" w:hAnsiTheme="minorHAnsi" w:cstheme="minorBidi"/>
          <w:noProof/>
          <w:color w:val="auto"/>
          <w:sz w:val="22"/>
        </w:rPr>
      </w:pPr>
      <w:hyperlink w:anchor="_Toc82444428" w:history="1">
        <w:r w:rsidRPr="009B4CBF">
          <w:rPr>
            <w:rStyle w:val="Hyperlink"/>
            <w:noProof/>
          </w:rPr>
          <w:t>17.5</w:t>
        </w:r>
        <w:r>
          <w:rPr>
            <w:rFonts w:asciiTheme="minorHAnsi" w:eastAsiaTheme="minorEastAsia" w:hAnsiTheme="minorHAnsi" w:cstheme="minorBidi"/>
            <w:noProof/>
            <w:color w:val="auto"/>
            <w:sz w:val="22"/>
          </w:rPr>
          <w:tab/>
        </w:r>
        <w:r w:rsidRPr="009B4CBF">
          <w:rPr>
            <w:rStyle w:val="Hyperlink"/>
            <w:noProof/>
          </w:rPr>
          <w:t>Appendix E: Patient’s DIARRHEA Diary (ALL ARMS)</w:t>
        </w:r>
        <w:r>
          <w:rPr>
            <w:noProof/>
            <w:webHidden/>
          </w:rPr>
          <w:tab/>
        </w:r>
        <w:r>
          <w:rPr>
            <w:noProof/>
            <w:webHidden/>
          </w:rPr>
          <w:fldChar w:fldCharType="begin"/>
        </w:r>
        <w:r>
          <w:rPr>
            <w:noProof/>
            <w:webHidden/>
          </w:rPr>
          <w:instrText xml:space="preserve"> PAGEREF _Toc82444428 \h </w:instrText>
        </w:r>
        <w:r>
          <w:rPr>
            <w:noProof/>
            <w:webHidden/>
          </w:rPr>
        </w:r>
        <w:r>
          <w:rPr>
            <w:noProof/>
            <w:webHidden/>
          </w:rPr>
          <w:fldChar w:fldCharType="separate"/>
        </w:r>
        <w:r w:rsidR="0021078E">
          <w:rPr>
            <w:noProof/>
            <w:webHidden/>
          </w:rPr>
          <w:t>196</w:t>
        </w:r>
        <w:r>
          <w:rPr>
            <w:noProof/>
            <w:webHidden/>
          </w:rPr>
          <w:fldChar w:fldCharType="end"/>
        </w:r>
      </w:hyperlink>
    </w:p>
    <w:p w14:paraId="4305BF2D" w14:textId="0124F633" w:rsidR="00CD52F2" w:rsidRDefault="00CD52F2">
      <w:pPr>
        <w:pStyle w:val="TOC2"/>
        <w:rPr>
          <w:rFonts w:asciiTheme="minorHAnsi" w:eastAsiaTheme="minorEastAsia" w:hAnsiTheme="minorHAnsi" w:cstheme="minorBidi"/>
          <w:noProof/>
          <w:color w:val="auto"/>
          <w:sz w:val="22"/>
        </w:rPr>
      </w:pPr>
      <w:hyperlink w:anchor="_Toc82444429" w:history="1">
        <w:r w:rsidRPr="009B4CBF">
          <w:rPr>
            <w:rStyle w:val="Hyperlink"/>
            <w:noProof/>
          </w:rPr>
          <w:t>17.6</w:t>
        </w:r>
        <w:r>
          <w:rPr>
            <w:rFonts w:asciiTheme="minorHAnsi" w:eastAsiaTheme="minorEastAsia" w:hAnsiTheme="minorHAnsi" w:cstheme="minorBidi"/>
            <w:noProof/>
            <w:color w:val="auto"/>
            <w:sz w:val="22"/>
          </w:rPr>
          <w:tab/>
        </w:r>
        <w:r w:rsidRPr="009B4CBF">
          <w:rPr>
            <w:rStyle w:val="Hyperlink"/>
            <w:noProof/>
          </w:rPr>
          <w:t>Appendix F: Suggested Anti-hypertensive Medications, Starting Doses and Hepatic Metabolism</w:t>
        </w:r>
        <w:r>
          <w:rPr>
            <w:noProof/>
            <w:webHidden/>
          </w:rPr>
          <w:tab/>
        </w:r>
        <w:r>
          <w:rPr>
            <w:noProof/>
            <w:webHidden/>
          </w:rPr>
          <w:fldChar w:fldCharType="begin"/>
        </w:r>
        <w:r>
          <w:rPr>
            <w:noProof/>
            <w:webHidden/>
          </w:rPr>
          <w:instrText xml:space="preserve"> PAGEREF _Toc82444429 \h </w:instrText>
        </w:r>
        <w:r>
          <w:rPr>
            <w:noProof/>
            <w:webHidden/>
          </w:rPr>
        </w:r>
        <w:r>
          <w:rPr>
            <w:noProof/>
            <w:webHidden/>
          </w:rPr>
          <w:fldChar w:fldCharType="separate"/>
        </w:r>
        <w:r w:rsidR="0021078E">
          <w:rPr>
            <w:noProof/>
            <w:webHidden/>
          </w:rPr>
          <w:t>198</w:t>
        </w:r>
        <w:r>
          <w:rPr>
            <w:noProof/>
            <w:webHidden/>
          </w:rPr>
          <w:fldChar w:fldCharType="end"/>
        </w:r>
      </w:hyperlink>
    </w:p>
    <w:p w14:paraId="4E83E83B" w14:textId="2DF94EFF" w:rsidR="00CD52F2" w:rsidRDefault="00CD52F2">
      <w:pPr>
        <w:pStyle w:val="TOC2"/>
        <w:rPr>
          <w:rFonts w:asciiTheme="minorHAnsi" w:eastAsiaTheme="minorEastAsia" w:hAnsiTheme="minorHAnsi" w:cstheme="minorBidi"/>
          <w:noProof/>
          <w:color w:val="auto"/>
          <w:sz w:val="22"/>
        </w:rPr>
      </w:pPr>
      <w:hyperlink w:anchor="_Toc82444430" w:history="1">
        <w:r w:rsidRPr="009B4CBF">
          <w:rPr>
            <w:rStyle w:val="Hyperlink"/>
            <w:noProof/>
          </w:rPr>
          <w:t>17.7</w:t>
        </w:r>
        <w:r>
          <w:rPr>
            <w:rFonts w:asciiTheme="minorHAnsi" w:eastAsiaTheme="minorEastAsia" w:hAnsiTheme="minorHAnsi" w:cstheme="minorBidi"/>
            <w:noProof/>
            <w:color w:val="auto"/>
            <w:sz w:val="22"/>
          </w:rPr>
          <w:tab/>
        </w:r>
        <w:r w:rsidRPr="009B4CBF">
          <w:rPr>
            <w:rStyle w:val="Hyperlink"/>
            <w:noProof/>
          </w:rPr>
          <w:t>Appendix G: Lee Laboratory Standard Operating Procedure-Tissue Core Collection</w:t>
        </w:r>
        <w:r>
          <w:rPr>
            <w:noProof/>
            <w:webHidden/>
          </w:rPr>
          <w:tab/>
        </w:r>
        <w:r>
          <w:rPr>
            <w:noProof/>
            <w:webHidden/>
          </w:rPr>
          <w:fldChar w:fldCharType="begin"/>
        </w:r>
        <w:r>
          <w:rPr>
            <w:noProof/>
            <w:webHidden/>
          </w:rPr>
          <w:instrText xml:space="preserve"> PAGEREF _Toc82444430 \h </w:instrText>
        </w:r>
        <w:r>
          <w:rPr>
            <w:noProof/>
            <w:webHidden/>
          </w:rPr>
        </w:r>
        <w:r>
          <w:rPr>
            <w:noProof/>
            <w:webHidden/>
          </w:rPr>
          <w:fldChar w:fldCharType="separate"/>
        </w:r>
        <w:r w:rsidR="0021078E">
          <w:rPr>
            <w:noProof/>
            <w:webHidden/>
          </w:rPr>
          <w:t>201</w:t>
        </w:r>
        <w:r>
          <w:rPr>
            <w:noProof/>
            <w:webHidden/>
          </w:rPr>
          <w:fldChar w:fldCharType="end"/>
        </w:r>
      </w:hyperlink>
    </w:p>
    <w:p w14:paraId="3570F2D4" w14:textId="6A7E3FA1" w:rsidR="00CD52F2" w:rsidRDefault="00CD52F2">
      <w:pPr>
        <w:pStyle w:val="TOC2"/>
        <w:rPr>
          <w:rFonts w:asciiTheme="minorHAnsi" w:eastAsiaTheme="minorEastAsia" w:hAnsiTheme="minorHAnsi" w:cstheme="minorBidi"/>
          <w:noProof/>
          <w:color w:val="auto"/>
          <w:sz w:val="22"/>
        </w:rPr>
      </w:pPr>
      <w:hyperlink w:anchor="_Toc82444431" w:history="1">
        <w:r w:rsidRPr="009B4CBF">
          <w:rPr>
            <w:rStyle w:val="Hyperlink"/>
            <w:noProof/>
          </w:rPr>
          <w:t>17.8</w:t>
        </w:r>
        <w:r>
          <w:rPr>
            <w:rFonts w:asciiTheme="minorHAnsi" w:eastAsiaTheme="minorEastAsia" w:hAnsiTheme="minorHAnsi" w:cstheme="minorBidi"/>
            <w:noProof/>
            <w:color w:val="auto"/>
            <w:sz w:val="22"/>
          </w:rPr>
          <w:tab/>
        </w:r>
        <w:r w:rsidRPr="009B4CBF">
          <w:rPr>
            <w:rStyle w:val="Hyperlink"/>
            <w:noProof/>
          </w:rPr>
          <w:t>APPENDIX H: SOP FOR preserving a needle biopsy tissue in formalin for paraffin embedding</w:t>
        </w:r>
        <w:r>
          <w:rPr>
            <w:noProof/>
            <w:webHidden/>
          </w:rPr>
          <w:tab/>
        </w:r>
        <w:r>
          <w:rPr>
            <w:noProof/>
            <w:webHidden/>
          </w:rPr>
          <w:fldChar w:fldCharType="begin"/>
        </w:r>
        <w:r>
          <w:rPr>
            <w:noProof/>
            <w:webHidden/>
          </w:rPr>
          <w:instrText xml:space="preserve"> PAGEREF _Toc82444431 \h </w:instrText>
        </w:r>
        <w:r>
          <w:rPr>
            <w:noProof/>
            <w:webHidden/>
          </w:rPr>
        </w:r>
        <w:r>
          <w:rPr>
            <w:noProof/>
            <w:webHidden/>
          </w:rPr>
          <w:fldChar w:fldCharType="separate"/>
        </w:r>
        <w:r w:rsidR="0021078E">
          <w:rPr>
            <w:noProof/>
            <w:webHidden/>
          </w:rPr>
          <w:t>203</w:t>
        </w:r>
        <w:r>
          <w:rPr>
            <w:noProof/>
            <w:webHidden/>
          </w:rPr>
          <w:fldChar w:fldCharType="end"/>
        </w:r>
      </w:hyperlink>
    </w:p>
    <w:p w14:paraId="49208F39" w14:textId="4AB369BE" w:rsidR="00CD52F2" w:rsidRDefault="00CD52F2">
      <w:pPr>
        <w:pStyle w:val="TOC2"/>
        <w:rPr>
          <w:rFonts w:asciiTheme="minorHAnsi" w:eastAsiaTheme="minorEastAsia" w:hAnsiTheme="minorHAnsi" w:cstheme="minorBidi"/>
          <w:noProof/>
          <w:color w:val="auto"/>
          <w:sz w:val="22"/>
        </w:rPr>
      </w:pPr>
      <w:hyperlink w:anchor="_Toc82444432" w:history="1">
        <w:r w:rsidRPr="009B4CBF">
          <w:rPr>
            <w:rStyle w:val="Hyperlink"/>
            <w:noProof/>
          </w:rPr>
          <w:t>17.9</w:t>
        </w:r>
        <w:r>
          <w:rPr>
            <w:rFonts w:asciiTheme="minorHAnsi" w:eastAsiaTheme="minorEastAsia" w:hAnsiTheme="minorHAnsi" w:cstheme="minorBidi"/>
            <w:noProof/>
            <w:color w:val="auto"/>
            <w:sz w:val="22"/>
          </w:rPr>
          <w:tab/>
        </w:r>
        <w:r w:rsidRPr="009B4CBF">
          <w:rPr>
            <w:rStyle w:val="Hyperlink"/>
            <w:noProof/>
          </w:rPr>
          <w:t>APPENDIX I: METHOD FOR PREPARING PBMC SAMPLES FROM BLOOD FOR PHARMACODYNAMIC (PD) STUDIES</w:t>
        </w:r>
        <w:r>
          <w:rPr>
            <w:noProof/>
            <w:webHidden/>
          </w:rPr>
          <w:tab/>
        </w:r>
        <w:r>
          <w:rPr>
            <w:noProof/>
            <w:webHidden/>
          </w:rPr>
          <w:fldChar w:fldCharType="begin"/>
        </w:r>
        <w:r>
          <w:rPr>
            <w:noProof/>
            <w:webHidden/>
          </w:rPr>
          <w:instrText xml:space="preserve"> PAGEREF _Toc82444432 \h </w:instrText>
        </w:r>
        <w:r>
          <w:rPr>
            <w:noProof/>
            <w:webHidden/>
          </w:rPr>
        </w:r>
        <w:r>
          <w:rPr>
            <w:noProof/>
            <w:webHidden/>
          </w:rPr>
          <w:fldChar w:fldCharType="separate"/>
        </w:r>
        <w:r w:rsidR="0021078E">
          <w:rPr>
            <w:noProof/>
            <w:webHidden/>
          </w:rPr>
          <w:t>204</w:t>
        </w:r>
        <w:r>
          <w:rPr>
            <w:noProof/>
            <w:webHidden/>
          </w:rPr>
          <w:fldChar w:fldCharType="end"/>
        </w:r>
      </w:hyperlink>
    </w:p>
    <w:p w14:paraId="0123603E" w14:textId="0F09BC16" w:rsidR="00CD52F2" w:rsidRDefault="00CD52F2">
      <w:pPr>
        <w:pStyle w:val="TOC2"/>
        <w:tabs>
          <w:tab w:val="left" w:pos="1260"/>
        </w:tabs>
        <w:rPr>
          <w:rFonts w:asciiTheme="minorHAnsi" w:eastAsiaTheme="minorEastAsia" w:hAnsiTheme="minorHAnsi" w:cstheme="minorBidi"/>
          <w:noProof/>
          <w:color w:val="auto"/>
          <w:sz w:val="22"/>
        </w:rPr>
      </w:pPr>
      <w:hyperlink w:anchor="_Toc82444433" w:history="1">
        <w:r w:rsidRPr="009B4CBF">
          <w:rPr>
            <w:rStyle w:val="Hyperlink"/>
            <w:noProof/>
          </w:rPr>
          <w:t>17.10</w:t>
        </w:r>
        <w:r>
          <w:rPr>
            <w:rFonts w:asciiTheme="minorHAnsi" w:eastAsiaTheme="minorEastAsia" w:hAnsiTheme="minorHAnsi" w:cstheme="minorBidi"/>
            <w:noProof/>
            <w:color w:val="auto"/>
            <w:sz w:val="22"/>
          </w:rPr>
          <w:tab/>
        </w:r>
        <w:r w:rsidRPr="009B4CBF">
          <w:rPr>
            <w:rStyle w:val="Hyperlink"/>
            <w:noProof/>
          </w:rPr>
          <w:t>APPENDIX J: Durvalumab DOSE CALCULATIONS</w:t>
        </w:r>
        <w:r>
          <w:rPr>
            <w:noProof/>
            <w:webHidden/>
          </w:rPr>
          <w:tab/>
        </w:r>
        <w:r>
          <w:rPr>
            <w:noProof/>
            <w:webHidden/>
          </w:rPr>
          <w:fldChar w:fldCharType="begin"/>
        </w:r>
        <w:r>
          <w:rPr>
            <w:noProof/>
            <w:webHidden/>
          </w:rPr>
          <w:instrText xml:space="preserve"> PAGEREF _Toc82444433 \h </w:instrText>
        </w:r>
        <w:r>
          <w:rPr>
            <w:noProof/>
            <w:webHidden/>
          </w:rPr>
        </w:r>
        <w:r>
          <w:rPr>
            <w:noProof/>
            <w:webHidden/>
          </w:rPr>
          <w:fldChar w:fldCharType="separate"/>
        </w:r>
        <w:r w:rsidR="0021078E">
          <w:rPr>
            <w:noProof/>
            <w:webHidden/>
          </w:rPr>
          <w:t>206</w:t>
        </w:r>
        <w:r>
          <w:rPr>
            <w:noProof/>
            <w:webHidden/>
          </w:rPr>
          <w:fldChar w:fldCharType="end"/>
        </w:r>
      </w:hyperlink>
    </w:p>
    <w:p w14:paraId="452FD888" w14:textId="15DF423D" w:rsidR="00CD52F2" w:rsidRDefault="00CD52F2">
      <w:pPr>
        <w:pStyle w:val="TOC2"/>
        <w:tabs>
          <w:tab w:val="left" w:pos="1260"/>
        </w:tabs>
        <w:rPr>
          <w:rFonts w:asciiTheme="minorHAnsi" w:eastAsiaTheme="minorEastAsia" w:hAnsiTheme="minorHAnsi" w:cstheme="minorBidi"/>
          <w:noProof/>
          <w:color w:val="auto"/>
          <w:sz w:val="22"/>
        </w:rPr>
      </w:pPr>
      <w:hyperlink w:anchor="_Toc82444434" w:history="1">
        <w:r w:rsidRPr="009B4CBF">
          <w:rPr>
            <w:rStyle w:val="Hyperlink"/>
            <w:noProof/>
          </w:rPr>
          <w:t>17.11</w:t>
        </w:r>
        <w:r>
          <w:rPr>
            <w:rFonts w:asciiTheme="minorHAnsi" w:eastAsiaTheme="minorEastAsia" w:hAnsiTheme="minorHAnsi" w:cstheme="minorBidi"/>
            <w:noProof/>
            <w:color w:val="auto"/>
            <w:sz w:val="22"/>
          </w:rPr>
          <w:tab/>
        </w:r>
        <w:r w:rsidRPr="009B4CBF">
          <w:rPr>
            <w:rStyle w:val="Hyperlink"/>
            <w:noProof/>
          </w:rPr>
          <w:t>APPENDIX K:  Dosing Modification and Toxicity Management Guidelines (TMG) for Immune-Mediated, Infusion-Related, and Non-Immune–Mediated Reactions (Durvalumab Monotherapy or in Combination with other Products) Version 14 October 2020 (CTCAE v5.0)</w:t>
        </w:r>
        <w:r>
          <w:rPr>
            <w:noProof/>
            <w:webHidden/>
          </w:rPr>
          <w:tab/>
        </w:r>
        <w:r>
          <w:rPr>
            <w:noProof/>
            <w:webHidden/>
          </w:rPr>
          <w:fldChar w:fldCharType="begin"/>
        </w:r>
        <w:r>
          <w:rPr>
            <w:noProof/>
            <w:webHidden/>
          </w:rPr>
          <w:instrText xml:space="preserve"> PAGEREF _Toc82444434 \h </w:instrText>
        </w:r>
        <w:r>
          <w:rPr>
            <w:noProof/>
            <w:webHidden/>
          </w:rPr>
        </w:r>
        <w:r>
          <w:rPr>
            <w:noProof/>
            <w:webHidden/>
          </w:rPr>
          <w:fldChar w:fldCharType="separate"/>
        </w:r>
        <w:r w:rsidR="0021078E">
          <w:rPr>
            <w:noProof/>
            <w:webHidden/>
          </w:rPr>
          <w:t>207</w:t>
        </w:r>
        <w:r>
          <w:rPr>
            <w:noProof/>
            <w:webHidden/>
          </w:rPr>
          <w:fldChar w:fldCharType="end"/>
        </w:r>
      </w:hyperlink>
    </w:p>
    <w:p w14:paraId="0282D086" w14:textId="2CB95297" w:rsidR="00CE72AF" w:rsidRPr="007A3223" w:rsidRDefault="00864147" w:rsidP="00437B29">
      <w:r w:rsidRPr="007A3223">
        <w:rPr>
          <w:caps/>
          <w:szCs w:val="24"/>
        </w:rPr>
        <w:fldChar w:fldCharType="end"/>
      </w:r>
      <w:r w:rsidR="00511735" w:rsidRPr="007A3223">
        <w:rPr>
          <w:caps/>
          <w:szCs w:val="24"/>
        </w:rPr>
        <w:t xml:space="preserve"> </w:t>
      </w:r>
      <w:r w:rsidR="00D472E9" w:rsidRPr="00F33908">
        <w:br w:type="page"/>
      </w:r>
    </w:p>
    <w:p w14:paraId="6F865D9F" w14:textId="29C77578" w:rsidR="00800A5E" w:rsidRPr="007A3223" w:rsidRDefault="0096611E" w:rsidP="00325F91">
      <w:pPr>
        <w:pStyle w:val="Heading1"/>
        <w:numPr>
          <w:ilvl w:val="0"/>
          <w:numId w:val="0"/>
        </w:numPr>
        <w:ind w:left="432"/>
        <w:rPr>
          <w:rFonts w:hint="eastAsia"/>
        </w:rPr>
      </w:pPr>
      <w:bookmarkStart w:id="19" w:name="_Table_of_Tables"/>
      <w:bookmarkStart w:id="20" w:name="_Toc82444334"/>
      <w:bookmarkEnd w:id="19"/>
      <w:r w:rsidRPr="007A3223">
        <w:lastRenderedPageBreak/>
        <w:t>TABLE OF TABLES</w:t>
      </w:r>
      <w:bookmarkEnd w:id="20"/>
    </w:p>
    <w:p w14:paraId="4ECE8845" w14:textId="3F4204C7" w:rsidR="00A96BBA" w:rsidRDefault="00800A5E">
      <w:pPr>
        <w:pStyle w:val="TableofFigures"/>
        <w:tabs>
          <w:tab w:val="right" w:leader="dot" w:pos="9350"/>
        </w:tabs>
        <w:rPr>
          <w:rFonts w:asciiTheme="minorHAnsi" w:eastAsiaTheme="minorEastAsia" w:hAnsiTheme="minorHAnsi" w:cstheme="minorBidi"/>
          <w:b w:val="0"/>
          <w:noProof/>
          <w:sz w:val="22"/>
        </w:rPr>
      </w:pPr>
      <w:r w:rsidRPr="007A3223">
        <w:fldChar w:fldCharType="begin"/>
      </w:r>
      <w:r w:rsidRPr="007A3223">
        <w:instrText xml:space="preserve"> TOC \h \z \c "Table" </w:instrText>
      </w:r>
      <w:r w:rsidRPr="007A3223">
        <w:fldChar w:fldCharType="separate"/>
      </w:r>
      <w:hyperlink w:anchor="_Toc82444435" w:history="1">
        <w:r w:rsidR="00A96BBA" w:rsidRPr="00BF18CB">
          <w:rPr>
            <w:rStyle w:val="Hyperlink"/>
            <w:noProof/>
          </w:rPr>
          <w:t>Table 1. Durvalumab Monotherapy Clinical Studies (2015 IB)</w:t>
        </w:r>
        <w:r w:rsidR="00A96BBA">
          <w:rPr>
            <w:noProof/>
            <w:webHidden/>
          </w:rPr>
          <w:tab/>
        </w:r>
        <w:r w:rsidR="00A96BBA">
          <w:rPr>
            <w:noProof/>
            <w:webHidden/>
          </w:rPr>
          <w:fldChar w:fldCharType="begin"/>
        </w:r>
        <w:r w:rsidR="00A96BBA">
          <w:rPr>
            <w:noProof/>
            <w:webHidden/>
          </w:rPr>
          <w:instrText xml:space="preserve"> PAGEREF _Toc82444435 \h </w:instrText>
        </w:r>
        <w:r w:rsidR="00A96BBA">
          <w:rPr>
            <w:noProof/>
            <w:webHidden/>
          </w:rPr>
        </w:r>
        <w:r w:rsidR="00A96BBA">
          <w:rPr>
            <w:noProof/>
            <w:webHidden/>
          </w:rPr>
          <w:fldChar w:fldCharType="separate"/>
        </w:r>
        <w:r w:rsidR="0021078E">
          <w:rPr>
            <w:noProof/>
            <w:webHidden/>
          </w:rPr>
          <w:t>33</w:t>
        </w:r>
        <w:r w:rsidR="00A96BBA">
          <w:rPr>
            <w:noProof/>
            <w:webHidden/>
          </w:rPr>
          <w:fldChar w:fldCharType="end"/>
        </w:r>
      </w:hyperlink>
    </w:p>
    <w:p w14:paraId="644EA0EC" w14:textId="33C97FAE"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36" w:history="1">
        <w:r w:rsidRPr="00BF18CB">
          <w:rPr>
            <w:rStyle w:val="Hyperlink"/>
            <w:noProof/>
          </w:rPr>
          <w:t>Table 2. Durvalumab Combination Therapy Clinical Studies (2015 IB)*</w:t>
        </w:r>
        <w:r>
          <w:rPr>
            <w:noProof/>
            <w:webHidden/>
          </w:rPr>
          <w:tab/>
        </w:r>
        <w:r>
          <w:rPr>
            <w:noProof/>
            <w:webHidden/>
          </w:rPr>
          <w:fldChar w:fldCharType="begin"/>
        </w:r>
        <w:r>
          <w:rPr>
            <w:noProof/>
            <w:webHidden/>
          </w:rPr>
          <w:instrText xml:space="preserve"> PAGEREF _Toc82444436 \h </w:instrText>
        </w:r>
        <w:r>
          <w:rPr>
            <w:noProof/>
            <w:webHidden/>
          </w:rPr>
        </w:r>
        <w:r>
          <w:rPr>
            <w:noProof/>
            <w:webHidden/>
          </w:rPr>
          <w:fldChar w:fldCharType="separate"/>
        </w:r>
        <w:r w:rsidR="0021078E">
          <w:rPr>
            <w:noProof/>
            <w:webHidden/>
          </w:rPr>
          <w:t>34</w:t>
        </w:r>
        <w:r>
          <w:rPr>
            <w:noProof/>
            <w:webHidden/>
          </w:rPr>
          <w:fldChar w:fldCharType="end"/>
        </w:r>
      </w:hyperlink>
    </w:p>
    <w:p w14:paraId="3780601E" w14:textId="68DD7C7C"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37" w:history="1">
        <w:r w:rsidRPr="00BF18CB">
          <w:rPr>
            <w:rStyle w:val="Hyperlink"/>
            <w:noProof/>
          </w:rPr>
          <w:t>Table 3. Durvalumab PK parameters from the first and steady-state doses</w:t>
        </w:r>
        <w:r>
          <w:rPr>
            <w:noProof/>
            <w:webHidden/>
          </w:rPr>
          <w:tab/>
        </w:r>
        <w:r>
          <w:rPr>
            <w:noProof/>
            <w:webHidden/>
          </w:rPr>
          <w:fldChar w:fldCharType="begin"/>
        </w:r>
        <w:r>
          <w:rPr>
            <w:noProof/>
            <w:webHidden/>
          </w:rPr>
          <w:instrText xml:space="preserve"> PAGEREF _Toc82444437 \h </w:instrText>
        </w:r>
        <w:r>
          <w:rPr>
            <w:noProof/>
            <w:webHidden/>
          </w:rPr>
        </w:r>
        <w:r>
          <w:rPr>
            <w:noProof/>
            <w:webHidden/>
          </w:rPr>
          <w:fldChar w:fldCharType="separate"/>
        </w:r>
        <w:r w:rsidR="0021078E">
          <w:rPr>
            <w:noProof/>
            <w:webHidden/>
          </w:rPr>
          <w:t>37</w:t>
        </w:r>
        <w:r>
          <w:rPr>
            <w:noProof/>
            <w:webHidden/>
          </w:rPr>
          <w:fldChar w:fldCharType="end"/>
        </w:r>
      </w:hyperlink>
    </w:p>
    <w:p w14:paraId="52F42555" w14:textId="00099500"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38" w:history="1">
        <w:r w:rsidRPr="00BF18CB">
          <w:rPr>
            <w:rStyle w:val="Hyperlink"/>
            <w:noProof/>
          </w:rPr>
          <w:t>Table 4. MesoScaleDiscovery Panel of Chemokines and Cytokines</w:t>
        </w:r>
        <w:r>
          <w:rPr>
            <w:noProof/>
            <w:webHidden/>
          </w:rPr>
          <w:tab/>
        </w:r>
        <w:r>
          <w:rPr>
            <w:noProof/>
            <w:webHidden/>
          </w:rPr>
          <w:fldChar w:fldCharType="begin"/>
        </w:r>
        <w:r>
          <w:rPr>
            <w:noProof/>
            <w:webHidden/>
          </w:rPr>
          <w:instrText xml:space="preserve"> PAGEREF _Toc82444438 \h </w:instrText>
        </w:r>
        <w:r>
          <w:rPr>
            <w:noProof/>
            <w:webHidden/>
          </w:rPr>
        </w:r>
        <w:r>
          <w:rPr>
            <w:noProof/>
            <w:webHidden/>
          </w:rPr>
          <w:fldChar w:fldCharType="separate"/>
        </w:r>
        <w:r w:rsidR="0021078E">
          <w:rPr>
            <w:noProof/>
            <w:webHidden/>
          </w:rPr>
          <w:t>40</w:t>
        </w:r>
        <w:r>
          <w:rPr>
            <w:noProof/>
            <w:webHidden/>
          </w:rPr>
          <w:fldChar w:fldCharType="end"/>
        </w:r>
      </w:hyperlink>
    </w:p>
    <w:p w14:paraId="7B48FDD3" w14:textId="1759580C" w:rsidR="00A96BBA" w:rsidRDefault="00A96BBA">
      <w:pPr>
        <w:pStyle w:val="TableofFigures"/>
        <w:tabs>
          <w:tab w:val="left" w:pos="1260"/>
          <w:tab w:val="right" w:leader="dot" w:pos="9350"/>
        </w:tabs>
        <w:rPr>
          <w:rFonts w:asciiTheme="minorHAnsi" w:eastAsiaTheme="minorEastAsia" w:hAnsiTheme="minorHAnsi" w:cstheme="minorBidi"/>
          <w:b w:val="0"/>
          <w:noProof/>
          <w:sz w:val="22"/>
        </w:rPr>
      </w:pPr>
      <w:hyperlink w:anchor="_Toc82444439" w:history="1">
        <w:r w:rsidRPr="00BF18CB">
          <w:rPr>
            <w:rStyle w:val="Hyperlink"/>
            <w:noProof/>
          </w:rPr>
          <w:t xml:space="preserve">Table </w:t>
        </w:r>
        <w:r w:rsidRPr="00BF18CB">
          <w:rPr>
            <w:rStyle w:val="Hyperlink"/>
            <w:bCs/>
            <w:noProof/>
          </w:rPr>
          <w:t>5</w:t>
        </w:r>
        <w:r>
          <w:rPr>
            <w:rFonts w:asciiTheme="minorHAnsi" w:eastAsiaTheme="minorEastAsia" w:hAnsiTheme="minorHAnsi" w:cstheme="minorBidi"/>
            <w:b w:val="0"/>
            <w:noProof/>
            <w:sz w:val="22"/>
          </w:rPr>
          <w:tab/>
        </w:r>
        <w:r w:rsidRPr="00BF18CB">
          <w:rPr>
            <w:rStyle w:val="Hyperlink"/>
            <w:noProof/>
          </w:rPr>
          <w:t>Effective methods of contraception (two methods must be used)</w:t>
        </w:r>
        <w:r>
          <w:rPr>
            <w:noProof/>
            <w:webHidden/>
          </w:rPr>
          <w:tab/>
        </w:r>
        <w:r>
          <w:rPr>
            <w:noProof/>
            <w:webHidden/>
          </w:rPr>
          <w:fldChar w:fldCharType="begin"/>
        </w:r>
        <w:r>
          <w:rPr>
            <w:noProof/>
            <w:webHidden/>
          </w:rPr>
          <w:instrText xml:space="preserve"> PAGEREF _Toc82444439 \h </w:instrText>
        </w:r>
        <w:r>
          <w:rPr>
            <w:noProof/>
            <w:webHidden/>
          </w:rPr>
        </w:r>
        <w:r>
          <w:rPr>
            <w:noProof/>
            <w:webHidden/>
          </w:rPr>
          <w:fldChar w:fldCharType="separate"/>
        </w:r>
        <w:r w:rsidR="0021078E">
          <w:rPr>
            <w:noProof/>
            <w:webHidden/>
          </w:rPr>
          <w:t>74</w:t>
        </w:r>
        <w:r>
          <w:rPr>
            <w:noProof/>
            <w:webHidden/>
          </w:rPr>
          <w:fldChar w:fldCharType="end"/>
        </w:r>
      </w:hyperlink>
    </w:p>
    <w:p w14:paraId="3A3E8096" w14:textId="0BB9FBBE"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0" w:history="1">
        <w:r w:rsidRPr="00BF18CB">
          <w:rPr>
            <w:rStyle w:val="Hyperlink"/>
            <w:noProof/>
          </w:rPr>
          <w:t>Table 6. Durvalumab+O Dose Escalation Schedule</w:t>
        </w:r>
        <w:r>
          <w:rPr>
            <w:noProof/>
            <w:webHidden/>
          </w:rPr>
          <w:tab/>
        </w:r>
        <w:r>
          <w:rPr>
            <w:noProof/>
            <w:webHidden/>
          </w:rPr>
          <w:fldChar w:fldCharType="begin"/>
        </w:r>
        <w:r>
          <w:rPr>
            <w:noProof/>
            <w:webHidden/>
          </w:rPr>
          <w:instrText xml:space="preserve"> PAGEREF _Toc82444440 \h </w:instrText>
        </w:r>
        <w:r>
          <w:rPr>
            <w:noProof/>
            <w:webHidden/>
          </w:rPr>
        </w:r>
        <w:r>
          <w:rPr>
            <w:noProof/>
            <w:webHidden/>
          </w:rPr>
          <w:fldChar w:fldCharType="separate"/>
        </w:r>
        <w:r w:rsidR="0021078E">
          <w:rPr>
            <w:noProof/>
            <w:webHidden/>
          </w:rPr>
          <w:t>76</w:t>
        </w:r>
        <w:r>
          <w:rPr>
            <w:noProof/>
            <w:webHidden/>
          </w:rPr>
          <w:fldChar w:fldCharType="end"/>
        </w:r>
      </w:hyperlink>
    </w:p>
    <w:p w14:paraId="0AD7DAEE" w14:textId="614AA8A2"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1" w:history="1">
        <w:r w:rsidRPr="00BF18CB">
          <w:rPr>
            <w:rStyle w:val="Hyperlink"/>
            <w:noProof/>
          </w:rPr>
          <w:t>Table 7. Durvalumab-C Daily Schedule Dose Escalation Table</w:t>
        </w:r>
        <w:r>
          <w:rPr>
            <w:noProof/>
            <w:webHidden/>
          </w:rPr>
          <w:tab/>
        </w:r>
        <w:r>
          <w:rPr>
            <w:noProof/>
            <w:webHidden/>
          </w:rPr>
          <w:fldChar w:fldCharType="begin"/>
        </w:r>
        <w:r>
          <w:rPr>
            <w:noProof/>
            <w:webHidden/>
          </w:rPr>
          <w:instrText xml:space="preserve"> PAGEREF _Toc82444441 \h </w:instrText>
        </w:r>
        <w:r>
          <w:rPr>
            <w:noProof/>
            <w:webHidden/>
          </w:rPr>
        </w:r>
        <w:r>
          <w:rPr>
            <w:noProof/>
            <w:webHidden/>
          </w:rPr>
          <w:fldChar w:fldCharType="separate"/>
        </w:r>
        <w:r w:rsidR="0021078E">
          <w:rPr>
            <w:noProof/>
            <w:webHidden/>
          </w:rPr>
          <w:t>76</w:t>
        </w:r>
        <w:r>
          <w:rPr>
            <w:noProof/>
            <w:webHidden/>
          </w:rPr>
          <w:fldChar w:fldCharType="end"/>
        </w:r>
      </w:hyperlink>
    </w:p>
    <w:p w14:paraId="15F6872C" w14:textId="53E76186"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2" w:history="1">
        <w:r w:rsidRPr="00BF18CB">
          <w:rPr>
            <w:rStyle w:val="Hyperlink"/>
            <w:noProof/>
          </w:rPr>
          <w:t>Table 8. Durvalumab+C Intermittent Schedule Dose Escalation Table</w:t>
        </w:r>
        <w:r>
          <w:rPr>
            <w:noProof/>
            <w:webHidden/>
          </w:rPr>
          <w:tab/>
        </w:r>
        <w:r>
          <w:rPr>
            <w:noProof/>
            <w:webHidden/>
          </w:rPr>
          <w:fldChar w:fldCharType="begin"/>
        </w:r>
        <w:r>
          <w:rPr>
            <w:noProof/>
            <w:webHidden/>
          </w:rPr>
          <w:instrText xml:space="preserve"> PAGEREF _Toc82444442 \h </w:instrText>
        </w:r>
        <w:r>
          <w:rPr>
            <w:noProof/>
            <w:webHidden/>
          </w:rPr>
        </w:r>
        <w:r>
          <w:rPr>
            <w:noProof/>
            <w:webHidden/>
          </w:rPr>
          <w:fldChar w:fldCharType="separate"/>
        </w:r>
        <w:r w:rsidR="0021078E">
          <w:rPr>
            <w:noProof/>
            <w:webHidden/>
          </w:rPr>
          <w:t>77</w:t>
        </w:r>
        <w:r>
          <w:rPr>
            <w:noProof/>
            <w:webHidden/>
          </w:rPr>
          <w:fldChar w:fldCharType="end"/>
        </w:r>
      </w:hyperlink>
    </w:p>
    <w:p w14:paraId="2DAC6AFE" w14:textId="6D4B8C9F"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3" w:history="1">
        <w:r w:rsidRPr="00BF18CB">
          <w:rPr>
            <w:rStyle w:val="Hyperlink"/>
            <w:noProof/>
          </w:rPr>
          <w:t>Table 9. Durvalumab+O+C Dose Escalation Table</w:t>
        </w:r>
        <w:r>
          <w:rPr>
            <w:noProof/>
            <w:webHidden/>
          </w:rPr>
          <w:tab/>
        </w:r>
        <w:r>
          <w:rPr>
            <w:noProof/>
            <w:webHidden/>
          </w:rPr>
          <w:fldChar w:fldCharType="begin"/>
        </w:r>
        <w:r>
          <w:rPr>
            <w:noProof/>
            <w:webHidden/>
          </w:rPr>
          <w:instrText xml:space="preserve"> PAGEREF _Toc82444443 \h </w:instrText>
        </w:r>
        <w:r>
          <w:rPr>
            <w:noProof/>
            <w:webHidden/>
          </w:rPr>
        </w:r>
        <w:r>
          <w:rPr>
            <w:noProof/>
            <w:webHidden/>
          </w:rPr>
          <w:fldChar w:fldCharType="separate"/>
        </w:r>
        <w:r w:rsidR="0021078E">
          <w:rPr>
            <w:noProof/>
            <w:webHidden/>
          </w:rPr>
          <w:t>77</w:t>
        </w:r>
        <w:r>
          <w:rPr>
            <w:noProof/>
            <w:webHidden/>
          </w:rPr>
          <w:fldChar w:fldCharType="end"/>
        </w:r>
      </w:hyperlink>
    </w:p>
    <w:p w14:paraId="4A915B1A" w14:textId="780A7A10"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4" w:history="1">
        <w:r w:rsidRPr="00BF18CB">
          <w:rPr>
            <w:rStyle w:val="Hyperlink"/>
            <w:noProof/>
          </w:rPr>
          <w:t>Table 10. Dose Escalation Decisions</w:t>
        </w:r>
        <w:r>
          <w:rPr>
            <w:noProof/>
            <w:webHidden/>
          </w:rPr>
          <w:tab/>
        </w:r>
        <w:r>
          <w:rPr>
            <w:noProof/>
            <w:webHidden/>
          </w:rPr>
          <w:fldChar w:fldCharType="begin"/>
        </w:r>
        <w:r>
          <w:rPr>
            <w:noProof/>
            <w:webHidden/>
          </w:rPr>
          <w:instrText xml:space="preserve"> PAGEREF _Toc82444444 \h </w:instrText>
        </w:r>
        <w:r>
          <w:rPr>
            <w:noProof/>
            <w:webHidden/>
          </w:rPr>
        </w:r>
        <w:r>
          <w:rPr>
            <w:noProof/>
            <w:webHidden/>
          </w:rPr>
          <w:fldChar w:fldCharType="separate"/>
        </w:r>
        <w:r w:rsidR="0021078E">
          <w:rPr>
            <w:noProof/>
            <w:webHidden/>
          </w:rPr>
          <w:t>77</w:t>
        </w:r>
        <w:r>
          <w:rPr>
            <w:noProof/>
            <w:webHidden/>
          </w:rPr>
          <w:fldChar w:fldCharType="end"/>
        </w:r>
      </w:hyperlink>
    </w:p>
    <w:p w14:paraId="4560E390" w14:textId="39D071E4"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5" w:history="1">
        <w:r w:rsidRPr="00BF18CB">
          <w:rPr>
            <w:rStyle w:val="Hyperlink"/>
            <w:noProof/>
          </w:rPr>
          <w:t>Table 11. Management of Hematologic Adverse Events</w:t>
        </w:r>
        <w:r>
          <w:rPr>
            <w:noProof/>
            <w:webHidden/>
          </w:rPr>
          <w:tab/>
        </w:r>
        <w:r>
          <w:rPr>
            <w:noProof/>
            <w:webHidden/>
          </w:rPr>
          <w:fldChar w:fldCharType="begin"/>
        </w:r>
        <w:r>
          <w:rPr>
            <w:noProof/>
            <w:webHidden/>
          </w:rPr>
          <w:instrText xml:space="preserve"> PAGEREF _Toc82444445 \h </w:instrText>
        </w:r>
        <w:r>
          <w:rPr>
            <w:noProof/>
            <w:webHidden/>
          </w:rPr>
        </w:r>
        <w:r>
          <w:rPr>
            <w:noProof/>
            <w:webHidden/>
          </w:rPr>
          <w:fldChar w:fldCharType="separate"/>
        </w:r>
        <w:r w:rsidR="0021078E">
          <w:rPr>
            <w:noProof/>
            <w:webHidden/>
          </w:rPr>
          <w:t>83</w:t>
        </w:r>
        <w:r>
          <w:rPr>
            <w:noProof/>
            <w:webHidden/>
          </w:rPr>
          <w:fldChar w:fldCharType="end"/>
        </w:r>
      </w:hyperlink>
    </w:p>
    <w:p w14:paraId="3106F377" w14:textId="09FA608D"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6" w:history="1">
        <w:r w:rsidRPr="00BF18CB">
          <w:rPr>
            <w:rStyle w:val="Hyperlink"/>
            <w:noProof/>
          </w:rPr>
          <w:t>Table 12. General Management of Adverse Events (Non-Hematologic)</w:t>
        </w:r>
        <w:r>
          <w:rPr>
            <w:noProof/>
            <w:webHidden/>
          </w:rPr>
          <w:tab/>
        </w:r>
        <w:r>
          <w:rPr>
            <w:noProof/>
            <w:webHidden/>
          </w:rPr>
          <w:fldChar w:fldCharType="begin"/>
        </w:r>
        <w:r>
          <w:rPr>
            <w:noProof/>
            <w:webHidden/>
          </w:rPr>
          <w:instrText xml:space="preserve"> PAGEREF _Toc82444446 \h </w:instrText>
        </w:r>
        <w:r>
          <w:rPr>
            <w:noProof/>
            <w:webHidden/>
          </w:rPr>
        </w:r>
        <w:r>
          <w:rPr>
            <w:noProof/>
            <w:webHidden/>
          </w:rPr>
          <w:fldChar w:fldCharType="separate"/>
        </w:r>
        <w:r w:rsidR="0021078E">
          <w:rPr>
            <w:noProof/>
            <w:webHidden/>
          </w:rPr>
          <w:t>86</w:t>
        </w:r>
        <w:r>
          <w:rPr>
            <w:noProof/>
            <w:webHidden/>
          </w:rPr>
          <w:fldChar w:fldCharType="end"/>
        </w:r>
      </w:hyperlink>
    </w:p>
    <w:p w14:paraId="72B6E223" w14:textId="4A846705"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7" w:history="1">
        <w:r w:rsidRPr="00BF18CB">
          <w:rPr>
            <w:rStyle w:val="Hyperlink"/>
            <w:noProof/>
          </w:rPr>
          <w:t>Table 13: Hypertension Monitoring and Management</w:t>
        </w:r>
        <w:r>
          <w:rPr>
            <w:noProof/>
            <w:webHidden/>
          </w:rPr>
          <w:tab/>
        </w:r>
        <w:r>
          <w:rPr>
            <w:noProof/>
            <w:webHidden/>
          </w:rPr>
          <w:fldChar w:fldCharType="begin"/>
        </w:r>
        <w:r>
          <w:rPr>
            <w:noProof/>
            <w:webHidden/>
          </w:rPr>
          <w:instrText xml:space="preserve"> PAGEREF _Toc82444447 \h </w:instrText>
        </w:r>
        <w:r>
          <w:rPr>
            <w:noProof/>
            <w:webHidden/>
          </w:rPr>
        </w:r>
        <w:r>
          <w:rPr>
            <w:noProof/>
            <w:webHidden/>
          </w:rPr>
          <w:fldChar w:fldCharType="separate"/>
        </w:r>
        <w:r w:rsidR="0021078E">
          <w:rPr>
            <w:noProof/>
            <w:webHidden/>
          </w:rPr>
          <w:t>87</w:t>
        </w:r>
        <w:r>
          <w:rPr>
            <w:noProof/>
            <w:webHidden/>
          </w:rPr>
          <w:fldChar w:fldCharType="end"/>
        </w:r>
      </w:hyperlink>
    </w:p>
    <w:p w14:paraId="6D0E449C" w14:textId="0C73ADBC"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8" w:history="1">
        <w:r w:rsidRPr="00BF18CB">
          <w:rPr>
            <w:rStyle w:val="Hyperlink"/>
            <w:noProof/>
          </w:rPr>
          <w:t>Table 14.  Management and Monitoring of Decreased LVEF</w:t>
        </w:r>
        <w:r>
          <w:rPr>
            <w:noProof/>
            <w:webHidden/>
          </w:rPr>
          <w:tab/>
        </w:r>
        <w:r>
          <w:rPr>
            <w:noProof/>
            <w:webHidden/>
          </w:rPr>
          <w:fldChar w:fldCharType="begin"/>
        </w:r>
        <w:r>
          <w:rPr>
            <w:noProof/>
            <w:webHidden/>
          </w:rPr>
          <w:instrText xml:space="preserve"> PAGEREF _Toc82444448 \h </w:instrText>
        </w:r>
        <w:r>
          <w:rPr>
            <w:noProof/>
            <w:webHidden/>
          </w:rPr>
        </w:r>
        <w:r>
          <w:rPr>
            <w:noProof/>
            <w:webHidden/>
          </w:rPr>
          <w:fldChar w:fldCharType="separate"/>
        </w:r>
        <w:r w:rsidR="0021078E">
          <w:rPr>
            <w:noProof/>
            <w:webHidden/>
          </w:rPr>
          <w:t>90</w:t>
        </w:r>
        <w:r>
          <w:rPr>
            <w:noProof/>
            <w:webHidden/>
          </w:rPr>
          <w:fldChar w:fldCharType="end"/>
        </w:r>
      </w:hyperlink>
    </w:p>
    <w:p w14:paraId="576B0417" w14:textId="4D301881"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49" w:history="1">
        <w:r w:rsidRPr="00BF18CB">
          <w:rPr>
            <w:rStyle w:val="Hyperlink"/>
            <w:noProof/>
          </w:rPr>
          <w:t>Table 15. Management of Proteinuria</w:t>
        </w:r>
        <w:r>
          <w:rPr>
            <w:noProof/>
            <w:webHidden/>
          </w:rPr>
          <w:tab/>
        </w:r>
        <w:r>
          <w:rPr>
            <w:noProof/>
            <w:webHidden/>
          </w:rPr>
          <w:fldChar w:fldCharType="begin"/>
        </w:r>
        <w:r>
          <w:rPr>
            <w:noProof/>
            <w:webHidden/>
          </w:rPr>
          <w:instrText xml:space="preserve"> PAGEREF _Toc82444449 \h </w:instrText>
        </w:r>
        <w:r>
          <w:rPr>
            <w:noProof/>
            <w:webHidden/>
          </w:rPr>
        </w:r>
        <w:r>
          <w:rPr>
            <w:noProof/>
            <w:webHidden/>
          </w:rPr>
          <w:fldChar w:fldCharType="separate"/>
        </w:r>
        <w:r w:rsidR="0021078E">
          <w:rPr>
            <w:noProof/>
            <w:webHidden/>
          </w:rPr>
          <w:t>91</w:t>
        </w:r>
        <w:r>
          <w:rPr>
            <w:noProof/>
            <w:webHidden/>
          </w:rPr>
          <w:fldChar w:fldCharType="end"/>
        </w:r>
      </w:hyperlink>
    </w:p>
    <w:p w14:paraId="3F88C417" w14:textId="401C0517"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0" w:history="1">
        <w:r w:rsidRPr="00BF18CB">
          <w:rPr>
            <w:rStyle w:val="Hyperlink"/>
            <w:noProof/>
          </w:rPr>
          <w:t>Table 16. Management of Infusion-Related Reactions</w:t>
        </w:r>
        <w:r>
          <w:rPr>
            <w:noProof/>
            <w:webHidden/>
          </w:rPr>
          <w:tab/>
        </w:r>
        <w:r>
          <w:rPr>
            <w:noProof/>
            <w:webHidden/>
          </w:rPr>
          <w:fldChar w:fldCharType="begin"/>
        </w:r>
        <w:r>
          <w:rPr>
            <w:noProof/>
            <w:webHidden/>
          </w:rPr>
          <w:instrText xml:space="preserve"> PAGEREF _Toc82444450 \h </w:instrText>
        </w:r>
        <w:r>
          <w:rPr>
            <w:noProof/>
            <w:webHidden/>
          </w:rPr>
        </w:r>
        <w:r>
          <w:rPr>
            <w:noProof/>
            <w:webHidden/>
          </w:rPr>
          <w:fldChar w:fldCharType="separate"/>
        </w:r>
        <w:r w:rsidR="0021078E">
          <w:rPr>
            <w:noProof/>
            <w:webHidden/>
          </w:rPr>
          <w:t>93</w:t>
        </w:r>
        <w:r>
          <w:rPr>
            <w:noProof/>
            <w:webHidden/>
          </w:rPr>
          <w:fldChar w:fldCharType="end"/>
        </w:r>
      </w:hyperlink>
    </w:p>
    <w:p w14:paraId="7CD7891C" w14:textId="1BD93A43"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1" w:history="1">
        <w:r w:rsidRPr="00BF18CB">
          <w:rPr>
            <w:rStyle w:val="Hyperlink"/>
            <w:noProof/>
          </w:rPr>
          <w:t>Table 17. Immune-related Adverse Events (Overall Management)</w:t>
        </w:r>
        <w:r>
          <w:rPr>
            <w:noProof/>
            <w:webHidden/>
          </w:rPr>
          <w:tab/>
        </w:r>
        <w:r>
          <w:rPr>
            <w:noProof/>
            <w:webHidden/>
          </w:rPr>
          <w:fldChar w:fldCharType="begin"/>
        </w:r>
        <w:r>
          <w:rPr>
            <w:noProof/>
            <w:webHidden/>
          </w:rPr>
          <w:instrText xml:space="preserve"> PAGEREF _Toc82444451 \h </w:instrText>
        </w:r>
        <w:r>
          <w:rPr>
            <w:noProof/>
            <w:webHidden/>
          </w:rPr>
        </w:r>
        <w:r>
          <w:rPr>
            <w:noProof/>
            <w:webHidden/>
          </w:rPr>
          <w:fldChar w:fldCharType="separate"/>
        </w:r>
        <w:r w:rsidR="0021078E">
          <w:rPr>
            <w:noProof/>
            <w:webHidden/>
          </w:rPr>
          <w:t>94</w:t>
        </w:r>
        <w:r>
          <w:rPr>
            <w:noProof/>
            <w:webHidden/>
          </w:rPr>
          <w:fldChar w:fldCharType="end"/>
        </w:r>
      </w:hyperlink>
    </w:p>
    <w:p w14:paraId="73B3E071" w14:textId="56D76B58"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2" w:history="1">
        <w:r w:rsidRPr="00BF18CB">
          <w:rPr>
            <w:rStyle w:val="Hyperlink"/>
            <w:noProof/>
          </w:rPr>
          <w:t>Table 18. Pneumonitis/Interstitial Lung Disease (ILD)</w:t>
        </w:r>
        <w:r>
          <w:rPr>
            <w:noProof/>
            <w:webHidden/>
          </w:rPr>
          <w:tab/>
        </w:r>
        <w:r>
          <w:rPr>
            <w:noProof/>
            <w:webHidden/>
          </w:rPr>
          <w:fldChar w:fldCharType="begin"/>
        </w:r>
        <w:r>
          <w:rPr>
            <w:noProof/>
            <w:webHidden/>
          </w:rPr>
          <w:instrText xml:space="preserve"> PAGEREF _Toc82444452 \h </w:instrText>
        </w:r>
        <w:r>
          <w:rPr>
            <w:noProof/>
            <w:webHidden/>
          </w:rPr>
        </w:r>
        <w:r>
          <w:rPr>
            <w:noProof/>
            <w:webHidden/>
          </w:rPr>
          <w:fldChar w:fldCharType="separate"/>
        </w:r>
        <w:r w:rsidR="0021078E">
          <w:rPr>
            <w:noProof/>
            <w:webHidden/>
          </w:rPr>
          <w:t>95</w:t>
        </w:r>
        <w:r>
          <w:rPr>
            <w:noProof/>
            <w:webHidden/>
          </w:rPr>
          <w:fldChar w:fldCharType="end"/>
        </w:r>
      </w:hyperlink>
    </w:p>
    <w:p w14:paraId="56B65732" w14:textId="62CDB431"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3" w:history="1">
        <w:r w:rsidRPr="00BF18CB">
          <w:rPr>
            <w:rStyle w:val="Hyperlink"/>
            <w:noProof/>
          </w:rPr>
          <w:t>Table 19. Diarrhea and enterocolitis</w:t>
        </w:r>
        <w:r>
          <w:rPr>
            <w:noProof/>
            <w:webHidden/>
          </w:rPr>
          <w:tab/>
        </w:r>
        <w:r>
          <w:rPr>
            <w:noProof/>
            <w:webHidden/>
          </w:rPr>
          <w:fldChar w:fldCharType="begin"/>
        </w:r>
        <w:r>
          <w:rPr>
            <w:noProof/>
            <w:webHidden/>
          </w:rPr>
          <w:instrText xml:space="preserve"> PAGEREF _Toc82444453 \h </w:instrText>
        </w:r>
        <w:r>
          <w:rPr>
            <w:noProof/>
            <w:webHidden/>
          </w:rPr>
        </w:r>
        <w:r>
          <w:rPr>
            <w:noProof/>
            <w:webHidden/>
          </w:rPr>
          <w:fldChar w:fldCharType="separate"/>
        </w:r>
        <w:r w:rsidR="0021078E">
          <w:rPr>
            <w:noProof/>
            <w:webHidden/>
          </w:rPr>
          <w:t>97</w:t>
        </w:r>
        <w:r>
          <w:rPr>
            <w:noProof/>
            <w:webHidden/>
          </w:rPr>
          <w:fldChar w:fldCharType="end"/>
        </w:r>
      </w:hyperlink>
    </w:p>
    <w:p w14:paraId="2C3BF4A7" w14:textId="3140E28F"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4" w:history="1">
        <w:r w:rsidRPr="00BF18CB">
          <w:rPr>
            <w:rStyle w:val="Hyperlink"/>
            <w:noProof/>
          </w:rPr>
          <w:t>Table 20</w:t>
        </w:r>
        <w:r w:rsidRPr="00BF18CB">
          <w:rPr>
            <w:rStyle w:val="Hyperlink"/>
            <w:rFonts w:ascii="Times" w:hAnsi="Times"/>
            <w:noProof/>
          </w:rPr>
          <w:t>. Hepatitis (Elevated LFTs)</w:t>
        </w:r>
        <w:r>
          <w:rPr>
            <w:noProof/>
            <w:webHidden/>
          </w:rPr>
          <w:tab/>
        </w:r>
        <w:r>
          <w:rPr>
            <w:noProof/>
            <w:webHidden/>
          </w:rPr>
          <w:fldChar w:fldCharType="begin"/>
        </w:r>
        <w:r>
          <w:rPr>
            <w:noProof/>
            <w:webHidden/>
          </w:rPr>
          <w:instrText xml:space="preserve"> PAGEREF _Toc82444454 \h </w:instrText>
        </w:r>
        <w:r>
          <w:rPr>
            <w:noProof/>
            <w:webHidden/>
          </w:rPr>
        </w:r>
        <w:r>
          <w:rPr>
            <w:noProof/>
            <w:webHidden/>
          </w:rPr>
          <w:fldChar w:fldCharType="separate"/>
        </w:r>
        <w:r w:rsidR="0021078E">
          <w:rPr>
            <w:noProof/>
            <w:webHidden/>
          </w:rPr>
          <w:t>99</w:t>
        </w:r>
        <w:r>
          <w:rPr>
            <w:noProof/>
            <w:webHidden/>
          </w:rPr>
          <w:fldChar w:fldCharType="end"/>
        </w:r>
      </w:hyperlink>
    </w:p>
    <w:p w14:paraId="13257C31" w14:textId="3A28BFC4"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5" w:history="1">
        <w:r w:rsidRPr="00BF18CB">
          <w:rPr>
            <w:rStyle w:val="Hyperlink"/>
            <w:noProof/>
          </w:rPr>
          <w:t>Table 21</w:t>
        </w:r>
        <w:r w:rsidRPr="00BF18CB">
          <w:rPr>
            <w:rStyle w:val="Hyperlink"/>
            <w:rFonts w:ascii="Times" w:hAnsi="Times"/>
            <w:noProof/>
          </w:rPr>
          <w:t>. Rash (excluding Bullous skin formations)</w:t>
        </w:r>
        <w:r>
          <w:rPr>
            <w:noProof/>
            <w:webHidden/>
          </w:rPr>
          <w:tab/>
        </w:r>
        <w:r>
          <w:rPr>
            <w:noProof/>
            <w:webHidden/>
          </w:rPr>
          <w:fldChar w:fldCharType="begin"/>
        </w:r>
        <w:r>
          <w:rPr>
            <w:noProof/>
            <w:webHidden/>
          </w:rPr>
          <w:instrText xml:space="preserve"> PAGEREF _Toc82444455 \h </w:instrText>
        </w:r>
        <w:r>
          <w:rPr>
            <w:noProof/>
            <w:webHidden/>
          </w:rPr>
        </w:r>
        <w:r>
          <w:rPr>
            <w:noProof/>
            <w:webHidden/>
          </w:rPr>
          <w:fldChar w:fldCharType="separate"/>
        </w:r>
        <w:r w:rsidR="0021078E">
          <w:rPr>
            <w:noProof/>
            <w:webHidden/>
          </w:rPr>
          <w:t>101</w:t>
        </w:r>
        <w:r>
          <w:rPr>
            <w:noProof/>
            <w:webHidden/>
          </w:rPr>
          <w:fldChar w:fldCharType="end"/>
        </w:r>
      </w:hyperlink>
    </w:p>
    <w:p w14:paraId="201A2F41" w14:textId="7F911002"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6" w:history="1">
        <w:r w:rsidRPr="00BF18CB">
          <w:rPr>
            <w:rStyle w:val="Hyperlink"/>
            <w:noProof/>
          </w:rPr>
          <w:t>Table 22</w:t>
        </w:r>
        <w:r w:rsidRPr="00BF18CB">
          <w:rPr>
            <w:rStyle w:val="Hyperlink"/>
            <w:rFonts w:ascii="Times" w:hAnsi="Times"/>
            <w:noProof/>
          </w:rPr>
          <w:t>. Endocrinopathy (e.g., hyperthyroidism, hypothyroidism, hypopituitarism, adrenal insufficiency, etc.)</w:t>
        </w:r>
        <w:r>
          <w:rPr>
            <w:noProof/>
            <w:webHidden/>
          </w:rPr>
          <w:tab/>
        </w:r>
        <w:r>
          <w:rPr>
            <w:noProof/>
            <w:webHidden/>
          </w:rPr>
          <w:fldChar w:fldCharType="begin"/>
        </w:r>
        <w:r>
          <w:rPr>
            <w:noProof/>
            <w:webHidden/>
          </w:rPr>
          <w:instrText xml:space="preserve"> PAGEREF _Toc82444456 \h </w:instrText>
        </w:r>
        <w:r>
          <w:rPr>
            <w:noProof/>
            <w:webHidden/>
          </w:rPr>
        </w:r>
        <w:r>
          <w:rPr>
            <w:noProof/>
            <w:webHidden/>
          </w:rPr>
          <w:fldChar w:fldCharType="separate"/>
        </w:r>
        <w:r w:rsidR="0021078E">
          <w:rPr>
            <w:noProof/>
            <w:webHidden/>
          </w:rPr>
          <w:t>103</w:t>
        </w:r>
        <w:r>
          <w:rPr>
            <w:noProof/>
            <w:webHidden/>
          </w:rPr>
          <w:fldChar w:fldCharType="end"/>
        </w:r>
      </w:hyperlink>
    </w:p>
    <w:p w14:paraId="2793A715" w14:textId="180E7EB7"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7" w:history="1">
        <w:r w:rsidRPr="00BF18CB">
          <w:rPr>
            <w:rStyle w:val="Hyperlink"/>
            <w:noProof/>
          </w:rPr>
          <w:t>Table 23</w:t>
        </w:r>
        <w:r w:rsidRPr="00BF18CB">
          <w:rPr>
            <w:rStyle w:val="Hyperlink"/>
            <w:rFonts w:ascii="Times" w:hAnsi="Times"/>
            <w:noProof/>
          </w:rPr>
          <w:t>. Immune mediated Neurotoxicity (except Myasthenia Gravis and Guillain-Barré)</w:t>
        </w:r>
        <w:r>
          <w:rPr>
            <w:noProof/>
            <w:webHidden/>
          </w:rPr>
          <w:tab/>
        </w:r>
        <w:r>
          <w:rPr>
            <w:noProof/>
            <w:webHidden/>
          </w:rPr>
          <w:fldChar w:fldCharType="begin"/>
        </w:r>
        <w:r>
          <w:rPr>
            <w:noProof/>
            <w:webHidden/>
          </w:rPr>
          <w:instrText xml:space="preserve"> PAGEREF _Toc82444457 \h </w:instrText>
        </w:r>
        <w:r>
          <w:rPr>
            <w:noProof/>
            <w:webHidden/>
          </w:rPr>
        </w:r>
        <w:r>
          <w:rPr>
            <w:noProof/>
            <w:webHidden/>
          </w:rPr>
          <w:fldChar w:fldCharType="separate"/>
        </w:r>
        <w:r w:rsidR="0021078E">
          <w:rPr>
            <w:noProof/>
            <w:webHidden/>
          </w:rPr>
          <w:t>105</w:t>
        </w:r>
        <w:r>
          <w:rPr>
            <w:noProof/>
            <w:webHidden/>
          </w:rPr>
          <w:fldChar w:fldCharType="end"/>
        </w:r>
      </w:hyperlink>
    </w:p>
    <w:p w14:paraId="667D9BA1" w14:textId="04FC82BC"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8" w:history="1">
        <w:r w:rsidRPr="00BF18CB">
          <w:rPr>
            <w:rStyle w:val="Hyperlink"/>
            <w:noProof/>
          </w:rPr>
          <w:t>Table 24</w:t>
        </w:r>
        <w:r w:rsidRPr="00BF18CB">
          <w:rPr>
            <w:rStyle w:val="Hyperlink"/>
            <w:rFonts w:ascii="Times" w:hAnsi="Times"/>
            <w:noProof/>
          </w:rPr>
          <w:t>. Immune-mediated peripheral neuromotor syndromes, such as Guillain-Barre and Myasthenia Gravis</w:t>
        </w:r>
        <w:r>
          <w:rPr>
            <w:noProof/>
            <w:webHidden/>
          </w:rPr>
          <w:tab/>
        </w:r>
        <w:r>
          <w:rPr>
            <w:noProof/>
            <w:webHidden/>
          </w:rPr>
          <w:fldChar w:fldCharType="begin"/>
        </w:r>
        <w:r>
          <w:rPr>
            <w:noProof/>
            <w:webHidden/>
          </w:rPr>
          <w:instrText xml:space="preserve"> PAGEREF _Toc82444458 \h </w:instrText>
        </w:r>
        <w:r>
          <w:rPr>
            <w:noProof/>
            <w:webHidden/>
          </w:rPr>
        </w:r>
        <w:r>
          <w:rPr>
            <w:noProof/>
            <w:webHidden/>
          </w:rPr>
          <w:fldChar w:fldCharType="separate"/>
        </w:r>
        <w:r w:rsidR="0021078E">
          <w:rPr>
            <w:noProof/>
            <w:webHidden/>
          </w:rPr>
          <w:t>106</w:t>
        </w:r>
        <w:r>
          <w:rPr>
            <w:noProof/>
            <w:webHidden/>
          </w:rPr>
          <w:fldChar w:fldCharType="end"/>
        </w:r>
      </w:hyperlink>
    </w:p>
    <w:p w14:paraId="7BC868DE" w14:textId="5B853331"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59" w:history="1">
        <w:r w:rsidRPr="00BF18CB">
          <w:rPr>
            <w:rStyle w:val="Hyperlink"/>
            <w:noProof/>
          </w:rPr>
          <w:t>Table 25. Correlative studies for Phase II Ovarian cancer cohort 1</w:t>
        </w:r>
        <w:r>
          <w:rPr>
            <w:noProof/>
            <w:webHidden/>
          </w:rPr>
          <w:tab/>
        </w:r>
        <w:r>
          <w:rPr>
            <w:noProof/>
            <w:webHidden/>
          </w:rPr>
          <w:fldChar w:fldCharType="begin"/>
        </w:r>
        <w:r>
          <w:rPr>
            <w:noProof/>
            <w:webHidden/>
          </w:rPr>
          <w:instrText xml:space="preserve"> PAGEREF _Toc82444459 \h </w:instrText>
        </w:r>
        <w:r>
          <w:rPr>
            <w:noProof/>
            <w:webHidden/>
          </w:rPr>
        </w:r>
        <w:r>
          <w:rPr>
            <w:noProof/>
            <w:webHidden/>
          </w:rPr>
          <w:fldChar w:fldCharType="separate"/>
        </w:r>
        <w:r w:rsidR="0021078E">
          <w:rPr>
            <w:noProof/>
            <w:webHidden/>
          </w:rPr>
          <w:t>118</w:t>
        </w:r>
        <w:r>
          <w:rPr>
            <w:noProof/>
            <w:webHidden/>
          </w:rPr>
          <w:fldChar w:fldCharType="end"/>
        </w:r>
      </w:hyperlink>
    </w:p>
    <w:p w14:paraId="526C16BE" w14:textId="3053795F"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60" w:history="1">
        <w:r w:rsidRPr="00BF18CB">
          <w:rPr>
            <w:rStyle w:val="Hyperlink"/>
            <w:noProof/>
          </w:rPr>
          <w:t>Table 26</w:t>
        </w:r>
        <w:r w:rsidRPr="00BF18CB">
          <w:rPr>
            <w:rStyle w:val="Hyperlink"/>
            <w:noProof/>
            <w:w w:val="105"/>
          </w:rPr>
          <w:t>.</w:t>
        </w:r>
        <w:r w:rsidRPr="00BF18CB">
          <w:rPr>
            <w:rStyle w:val="Hyperlink"/>
            <w:noProof/>
            <w:spacing w:val="-5"/>
            <w:w w:val="105"/>
          </w:rPr>
          <w:t xml:space="preserve"> </w:t>
        </w:r>
        <w:r w:rsidRPr="00BF18CB">
          <w:rPr>
            <w:rStyle w:val="Hyperlink"/>
            <w:noProof/>
            <w:w w:val="105"/>
          </w:rPr>
          <w:t>Correlative</w:t>
        </w:r>
        <w:r w:rsidRPr="00BF18CB">
          <w:rPr>
            <w:rStyle w:val="Hyperlink"/>
            <w:noProof/>
            <w:spacing w:val="-5"/>
            <w:w w:val="105"/>
          </w:rPr>
          <w:t xml:space="preserve"> </w:t>
        </w:r>
        <w:r w:rsidRPr="00BF18CB">
          <w:rPr>
            <w:rStyle w:val="Hyperlink"/>
            <w:noProof/>
            <w:w w:val="105"/>
          </w:rPr>
          <w:t>studies</w:t>
        </w:r>
        <w:r w:rsidRPr="00BF18CB">
          <w:rPr>
            <w:rStyle w:val="Hyperlink"/>
            <w:noProof/>
            <w:spacing w:val="-5"/>
            <w:w w:val="105"/>
          </w:rPr>
          <w:t xml:space="preserve"> </w:t>
        </w:r>
        <w:r w:rsidRPr="00BF18CB">
          <w:rPr>
            <w:rStyle w:val="Hyperlink"/>
            <w:noProof/>
            <w:w w:val="105"/>
          </w:rPr>
          <w:t>for</w:t>
        </w:r>
        <w:r w:rsidRPr="00BF18CB">
          <w:rPr>
            <w:rStyle w:val="Hyperlink"/>
            <w:noProof/>
            <w:spacing w:val="-5"/>
            <w:w w:val="105"/>
          </w:rPr>
          <w:t xml:space="preserve"> </w:t>
        </w:r>
        <w:r w:rsidRPr="00BF18CB">
          <w:rPr>
            <w:rStyle w:val="Hyperlink"/>
            <w:noProof/>
            <w:w w:val="105"/>
          </w:rPr>
          <w:t>Phase</w:t>
        </w:r>
        <w:r w:rsidRPr="00BF18CB">
          <w:rPr>
            <w:rStyle w:val="Hyperlink"/>
            <w:noProof/>
            <w:spacing w:val="-5"/>
            <w:w w:val="105"/>
          </w:rPr>
          <w:t xml:space="preserve"> </w:t>
        </w:r>
        <w:r w:rsidRPr="00BF18CB">
          <w:rPr>
            <w:rStyle w:val="Hyperlink"/>
            <w:noProof/>
            <w:w w:val="105"/>
          </w:rPr>
          <w:t>II</w:t>
        </w:r>
        <w:r w:rsidRPr="00BF18CB">
          <w:rPr>
            <w:rStyle w:val="Hyperlink"/>
            <w:noProof/>
            <w:spacing w:val="-5"/>
            <w:w w:val="105"/>
          </w:rPr>
          <w:t xml:space="preserve"> </w:t>
        </w:r>
        <w:r w:rsidRPr="00BF18CB">
          <w:rPr>
            <w:rStyle w:val="Hyperlink"/>
            <w:noProof/>
            <w:w w:val="105"/>
          </w:rPr>
          <w:t>TNBC</w:t>
        </w:r>
        <w:r w:rsidRPr="00BF18CB">
          <w:rPr>
            <w:rStyle w:val="Hyperlink"/>
            <w:noProof/>
            <w:spacing w:val="-5"/>
            <w:w w:val="105"/>
          </w:rPr>
          <w:t xml:space="preserve"> </w:t>
        </w:r>
        <w:r w:rsidRPr="00BF18CB">
          <w:rPr>
            <w:rStyle w:val="Hyperlink"/>
            <w:noProof/>
            <w:w w:val="105"/>
          </w:rPr>
          <w:t>cohort 5</w:t>
        </w:r>
        <w:r>
          <w:rPr>
            <w:noProof/>
            <w:webHidden/>
          </w:rPr>
          <w:tab/>
        </w:r>
        <w:r>
          <w:rPr>
            <w:noProof/>
            <w:webHidden/>
          </w:rPr>
          <w:fldChar w:fldCharType="begin"/>
        </w:r>
        <w:r>
          <w:rPr>
            <w:noProof/>
            <w:webHidden/>
          </w:rPr>
          <w:instrText xml:space="preserve"> PAGEREF _Toc82444460 \h </w:instrText>
        </w:r>
        <w:r>
          <w:rPr>
            <w:noProof/>
            <w:webHidden/>
          </w:rPr>
        </w:r>
        <w:r>
          <w:rPr>
            <w:noProof/>
            <w:webHidden/>
          </w:rPr>
          <w:fldChar w:fldCharType="separate"/>
        </w:r>
        <w:r w:rsidR="0021078E">
          <w:rPr>
            <w:noProof/>
            <w:webHidden/>
          </w:rPr>
          <w:t>118</w:t>
        </w:r>
        <w:r>
          <w:rPr>
            <w:noProof/>
            <w:webHidden/>
          </w:rPr>
          <w:fldChar w:fldCharType="end"/>
        </w:r>
      </w:hyperlink>
    </w:p>
    <w:p w14:paraId="17B147E0" w14:textId="50BB5CE3"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61" w:history="1">
        <w:r w:rsidRPr="00BF18CB">
          <w:rPr>
            <w:rStyle w:val="Hyperlink"/>
            <w:noProof/>
          </w:rPr>
          <w:t>Table 27</w:t>
        </w:r>
        <w:r w:rsidRPr="00BF18CB">
          <w:rPr>
            <w:rStyle w:val="Hyperlink"/>
            <w:noProof/>
            <w:w w:val="105"/>
          </w:rPr>
          <w:t>. Correlative studies for Phase II NSCLC (cohort 2) and SCLC (cohort 3)</w:t>
        </w:r>
        <w:r>
          <w:rPr>
            <w:noProof/>
            <w:webHidden/>
          </w:rPr>
          <w:tab/>
        </w:r>
        <w:r>
          <w:rPr>
            <w:noProof/>
            <w:webHidden/>
          </w:rPr>
          <w:fldChar w:fldCharType="begin"/>
        </w:r>
        <w:r>
          <w:rPr>
            <w:noProof/>
            <w:webHidden/>
          </w:rPr>
          <w:instrText xml:space="preserve"> PAGEREF _Toc82444461 \h </w:instrText>
        </w:r>
        <w:r>
          <w:rPr>
            <w:noProof/>
            <w:webHidden/>
          </w:rPr>
        </w:r>
        <w:r>
          <w:rPr>
            <w:noProof/>
            <w:webHidden/>
          </w:rPr>
          <w:fldChar w:fldCharType="separate"/>
        </w:r>
        <w:r w:rsidR="0021078E">
          <w:rPr>
            <w:noProof/>
            <w:webHidden/>
          </w:rPr>
          <w:t>119</w:t>
        </w:r>
        <w:r>
          <w:rPr>
            <w:noProof/>
            <w:webHidden/>
          </w:rPr>
          <w:fldChar w:fldCharType="end"/>
        </w:r>
      </w:hyperlink>
    </w:p>
    <w:p w14:paraId="071F0F7B" w14:textId="49682C07"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62" w:history="1">
        <w:r w:rsidRPr="00BF18CB">
          <w:rPr>
            <w:rStyle w:val="Hyperlink"/>
            <w:noProof/>
          </w:rPr>
          <w:t>Table 28</w:t>
        </w:r>
        <w:r w:rsidRPr="00BF18CB">
          <w:rPr>
            <w:rStyle w:val="Hyperlink"/>
            <w:noProof/>
            <w:w w:val="105"/>
          </w:rPr>
          <w:t>. Correlative studies for Phase II Colorectal cancer cohort 6</w:t>
        </w:r>
        <w:r>
          <w:rPr>
            <w:noProof/>
            <w:webHidden/>
          </w:rPr>
          <w:tab/>
        </w:r>
        <w:r>
          <w:rPr>
            <w:noProof/>
            <w:webHidden/>
          </w:rPr>
          <w:fldChar w:fldCharType="begin"/>
        </w:r>
        <w:r>
          <w:rPr>
            <w:noProof/>
            <w:webHidden/>
          </w:rPr>
          <w:instrText xml:space="preserve"> PAGEREF _Toc82444462 \h </w:instrText>
        </w:r>
        <w:r>
          <w:rPr>
            <w:noProof/>
            <w:webHidden/>
          </w:rPr>
        </w:r>
        <w:r>
          <w:rPr>
            <w:noProof/>
            <w:webHidden/>
          </w:rPr>
          <w:fldChar w:fldCharType="separate"/>
        </w:r>
        <w:r w:rsidR="0021078E">
          <w:rPr>
            <w:noProof/>
            <w:webHidden/>
          </w:rPr>
          <w:t>120</w:t>
        </w:r>
        <w:r>
          <w:rPr>
            <w:noProof/>
            <w:webHidden/>
          </w:rPr>
          <w:fldChar w:fldCharType="end"/>
        </w:r>
      </w:hyperlink>
    </w:p>
    <w:p w14:paraId="4DA19083" w14:textId="5C8D328D"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63" w:history="1">
        <w:r w:rsidRPr="00BF18CB">
          <w:rPr>
            <w:rStyle w:val="Hyperlink"/>
            <w:noProof/>
          </w:rPr>
          <w:t>Table 29. Evaluation of Best Overall Response for Patients with Measurable Disease (i.e., Target Disease)</w:t>
        </w:r>
        <w:r>
          <w:rPr>
            <w:noProof/>
            <w:webHidden/>
          </w:rPr>
          <w:tab/>
        </w:r>
        <w:r>
          <w:rPr>
            <w:noProof/>
            <w:webHidden/>
          </w:rPr>
          <w:fldChar w:fldCharType="begin"/>
        </w:r>
        <w:r>
          <w:rPr>
            <w:noProof/>
            <w:webHidden/>
          </w:rPr>
          <w:instrText xml:space="preserve"> PAGEREF _Toc82444463 \h </w:instrText>
        </w:r>
        <w:r>
          <w:rPr>
            <w:noProof/>
            <w:webHidden/>
          </w:rPr>
        </w:r>
        <w:r>
          <w:rPr>
            <w:noProof/>
            <w:webHidden/>
          </w:rPr>
          <w:fldChar w:fldCharType="separate"/>
        </w:r>
        <w:r w:rsidR="0021078E">
          <w:rPr>
            <w:noProof/>
            <w:webHidden/>
          </w:rPr>
          <w:t>139</w:t>
        </w:r>
        <w:r>
          <w:rPr>
            <w:noProof/>
            <w:webHidden/>
          </w:rPr>
          <w:fldChar w:fldCharType="end"/>
        </w:r>
      </w:hyperlink>
    </w:p>
    <w:p w14:paraId="4A31DF96" w14:textId="3A4CD304" w:rsidR="00A96BBA" w:rsidRDefault="00A96BBA">
      <w:pPr>
        <w:pStyle w:val="TableofFigures"/>
        <w:tabs>
          <w:tab w:val="right" w:leader="dot" w:pos="9350"/>
        </w:tabs>
        <w:rPr>
          <w:rFonts w:asciiTheme="minorHAnsi" w:eastAsiaTheme="minorEastAsia" w:hAnsiTheme="minorHAnsi" w:cstheme="minorBidi"/>
          <w:b w:val="0"/>
          <w:noProof/>
          <w:sz w:val="22"/>
        </w:rPr>
      </w:pPr>
      <w:hyperlink w:anchor="_Toc82444464" w:history="1">
        <w:r w:rsidRPr="00BF18CB">
          <w:rPr>
            <w:rStyle w:val="Hyperlink"/>
            <w:noProof/>
          </w:rPr>
          <w:t>Table 30. Evaluation of Best Overall Response for Patients with Non-Measurable Disease (i.e., Non-Target Disease)</w:t>
        </w:r>
        <w:r>
          <w:rPr>
            <w:noProof/>
            <w:webHidden/>
          </w:rPr>
          <w:tab/>
        </w:r>
        <w:r>
          <w:rPr>
            <w:noProof/>
            <w:webHidden/>
          </w:rPr>
          <w:fldChar w:fldCharType="begin"/>
        </w:r>
        <w:r>
          <w:rPr>
            <w:noProof/>
            <w:webHidden/>
          </w:rPr>
          <w:instrText xml:space="preserve"> PAGEREF _Toc82444464 \h </w:instrText>
        </w:r>
        <w:r>
          <w:rPr>
            <w:noProof/>
            <w:webHidden/>
          </w:rPr>
        </w:r>
        <w:r>
          <w:rPr>
            <w:noProof/>
            <w:webHidden/>
          </w:rPr>
          <w:fldChar w:fldCharType="separate"/>
        </w:r>
        <w:r w:rsidR="0021078E">
          <w:rPr>
            <w:noProof/>
            <w:webHidden/>
          </w:rPr>
          <w:t>140</w:t>
        </w:r>
        <w:r>
          <w:rPr>
            <w:noProof/>
            <w:webHidden/>
          </w:rPr>
          <w:fldChar w:fldCharType="end"/>
        </w:r>
      </w:hyperlink>
    </w:p>
    <w:p w14:paraId="765B49D7" w14:textId="5A0B7692" w:rsidR="00A96BBA" w:rsidRDefault="00A96BBA">
      <w:pPr>
        <w:pStyle w:val="TableofFigures"/>
        <w:tabs>
          <w:tab w:val="left" w:pos="1260"/>
          <w:tab w:val="right" w:leader="dot" w:pos="9350"/>
        </w:tabs>
        <w:rPr>
          <w:rFonts w:asciiTheme="minorHAnsi" w:eastAsiaTheme="minorEastAsia" w:hAnsiTheme="minorHAnsi" w:cstheme="minorBidi"/>
          <w:b w:val="0"/>
          <w:noProof/>
          <w:sz w:val="22"/>
        </w:rPr>
      </w:pPr>
      <w:hyperlink w:anchor="_Toc82444465" w:history="1">
        <w:r w:rsidRPr="00BF18CB">
          <w:rPr>
            <w:rStyle w:val="Hyperlink"/>
            <w:rFonts w:eastAsia="Times New Roman"/>
            <w:bCs/>
            <w:noProof/>
            <w:lang w:val="x-none" w:eastAsia="x-none"/>
          </w:rPr>
          <w:t>Table 31</w:t>
        </w:r>
        <w:r>
          <w:rPr>
            <w:rFonts w:asciiTheme="minorHAnsi" w:eastAsiaTheme="minorEastAsia" w:hAnsiTheme="minorHAnsi" w:cstheme="minorBidi"/>
            <w:b w:val="0"/>
            <w:noProof/>
            <w:sz w:val="22"/>
          </w:rPr>
          <w:tab/>
        </w:r>
        <w:r w:rsidRPr="00BF18CB">
          <w:rPr>
            <w:rStyle w:val="Hyperlink"/>
            <w:noProof/>
            <w:lang w:val="en-GB"/>
          </w:rPr>
          <w:t>Frequency of ADRs for Durvalumab Monotherapy From Pooled Data Across Multiple Tumour Types (N=3006)</w:t>
        </w:r>
        <w:r>
          <w:rPr>
            <w:noProof/>
            <w:webHidden/>
          </w:rPr>
          <w:tab/>
        </w:r>
        <w:r>
          <w:rPr>
            <w:noProof/>
            <w:webHidden/>
          </w:rPr>
          <w:fldChar w:fldCharType="begin"/>
        </w:r>
        <w:r>
          <w:rPr>
            <w:noProof/>
            <w:webHidden/>
          </w:rPr>
          <w:instrText xml:space="preserve"> PAGEREF _Toc82444465 \h </w:instrText>
        </w:r>
        <w:r>
          <w:rPr>
            <w:noProof/>
            <w:webHidden/>
          </w:rPr>
        </w:r>
        <w:r>
          <w:rPr>
            <w:noProof/>
            <w:webHidden/>
          </w:rPr>
          <w:fldChar w:fldCharType="separate"/>
        </w:r>
        <w:r w:rsidR="0021078E">
          <w:rPr>
            <w:noProof/>
            <w:webHidden/>
          </w:rPr>
          <w:t>166</w:t>
        </w:r>
        <w:r>
          <w:rPr>
            <w:noProof/>
            <w:webHidden/>
          </w:rPr>
          <w:fldChar w:fldCharType="end"/>
        </w:r>
      </w:hyperlink>
    </w:p>
    <w:p w14:paraId="3D77CFE6" w14:textId="11557A9C" w:rsidR="00800A5E" w:rsidRPr="00F33908" w:rsidRDefault="00800A5E">
      <w:pPr>
        <w:spacing w:after="0"/>
      </w:pPr>
      <w:r w:rsidRPr="007A3223">
        <w:fldChar w:fldCharType="end"/>
      </w:r>
      <w:r w:rsidRPr="007A3223">
        <w:br w:type="page"/>
      </w:r>
    </w:p>
    <w:p w14:paraId="27046895" w14:textId="77777777" w:rsidR="00F10B82" w:rsidRPr="00F10B82" w:rsidRDefault="00F10B82" w:rsidP="00FF77EA">
      <w:pPr>
        <w:pStyle w:val="Heading1"/>
        <w:numPr>
          <w:ilvl w:val="0"/>
          <w:numId w:val="0"/>
        </w:numPr>
        <w:ind w:left="432" w:hanging="432"/>
        <w:rPr>
          <w:rFonts w:hint="eastAsia"/>
        </w:rPr>
      </w:pPr>
      <w:bookmarkStart w:id="21" w:name="_Ref55201276"/>
      <w:bookmarkStart w:id="22" w:name="_Toc61361748"/>
      <w:bookmarkStart w:id="23" w:name="_Toc82444335"/>
      <w:r w:rsidRPr="00F10B82">
        <w:lastRenderedPageBreak/>
        <w:t>STATEMENT OF COMPLIANCE</w:t>
      </w:r>
      <w:bookmarkEnd w:id="21"/>
      <w:bookmarkEnd w:id="22"/>
      <w:bookmarkEnd w:id="23"/>
    </w:p>
    <w:p w14:paraId="1119BA74" w14:textId="77777777" w:rsidR="00F10B82" w:rsidRPr="00F10B82" w:rsidRDefault="00F10B82" w:rsidP="00F10B82">
      <w:pPr>
        <w:rPr>
          <w:rFonts w:eastAsia="Calibri"/>
        </w:rPr>
      </w:pPr>
      <w:r w:rsidRPr="00F10B82">
        <w:rPr>
          <w:rFonts w:eastAsia="Calibri"/>
        </w:rPr>
        <w:t xml:space="preserve">The trial will be carried out in accordance with International Conference on Harmonisation Good Clinical Practice (ICH GCP) and the following: </w:t>
      </w:r>
    </w:p>
    <w:p w14:paraId="2312BBC6" w14:textId="77777777" w:rsidR="00F10B82" w:rsidRPr="00F10B82" w:rsidRDefault="00F10B82" w:rsidP="00FB66BA">
      <w:pPr>
        <w:numPr>
          <w:ilvl w:val="1"/>
          <w:numId w:val="77"/>
        </w:numPr>
        <w:spacing w:before="0" w:after="0"/>
        <w:ind w:left="630" w:hanging="270"/>
        <w:contextualSpacing/>
        <w:rPr>
          <w:rFonts w:eastAsia="Times New Roman"/>
          <w:szCs w:val="24"/>
        </w:rPr>
      </w:pPr>
      <w:r w:rsidRPr="00F10B82">
        <w:rPr>
          <w:rFonts w:eastAsia="Times New Roman"/>
          <w:szCs w:val="24"/>
        </w:rPr>
        <w:t xml:space="preserve">United States (US) Code of Federal Regulations (CFR) applicable to clinical studies (45 CFR Part 46, 21 CFR Part 50, 21 CFR Part 56, 21 CFR Part 312, and/or 21 CFR Part 812) </w:t>
      </w:r>
    </w:p>
    <w:p w14:paraId="20BA72C9" w14:textId="77777777" w:rsidR="00F10B82" w:rsidRPr="00F10B82" w:rsidRDefault="00F10B82" w:rsidP="00F10B82">
      <w:pPr>
        <w:rPr>
          <w:rFonts w:eastAsia="Calibri"/>
        </w:rPr>
      </w:pPr>
      <w:r w:rsidRPr="00F10B82">
        <w:rPr>
          <w:rFonts w:eastAsia="Calibri"/>
        </w:rPr>
        <w:t>National Institutes of Health (NIH)-funded investigators and clinical trial site staff who are responsible for the conduct, management, or oversight of NIH-funded clinical trials</w:t>
      </w:r>
      <w:r w:rsidRPr="00F10B82" w:rsidDel="0044540F">
        <w:rPr>
          <w:rFonts w:eastAsia="Calibri"/>
        </w:rPr>
        <w:t xml:space="preserve"> </w:t>
      </w:r>
      <w:r w:rsidRPr="00F10B82">
        <w:rPr>
          <w:rFonts w:eastAsia="Calibri"/>
        </w:rPr>
        <w:t>have completed Human Subjects Protection and ICH GCP Training.</w:t>
      </w:r>
    </w:p>
    <w:p w14:paraId="2BD24EAB" w14:textId="77777777" w:rsidR="00F10B82" w:rsidRPr="00F10B82" w:rsidRDefault="00F10B82" w:rsidP="00F10B82">
      <w:pPr>
        <w:rPr>
          <w:rFonts w:eastAsia="Calibri"/>
        </w:rPr>
      </w:pPr>
      <w:r w:rsidRPr="00F10B82">
        <w:rPr>
          <w:rFonts w:eastAsia="Calibri"/>
        </w:rPr>
        <w:t>The protocol, informed consent form(s), recruitment materials, and all participant materials will be submitted to the Institutional Review Board (IRB) for review and approval.  Approval of both the protocol and the consent form must be obtained before any participant is enrolled.  Any amendment to the protocol will require review and approval by the IRB before the changes are implemented to the study.  In addition, all changes to the consent form will be IRB-approved; an IRB determination will be made regarding whether a new consent needs to be obtained from participants who provided consent, using a previously approved consent form.</w:t>
      </w:r>
    </w:p>
    <w:p w14:paraId="386F7555" w14:textId="77777777" w:rsidR="00800A5E" w:rsidRPr="00F33908" w:rsidRDefault="00800A5E" w:rsidP="00437B29"/>
    <w:p w14:paraId="26F5225C" w14:textId="77777777" w:rsidR="00435648" w:rsidRPr="007A3223" w:rsidRDefault="00AD52FA" w:rsidP="00D20197">
      <w:pPr>
        <w:pStyle w:val="Heading1"/>
        <w:rPr>
          <w:rFonts w:hint="eastAsia"/>
        </w:rPr>
      </w:pPr>
      <w:bookmarkStart w:id="24" w:name="_Toc82444336"/>
      <w:r w:rsidRPr="007A3223">
        <w:t>INTRODUCTION</w:t>
      </w:r>
      <w:bookmarkEnd w:id="15"/>
      <w:bookmarkEnd w:id="16"/>
      <w:bookmarkEnd w:id="17"/>
      <w:bookmarkEnd w:id="18"/>
      <w:bookmarkEnd w:id="24"/>
    </w:p>
    <w:p w14:paraId="2533ED27" w14:textId="77777777" w:rsidR="00AD52FA" w:rsidRPr="007A3223" w:rsidRDefault="00AD52FA" w:rsidP="00ED703B">
      <w:pPr>
        <w:pStyle w:val="Heading2"/>
      </w:pPr>
      <w:bookmarkStart w:id="25" w:name="_Toc250632156"/>
      <w:bookmarkStart w:id="26" w:name="_Toc281240069"/>
      <w:bookmarkStart w:id="27" w:name="_Toc281240311"/>
      <w:bookmarkStart w:id="28" w:name="_Toc288125053"/>
      <w:bookmarkStart w:id="29" w:name="_Toc82444337"/>
      <w:r w:rsidRPr="007A3223">
        <w:t>Study Objectives</w:t>
      </w:r>
      <w:bookmarkEnd w:id="25"/>
      <w:bookmarkEnd w:id="26"/>
      <w:bookmarkEnd w:id="27"/>
      <w:bookmarkEnd w:id="28"/>
      <w:bookmarkEnd w:id="29"/>
    </w:p>
    <w:p w14:paraId="541DC0D1" w14:textId="77777777" w:rsidR="00CF4AC3" w:rsidRPr="00920947" w:rsidRDefault="00CF4AC3" w:rsidP="000C1D10">
      <w:pPr>
        <w:pStyle w:val="Heading3"/>
      </w:pPr>
      <w:r w:rsidRPr="00920947">
        <w:t>Phase I</w:t>
      </w:r>
      <w:r w:rsidR="00464277" w:rsidRPr="00920947">
        <w:t xml:space="preserve"> of doublet treatment</w:t>
      </w:r>
      <w:r w:rsidR="00404894" w:rsidRPr="00920947">
        <w:t>: Primary objective</w:t>
      </w:r>
    </w:p>
    <w:p w14:paraId="4B2F2A50" w14:textId="09E2CFE3" w:rsidR="00404894" w:rsidRPr="007A3223" w:rsidRDefault="00B354C2" w:rsidP="00B60E1D">
      <w:pPr>
        <w:numPr>
          <w:ilvl w:val="0"/>
          <w:numId w:val="5"/>
        </w:numPr>
        <w:spacing w:after="0"/>
        <w:ind w:left="1080"/>
        <w:rPr>
          <w:i/>
          <w:szCs w:val="24"/>
        </w:rPr>
      </w:pPr>
      <w:r w:rsidRPr="007A3223">
        <w:rPr>
          <w:bCs/>
          <w:szCs w:val="24"/>
        </w:rPr>
        <w:t>To e</w:t>
      </w:r>
      <w:r w:rsidR="00766B74" w:rsidRPr="007A3223">
        <w:rPr>
          <w:bCs/>
          <w:szCs w:val="24"/>
        </w:rPr>
        <w:t>stablish recommended phase II d</w:t>
      </w:r>
      <w:r w:rsidR="00EA241A" w:rsidRPr="007A3223">
        <w:rPr>
          <w:bCs/>
          <w:szCs w:val="24"/>
        </w:rPr>
        <w:t>ose</w:t>
      </w:r>
      <w:r w:rsidR="00FB6D5C" w:rsidRPr="007A3223">
        <w:rPr>
          <w:bCs/>
          <w:szCs w:val="24"/>
        </w:rPr>
        <w:t>s</w:t>
      </w:r>
      <w:r w:rsidR="00EA241A" w:rsidRPr="007A3223">
        <w:rPr>
          <w:bCs/>
          <w:szCs w:val="24"/>
        </w:rPr>
        <w:t xml:space="preserve"> (RP</w:t>
      </w:r>
      <w:r w:rsidR="00FB6D5C" w:rsidRPr="007A3223">
        <w:rPr>
          <w:bCs/>
          <w:szCs w:val="24"/>
        </w:rPr>
        <w:t>2</w:t>
      </w:r>
      <w:r w:rsidR="00EA241A" w:rsidRPr="007A3223">
        <w:rPr>
          <w:bCs/>
          <w:szCs w:val="24"/>
        </w:rPr>
        <w:t xml:space="preserve">D) of doublet therapies, </w:t>
      </w:r>
      <w:r w:rsidR="00872B4E" w:rsidRPr="00872B4E">
        <w:rPr>
          <w:bCs/>
          <w:szCs w:val="24"/>
        </w:rPr>
        <w:t>Durvalumab</w:t>
      </w:r>
      <w:r w:rsidR="00766B74" w:rsidRPr="007A3223">
        <w:rPr>
          <w:bCs/>
          <w:szCs w:val="24"/>
        </w:rPr>
        <w:t>/olaparib (</w:t>
      </w:r>
      <w:r w:rsidR="00872B4E" w:rsidRPr="00872B4E">
        <w:rPr>
          <w:bCs/>
          <w:szCs w:val="24"/>
        </w:rPr>
        <w:t>Durvalumab</w:t>
      </w:r>
      <w:r w:rsidR="00494F31" w:rsidRPr="007A3223">
        <w:rPr>
          <w:bCs/>
          <w:szCs w:val="24"/>
        </w:rPr>
        <w:t>+</w:t>
      </w:r>
      <w:r w:rsidR="00766B74" w:rsidRPr="007A3223">
        <w:rPr>
          <w:bCs/>
          <w:szCs w:val="24"/>
        </w:rPr>
        <w:t xml:space="preserve">O) and </w:t>
      </w:r>
      <w:r w:rsidR="00872B4E" w:rsidRPr="00872B4E">
        <w:rPr>
          <w:bCs/>
          <w:szCs w:val="24"/>
        </w:rPr>
        <w:t>Durvalumab</w:t>
      </w:r>
      <w:r w:rsidR="00766B74" w:rsidRPr="007A3223">
        <w:rPr>
          <w:bCs/>
          <w:szCs w:val="24"/>
        </w:rPr>
        <w:t>/cediranib (</w:t>
      </w:r>
      <w:r w:rsidR="00872B4E" w:rsidRPr="00872B4E">
        <w:rPr>
          <w:bCs/>
          <w:szCs w:val="24"/>
        </w:rPr>
        <w:t>Durvalumab</w:t>
      </w:r>
      <w:r w:rsidR="00074EEF" w:rsidRPr="007A3223">
        <w:rPr>
          <w:bCs/>
          <w:szCs w:val="24"/>
        </w:rPr>
        <w:t>+</w:t>
      </w:r>
      <w:r w:rsidR="00766B74" w:rsidRPr="007A3223">
        <w:rPr>
          <w:bCs/>
          <w:szCs w:val="24"/>
        </w:rPr>
        <w:t>C)</w:t>
      </w:r>
      <w:r w:rsidR="00EA241A" w:rsidRPr="007A3223">
        <w:rPr>
          <w:bCs/>
          <w:szCs w:val="24"/>
        </w:rPr>
        <w:t>,</w:t>
      </w:r>
      <w:r w:rsidR="00766B74" w:rsidRPr="007A3223">
        <w:rPr>
          <w:bCs/>
          <w:szCs w:val="24"/>
        </w:rPr>
        <w:t xml:space="preserve"> in patients with advanced solid tumors. </w:t>
      </w:r>
    </w:p>
    <w:p w14:paraId="6B772710" w14:textId="77777777" w:rsidR="00404894" w:rsidRPr="007A3223" w:rsidRDefault="00404894" w:rsidP="000C1D10">
      <w:pPr>
        <w:pStyle w:val="Heading3"/>
      </w:pPr>
      <w:r w:rsidRPr="007A3223">
        <w:t>Phase I</w:t>
      </w:r>
      <w:r w:rsidR="00464277" w:rsidRPr="007A3223">
        <w:t xml:space="preserve"> of </w:t>
      </w:r>
      <w:r w:rsidR="008F67B9" w:rsidRPr="007A3223">
        <w:t xml:space="preserve">doublet </w:t>
      </w:r>
      <w:r w:rsidR="00464277" w:rsidRPr="007A3223">
        <w:t>treatment</w:t>
      </w:r>
      <w:r w:rsidRPr="007A3223">
        <w:t>: Secondary objectives</w:t>
      </w:r>
    </w:p>
    <w:p w14:paraId="55226F25" w14:textId="10AE1790" w:rsidR="00404894" w:rsidRPr="007A3223" w:rsidRDefault="00404894" w:rsidP="00B60E1D">
      <w:pPr>
        <w:numPr>
          <w:ilvl w:val="0"/>
          <w:numId w:val="5"/>
        </w:numPr>
        <w:spacing w:after="0"/>
        <w:ind w:left="1080"/>
        <w:rPr>
          <w:bCs/>
          <w:szCs w:val="24"/>
        </w:rPr>
      </w:pPr>
      <w:r w:rsidRPr="007A3223">
        <w:rPr>
          <w:bCs/>
          <w:szCs w:val="24"/>
        </w:rPr>
        <w:t xml:space="preserve">To determine the safety of the doublets, </w:t>
      </w:r>
      <w:r w:rsidR="00B910BB" w:rsidRPr="00B910BB">
        <w:rPr>
          <w:bCs/>
          <w:szCs w:val="24"/>
        </w:rPr>
        <w:t>Durvalumab</w:t>
      </w:r>
      <w:r w:rsidR="00074EEF" w:rsidRPr="007A3223">
        <w:rPr>
          <w:bCs/>
          <w:szCs w:val="24"/>
        </w:rPr>
        <w:t>+</w:t>
      </w:r>
      <w:r w:rsidRPr="007A3223">
        <w:rPr>
          <w:bCs/>
          <w:szCs w:val="24"/>
        </w:rPr>
        <w:t xml:space="preserve">O and </w:t>
      </w:r>
      <w:r w:rsidR="00B910BB" w:rsidRPr="00B910BB">
        <w:rPr>
          <w:bCs/>
          <w:szCs w:val="24"/>
        </w:rPr>
        <w:t>Durvalumab</w:t>
      </w:r>
      <w:r w:rsidR="00074EEF" w:rsidRPr="007A3223">
        <w:rPr>
          <w:bCs/>
          <w:szCs w:val="24"/>
        </w:rPr>
        <w:t>+</w:t>
      </w:r>
      <w:r w:rsidRPr="007A3223">
        <w:rPr>
          <w:bCs/>
          <w:szCs w:val="24"/>
        </w:rPr>
        <w:t>C.</w:t>
      </w:r>
    </w:p>
    <w:p w14:paraId="250ED2A8" w14:textId="77777777" w:rsidR="00404894" w:rsidRPr="007A3223" w:rsidRDefault="00404894" w:rsidP="00B60E1D">
      <w:pPr>
        <w:numPr>
          <w:ilvl w:val="0"/>
          <w:numId w:val="5"/>
        </w:numPr>
        <w:spacing w:after="0"/>
        <w:ind w:left="1080"/>
        <w:rPr>
          <w:bCs/>
          <w:szCs w:val="24"/>
        </w:rPr>
      </w:pPr>
      <w:r w:rsidRPr="007A3223">
        <w:rPr>
          <w:bCs/>
          <w:szCs w:val="24"/>
        </w:rPr>
        <w:t xml:space="preserve">To determine preliminary response rates of the doublets using RECIST v1.1. </w:t>
      </w:r>
    </w:p>
    <w:p w14:paraId="44B4464E" w14:textId="77777777" w:rsidR="00404894" w:rsidRPr="007A3223" w:rsidRDefault="00404894" w:rsidP="00B60E1D">
      <w:pPr>
        <w:numPr>
          <w:ilvl w:val="0"/>
          <w:numId w:val="5"/>
        </w:numPr>
        <w:spacing w:after="0"/>
        <w:ind w:left="1080"/>
        <w:rPr>
          <w:bCs/>
          <w:szCs w:val="24"/>
        </w:rPr>
      </w:pPr>
      <w:r w:rsidRPr="007A3223">
        <w:rPr>
          <w:bCs/>
          <w:szCs w:val="24"/>
        </w:rPr>
        <w:t>To determine the pharmacokinetics of the doublets and correlate with safety.</w:t>
      </w:r>
    </w:p>
    <w:p w14:paraId="52F9FEEB" w14:textId="01CAAC75" w:rsidR="00556EF0" w:rsidRPr="007A3223" w:rsidRDefault="0024105E" w:rsidP="00B60E1D">
      <w:pPr>
        <w:numPr>
          <w:ilvl w:val="0"/>
          <w:numId w:val="5"/>
        </w:numPr>
        <w:spacing w:after="0"/>
        <w:ind w:left="1080"/>
        <w:rPr>
          <w:bCs/>
          <w:szCs w:val="24"/>
        </w:rPr>
      </w:pPr>
      <w:r w:rsidRPr="007A3223">
        <w:rPr>
          <w:bCs/>
          <w:szCs w:val="24"/>
        </w:rPr>
        <w:t xml:space="preserve">To explore changes in </w:t>
      </w:r>
      <w:r w:rsidR="00074EEF" w:rsidRPr="007A3223">
        <w:rPr>
          <w:bCs/>
          <w:szCs w:val="24"/>
        </w:rPr>
        <w:t xml:space="preserve">peripheral immune subsets, </w:t>
      </w:r>
      <w:r w:rsidRPr="007A3223">
        <w:rPr>
          <w:bCs/>
          <w:szCs w:val="24"/>
        </w:rPr>
        <w:t>plasma cytokines and circulating endothelial cells with safety and/or clinical outcome</w:t>
      </w:r>
      <w:r w:rsidR="00074EEF" w:rsidRPr="007A3223">
        <w:rPr>
          <w:bCs/>
          <w:szCs w:val="24"/>
        </w:rPr>
        <w:t xml:space="preserve"> of </w:t>
      </w:r>
      <w:r w:rsidR="00B910BB" w:rsidRPr="00B910BB">
        <w:rPr>
          <w:bCs/>
          <w:szCs w:val="24"/>
        </w:rPr>
        <w:t>Durvalumab</w:t>
      </w:r>
      <w:r w:rsidR="00074EEF" w:rsidRPr="007A3223">
        <w:rPr>
          <w:bCs/>
          <w:szCs w:val="24"/>
        </w:rPr>
        <w:t>+</w:t>
      </w:r>
      <w:r w:rsidRPr="007A3223">
        <w:rPr>
          <w:bCs/>
          <w:szCs w:val="24"/>
        </w:rPr>
        <w:t>C.</w:t>
      </w:r>
      <w:r w:rsidR="00556EF0" w:rsidRPr="007A3223">
        <w:rPr>
          <w:bCs/>
          <w:szCs w:val="24"/>
        </w:rPr>
        <w:t xml:space="preserve"> </w:t>
      </w:r>
    </w:p>
    <w:p w14:paraId="5BB55C61" w14:textId="77777777" w:rsidR="0024105E" w:rsidRPr="007A3223" w:rsidRDefault="00556EF0" w:rsidP="00B60E1D">
      <w:pPr>
        <w:numPr>
          <w:ilvl w:val="0"/>
          <w:numId w:val="5"/>
        </w:numPr>
        <w:spacing w:after="0"/>
        <w:ind w:left="1080"/>
        <w:rPr>
          <w:bCs/>
          <w:szCs w:val="24"/>
        </w:rPr>
      </w:pPr>
      <w:r w:rsidRPr="007A3223">
        <w:rPr>
          <w:bCs/>
          <w:szCs w:val="24"/>
        </w:rPr>
        <w:t>To determine the potential relationship between PD-L1 expression obtained from archival tissue samples and clinical response.</w:t>
      </w:r>
    </w:p>
    <w:p w14:paraId="57A5DB5D" w14:textId="77777777" w:rsidR="00464277" w:rsidRPr="007A3223" w:rsidRDefault="00464277" w:rsidP="00443260">
      <w:pPr>
        <w:spacing w:after="0"/>
        <w:ind w:left="1080"/>
        <w:rPr>
          <w:bCs/>
          <w:szCs w:val="24"/>
        </w:rPr>
      </w:pPr>
    </w:p>
    <w:p w14:paraId="10DD6EBB" w14:textId="77777777" w:rsidR="00464277" w:rsidRPr="007A3223" w:rsidRDefault="00464277" w:rsidP="000C1D10">
      <w:pPr>
        <w:pStyle w:val="Heading3"/>
      </w:pPr>
      <w:r w:rsidRPr="007A3223">
        <w:t>Phase I</w:t>
      </w:r>
      <w:r w:rsidR="008F67B9" w:rsidRPr="007A3223">
        <w:t xml:space="preserve"> of triplet treatment</w:t>
      </w:r>
      <w:r w:rsidRPr="007A3223">
        <w:t>: Primary objective</w:t>
      </w:r>
    </w:p>
    <w:p w14:paraId="5091483E" w14:textId="504EDB5F" w:rsidR="00464277" w:rsidRPr="007A3223" w:rsidRDefault="00464277" w:rsidP="00B60E1D">
      <w:pPr>
        <w:numPr>
          <w:ilvl w:val="0"/>
          <w:numId w:val="5"/>
        </w:numPr>
        <w:spacing w:after="0"/>
        <w:ind w:left="1080"/>
        <w:rPr>
          <w:i/>
          <w:szCs w:val="24"/>
        </w:rPr>
      </w:pPr>
      <w:r w:rsidRPr="007A3223">
        <w:rPr>
          <w:bCs/>
          <w:szCs w:val="24"/>
        </w:rPr>
        <w:t xml:space="preserve">To establish recommended phase II doses (RP2D) of </w:t>
      </w:r>
      <w:r w:rsidR="00443260" w:rsidRPr="007A3223">
        <w:rPr>
          <w:bCs/>
          <w:szCs w:val="24"/>
        </w:rPr>
        <w:t>triplet therapy</w:t>
      </w:r>
      <w:r w:rsidRPr="007A3223">
        <w:rPr>
          <w:bCs/>
          <w:szCs w:val="24"/>
        </w:rPr>
        <w:t xml:space="preserve">, </w:t>
      </w:r>
      <w:r w:rsidR="00A04725" w:rsidRPr="00A04725">
        <w:rPr>
          <w:bCs/>
          <w:szCs w:val="24"/>
        </w:rPr>
        <w:t>Durvalumab</w:t>
      </w:r>
      <w:r w:rsidRPr="007A3223">
        <w:rPr>
          <w:bCs/>
          <w:szCs w:val="24"/>
        </w:rPr>
        <w:t>/olaparib</w:t>
      </w:r>
      <w:r w:rsidR="00443260" w:rsidRPr="007A3223">
        <w:rPr>
          <w:bCs/>
          <w:szCs w:val="24"/>
        </w:rPr>
        <w:t>/cediranib</w:t>
      </w:r>
      <w:r w:rsidRPr="007A3223">
        <w:rPr>
          <w:bCs/>
          <w:szCs w:val="24"/>
        </w:rPr>
        <w:t xml:space="preserve"> (</w:t>
      </w:r>
      <w:r w:rsidR="00A04725" w:rsidRPr="00A04725">
        <w:rPr>
          <w:bCs/>
          <w:szCs w:val="24"/>
        </w:rPr>
        <w:t>Durvalumab</w:t>
      </w:r>
      <w:r w:rsidRPr="007A3223">
        <w:rPr>
          <w:bCs/>
          <w:szCs w:val="24"/>
        </w:rPr>
        <w:t>+O</w:t>
      </w:r>
      <w:r w:rsidR="00443260" w:rsidRPr="007A3223">
        <w:rPr>
          <w:bCs/>
          <w:szCs w:val="24"/>
        </w:rPr>
        <w:t>+C</w:t>
      </w:r>
      <w:r w:rsidRPr="007A3223">
        <w:rPr>
          <w:bCs/>
          <w:szCs w:val="24"/>
        </w:rPr>
        <w:t xml:space="preserve">) in patients with advanced solid tumors. </w:t>
      </w:r>
    </w:p>
    <w:p w14:paraId="708D628A" w14:textId="77777777" w:rsidR="00464277" w:rsidRPr="007A3223" w:rsidRDefault="00464277" w:rsidP="000C1D10">
      <w:pPr>
        <w:pStyle w:val="Heading3"/>
      </w:pPr>
      <w:r w:rsidRPr="007A3223">
        <w:lastRenderedPageBreak/>
        <w:t>Phase I</w:t>
      </w:r>
      <w:r w:rsidR="008F67B9" w:rsidRPr="007A3223">
        <w:t xml:space="preserve"> of triplet treatment</w:t>
      </w:r>
      <w:r w:rsidRPr="007A3223">
        <w:t>: Secondary objectives</w:t>
      </w:r>
    </w:p>
    <w:p w14:paraId="7B0A372C" w14:textId="7C42BAB4" w:rsidR="00464277" w:rsidRPr="007A3223" w:rsidRDefault="00443260" w:rsidP="00B60E1D">
      <w:pPr>
        <w:numPr>
          <w:ilvl w:val="0"/>
          <w:numId w:val="5"/>
        </w:numPr>
        <w:spacing w:after="0"/>
        <w:ind w:left="1080"/>
        <w:rPr>
          <w:bCs/>
          <w:szCs w:val="24"/>
        </w:rPr>
      </w:pPr>
      <w:r w:rsidRPr="007A3223">
        <w:rPr>
          <w:bCs/>
          <w:szCs w:val="24"/>
        </w:rPr>
        <w:t xml:space="preserve">To determine the safety of </w:t>
      </w:r>
      <w:r w:rsidR="00A04725" w:rsidRPr="00A04725">
        <w:rPr>
          <w:bCs/>
          <w:szCs w:val="24"/>
        </w:rPr>
        <w:t>Durvalumab</w:t>
      </w:r>
      <w:r w:rsidR="00464277" w:rsidRPr="007A3223">
        <w:rPr>
          <w:bCs/>
          <w:szCs w:val="24"/>
        </w:rPr>
        <w:t>+</w:t>
      </w:r>
      <w:r w:rsidRPr="007A3223">
        <w:rPr>
          <w:bCs/>
          <w:szCs w:val="24"/>
        </w:rPr>
        <w:t>O</w:t>
      </w:r>
      <w:r w:rsidR="00464277" w:rsidRPr="007A3223">
        <w:rPr>
          <w:bCs/>
          <w:szCs w:val="24"/>
        </w:rPr>
        <w:t>+C.</w:t>
      </w:r>
    </w:p>
    <w:p w14:paraId="51F39AAE" w14:textId="27017A83" w:rsidR="00464277" w:rsidRPr="007A3223" w:rsidRDefault="00464277" w:rsidP="00B60E1D">
      <w:pPr>
        <w:numPr>
          <w:ilvl w:val="0"/>
          <w:numId w:val="5"/>
        </w:numPr>
        <w:spacing w:after="0"/>
        <w:ind w:left="1080"/>
        <w:rPr>
          <w:bCs/>
          <w:szCs w:val="24"/>
        </w:rPr>
      </w:pPr>
      <w:r w:rsidRPr="007A3223">
        <w:rPr>
          <w:bCs/>
          <w:szCs w:val="24"/>
        </w:rPr>
        <w:t>To determine preliminar</w:t>
      </w:r>
      <w:r w:rsidR="00443260" w:rsidRPr="007A3223">
        <w:rPr>
          <w:bCs/>
          <w:szCs w:val="24"/>
        </w:rPr>
        <w:t xml:space="preserve">y response rates of </w:t>
      </w:r>
      <w:r w:rsidR="002A6E51" w:rsidRPr="002A6E51">
        <w:rPr>
          <w:bCs/>
          <w:szCs w:val="24"/>
        </w:rPr>
        <w:t>Durvalumab</w:t>
      </w:r>
      <w:r w:rsidR="00443260" w:rsidRPr="007A3223">
        <w:rPr>
          <w:bCs/>
          <w:szCs w:val="24"/>
        </w:rPr>
        <w:t>+O+C</w:t>
      </w:r>
      <w:r w:rsidRPr="007A3223">
        <w:rPr>
          <w:bCs/>
          <w:szCs w:val="24"/>
        </w:rPr>
        <w:t xml:space="preserve"> using RECIST v1.1. </w:t>
      </w:r>
    </w:p>
    <w:p w14:paraId="0981DD41" w14:textId="77777777" w:rsidR="00464277" w:rsidRPr="007A3223" w:rsidRDefault="00464277" w:rsidP="00B60E1D">
      <w:pPr>
        <w:numPr>
          <w:ilvl w:val="0"/>
          <w:numId w:val="5"/>
        </w:numPr>
        <w:spacing w:after="0"/>
        <w:ind w:left="1080"/>
        <w:rPr>
          <w:bCs/>
          <w:szCs w:val="24"/>
        </w:rPr>
      </w:pPr>
      <w:r w:rsidRPr="007A3223">
        <w:rPr>
          <w:bCs/>
          <w:szCs w:val="24"/>
        </w:rPr>
        <w:t xml:space="preserve">To determine the pharmacokinetics of the </w:t>
      </w:r>
      <w:r w:rsidR="00A96F02" w:rsidRPr="007A3223">
        <w:rPr>
          <w:bCs/>
          <w:szCs w:val="24"/>
        </w:rPr>
        <w:t>triplet</w:t>
      </w:r>
      <w:r w:rsidR="00CD660A" w:rsidRPr="007A3223">
        <w:rPr>
          <w:bCs/>
          <w:szCs w:val="24"/>
        </w:rPr>
        <w:t xml:space="preserve"> </w:t>
      </w:r>
      <w:r w:rsidRPr="007A3223">
        <w:rPr>
          <w:bCs/>
          <w:szCs w:val="24"/>
        </w:rPr>
        <w:t>and correlate with safety.</w:t>
      </w:r>
    </w:p>
    <w:p w14:paraId="5611CA7F" w14:textId="7EC5B573" w:rsidR="00464277" w:rsidRPr="007A3223" w:rsidRDefault="00464277" w:rsidP="00B60E1D">
      <w:pPr>
        <w:numPr>
          <w:ilvl w:val="0"/>
          <w:numId w:val="5"/>
        </w:numPr>
        <w:spacing w:after="0"/>
        <w:ind w:left="1080"/>
        <w:rPr>
          <w:bCs/>
          <w:szCs w:val="24"/>
        </w:rPr>
      </w:pPr>
      <w:r w:rsidRPr="007A3223">
        <w:rPr>
          <w:bCs/>
          <w:szCs w:val="24"/>
        </w:rPr>
        <w:t xml:space="preserve">To explore changes in peripheral immune subsets, plasma cytokines and circulating endothelial cells with safety and/or clinical outcome of </w:t>
      </w:r>
      <w:r w:rsidR="002A6E51" w:rsidRPr="002A6E51">
        <w:rPr>
          <w:bCs/>
          <w:szCs w:val="24"/>
        </w:rPr>
        <w:t>Durvalumab</w:t>
      </w:r>
      <w:r w:rsidRPr="007A3223">
        <w:rPr>
          <w:bCs/>
          <w:szCs w:val="24"/>
        </w:rPr>
        <w:t>+</w:t>
      </w:r>
      <w:r w:rsidR="00443260" w:rsidRPr="007A3223">
        <w:rPr>
          <w:bCs/>
          <w:szCs w:val="24"/>
        </w:rPr>
        <w:t>O+</w:t>
      </w:r>
      <w:r w:rsidRPr="007A3223">
        <w:rPr>
          <w:bCs/>
          <w:szCs w:val="24"/>
        </w:rPr>
        <w:t xml:space="preserve">C. </w:t>
      </w:r>
    </w:p>
    <w:p w14:paraId="039259B5" w14:textId="77777777" w:rsidR="00464277" w:rsidRPr="007A3223" w:rsidRDefault="00464277" w:rsidP="00B60E1D">
      <w:pPr>
        <w:numPr>
          <w:ilvl w:val="0"/>
          <w:numId w:val="5"/>
        </w:numPr>
        <w:spacing w:after="0"/>
        <w:ind w:left="1080"/>
        <w:rPr>
          <w:bCs/>
          <w:szCs w:val="24"/>
        </w:rPr>
      </w:pPr>
      <w:r w:rsidRPr="007A3223">
        <w:rPr>
          <w:bCs/>
          <w:szCs w:val="24"/>
        </w:rPr>
        <w:t>To determine the potential relationship between PD-L1 expression obtained from archival tissue samples and clinical response.</w:t>
      </w:r>
    </w:p>
    <w:p w14:paraId="25257275" w14:textId="3E2F8B2B" w:rsidR="004C2FE3" w:rsidRPr="007A3223" w:rsidRDefault="004C2FE3" w:rsidP="000C1D10">
      <w:pPr>
        <w:pStyle w:val="Heading3"/>
      </w:pPr>
      <w:r w:rsidRPr="007A3223">
        <w:t xml:space="preserve">Phase II </w:t>
      </w:r>
      <w:r w:rsidR="003E322D" w:rsidRPr="007A3223">
        <w:t xml:space="preserve">Cohorts </w:t>
      </w:r>
      <w:r w:rsidR="00DA399F" w:rsidRPr="007A3223">
        <w:t>1-6</w:t>
      </w:r>
      <w:r w:rsidR="009E139F" w:rsidRPr="007A3223">
        <w:t xml:space="preserve"> </w:t>
      </w:r>
      <w:r w:rsidRPr="007A3223">
        <w:t>Primary objective</w:t>
      </w:r>
    </w:p>
    <w:p w14:paraId="72BE373B" w14:textId="32D3AD9C" w:rsidR="00DA399F" w:rsidRPr="007A3223" w:rsidRDefault="009E139F" w:rsidP="00B60E1D">
      <w:pPr>
        <w:numPr>
          <w:ilvl w:val="0"/>
          <w:numId w:val="8"/>
        </w:numPr>
        <w:spacing w:after="0"/>
        <w:ind w:left="1080"/>
        <w:rPr>
          <w:i/>
          <w:szCs w:val="24"/>
        </w:rPr>
      </w:pPr>
      <w:r w:rsidRPr="007A3223">
        <w:rPr>
          <w:bCs/>
          <w:szCs w:val="24"/>
        </w:rPr>
        <w:t xml:space="preserve">Phase II </w:t>
      </w:r>
      <w:r w:rsidRPr="007A3223">
        <w:rPr>
          <w:bCs/>
        </w:rPr>
        <w:t xml:space="preserve">Cohort 1 </w:t>
      </w:r>
      <w:r w:rsidR="00DA399F" w:rsidRPr="007A3223">
        <w:rPr>
          <w:bCs/>
        </w:rPr>
        <w:t>recurrent ovarian cancer (OvCa</w:t>
      </w:r>
      <w:r w:rsidR="00530293" w:rsidRPr="007A3223">
        <w:rPr>
          <w:bCs/>
        </w:rPr>
        <w:t>);</w:t>
      </w:r>
      <w:r w:rsidR="00DA399F" w:rsidRPr="007A3223">
        <w:rPr>
          <w:bCs/>
        </w:rPr>
        <w:t xml:space="preserve"> </w:t>
      </w:r>
      <w:r w:rsidR="007A01F5" w:rsidRPr="007A01F5">
        <w:rPr>
          <w:bCs/>
          <w:szCs w:val="24"/>
        </w:rPr>
        <w:t>Durvalumab</w:t>
      </w:r>
      <w:r w:rsidR="00DA399F" w:rsidRPr="007A3223">
        <w:rPr>
          <w:bCs/>
          <w:szCs w:val="24"/>
        </w:rPr>
        <w:t xml:space="preserve">+O, </w:t>
      </w:r>
      <w:r w:rsidR="007A01F5" w:rsidRPr="007A01F5">
        <w:rPr>
          <w:bCs/>
          <w:szCs w:val="24"/>
        </w:rPr>
        <w:t>Durvalumab</w:t>
      </w:r>
      <w:r w:rsidR="00DA399F" w:rsidRPr="007A3223">
        <w:rPr>
          <w:bCs/>
          <w:szCs w:val="24"/>
        </w:rPr>
        <w:t xml:space="preserve">+C and </w:t>
      </w:r>
      <w:r w:rsidR="007A01F5" w:rsidRPr="007A01F5">
        <w:rPr>
          <w:bCs/>
          <w:szCs w:val="24"/>
        </w:rPr>
        <w:t>Durvalumab</w:t>
      </w:r>
      <w:r w:rsidR="00DA399F" w:rsidRPr="007A3223">
        <w:rPr>
          <w:bCs/>
          <w:szCs w:val="24"/>
        </w:rPr>
        <w:t>+O+C arms:</w:t>
      </w:r>
      <w:r w:rsidR="00DA399F" w:rsidRPr="007A3223">
        <w:rPr>
          <w:i/>
          <w:szCs w:val="24"/>
        </w:rPr>
        <w:t xml:space="preserve"> </w:t>
      </w:r>
      <w:r w:rsidR="00DA399F" w:rsidRPr="007A3223">
        <w:rPr>
          <w:bCs/>
          <w:szCs w:val="24"/>
        </w:rPr>
        <w:t xml:space="preserve">To determine clinical efficacy as measured by overall response rate (ORR) </w:t>
      </w:r>
      <w:r w:rsidR="002F2771" w:rsidRPr="007A3223">
        <w:rPr>
          <w:bCs/>
          <w:szCs w:val="24"/>
        </w:rPr>
        <w:t>using</w:t>
      </w:r>
      <w:r w:rsidR="00DA399F" w:rsidRPr="007A3223">
        <w:rPr>
          <w:bCs/>
          <w:szCs w:val="24"/>
        </w:rPr>
        <w:t xml:space="preserve"> RECIST v1.1. </w:t>
      </w:r>
    </w:p>
    <w:p w14:paraId="3EB62F66" w14:textId="1656425B" w:rsidR="00DA399F" w:rsidRPr="007A3223" w:rsidRDefault="00DA399F" w:rsidP="00B60E1D">
      <w:pPr>
        <w:numPr>
          <w:ilvl w:val="0"/>
          <w:numId w:val="8"/>
        </w:numPr>
        <w:spacing w:after="0"/>
        <w:ind w:left="1080"/>
        <w:rPr>
          <w:i/>
          <w:szCs w:val="24"/>
        </w:rPr>
      </w:pPr>
      <w:r w:rsidRPr="007A3223">
        <w:rPr>
          <w:bCs/>
          <w:szCs w:val="24"/>
        </w:rPr>
        <w:t xml:space="preserve">Phase II Cohort 2 non-small cell lung cancer (NSCLC); </w:t>
      </w:r>
      <w:r w:rsidR="00EE3F4A" w:rsidRPr="00EE3F4A">
        <w:rPr>
          <w:bCs/>
          <w:szCs w:val="24"/>
        </w:rPr>
        <w:t>Durvalumab</w:t>
      </w:r>
      <w:r w:rsidRPr="007A3223">
        <w:rPr>
          <w:bCs/>
          <w:szCs w:val="24"/>
        </w:rPr>
        <w:t xml:space="preserve">+O and </w:t>
      </w:r>
      <w:r w:rsidR="00EE3F4A" w:rsidRPr="00EE3F4A">
        <w:rPr>
          <w:bCs/>
          <w:szCs w:val="24"/>
        </w:rPr>
        <w:t>Durvalumab</w:t>
      </w:r>
      <w:r w:rsidRPr="007A3223">
        <w:rPr>
          <w:bCs/>
          <w:szCs w:val="24"/>
        </w:rPr>
        <w:t>+C arms: To determine clinical efficacy as measured by progression-free survival (PFS)</w:t>
      </w:r>
    </w:p>
    <w:p w14:paraId="608C113B" w14:textId="063C5BA1" w:rsidR="00DA399F" w:rsidRPr="007A3223" w:rsidRDefault="00DA399F" w:rsidP="00B60E1D">
      <w:pPr>
        <w:numPr>
          <w:ilvl w:val="0"/>
          <w:numId w:val="8"/>
        </w:numPr>
        <w:spacing w:after="0"/>
        <w:ind w:left="1080"/>
        <w:rPr>
          <w:i/>
          <w:szCs w:val="24"/>
        </w:rPr>
      </w:pPr>
      <w:r w:rsidRPr="007A3223">
        <w:rPr>
          <w:bCs/>
          <w:szCs w:val="24"/>
        </w:rPr>
        <w:t xml:space="preserve">Phase II Cohort 3 small cell lung cancer (SCLC); </w:t>
      </w:r>
      <w:r w:rsidR="00312C1E" w:rsidRPr="00312C1E">
        <w:rPr>
          <w:bCs/>
          <w:szCs w:val="24"/>
        </w:rPr>
        <w:t>Durvalumab</w:t>
      </w:r>
      <w:r w:rsidRPr="007A3223">
        <w:rPr>
          <w:bCs/>
          <w:szCs w:val="24"/>
        </w:rPr>
        <w:t>+O arm: To determine clinical efficacy as measured by ORR</w:t>
      </w:r>
    </w:p>
    <w:p w14:paraId="791FF28A" w14:textId="5493D64D" w:rsidR="00DA399F" w:rsidRPr="007A3223" w:rsidRDefault="00DA399F" w:rsidP="00B60E1D">
      <w:pPr>
        <w:numPr>
          <w:ilvl w:val="0"/>
          <w:numId w:val="8"/>
        </w:numPr>
        <w:spacing w:after="0"/>
        <w:ind w:left="1080"/>
        <w:rPr>
          <w:i/>
          <w:szCs w:val="24"/>
        </w:rPr>
      </w:pPr>
      <w:r w:rsidRPr="007A3223">
        <w:rPr>
          <w:bCs/>
          <w:szCs w:val="24"/>
        </w:rPr>
        <w:t>Phase II Cohort 4 metast</w:t>
      </w:r>
      <w:r w:rsidR="00A3147D" w:rsidRPr="007A3223">
        <w:rPr>
          <w:bCs/>
          <w:szCs w:val="24"/>
        </w:rPr>
        <w:t>a</w:t>
      </w:r>
      <w:r w:rsidRPr="007A3223">
        <w:rPr>
          <w:bCs/>
          <w:szCs w:val="24"/>
        </w:rPr>
        <w:t xml:space="preserve">tic castrate-resistant prostate cancer (mCRPC); </w:t>
      </w:r>
      <w:r w:rsidR="00312C1E" w:rsidRPr="00312C1E">
        <w:rPr>
          <w:bCs/>
          <w:szCs w:val="24"/>
        </w:rPr>
        <w:t>Durvalumab</w:t>
      </w:r>
      <w:r w:rsidRPr="007A3223">
        <w:rPr>
          <w:bCs/>
          <w:szCs w:val="24"/>
        </w:rPr>
        <w:t>+O arm: To determine clinical efficacy as measured by PFS</w:t>
      </w:r>
    </w:p>
    <w:p w14:paraId="59A88CCC" w14:textId="46912542" w:rsidR="00DA399F" w:rsidRPr="007A3223" w:rsidRDefault="00DA399F" w:rsidP="00B60E1D">
      <w:pPr>
        <w:numPr>
          <w:ilvl w:val="0"/>
          <w:numId w:val="8"/>
        </w:numPr>
        <w:spacing w:after="0"/>
        <w:ind w:left="1080"/>
        <w:rPr>
          <w:i/>
          <w:szCs w:val="24"/>
        </w:rPr>
      </w:pPr>
      <w:r w:rsidRPr="007A3223">
        <w:rPr>
          <w:bCs/>
          <w:szCs w:val="24"/>
        </w:rPr>
        <w:t xml:space="preserve">Phase II Cohort 5 triple negative breast cancer (TNBC); </w:t>
      </w:r>
      <w:r w:rsidR="00312C1E" w:rsidRPr="00312C1E">
        <w:rPr>
          <w:bCs/>
          <w:szCs w:val="24"/>
        </w:rPr>
        <w:t>Durvalumab</w:t>
      </w:r>
      <w:r w:rsidRPr="007A3223">
        <w:rPr>
          <w:bCs/>
          <w:szCs w:val="24"/>
        </w:rPr>
        <w:t>+O arm: To determine clinical efficacy as measured by ORR</w:t>
      </w:r>
    </w:p>
    <w:p w14:paraId="08D9F844" w14:textId="494F3449" w:rsidR="0088303A" w:rsidRPr="007A3223" w:rsidRDefault="009E139F" w:rsidP="00B60E1D">
      <w:pPr>
        <w:numPr>
          <w:ilvl w:val="0"/>
          <w:numId w:val="8"/>
        </w:numPr>
        <w:spacing w:after="0"/>
        <w:ind w:left="1080"/>
        <w:rPr>
          <w:i/>
        </w:rPr>
      </w:pPr>
      <w:r w:rsidRPr="007A3223">
        <w:rPr>
          <w:bCs/>
        </w:rPr>
        <w:t xml:space="preserve">Phase II Cohort 2 </w:t>
      </w:r>
      <w:r w:rsidRPr="007A3223">
        <w:rPr>
          <w:bCs/>
          <w:szCs w:val="24"/>
        </w:rPr>
        <w:t>Cohort 6 colorectal cancer (CRC): C+</w:t>
      </w:r>
      <w:r w:rsidR="00312C1E" w:rsidRPr="00312C1E">
        <w:rPr>
          <w:bCs/>
          <w:szCs w:val="24"/>
        </w:rPr>
        <w:t>Durvalumab</w:t>
      </w:r>
      <w:r w:rsidRPr="007A3223">
        <w:rPr>
          <w:bCs/>
          <w:szCs w:val="24"/>
        </w:rPr>
        <w:t xml:space="preserve"> arm: To determine clinical efficacy as measured by PFS </w:t>
      </w:r>
      <w:r w:rsidR="004C2FE3" w:rsidRPr="007A3223">
        <w:rPr>
          <w:bCs/>
        </w:rPr>
        <w:t xml:space="preserve"> </w:t>
      </w:r>
    </w:p>
    <w:p w14:paraId="47744651" w14:textId="77D6E245" w:rsidR="004C2FE3" w:rsidRPr="007A3223" w:rsidRDefault="004C2FE3" w:rsidP="00877E0B">
      <w:pPr>
        <w:spacing w:after="0"/>
        <w:ind w:left="1080" w:hanging="360"/>
        <w:rPr>
          <w:bCs/>
        </w:rPr>
      </w:pPr>
    </w:p>
    <w:p w14:paraId="52BA7874" w14:textId="3C3821F7" w:rsidR="004C2FE3" w:rsidRPr="007A3223" w:rsidRDefault="004C2FE3" w:rsidP="000C1D10">
      <w:pPr>
        <w:pStyle w:val="Heading3"/>
      </w:pPr>
      <w:r w:rsidRPr="007A3223">
        <w:t xml:space="preserve">Phase II </w:t>
      </w:r>
      <w:r w:rsidR="00DA399F" w:rsidRPr="007A3223">
        <w:t>Cohorts 1-6</w:t>
      </w:r>
      <w:r w:rsidRPr="007A3223">
        <w:t xml:space="preserve"> Secondary objectives</w:t>
      </w:r>
    </w:p>
    <w:p w14:paraId="0382F152" w14:textId="74524CA2" w:rsidR="00530293" w:rsidRPr="007A3223" w:rsidRDefault="00530293" w:rsidP="00B60E1D">
      <w:pPr>
        <w:numPr>
          <w:ilvl w:val="0"/>
          <w:numId w:val="8"/>
        </w:numPr>
        <w:spacing w:after="0"/>
        <w:ind w:left="1080"/>
        <w:rPr>
          <w:i/>
          <w:szCs w:val="24"/>
        </w:rPr>
      </w:pPr>
      <w:r w:rsidRPr="007A3223">
        <w:rPr>
          <w:bCs/>
          <w:szCs w:val="24"/>
        </w:rPr>
        <w:t xml:space="preserve">Phase II </w:t>
      </w:r>
      <w:r w:rsidRPr="007A3223">
        <w:rPr>
          <w:bCs/>
        </w:rPr>
        <w:t xml:space="preserve">Cohort 1 OvCa; </w:t>
      </w:r>
      <w:r w:rsidR="00D2654A" w:rsidRPr="00D2654A">
        <w:rPr>
          <w:bCs/>
          <w:szCs w:val="24"/>
        </w:rPr>
        <w:t>Durvalumab</w:t>
      </w:r>
      <w:r w:rsidRPr="007A3223">
        <w:rPr>
          <w:bCs/>
          <w:szCs w:val="24"/>
        </w:rPr>
        <w:t xml:space="preserve">+O, </w:t>
      </w:r>
      <w:r w:rsidR="00D2654A" w:rsidRPr="00D2654A">
        <w:rPr>
          <w:bCs/>
          <w:szCs w:val="24"/>
        </w:rPr>
        <w:t>Durvalumab</w:t>
      </w:r>
      <w:r w:rsidRPr="007A3223">
        <w:rPr>
          <w:bCs/>
          <w:szCs w:val="24"/>
        </w:rPr>
        <w:t xml:space="preserve">+C and </w:t>
      </w:r>
      <w:r w:rsidR="00D2654A" w:rsidRPr="00D2654A">
        <w:rPr>
          <w:bCs/>
          <w:szCs w:val="24"/>
        </w:rPr>
        <w:t>Durvalumab</w:t>
      </w:r>
      <w:r w:rsidRPr="007A3223">
        <w:rPr>
          <w:bCs/>
          <w:szCs w:val="24"/>
        </w:rPr>
        <w:t>+O+C arms:</w:t>
      </w:r>
      <w:r w:rsidRPr="007A3223">
        <w:rPr>
          <w:i/>
          <w:szCs w:val="24"/>
        </w:rPr>
        <w:t xml:space="preserve"> </w:t>
      </w:r>
      <w:r w:rsidRPr="007A3223">
        <w:rPr>
          <w:bCs/>
          <w:szCs w:val="24"/>
        </w:rPr>
        <w:t>To evaluate PFS, safety by CTCAE v4.0, and potential relationship between pretreatment tumor PD-L1 expression obtained from biopsies and clinical response</w:t>
      </w:r>
    </w:p>
    <w:p w14:paraId="5170864B" w14:textId="46CFB098" w:rsidR="00530293" w:rsidRPr="007A3223" w:rsidRDefault="00530293" w:rsidP="00B60E1D">
      <w:pPr>
        <w:numPr>
          <w:ilvl w:val="0"/>
          <w:numId w:val="8"/>
        </w:numPr>
        <w:spacing w:after="0"/>
        <w:ind w:left="1080"/>
        <w:rPr>
          <w:i/>
          <w:szCs w:val="24"/>
        </w:rPr>
      </w:pPr>
      <w:r w:rsidRPr="007A3223">
        <w:rPr>
          <w:bCs/>
          <w:szCs w:val="24"/>
        </w:rPr>
        <w:t xml:space="preserve">Phase II Cohort 2 NSCLC; </w:t>
      </w:r>
      <w:r w:rsidR="00D2654A" w:rsidRPr="00D2654A">
        <w:rPr>
          <w:bCs/>
          <w:szCs w:val="24"/>
        </w:rPr>
        <w:t>Durvalumab</w:t>
      </w:r>
      <w:r w:rsidRPr="007A3223">
        <w:rPr>
          <w:bCs/>
          <w:szCs w:val="24"/>
        </w:rPr>
        <w:t xml:space="preserve">+O and </w:t>
      </w:r>
      <w:r w:rsidR="00D2654A" w:rsidRPr="00D2654A">
        <w:rPr>
          <w:bCs/>
          <w:szCs w:val="24"/>
        </w:rPr>
        <w:t>Durvalumab</w:t>
      </w:r>
      <w:r w:rsidRPr="007A3223">
        <w:rPr>
          <w:bCs/>
          <w:szCs w:val="24"/>
        </w:rPr>
        <w:t>+C arms: To determine ORR</w:t>
      </w:r>
      <w:r w:rsidR="003A579D" w:rsidRPr="007A3223">
        <w:rPr>
          <w:bCs/>
          <w:szCs w:val="24"/>
        </w:rPr>
        <w:t xml:space="preserve">, </w:t>
      </w:r>
      <w:r w:rsidR="0059312A" w:rsidRPr="007A3223">
        <w:rPr>
          <w:bCs/>
          <w:szCs w:val="24"/>
        </w:rPr>
        <w:t xml:space="preserve">and </w:t>
      </w:r>
      <w:r w:rsidR="003A579D" w:rsidRPr="007A3223">
        <w:rPr>
          <w:bCs/>
          <w:szCs w:val="24"/>
        </w:rPr>
        <w:t>safety by CTCAE v4.0</w:t>
      </w:r>
    </w:p>
    <w:p w14:paraId="64DCCB3A" w14:textId="425EFF09" w:rsidR="00530293" w:rsidRPr="007A3223" w:rsidRDefault="00530293" w:rsidP="00B60E1D">
      <w:pPr>
        <w:numPr>
          <w:ilvl w:val="0"/>
          <w:numId w:val="8"/>
        </w:numPr>
        <w:spacing w:after="0"/>
        <w:ind w:left="1080"/>
        <w:rPr>
          <w:i/>
          <w:szCs w:val="24"/>
        </w:rPr>
      </w:pPr>
      <w:r w:rsidRPr="007A3223">
        <w:rPr>
          <w:bCs/>
          <w:szCs w:val="24"/>
        </w:rPr>
        <w:t>Phase II Cohort 3 SCLC; MEDI+O arm: To determine PFS</w:t>
      </w:r>
      <w:r w:rsidR="0059312A" w:rsidRPr="007A3223">
        <w:rPr>
          <w:bCs/>
          <w:szCs w:val="24"/>
        </w:rPr>
        <w:t xml:space="preserve"> and safety by CTCAE v4.0</w:t>
      </w:r>
    </w:p>
    <w:p w14:paraId="056D6410" w14:textId="28B69614" w:rsidR="00530293" w:rsidRPr="007A3223" w:rsidRDefault="00530293" w:rsidP="00B60E1D">
      <w:pPr>
        <w:numPr>
          <w:ilvl w:val="0"/>
          <w:numId w:val="8"/>
        </w:numPr>
        <w:spacing w:after="0"/>
        <w:ind w:left="1080"/>
        <w:rPr>
          <w:i/>
          <w:szCs w:val="24"/>
        </w:rPr>
      </w:pPr>
      <w:r w:rsidRPr="007A3223">
        <w:rPr>
          <w:bCs/>
          <w:szCs w:val="24"/>
        </w:rPr>
        <w:t xml:space="preserve">Phase II Cohort 4 </w:t>
      </w:r>
      <w:r w:rsidR="005E0DC5" w:rsidRPr="007A3223">
        <w:rPr>
          <w:bCs/>
          <w:szCs w:val="24"/>
        </w:rPr>
        <w:t>mCRPC</w:t>
      </w:r>
      <w:r w:rsidRPr="007A3223">
        <w:rPr>
          <w:bCs/>
          <w:szCs w:val="24"/>
        </w:rPr>
        <w:t xml:space="preserve">; </w:t>
      </w:r>
      <w:r w:rsidR="00D2654A" w:rsidRPr="00D2654A">
        <w:rPr>
          <w:bCs/>
          <w:szCs w:val="24"/>
        </w:rPr>
        <w:t>Durvalumab</w:t>
      </w:r>
      <w:r w:rsidRPr="007A3223">
        <w:rPr>
          <w:bCs/>
          <w:szCs w:val="24"/>
        </w:rPr>
        <w:t>+O arm: To determine ORR, safety by CTCAE v4.0, duration of response and PSA responses.</w:t>
      </w:r>
    </w:p>
    <w:p w14:paraId="34D4CF88" w14:textId="7FA85574" w:rsidR="00530293" w:rsidRPr="007A3223" w:rsidRDefault="00530293" w:rsidP="00B60E1D">
      <w:pPr>
        <w:numPr>
          <w:ilvl w:val="0"/>
          <w:numId w:val="8"/>
        </w:numPr>
        <w:spacing w:after="0"/>
        <w:ind w:left="1080"/>
        <w:rPr>
          <w:i/>
        </w:rPr>
      </w:pPr>
      <w:r w:rsidRPr="007A3223">
        <w:rPr>
          <w:bCs/>
          <w:szCs w:val="24"/>
        </w:rPr>
        <w:lastRenderedPageBreak/>
        <w:t xml:space="preserve">Phase II Cohort 5 TNBC; </w:t>
      </w:r>
      <w:r w:rsidR="00D2654A" w:rsidRPr="00D2654A">
        <w:rPr>
          <w:bCs/>
          <w:szCs w:val="24"/>
        </w:rPr>
        <w:t>Durvalumab</w:t>
      </w:r>
      <w:r w:rsidRPr="007A3223">
        <w:rPr>
          <w:bCs/>
          <w:szCs w:val="24"/>
        </w:rPr>
        <w:t>+O arm: To determine PFS, safety by CTCAE v4.0, and potential relationship between pretreatment tumor PD-L1 expression obtained from biopsies and clinical response</w:t>
      </w:r>
    </w:p>
    <w:p w14:paraId="3FC9BCF1" w14:textId="77E33B53" w:rsidR="00404894" w:rsidRPr="007A3223" w:rsidRDefault="00530293" w:rsidP="00B60E1D">
      <w:pPr>
        <w:numPr>
          <w:ilvl w:val="0"/>
          <w:numId w:val="8"/>
        </w:numPr>
        <w:spacing w:after="0"/>
        <w:ind w:left="1080"/>
        <w:rPr>
          <w:szCs w:val="24"/>
        </w:rPr>
      </w:pPr>
      <w:r w:rsidRPr="007A3223">
        <w:rPr>
          <w:bCs/>
        </w:rPr>
        <w:t>Phase II Cohort 6 CRC</w:t>
      </w:r>
      <w:r w:rsidR="005E0DC5" w:rsidRPr="007A3223">
        <w:rPr>
          <w:bCs/>
        </w:rPr>
        <w:t>;</w:t>
      </w:r>
      <w:r w:rsidRPr="007A3223">
        <w:rPr>
          <w:bCs/>
        </w:rPr>
        <w:t xml:space="preserve"> C+</w:t>
      </w:r>
      <w:r w:rsidR="00D2654A" w:rsidRPr="00D2654A">
        <w:rPr>
          <w:bCs/>
        </w:rPr>
        <w:t>Durvalumab</w:t>
      </w:r>
      <w:r w:rsidRPr="007A3223">
        <w:rPr>
          <w:bCs/>
        </w:rPr>
        <w:t xml:space="preserve"> arm: To determine clinical efficacy as measured by ORR, </w:t>
      </w:r>
      <w:r w:rsidRPr="007A3223">
        <w:rPr>
          <w:bCs/>
          <w:szCs w:val="24"/>
        </w:rPr>
        <w:t>safety by CTCAE v4.0,</w:t>
      </w:r>
      <w:r w:rsidRPr="007A3223" w:rsidDel="00530293">
        <w:rPr>
          <w:i/>
          <w:szCs w:val="24"/>
        </w:rPr>
        <w:t xml:space="preserve"> </w:t>
      </w:r>
    </w:p>
    <w:p w14:paraId="49636DEC" w14:textId="77777777" w:rsidR="00E04D24" w:rsidRPr="007A3223" w:rsidRDefault="00E04D24" w:rsidP="008255D7">
      <w:bookmarkStart w:id="30" w:name="_Toc399165738"/>
      <w:bookmarkStart w:id="31" w:name="_Toc250632159"/>
      <w:bookmarkStart w:id="32" w:name="_Toc281240072"/>
      <w:bookmarkStart w:id="33" w:name="_Toc281240314"/>
      <w:bookmarkStart w:id="34" w:name="_Toc288125056"/>
    </w:p>
    <w:p w14:paraId="067CDCA4" w14:textId="77777777" w:rsidR="00FE5A3D" w:rsidRPr="007A3223" w:rsidRDefault="00FE5A3D" w:rsidP="000C1D10">
      <w:pPr>
        <w:pStyle w:val="Heading3"/>
      </w:pPr>
      <w:bookmarkStart w:id="35" w:name="_Hlk78974213"/>
      <w:r w:rsidRPr="007A3223">
        <w:t>Translational and Exploratory Objectives</w:t>
      </w:r>
      <w:bookmarkEnd w:id="30"/>
      <w:r w:rsidR="00804166" w:rsidRPr="007A3223">
        <w:t xml:space="preserve"> (Phase II)</w:t>
      </w:r>
    </w:p>
    <w:p w14:paraId="7F293440" w14:textId="77777777" w:rsidR="00067FA0" w:rsidRPr="007A3223" w:rsidRDefault="00067FA0" w:rsidP="00B60E1D">
      <w:pPr>
        <w:numPr>
          <w:ilvl w:val="0"/>
          <w:numId w:val="5"/>
        </w:numPr>
        <w:spacing w:after="0"/>
        <w:ind w:left="1080"/>
        <w:rPr>
          <w:bCs/>
          <w:szCs w:val="24"/>
        </w:rPr>
      </w:pPr>
      <w:r w:rsidRPr="007A3223">
        <w:rPr>
          <w:bCs/>
          <w:szCs w:val="24"/>
        </w:rPr>
        <w:t xml:space="preserve">To explore </w:t>
      </w:r>
      <w:r w:rsidR="000E51AF" w:rsidRPr="007A3223">
        <w:rPr>
          <w:bCs/>
          <w:szCs w:val="24"/>
        </w:rPr>
        <w:t>tumor mutational loads</w:t>
      </w:r>
      <w:r w:rsidR="00BB1B7B" w:rsidRPr="007A3223">
        <w:rPr>
          <w:bCs/>
          <w:szCs w:val="24"/>
        </w:rPr>
        <w:t xml:space="preserve">, tumor or peripheral </w:t>
      </w:r>
      <w:r w:rsidRPr="007A3223">
        <w:rPr>
          <w:bCs/>
          <w:szCs w:val="24"/>
        </w:rPr>
        <w:t xml:space="preserve">immune characteristics </w:t>
      </w:r>
      <w:r w:rsidR="00BB1B7B" w:rsidRPr="007A3223">
        <w:rPr>
          <w:bCs/>
          <w:szCs w:val="24"/>
        </w:rPr>
        <w:t>changes</w:t>
      </w:r>
      <w:r w:rsidRPr="007A3223">
        <w:rPr>
          <w:bCs/>
          <w:szCs w:val="24"/>
        </w:rPr>
        <w:t xml:space="preserve">, </w:t>
      </w:r>
      <w:r w:rsidR="0021455B" w:rsidRPr="007A3223">
        <w:rPr>
          <w:bCs/>
          <w:szCs w:val="24"/>
        </w:rPr>
        <w:t xml:space="preserve">or </w:t>
      </w:r>
      <w:r w:rsidR="00AF6F5A" w:rsidRPr="007A3223">
        <w:rPr>
          <w:bCs/>
          <w:szCs w:val="24"/>
        </w:rPr>
        <w:t xml:space="preserve">cell free </w:t>
      </w:r>
      <w:r w:rsidR="00BB1B7B" w:rsidRPr="007A3223">
        <w:rPr>
          <w:bCs/>
          <w:szCs w:val="24"/>
        </w:rPr>
        <w:t>DNA</w:t>
      </w:r>
      <w:r w:rsidR="00AF6F5A" w:rsidRPr="007A3223">
        <w:rPr>
          <w:bCs/>
          <w:szCs w:val="24"/>
        </w:rPr>
        <w:t xml:space="preserve"> </w:t>
      </w:r>
      <w:r w:rsidRPr="007A3223">
        <w:rPr>
          <w:bCs/>
          <w:szCs w:val="24"/>
        </w:rPr>
        <w:t xml:space="preserve">in response to treatment.  </w:t>
      </w:r>
    </w:p>
    <w:p w14:paraId="6AC66FB0" w14:textId="77777777" w:rsidR="00932D30" w:rsidRPr="007A3223" w:rsidRDefault="00932D30" w:rsidP="00B60E1D">
      <w:pPr>
        <w:numPr>
          <w:ilvl w:val="0"/>
          <w:numId w:val="5"/>
        </w:numPr>
        <w:spacing w:after="0"/>
        <w:ind w:left="1080"/>
        <w:rPr>
          <w:bCs/>
          <w:szCs w:val="24"/>
        </w:rPr>
      </w:pPr>
      <w:r w:rsidRPr="007A3223">
        <w:rPr>
          <w:bCs/>
          <w:szCs w:val="24"/>
        </w:rPr>
        <w:t>To exp</w:t>
      </w:r>
      <w:r w:rsidR="00603716" w:rsidRPr="007A3223">
        <w:rPr>
          <w:bCs/>
          <w:szCs w:val="24"/>
        </w:rPr>
        <w:t xml:space="preserve">lore changes in plasma cytokines </w:t>
      </w:r>
      <w:r w:rsidRPr="007A3223">
        <w:rPr>
          <w:bCs/>
          <w:szCs w:val="24"/>
        </w:rPr>
        <w:t>and correlate with clinical response.</w:t>
      </w:r>
    </w:p>
    <w:p w14:paraId="59B79744" w14:textId="77777777" w:rsidR="00FE5A3D" w:rsidRPr="007A3223" w:rsidRDefault="00FE5A3D" w:rsidP="00B60E1D">
      <w:pPr>
        <w:numPr>
          <w:ilvl w:val="0"/>
          <w:numId w:val="5"/>
        </w:numPr>
        <w:spacing w:after="0"/>
        <w:ind w:left="1080"/>
        <w:rPr>
          <w:bCs/>
          <w:szCs w:val="24"/>
        </w:rPr>
      </w:pPr>
      <w:r w:rsidRPr="007A3223">
        <w:rPr>
          <w:bCs/>
          <w:szCs w:val="24"/>
        </w:rPr>
        <w:t xml:space="preserve">To correlate levels of </w:t>
      </w:r>
      <w:r w:rsidR="001D12B0" w:rsidRPr="007A3223">
        <w:rPr>
          <w:bCs/>
          <w:szCs w:val="24"/>
        </w:rPr>
        <w:t>circulating endothelial cells</w:t>
      </w:r>
      <w:r w:rsidRPr="007A3223">
        <w:rPr>
          <w:bCs/>
          <w:szCs w:val="24"/>
        </w:rPr>
        <w:t xml:space="preserve"> with clinical outcome.</w:t>
      </w:r>
    </w:p>
    <w:p w14:paraId="7332EDEE" w14:textId="77777777" w:rsidR="00560370" w:rsidRPr="007A3223" w:rsidRDefault="00560370" w:rsidP="00B60E1D">
      <w:pPr>
        <w:numPr>
          <w:ilvl w:val="0"/>
          <w:numId w:val="5"/>
        </w:numPr>
        <w:spacing w:after="0"/>
        <w:ind w:left="1080"/>
        <w:rPr>
          <w:bCs/>
          <w:szCs w:val="24"/>
        </w:rPr>
      </w:pPr>
      <w:r w:rsidRPr="007A3223">
        <w:rPr>
          <w:bCs/>
          <w:szCs w:val="24"/>
        </w:rPr>
        <w:t xml:space="preserve">To correlate levels of </w:t>
      </w:r>
      <w:r w:rsidR="0021455B" w:rsidRPr="007A3223">
        <w:rPr>
          <w:bCs/>
          <w:szCs w:val="24"/>
        </w:rPr>
        <w:t>circulating tumor cells (</w:t>
      </w:r>
      <w:r w:rsidRPr="007A3223">
        <w:rPr>
          <w:bCs/>
          <w:szCs w:val="24"/>
        </w:rPr>
        <w:t>CTCs</w:t>
      </w:r>
      <w:r w:rsidR="0021455B" w:rsidRPr="007A3223">
        <w:rPr>
          <w:bCs/>
          <w:szCs w:val="24"/>
        </w:rPr>
        <w:t>)</w:t>
      </w:r>
      <w:r w:rsidRPr="007A3223">
        <w:rPr>
          <w:bCs/>
          <w:szCs w:val="24"/>
        </w:rPr>
        <w:t xml:space="preserve"> with clinical outcome.</w:t>
      </w:r>
    </w:p>
    <w:p w14:paraId="03DEC8B0" w14:textId="77777777" w:rsidR="00574868" w:rsidRPr="007A3223" w:rsidRDefault="00574868" w:rsidP="00B60E1D">
      <w:pPr>
        <w:numPr>
          <w:ilvl w:val="0"/>
          <w:numId w:val="5"/>
        </w:numPr>
        <w:spacing w:after="0"/>
        <w:ind w:left="1080"/>
        <w:rPr>
          <w:bCs/>
          <w:szCs w:val="24"/>
        </w:rPr>
      </w:pPr>
      <w:r w:rsidRPr="007A3223">
        <w:rPr>
          <w:bCs/>
          <w:szCs w:val="24"/>
        </w:rPr>
        <w:t xml:space="preserve">To </w:t>
      </w:r>
      <w:r w:rsidR="001A10A8" w:rsidRPr="007A3223">
        <w:rPr>
          <w:bCs/>
          <w:szCs w:val="24"/>
        </w:rPr>
        <w:t xml:space="preserve">explore the correlation of </w:t>
      </w:r>
      <w:r w:rsidRPr="007A3223">
        <w:rPr>
          <w:bCs/>
          <w:szCs w:val="24"/>
        </w:rPr>
        <w:t>immune-related response criteria with standard RECIST criteria.</w:t>
      </w:r>
    </w:p>
    <w:p w14:paraId="14C5B9EB" w14:textId="77777777" w:rsidR="00BB1B7B" w:rsidRPr="007A3223" w:rsidRDefault="00BB1B7B" w:rsidP="00B60E1D">
      <w:pPr>
        <w:numPr>
          <w:ilvl w:val="0"/>
          <w:numId w:val="5"/>
        </w:numPr>
        <w:spacing w:after="0"/>
        <w:ind w:left="1080"/>
        <w:rPr>
          <w:bCs/>
          <w:szCs w:val="24"/>
        </w:rPr>
      </w:pPr>
      <w:r w:rsidRPr="007A3223">
        <w:rPr>
          <w:bCs/>
          <w:szCs w:val="24"/>
        </w:rPr>
        <w:t>OvCa</w:t>
      </w:r>
      <w:r w:rsidR="005C4926" w:rsidRPr="007A3223">
        <w:rPr>
          <w:bCs/>
          <w:szCs w:val="24"/>
        </w:rPr>
        <w:t xml:space="preserve"> </w:t>
      </w:r>
      <w:r w:rsidR="001371B8" w:rsidRPr="007A3223">
        <w:rPr>
          <w:bCs/>
          <w:szCs w:val="24"/>
        </w:rPr>
        <w:t>and TNBC</w:t>
      </w:r>
      <w:r w:rsidR="0021455B" w:rsidRPr="007A3223">
        <w:rPr>
          <w:bCs/>
          <w:szCs w:val="24"/>
        </w:rPr>
        <w:t xml:space="preserve"> only</w:t>
      </w:r>
      <w:r w:rsidRPr="007A3223">
        <w:rPr>
          <w:bCs/>
          <w:szCs w:val="24"/>
        </w:rPr>
        <w:t xml:space="preserve">: To examine differential immune characteristics of gBRCAm carriers and explore if they predict susceptibility to treatment. </w:t>
      </w:r>
    </w:p>
    <w:p w14:paraId="007A25C5" w14:textId="77777777" w:rsidR="00BB1B7B" w:rsidRPr="007A3223" w:rsidRDefault="00BB1B7B" w:rsidP="00B60E1D">
      <w:pPr>
        <w:numPr>
          <w:ilvl w:val="0"/>
          <w:numId w:val="5"/>
        </w:numPr>
        <w:spacing w:after="0"/>
        <w:ind w:left="1080"/>
        <w:rPr>
          <w:bCs/>
          <w:szCs w:val="24"/>
        </w:rPr>
      </w:pPr>
      <w:r w:rsidRPr="007A3223">
        <w:rPr>
          <w:bCs/>
          <w:szCs w:val="24"/>
        </w:rPr>
        <w:t>OvCa only: To explore whether a previously defined immunoreactive subtype of OvCa, as identified by TCGA and AOCS, correlates with clinical response.</w:t>
      </w:r>
    </w:p>
    <w:p w14:paraId="6907AF49" w14:textId="77777777" w:rsidR="00BB1B7B" w:rsidRPr="007A3223" w:rsidRDefault="00BB1B7B" w:rsidP="00B60E1D">
      <w:pPr>
        <w:numPr>
          <w:ilvl w:val="0"/>
          <w:numId w:val="5"/>
        </w:numPr>
        <w:spacing w:after="0"/>
        <w:ind w:left="1080"/>
        <w:rPr>
          <w:bCs/>
          <w:szCs w:val="24"/>
        </w:rPr>
      </w:pPr>
      <w:r w:rsidRPr="007A3223">
        <w:rPr>
          <w:bCs/>
          <w:szCs w:val="24"/>
        </w:rPr>
        <w:t>OvCa only: To explore the correlation of baseline activity or changes of OvCa tumor NF-kB, with clinical benefit.</w:t>
      </w:r>
    </w:p>
    <w:p w14:paraId="66DC709D" w14:textId="0C4FADAA" w:rsidR="00103CC0" w:rsidRDefault="00103CC0" w:rsidP="00B60E1D">
      <w:pPr>
        <w:numPr>
          <w:ilvl w:val="0"/>
          <w:numId w:val="5"/>
        </w:numPr>
        <w:spacing w:after="0"/>
        <w:ind w:left="1080"/>
        <w:rPr>
          <w:bCs/>
          <w:szCs w:val="24"/>
        </w:rPr>
      </w:pPr>
      <w:r w:rsidRPr="007A3223">
        <w:rPr>
          <w:bCs/>
          <w:szCs w:val="24"/>
        </w:rPr>
        <w:t>CRC only: To evaluate tumor PDL1 expression relative to baseline following single agent cediranib.</w:t>
      </w:r>
    </w:p>
    <w:p w14:paraId="67C6185D" w14:textId="7BAB863B" w:rsidR="00096362" w:rsidRPr="007A3223" w:rsidRDefault="00096362" w:rsidP="00B60E1D">
      <w:pPr>
        <w:numPr>
          <w:ilvl w:val="0"/>
          <w:numId w:val="5"/>
        </w:numPr>
        <w:spacing w:after="0"/>
        <w:ind w:left="1080"/>
        <w:rPr>
          <w:bCs/>
          <w:szCs w:val="24"/>
        </w:rPr>
      </w:pPr>
      <w:r>
        <w:t>T</w:t>
      </w:r>
      <w:r w:rsidRPr="00096362">
        <w:t>o explore the correlation of radiomics changes with clinical outcome.</w:t>
      </w:r>
    </w:p>
    <w:bookmarkEnd w:id="35"/>
    <w:p w14:paraId="61459567" w14:textId="77777777" w:rsidR="00444881" w:rsidRPr="007A3223" w:rsidRDefault="00444881" w:rsidP="00261DA5">
      <w:pPr>
        <w:spacing w:after="0"/>
        <w:rPr>
          <w:bCs/>
          <w:szCs w:val="24"/>
        </w:rPr>
      </w:pPr>
    </w:p>
    <w:p w14:paraId="45817E43" w14:textId="6030B82B" w:rsidR="00C77B3C" w:rsidRPr="007A3223" w:rsidRDefault="00261DA5" w:rsidP="00ED703B">
      <w:pPr>
        <w:pStyle w:val="Heading2"/>
      </w:pPr>
      <w:r w:rsidRPr="007A3223">
        <w:br w:type="page"/>
      </w:r>
      <w:bookmarkStart w:id="36" w:name="_Toc82444338"/>
      <w:r w:rsidR="006C05C9" w:rsidRPr="007A3223">
        <w:lastRenderedPageBreak/>
        <w:t>Background and Rationale</w:t>
      </w:r>
      <w:bookmarkEnd w:id="31"/>
      <w:bookmarkEnd w:id="32"/>
      <w:bookmarkEnd w:id="33"/>
      <w:bookmarkEnd w:id="34"/>
      <w:bookmarkEnd w:id="36"/>
    </w:p>
    <w:p w14:paraId="13D5B51F" w14:textId="7926D8EC" w:rsidR="006C0F1E" w:rsidRPr="007A3223" w:rsidRDefault="007A6E6D" w:rsidP="00AC750A">
      <w:pPr>
        <w:widowControl w:val="0"/>
        <w:autoSpaceDE w:val="0"/>
        <w:autoSpaceDN w:val="0"/>
        <w:adjustRightInd w:val="0"/>
        <w:spacing w:after="0"/>
        <w:ind w:firstLine="360"/>
        <w:rPr>
          <w:szCs w:val="24"/>
        </w:rPr>
      </w:pPr>
      <w:r w:rsidRPr="007A3223">
        <w:rPr>
          <w:szCs w:val="24"/>
          <w:lang w:eastAsia="ko-KR"/>
        </w:rPr>
        <w:t>High grade serous epithelial ovarian cancers are of Mullerian duct origi</w:t>
      </w:r>
      <w:r w:rsidRPr="007A3223">
        <w:rPr>
          <w:szCs w:val="24"/>
        </w:rPr>
        <w:t xml:space="preserve">n, are genetically </w:t>
      </w:r>
      <w:r w:rsidRPr="007A3223">
        <w:rPr>
          <w:bCs/>
          <w:szCs w:val="24"/>
          <w:lang w:eastAsia="ko-KR"/>
        </w:rPr>
        <w:t>unstable</w:t>
      </w:r>
      <w:r w:rsidRPr="007A3223">
        <w:rPr>
          <w:szCs w:val="24"/>
        </w:rPr>
        <w:t xml:space="preserve"> and aggressive neoplasms, and account for the majority of deaths in the United States in women with gynecologic malignancies</w:t>
      </w:r>
      <w:hyperlink w:anchor="_ENREF_1" w:tooltip="Siegel, 2013 #1" w:history="1">
        <w:r w:rsidR="00F77861" w:rsidRPr="00244551">
          <w:rPr>
            <w:rStyle w:val="Hyperlink"/>
            <w:szCs w:val="24"/>
          </w:rPr>
          <w:fldChar w:fldCharType="begin"/>
        </w:r>
        <w:r w:rsidR="00F77861" w:rsidRPr="00244551">
          <w:rPr>
            <w:rStyle w:val="Hyperlink"/>
            <w:szCs w:val="24"/>
          </w:rPr>
          <w:instrText xml:space="preserve"> ADDIN EN.CITE &lt;EndNote&gt;&lt;Cite&gt;&lt;Author&gt;Siegel&lt;/Author&gt;&lt;Year&gt;2013&lt;/Year&gt;&lt;RecNum&gt;1&lt;/RecNum&gt;&lt;DisplayText&gt;&lt;style face="superscript"&gt;1&lt;/style&gt;&lt;/DisplayText&gt;&lt;record&gt;&lt;rec-number&gt;1&lt;/rec-number&gt;&lt;foreign-keys&gt;&lt;key app="EN" db-id="fd5pzdff0z5dt7er5swxsd2m2te2fd9saae5" timestamp="1426604744"&gt;1&lt;/key&gt;&lt;/foreign-keys&gt;&lt;ref-type name="Journal Article"&gt;17&lt;/ref-type&gt;&lt;contributors&gt;&lt;authors&gt;&lt;author&gt;Siegel, R.&lt;/author&gt;&lt;author&gt;Naishadham, D.&lt;/author&gt;&lt;author&gt;Jemal, A.&lt;/author&gt;&lt;/authors&gt;&lt;/contributors&gt;&lt;auth-address&gt;Surveillance Information, Surveillance and Health Services Research, American Cancer Society, Atlanta, GA 30303-1002, USA. Rebecca.siegel@cancer.org&lt;/auth-address&gt;&lt;titles&gt;&lt;title&gt;Cancer statistics, 2013&lt;/title&gt;&lt;secondary-title&gt;CA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clinicians&lt;/abbr-1&gt;&lt;/alt-periodical&gt;&lt;pages&gt;11-30&lt;/pages&gt;&lt;volume&gt;63&lt;/volume&gt;&lt;number&gt;1&lt;/number&gt;&lt;keywords&gt;&lt;keyword&gt;American Cancer Society&lt;/keyword&gt;&lt;keyword&gt;Female&lt;/keyword&gt;&lt;keyword&gt;Humans&lt;/keyword&gt;&lt;keyword&gt;Incidence&lt;/keyword&gt;&lt;keyword&gt;Male&lt;/keyword&gt;&lt;keyword&gt;Morbidity/trends&lt;/keyword&gt;&lt;keyword&gt;Neoplasms/*epidemiology&lt;/keyword&gt;&lt;keyword&gt;Registries&lt;/keyword&gt;&lt;keyword&gt;Survival Rate/trends&lt;/keyword&gt;&lt;keyword&gt;United States/epidemiology&lt;/keyword&gt;&lt;/keywords&gt;&lt;dates&gt;&lt;year&gt;2013&lt;/year&gt;&lt;pub-dates&gt;&lt;date&gt;Jan&lt;/date&gt;&lt;/pub-dates&gt;&lt;/dates&gt;&lt;isbn&gt;1542-4863 (Electronic)&amp;#xD;0007-9235 (Linking)&lt;/isbn&gt;&lt;accession-num&gt;23335087&lt;/accession-num&gt;&lt;urls&gt;&lt;related-urls&gt;&lt;url&gt;http://www.ncbi.nlm.nih.gov/pubmed/23335087&lt;/url&gt;&lt;/related-urls&gt;&lt;/urls&gt;&lt;electronic-resource-num&gt;10.3322/caac.21166&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w:t>
        </w:r>
        <w:r w:rsidR="00F77861" w:rsidRPr="00244551">
          <w:rPr>
            <w:rStyle w:val="Hyperlink"/>
            <w:szCs w:val="24"/>
          </w:rPr>
          <w:fldChar w:fldCharType="end"/>
        </w:r>
      </w:hyperlink>
      <w:r w:rsidRPr="007A3223">
        <w:rPr>
          <w:szCs w:val="24"/>
        </w:rPr>
        <w:t>. Most patients with epithelial ov</w:t>
      </w:r>
      <w:r w:rsidRPr="00F33908">
        <w:rPr>
          <w:szCs w:val="24"/>
        </w:rPr>
        <w:t>arian cancer prese</w:t>
      </w:r>
      <w:r w:rsidRPr="007A3223">
        <w:rPr>
          <w:szCs w:val="24"/>
        </w:rPr>
        <w:t>nt with advanced disease at diagnosis</w:t>
      </w:r>
      <w:hyperlink w:anchor="_ENREF_2" w:tooltip="Cannistra, 2004 #2" w:history="1">
        <w:r w:rsidR="00F77861" w:rsidRPr="00244551">
          <w:rPr>
            <w:rStyle w:val="Hyperlink"/>
            <w:szCs w:val="24"/>
          </w:rPr>
          <w:fldChar w:fldCharType="begin"/>
        </w:r>
        <w:r w:rsidR="00F77861" w:rsidRPr="00244551">
          <w:rPr>
            <w:rStyle w:val="Hyperlink"/>
            <w:szCs w:val="24"/>
          </w:rPr>
          <w:instrText xml:space="preserve"> ADDIN EN.CITE &lt;EndNote&gt;&lt;Cite&gt;&lt;Author&gt;Cannistra&lt;/Author&gt;&lt;Year&gt;2004&lt;/Year&gt;&lt;RecNum&gt;2&lt;/RecNum&gt;&lt;DisplayText&gt;&lt;style face="superscript"&gt;2&lt;/style&gt;&lt;/DisplayText&gt;&lt;record&gt;&lt;rec-number&gt;2&lt;/rec-number&gt;&lt;foreign-keys&gt;&lt;key app="EN" db-id="fd5pzdff0z5dt7er5swxsd2m2te2fd9saae5" timestamp="1426604744"&gt;2&lt;/key&gt;&lt;/foreign-keys&gt;&lt;ref-type name="Journal Article"&gt;17&lt;/ref-type&gt;&lt;contributors&gt;&lt;authors&gt;&lt;author&gt;Cannistra, S. A.&lt;/author&gt;&lt;/authors&gt;&lt;/contributors&gt;&lt;auth-address&gt;Program of Gynecologic Medical Oncology, Beth Israel Deaconess Medical Center, Boston, MA 02215, USA. scannist@bidmc.harvard.edu&lt;/auth-address&gt;&lt;titles&gt;&lt;title&gt;Cancer of the ovary&lt;/title&gt;&lt;secondary-title&gt;N Engl J Med&lt;/secondary-title&gt;&lt;/titles&gt;&lt;periodical&gt;&lt;full-title&gt;N Engl J Med&lt;/full-title&gt;&lt;/periodical&gt;&lt;pages&gt;2519-29&lt;/pages&gt;&lt;volume&gt;351&lt;/volume&gt;&lt;number&gt;24&lt;/number&gt;&lt;edition&gt;2004/12/14&lt;/edition&gt;&lt;keywords&gt;&lt;keyword&gt;Antineoplastic Agents/*therapeutic use&lt;/keyword&gt;&lt;keyword&gt;CA-125 Antigen/blood&lt;/keyword&gt;&lt;keyword&gt;Chemotherapy, Adjuvant&lt;/keyword&gt;&lt;keyword&gt;Female&lt;/keyword&gt;&lt;keyword&gt;Genes, BRCA1&lt;/keyword&gt;&lt;keyword&gt;Genes, BRCA2&lt;/keyword&gt;&lt;keyword&gt;Germ-Line Mutation&lt;/keyword&gt;&lt;keyword&gt;Humans&lt;/keyword&gt;&lt;keyword&gt;Neoplasm Recurrence, Local/drug therapy&lt;/keyword&gt;&lt;keyword&gt;Ovarian Neoplasms/diagnosis/*drug therapy/genetics/*surgery&lt;/keyword&gt;&lt;keyword&gt;Ovary/pathology&lt;/keyword&gt;&lt;keyword&gt;Postoperative Care&lt;/keyword&gt;&lt;keyword&gt;Risk Factors&lt;/keyword&gt;&lt;/keywords&gt;&lt;dates&gt;&lt;year&gt;2004&lt;/year&gt;&lt;pub-dates&gt;&lt;date&gt;Dec 9&lt;/date&gt;&lt;/pub-dates&gt;&lt;/dates&gt;&lt;isbn&gt;1533-4406 (Electronic)&amp;#xD;0028-4793 (Linking)&lt;/isbn&gt;&lt;accession-num&gt;15590954&lt;/accession-num&gt;&lt;urls&gt;&lt;related-urls&gt;&lt;url&gt;http://www.ncbi.nlm.nih.gov/entrez/query.fcgi?cmd=Retrieve&amp;amp;db=PubMed&amp;amp;dopt=Citation&amp;amp;list_uids=15590954&lt;/url&gt;&lt;/related-urls&gt;&lt;/urls&gt;&lt;electronic-resource-num&gt;351/24/2519 [pii]&amp;#xD;10.1056/NEJMra041842&lt;/electronic-resource-num&gt;&lt;language&gt;eng&lt;/language&gt;&lt;/record&gt;&lt;/Cite&gt;&lt;/EndNote&gt;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2</w:t>
        </w:r>
        <w:r w:rsidR="00F77861" w:rsidRPr="00244551">
          <w:rPr>
            <w:rStyle w:val="Hyperlink"/>
            <w:szCs w:val="24"/>
          </w:rPr>
          <w:fldChar w:fldCharType="end"/>
        </w:r>
      </w:hyperlink>
      <w:r w:rsidR="00DE5DBA" w:rsidRPr="007A3223">
        <w:rPr>
          <w:szCs w:val="24"/>
        </w:rPr>
        <w:t>.</w:t>
      </w:r>
      <w:r w:rsidR="006C0F1E" w:rsidRPr="00F33908">
        <w:rPr>
          <w:szCs w:val="24"/>
        </w:rPr>
        <w:t xml:space="preserve"> </w:t>
      </w:r>
      <w:r w:rsidR="00DE5DBA" w:rsidRPr="007A3223">
        <w:t>D</w:t>
      </w:r>
      <w:r w:rsidR="006C0F1E" w:rsidRPr="007A3223">
        <w:t>isease recurrence is common</w:t>
      </w:r>
      <w:r w:rsidR="00DE5DBA" w:rsidRPr="007A3223">
        <w:t>,</w:t>
      </w:r>
      <w:r w:rsidR="006C0F1E" w:rsidRPr="007A3223">
        <w:t xml:space="preserve"> leading to incurable disease w</w:t>
      </w:r>
      <w:r w:rsidR="00DE5DBA" w:rsidRPr="007A3223">
        <w:t xml:space="preserve">ith </w:t>
      </w:r>
      <w:r w:rsidR="006C0F1E" w:rsidRPr="007A3223">
        <w:t>limited</w:t>
      </w:r>
      <w:r w:rsidR="00DE5DBA" w:rsidRPr="007A3223">
        <w:t xml:space="preserve"> treatment options</w:t>
      </w:r>
      <w:hyperlink w:anchor="_ENREF_2" w:tooltip="Cannistra, 2004 #2" w:history="1">
        <w:r w:rsidR="00F77861" w:rsidRPr="00244551">
          <w:rPr>
            <w:rStyle w:val="Hyperlink"/>
          </w:rPr>
          <w:fldChar w:fldCharType="begin"/>
        </w:r>
        <w:r w:rsidR="00F77861" w:rsidRPr="00244551">
          <w:rPr>
            <w:rStyle w:val="Hyperlink"/>
          </w:rPr>
          <w:instrText xml:space="preserve"> ADDIN EN.CITE &lt;EndNote&gt;&lt;Cite&gt;&lt;Author&gt;Cannistra&lt;/Author&gt;&lt;Year&gt;2004&lt;/Year&gt;&lt;RecNum&gt;2&lt;/RecNum&gt;&lt;DisplayText&gt;&lt;style face="superscript"&gt;2&lt;/style&gt;&lt;/DisplayText&gt;&lt;record&gt;&lt;rec-number&gt;2&lt;/rec-number&gt;&lt;foreign-keys&gt;&lt;key app="EN" db-id="fd5pzdff0z5dt7er5swxsd2m2te2fd9saae5" timestamp="1426604744"&gt;2&lt;/key&gt;&lt;/foreign-keys&gt;&lt;ref-type name="Journal Article"&gt;17&lt;/ref-type&gt;&lt;contributors&gt;&lt;authors&gt;&lt;author&gt;Cannistra, S. A.&lt;/author&gt;&lt;/authors&gt;&lt;/contributors&gt;&lt;auth-address&gt;Program of Gynecologic Medical Oncology, Beth Israel Deaconess Medical Center, Boston, MA 02215, USA. scannist@bidmc.harvard.edu&lt;/auth-address&gt;&lt;titles&gt;&lt;title&gt;Cancer of the ovary&lt;/title&gt;&lt;secondary-title&gt;N Engl J Med&lt;/secondary-title&gt;&lt;/titles&gt;&lt;periodical&gt;&lt;full-title&gt;N Engl J Med&lt;/full-title&gt;&lt;/periodical&gt;&lt;pages&gt;2519-29&lt;/pages&gt;&lt;volume&gt;351&lt;/volume&gt;&lt;number&gt;24&lt;/number&gt;&lt;edition&gt;2004/12/14&lt;/edition&gt;&lt;keywords&gt;&lt;keyword&gt;Antineoplastic Agents/*therapeutic use&lt;/keyword&gt;&lt;keyword&gt;CA-125 Antigen/blood&lt;/keyword&gt;&lt;keyword&gt;Chemotherapy, Adjuvant&lt;/keyword&gt;&lt;keyword&gt;Female&lt;/keyword&gt;&lt;keyword&gt;Genes, BRCA1&lt;/keyword&gt;&lt;keyword&gt;Genes, BRCA2&lt;/keyword&gt;&lt;keyword&gt;Germ-Line Mutation&lt;/keyword&gt;&lt;keyword&gt;Humans&lt;/keyword&gt;&lt;keyword&gt;Neoplasm Recurrence, Local/drug therapy&lt;/keyword&gt;&lt;keyword&gt;Ovarian Neoplasms/diagnosis/*drug therapy/genetics/*surgery&lt;/keyword&gt;&lt;keyword&gt;Ovary/pathology&lt;/keyword&gt;&lt;keyword&gt;Postoperative Care&lt;/keyword&gt;&lt;keyword&gt;Risk Factors&lt;/keyword&gt;&lt;/keywords&gt;&lt;dates&gt;&lt;year&gt;2004&lt;/year&gt;&lt;pub-dates&gt;&lt;date&gt;Dec 9&lt;/date&gt;&lt;/pub-dates&gt;&lt;/dates&gt;&lt;isbn&gt;1533-4406 (Electronic)&amp;#xD;0028-4793 (Linking)&lt;/isbn&gt;&lt;accession-num&gt;15590954&lt;/accession-num&gt;&lt;urls&gt;&lt;related-urls&gt;&lt;url&gt;http://www.ncbi.nlm.nih.gov/entrez/query.fcgi?cmd=Retrieve&amp;amp;db=PubMed&amp;amp;dopt=Citation&amp;amp;list_uids=15590954&lt;/url&gt;&lt;/related-urls&gt;&lt;/urls&gt;&lt;electronic-resource-num&gt;351/24/2519 [pii]&amp;#xD;10.1056/NEJMra041842&lt;/electronic-resource-num&gt;&lt;language&gt;eng&lt;/language&gt;&lt;/record&gt;&lt;/Cite&gt;&lt;/EndNote&gt;</w:instrText>
        </w:r>
        <w:r w:rsidR="00F77861" w:rsidRPr="00244551">
          <w:rPr>
            <w:rStyle w:val="Hyperlink"/>
          </w:rPr>
          <w:fldChar w:fldCharType="separate"/>
        </w:r>
        <w:r w:rsidR="00F77861" w:rsidRPr="00244551">
          <w:rPr>
            <w:rStyle w:val="Hyperlink"/>
            <w:noProof/>
            <w:vertAlign w:val="superscript"/>
          </w:rPr>
          <w:t>2</w:t>
        </w:r>
        <w:r w:rsidR="00F77861" w:rsidRPr="00244551">
          <w:rPr>
            <w:rStyle w:val="Hyperlink"/>
          </w:rPr>
          <w:fldChar w:fldCharType="end"/>
        </w:r>
      </w:hyperlink>
      <w:r w:rsidR="00DE5DBA" w:rsidRPr="007A3223">
        <w:t>.</w:t>
      </w:r>
      <w:r w:rsidR="006C0F1E" w:rsidRPr="00F33908">
        <w:t xml:space="preserve"> </w:t>
      </w:r>
    </w:p>
    <w:p w14:paraId="69B58507" w14:textId="77777777" w:rsidR="00B1720F" w:rsidRPr="007A3223" w:rsidRDefault="007F1728" w:rsidP="000C1D10">
      <w:pPr>
        <w:pStyle w:val="Heading3"/>
      </w:pPr>
      <w:bookmarkStart w:id="37" w:name="_Toc489625618"/>
      <w:bookmarkEnd w:id="37"/>
      <w:r w:rsidRPr="007A3223">
        <w:t xml:space="preserve">Disruption of </w:t>
      </w:r>
      <w:r w:rsidR="006C0F1E" w:rsidRPr="007A3223">
        <w:t>the PD-1/PD-L1 pathway as a therapeutic approach in advanced ovarian cancer</w:t>
      </w:r>
    </w:p>
    <w:p w14:paraId="73BD3C1A" w14:textId="29387D2C" w:rsidR="00EA0F77" w:rsidRPr="00F33908" w:rsidRDefault="008A33E5" w:rsidP="009C088F">
      <w:pPr>
        <w:widowControl w:val="0"/>
        <w:autoSpaceDE w:val="0"/>
        <w:autoSpaceDN w:val="0"/>
        <w:adjustRightInd w:val="0"/>
        <w:spacing w:after="0"/>
        <w:ind w:firstLine="360"/>
        <w:rPr>
          <w:rFonts w:eastAsia="Times New Roman"/>
          <w:szCs w:val="24"/>
        </w:rPr>
      </w:pPr>
      <w:r w:rsidRPr="007A3223">
        <w:rPr>
          <w:bCs/>
          <w:szCs w:val="24"/>
          <w:lang w:eastAsia="ko-KR"/>
        </w:rPr>
        <w:t xml:space="preserve">A potential therapeutic target in advanced solid tumors and recurrent ovarian cancers is the modulation of the </w:t>
      </w:r>
      <w:r w:rsidRPr="007A3223">
        <w:rPr>
          <w:rFonts w:eastAsia="Times New Roman"/>
          <w:szCs w:val="24"/>
        </w:rPr>
        <w:t>host immune response to tumor</w:t>
      </w:r>
      <w:hyperlink w:anchor="_ENREF_3" w:tooltip="Tothill, 2008 #3" w:history="1">
        <w:r w:rsidR="00F77861" w:rsidRPr="00244551">
          <w:rPr>
            <w:rStyle w:val="Hyperlink"/>
            <w:szCs w:val="24"/>
            <w:lang w:eastAsia="ko-KR"/>
          </w:rPr>
          <w:fldChar w:fldCharType="begin">
            <w:fldData xml:space="preserve">PEVuZE5vdGU+PENpdGU+PEF1dGhvcj5Ub3RoaWxsPC9BdXRob3I+PFllYXI+MjAwODwvWWVhcj48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cmlvZGljYWw+PHBhZ2VzPjUxOTgtMjA4PC9wYWdlcz48dm9sdW1lPjE0PC92b2x1bWU+PG51bWJl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ci0xPk5hdHVyZTwvYWJici0xPjwvYWx0LXBlcmlvZGljYWw+PHBhZ2VzPjQ4MC05PC9wYWdlcz48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aWNhbD48cGFnZXM+NjA5LTE1PC9wYWdlcz48dm9sdW1lPjQ3NDwvdm9sdW1lPjxudW1iZXI+NzM1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</w:fldData>
          </w:fldChar>
        </w:r>
        <w:r w:rsidR="00F77861" w:rsidRPr="00244551">
          <w:rPr>
            <w:rStyle w:val="Hyperlink"/>
            <w:szCs w:val="24"/>
            <w:lang w:eastAsia="ko-KR"/>
          </w:rPr>
          <w:instrText xml:space="preserve"> ADDIN EN.CITE </w:instrText>
        </w:r>
        <w:r w:rsidR="00F77861" w:rsidRPr="00244551">
          <w:rPr>
            <w:rStyle w:val="Hyperlink"/>
            <w:szCs w:val="24"/>
            <w:lang w:eastAsia="ko-KR"/>
          </w:rPr>
          <w:fldChar w:fldCharType="begin">
            <w:fldData xml:space="preserve">PEVuZE5vdGU+PENpdGU+PEF1dGhvcj5Ub3RoaWxsPC9BdXRob3I+PFllYXI+MjAwODwvWWVhcj48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cmlvZGljYWw+PHBhZ2VzPjUxOTgtMjA4PC9wYWdlcz48dm9sdW1lPjE0PC92b2x1bWU+PG51bWJl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ci0xPk5hdHVyZTwvYWJici0xPjwvYWx0LXBlcmlvZGljYWw+PHBhZ2VzPjQ4MC05PC9wYWdlcz48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aWNhbD48cGFnZXM+NjA5LTE1PC9wYWdlcz48dm9sdW1lPjQ3NDwvdm9sdW1lPjxudW1iZXI+NzM1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</w:fldData>
          </w:fldChar>
        </w:r>
        <w:r w:rsidR="00F77861" w:rsidRPr="00244551">
          <w:rPr>
            <w:rStyle w:val="Hyperlink"/>
            <w:szCs w:val="24"/>
            <w:lang w:eastAsia="ko-KR"/>
          </w:rPr>
          <w:instrText xml:space="preserve"> ADDIN EN.CITE.DATA </w:instrText>
        </w:r>
        <w:r w:rsidR="00F77861" w:rsidRPr="00244551">
          <w:rPr>
            <w:rStyle w:val="Hyperlink"/>
            <w:szCs w:val="24"/>
            <w:lang w:eastAsia="ko-KR"/>
          </w:rPr>
        </w:r>
        <w:r w:rsidR="00F77861" w:rsidRPr="00244551">
          <w:rPr>
            <w:rStyle w:val="Hyperlink"/>
            <w:szCs w:val="24"/>
            <w:lang w:eastAsia="ko-KR"/>
          </w:rPr>
          <w:fldChar w:fldCharType="end"/>
        </w:r>
        <w:r w:rsidR="00F77861" w:rsidRPr="00244551">
          <w:rPr>
            <w:rStyle w:val="Hyperlink"/>
            <w:szCs w:val="24"/>
            <w:lang w:eastAsia="ko-KR"/>
          </w:rPr>
        </w:r>
        <w:r w:rsidR="00F77861" w:rsidRPr="00244551">
          <w:rPr>
            <w:rStyle w:val="Hyperlink"/>
            <w:szCs w:val="24"/>
            <w:lang w:eastAsia="ko-KR"/>
          </w:rPr>
          <w:fldChar w:fldCharType="separate"/>
        </w:r>
        <w:r w:rsidR="00F77861" w:rsidRPr="00244551">
          <w:rPr>
            <w:rStyle w:val="Hyperlink"/>
            <w:noProof/>
            <w:szCs w:val="24"/>
            <w:vertAlign w:val="superscript"/>
            <w:lang w:eastAsia="ko-KR"/>
          </w:rPr>
          <w:t>3-5</w:t>
        </w:r>
        <w:r w:rsidR="00F77861" w:rsidRPr="00244551">
          <w:rPr>
            <w:rStyle w:val="Hyperlink"/>
            <w:szCs w:val="24"/>
            <w:lang w:eastAsia="ko-KR"/>
          </w:rPr>
          <w:fldChar w:fldCharType="end"/>
        </w:r>
      </w:hyperlink>
      <w:r w:rsidRPr="007A3223">
        <w:rPr>
          <w:szCs w:val="24"/>
        </w:rPr>
        <w:t xml:space="preserve">. </w:t>
      </w:r>
      <w:r w:rsidR="00CA3D80" w:rsidRPr="00F33908">
        <w:rPr>
          <w:szCs w:val="24"/>
        </w:rPr>
        <w:t xml:space="preserve">There is </w:t>
      </w:r>
      <w:r w:rsidR="009B5B94" w:rsidRPr="007A3223">
        <w:rPr>
          <w:szCs w:val="24"/>
        </w:rPr>
        <w:t xml:space="preserve">recent </w:t>
      </w:r>
      <w:r w:rsidR="00CA3D80" w:rsidRPr="007A3223">
        <w:rPr>
          <w:szCs w:val="24"/>
        </w:rPr>
        <w:t>evidence that native host anti-tumor cell mediated immune mechanisms play a role in clinical outcomes of epithelial ovarian cancer</w:t>
      </w:r>
      <w:r w:rsidR="002457B0" w:rsidRPr="00585A7F">
        <w:rPr>
          <w:szCs w:val="24"/>
        </w:rPr>
        <w:fldChar w:fldCharType="begin">
          <w:fldData xml:space="preserve">PEVuZE5vdGU+PENpdGU+PEF1dGhvcj5aaGFuZzwvQXV0aG9yPjxZZWFyPjIwMDM8L1llYXI+PFJl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</w:fldData>
        </w:fldChar>
      </w:r>
      <w:r w:rsidR="00A756D5" w:rsidRPr="007A3223">
        <w:rPr>
          <w:szCs w:val="24"/>
        </w:rPr>
        <w:instrText xml:space="preserve"> ADDIN EN.CITE </w:instrText>
      </w:r>
      <w:r w:rsidR="00A756D5" w:rsidRPr="00263259">
        <w:rPr>
          <w:szCs w:val="24"/>
        </w:rPr>
        <w:fldChar w:fldCharType="begin">
          <w:fldData xml:space="preserve">PEVuZE5vdGU+PENpdGU+PEF1dGhvcj5aaGFuZzwvQXV0aG9yPjxZZWFyPjIwMDM8L1llYXI+PFJl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</w:fldData>
        </w:fldChar>
      </w:r>
      <w:r w:rsidR="00A756D5" w:rsidRPr="007A3223">
        <w:rPr>
          <w:szCs w:val="24"/>
        </w:rPr>
        <w:instrText xml:space="preserve"> ADDIN EN.CITE.DATA </w:instrText>
      </w:r>
      <w:r w:rsidR="00A756D5" w:rsidRPr="00263259">
        <w:rPr>
          <w:szCs w:val="24"/>
        </w:rPr>
      </w:r>
      <w:r w:rsidR="00A756D5" w:rsidRPr="00263259">
        <w:rPr>
          <w:szCs w:val="24"/>
        </w:rPr>
        <w:fldChar w:fldCharType="end"/>
      </w:r>
      <w:r w:rsidR="002457B0" w:rsidRPr="00585A7F">
        <w:rPr>
          <w:szCs w:val="24"/>
        </w:rPr>
      </w:r>
      <w:r w:rsidR="002457B0" w:rsidRPr="00585A7F">
        <w:rPr>
          <w:szCs w:val="24"/>
        </w:rPr>
        <w:fldChar w:fldCharType="separate"/>
      </w:r>
      <w:hyperlink w:anchor="_ENREF_6" w:tooltip="Zhang, 2003 #6" w:history="1">
        <w:r w:rsidR="00F77861" w:rsidRPr="00244551">
          <w:rPr>
            <w:rStyle w:val="Hyperlink"/>
            <w:noProof/>
            <w:szCs w:val="24"/>
            <w:vertAlign w:val="superscript"/>
          </w:rPr>
          <w:t>6</w:t>
        </w:r>
      </w:hyperlink>
      <w:r w:rsidR="006F7A98" w:rsidRPr="00F33908">
        <w:rPr>
          <w:noProof/>
          <w:szCs w:val="24"/>
          <w:vertAlign w:val="superscript"/>
        </w:rPr>
        <w:t>,</w:t>
      </w:r>
      <w:hyperlink w:anchor="_ENREF_7" w:tooltip="Schreiber, 2011 #7" w:history="1">
        <w:r w:rsidR="00F77861" w:rsidRPr="00244551">
          <w:rPr>
            <w:rStyle w:val="Hyperlink"/>
            <w:noProof/>
            <w:szCs w:val="24"/>
            <w:vertAlign w:val="superscript"/>
          </w:rPr>
          <w:t>7</w:t>
        </w:r>
      </w:hyperlink>
      <w:r w:rsidR="002457B0" w:rsidRPr="00585A7F">
        <w:rPr>
          <w:szCs w:val="24"/>
        </w:rPr>
        <w:fldChar w:fldCharType="end"/>
      </w:r>
      <w:r w:rsidR="00CA3D80" w:rsidRPr="007A3223">
        <w:rPr>
          <w:szCs w:val="24"/>
        </w:rPr>
        <w:t xml:space="preserve">. </w:t>
      </w:r>
      <w:r w:rsidRPr="00F33908">
        <w:rPr>
          <w:rFonts w:eastAsia="Times New Roman"/>
          <w:szCs w:val="24"/>
        </w:rPr>
        <w:t>Tumor cells creat</w:t>
      </w:r>
      <w:r w:rsidRPr="007A3223">
        <w:rPr>
          <w:rFonts w:eastAsia="Times New Roman"/>
          <w:szCs w:val="24"/>
        </w:rPr>
        <w:t>e an immunosuppressive milieu with activation of multiple mechanisms to evad</w:t>
      </w:r>
      <w:r w:rsidR="005D7575" w:rsidRPr="007A3223">
        <w:rPr>
          <w:rFonts w:eastAsia="Times New Roman"/>
          <w:szCs w:val="24"/>
        </w:rPr>
        <w:t>e immune destruction, including</w:t>
      </w:r>
      <w:r w:rsidRPr="007A3223">
        <w:rPr>
          <w:rFonts w:eastAsia="Times New Roman"/>
          <w:szCs w:val="24"/>
        </w:rPr>
        <w:t xml:space="preserve"> disruption of effective antigen presentation, reduction of effector T cell function, and upregulation of pathways that promote tolerance and T cell anergy</w:t>
      </w:r>
      <w:hyperlink w:anchor="_ENREF_7" w:tooltip="Schreiber, 2011 #7" w:history="1">
        <w:r w:rsidR="00F77861" w:rsidRPr="00244551">
          <w:rPr>
            <w:rStyle w:val="Hyperlink"/>
            <w:rFonts w:eastAsia="Times New Roman"/>
            <w:szCs w:val="24"/>
          </w:rPr>
          <w:fldChar w:fldCharType="begin">
            <w:fldData xml:space="preserve">PEVuZE5vdGU+PENpdGU+PEF1dGhvcj5TY2hyZWliZXI8L0F1dGhvcj48WWVhcj4yMDExPC9ZZWFy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PEVuZE5vdGU+PENpdGU+PEF1dGhvcj5TY2hyZWliZXI8L0F1dGhvcj48WWVhcj4yMDExPC9ZZWFy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7</w:t>
        </w:r>
        <w:r w:rsidR="00F77861" w:rsidRPr="00244551">
          <w:rPr>
            <w:rStyle w:val="Hyperlink"/>
            <w:rFonts w:eastAsia="Times New Roman"/>
            <w:szCs w:val="24"/>
          </w:rPr>
          <w:fldChar w:fldCharType="end"/>
        </w:r>
      </w:hyperlink>
      <w:r w:rsidRPr="007A3223">
        <w:rPr>
          <w:rFonts w:eastAsia="Times New Roman"/>
          <w:szCs w:val="24"/>
        </w:rPr>
        <w:t xml:space="preserve">. </w:t>
      </w:r>
    </w:p>
    <w:p w14:paraId="3DB79420" w14:textId="60DD2F42" w:rsidR="002A4BD1" w:rsidRPr="00F33908" w:rsidRDefault="0034385E" w:rsidP="00AC750A">
      <w:pPr>
        <w:spacing w:after="0"/>
        <w:ind w:firstLine="360"/>
        <w:rPr>
          <w:rFonts w:eastAsia="Times New Roman"/>
          <w:szCs w:val="24"/>
        </w:rPr>
      </w:pPr>
      <w:r w:rsidRPr="007A3223">
        <w:rPr>
          <w:szCs w:val="24"/>
        </w:rPr>
        <w:t xml:space="preserve">Multiple studies </w:t>
      </w:r>
      <w:r w:rsidR="00F41E89" w:rsidRPr="007A3223">
        <w:rPr>
          <w:szCs w:val="24"/>
        </w:rPr>
        <w:t xml:space="preserve">showed </w:t>
      </w:r>
      <w:r w:rsidRPr="007A3223">
        <w:rPr>
          <w:szCs w:val="24"/>
        </w:rPr>
        <w:t>that antitumor immunity, including the presence of CD3+ and CD8+ lymphocytes within the tumor microenvironment, was associated with subsequent clinical benefit in a subset of patients with advanced ovarian cancer</w:t>
      </w:r>
      <w:hyperlink w:anchor="_ENREF_8" w:tooltip="Hwang, 2012 #8" w:history="1">
        <w:r w:rsidR="00F77861" w:rsidRPr="00244551">
          <w:rPr>
            <w:rStyle w:val="Hyperlink"/>
            <w:szCs w:val="24"/>
          </w:rPr>
          <w:fldChar w:fldCharType="begin"/>
        </w:r>
        <w:r w:rsidR="00F77861" w:rsidRPr="00244551">
          <w:rPr>
            <w:rStyle w:val="Hyperlink"/>
            <w:szCs w:val="24"/>
          </w:rPr>
          <w:instrText xml:space="preserve"> ADDIN EN.CITE &lt;EndNote&gt;&lt;Cite&gt;&lt;Author&gt;Hwang&lt;/Author&gt;&lt;Year&gt;2012&lt;/Year&gt;&lt;RecNum&gt;8&lt;/RecNum&gt;&lt;DisplayText&gt;&lt;style face="superscript"&gt;8&lt;/style&gt;&lt;/DisplayText&gt;&lt;record&gt;&lt;rec-number&gt;8&lt;/rec-number&gt;&lt;foreign-keys&gt;&lt;key app="EN" db-id="fd5pzdff0z5dt7er5swxsd2m2te2fd9saae5" timestamp="1426604745"&gt;8&lt;/key&gt;&lt;/foreign-keys&gt;&lt;ref-type name="Journal Article"&gt;17&lt;/ref-type&gt;&lt;contributors&gt;&lt;authors&gt;&lt;author&gt;Hwang, W. T.&lt;/author&gt;&lt;author&gt;Adams, S. F.&lt;/author&gt;&lt;author&gt;Tahirovic, E.&lt;/author&gt;&lt;author&gt;Hagemann, I. S.&lt;/author&gt;&lt;author&gt;Coukos, G.&lt;/author&gt;&lt;/authors&gt;&lt;/contributors&gt;&lt;auth-address&gt;Ovarian Cancer Research Center, University of Pennsylvania, Philadelphia, PA 19104, USA.&lt;/auth-address&gt;&lt;titles&gt;&lt;title&gt;Prognostic significance of tumor-infiltrating T cells in ovarian cancer: a meta-analysis&lt;/title&gt;&lt;secondary-title&gt;Gynecol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192-8&lt;/pages&gt;&lt;volume&gt;124&lt;/volume&gt;&lt;number&gt;2&lt;/number&gt;&lt;edition&gt;2011/11/02&lt;/edition&gt;&lt;keywords&gt;&lt;keyword&gt;Female&lt;/keyword&gt;&lt;keyword&gt;Humans&lt;/keyword&gt;&lt;keyword&gt;Lymphocytes, Tumor-Infiltrating/*immunology&lt;/keyword&gt;&lt;keyword&gt;Ovarian Neoplasms/*immunology&lt;/keyword&gt;&lt;keyword&gt;Prognosis&lt;/keyword&gt;&lt;/keywords&gt;&lt;dates&gt;&lt;year&gt;2012&lt;/year&gt;&lt;pub-dates&gt;&lt;date&gt;Feb&lt;/date&gt;&lt;/pub-dates&gt;&lt;/dates&gt;&lt;isbn&gt;1095-6859 (Electronic)&amp;#xD;0090-8258 (Linking)&lt;/isbn&gt;&lt;accession-num&gt;22040834&lt;/accession-num&gt;&lt;work-type&gt;Meta-Analysis&amp;#xD;Research Support, N.I.H., Extramural&lt;/work-type&gt;&lt;urls&gt;&lt;related-urls&gt;&lt;url&gt;http://www.ncbi.nlm.nih.gov/pubmed/22040834&lt;/url&gt;&lt;/related-urls&gt;&lt;/urls&gt;&lt;custom2&gt;3298445&lt;/custom2&gt;&lt;electronic-resource-num&gt;10.1016/j.ygyno.2011.09.039&lt;/electronic-resource-num&gt;&lt;language&gt;eng&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8</w:t>
        </w:r>
        <w:r w:rsidR="00F77861" w:rsidRPr="00244551">
          <w:rPr>
            <w:rStyle w:val="Hyperlink"/>
            <w:szCs w:val="24"/>
          </w:rPr>
          <w:fldChar w:fldCharType="end"/>
        </w:r>
      </w:hyperlink>
      <w:r w:rsidRPr="007A3223">
        <w:rPr>
          <w:szCs w:val="24"/>
        </w:rPr>
        <w:t xml:space="preserve">. </w:t>
      </w:r>
      <w:r w:rsidR="009B5B94" w:rsidRPr="00F33908">
        <w:rPr>
          <w:rFonts w:eastAsia="Times New Roman"/>
          <w:szCs w:val="24"/>
        </w:rPr>
        <w:t>The pr</w:t>
      </w:r>
      <w:r w:rsidR="009B5B94" w:rsidRPr="007A3223">
        <w:rPr>
          <w:rFonts w:eastAsia="Times New Roman"/>
          <w:szCs w:val="24"/>
        </w:rPr>
        <w:t>esence of i</w:t>
      </w:r>
      <w:r w:rsidR="00C77B3C" w:rsidRPr="007A3223">
        <w:rPr>
          <w:rFonts w:eastAsia="Times New Roman"/>
          <w:szCs w:val="24"/>
        </w:rPr>
        <w:t xml:space="preserve">ntra-tumoral CD3+ T cells </w:t>
      </w:r>
      <w:r w:rsidR="00C73423" w:rsidRPr="007A3223">
        <w:rPr>
          <w:rFonts w:eastAsia="Times New Roman"/>
          <w:szCs w:val="24"/>
        </w:rPr>
        <w:t>w</w:t>
      </w:r>
      <w:r w:rsidR="009B5B94" w:rsidRPr="007A3223">
        <w:rPr>
          <w:rFonts w:eastAsia="Times New Roman"/>
          <w:szCs w:val="24"/>
        </w:rPr>
        <w:t>as</w:t>
      </w:r>
      <w:r w:rsidR="00C73423" w:rsidRPr="007A3223">
        <w:rPr>
          <w:rFonts w:eastAsia="Times New Roman"/>
          <w:szCs w:val="24"/>
        </w:rPr>
        <w:t xml:space="preserve"> predictive of </w:t>
      </w:r>
      <w:r w:rsidR="009B5B94" w:rsidRPr="007A3223">
        <w:rPr>
          <w:rFonts w:eastAsia="Times New Roman"/>
          <w:szCs w:val="24"/>
        </w:rPr>
        <w:t xml:space="preserve">clinical </w:t>
      </w:r>
      <w:r w:rsidR="00C77B3C" w:rsidRPr="007A3223">
        <w:rPr>
          <w:rFonts w:eastAsia="Times New Roman"/>
          <w:szCs w:val="24"/>
        </w:rPr>
        <w:t>outcome</w:t>
      </w:r>
      <w:r w:rsidR="009B5B94" w:rsidRPr="007A3223">
        <w:rPr>
          <w:rFonts w:eastAsia="Times New Roman"/>
          <w:szCs w:val="24"/>
        </w:rPr>
        <w:t>, and correlated with</w:t>
      </w:r>
      <w:r w:rsidR="00C73423" w:rsidRPr="007A3223">
        <w:rPr>
          <w:rFonts w:eastAsia="Times New Roman"/>
          <w:szCs w:val="24"/>
        </w:rPr>
        <w:t xml:space="preserve"> prolonged overall survival </w:t>
      </w:r>
      <w:r w:rsidR="00C77B3C" w:rsidRPr="007A3223">
        <w:rPr>
          <w:rFonts w:eastAsia="Times New Roman"/>
          <w:szCs w:val="24"/>
        </w:rPr>
        <w:t>in advanced ovarian cancer</w:t>
      </w:r>
      <w:r w:rsidR="002457B0" w:rsidRPr="00585A7F">
        <w:rPr>
          <w:rFonts w:eastAsia="Times New Roman"/>
          <w:szCs w:val="24"/>
        </w:rPr>
        <w:fldChar w:fldCharType="begin">
          <w:fldData xml:space="preserve">PEVuZE5vdGU+PENpdGU+PEF1dGhvcj5aaGFuZzwvQXV0aG9yPjxZZWFyPjIwMDM8L1llYXI+PFJl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</w:fldData>
        </w:fldChar>
      </w:r>
      <w:r w:rsidR="00A756D5" w:rsidRPr="007A3223">
        <w:rPr>
          <w:rFonts w:eastAsia="Times New Roman"/>
          <w:szCs w:val="24"/>
        </w:rPr>
        <w:instrText xml:space="preserve"> ADDIN EN.CITE </w:instrText>
      </w:r>
      <w:r w:rsidR="00A756D5" w:rsidRPr="00C94619">
        <w:rPr>
          <w:rFonts w:eastAsia="Times New Roman"/>
          <w:szCs w:val="24"/>
        </w:rPr>
        <w:fldChar w:fldCharType="begin">
          <w:fldData xml:space="preserve">PEVuZE5vdGU+PENpdGU+PEF1dGhvcj5aaGFuZzwvQXV0aG9yPjxZZWFyPjIwMDM8L1llYXI+PFJl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</w:fldData>
        </w:fldChar>
      </w:r>
      <w:r w:rsidR="00A756D5" w:rsidRPr="007A3223">
        <w:rPr>
          <w:rFonts w:eastAsia="Times New Roman"/>
          <w:szCs w:val="24"/>
        </w:rPr>
        <w:instrText xml:space="preserve"> ADDIN EN.CITE.DATA </w:instrText>
      </w:r>
      <w:r w:rsidR="00A756D5" w:rsidRPr="00C94619">
        <w:rPr>
          <w:rFonts w:eastAsia="Times New Roman"/>
          <w:szCs w:val="24"/>
        </w:rPr>
      </w:r>
      <w:r w:rsidR="00A756D5" w:rsidRPr="00C94619">
        <w:rPr>
          <w:rFonts w:eastAsia="Times New Roman"/>
          <w:szCs w:val="24"/>
        </w:rPr>
        <w:fldChar w:fldCharType="end"/>
      </w:r>
      <w:r w:rsidR="002457B0" w:rsidRPr="00585A7F">
        <w:rPr>
          <w:rFonts w:eastAsia="Times New Roman"/>
          <w:szCs w:val="24"/>
        </w:rPr>
      </w:r>
      <w:r w:rsidR="002457B0" w:rsidRPr="00585A7F">
        <w:rPr>
          <w:rFonts w:eastAsia="Times New Roman"/>
          <w:szCs w:val="24"/>
        </w:rPr>
        <w:fldChar w:fldCharType="separate"/>
      </w:r>
      <w:hyperlink w:anchor="_ENREF_6" w:tooltip="Zhang, 2003 #6" w:history="1">
        <w:r w:rsidR="00F77861" w:rsidRPr="00244551">
          <w:rPr>
            <w:rStyle w:val="Hyperlink"/>
            <w:rFonts w:eastAsia="Times New Roman"/>
            <w:noProof/>
            <w:szCs w:val="24"/>
            <w:vertAlign w:val="superscript"/>
          </w:rPr>
          <w:t>6</w:t>
        </w:r>
      </w:hyperlink>
      <w:r w:rsidR="006F7A98" w:rsidRPr="00F33908">
        <w:rPr>
          <w:rFonts w:eastAsia="Times New Roman"/>
          <w:noProof/>
          <w:szCs w:val="24"/>
          <w:vertAlign w:val="superscript"/>
        </w:rPr>
        <w:t>,</w:t>
      </w:r>
      <w:hyperlink w:anchor="_ENREF_9" w:tooltip="Leffers, 2009 #9" w:history="1">
        <w:r w:rsidR="00F77861" w:rsidRPr="00244551">
          <w:rPr>
            <w:rStyle w:val="Hyperlink"/>
            <w:rFonts w:eastAsia="Times New Roman"/>
            <w:noProof/>
            <w:szCs w:val="24"/>
            <w:vertAlign w:val="superscript"/>
          </w:rPr>
          <w:t>9</w:t>
        </w:r>
      </w:hyperlink>
      <w:r w:rsidR="002457B0" w:rsidRPr="00585A7F">
        <w:rPr>
          <w:rFonts w:eastAsia="Times New Roman"/>
          <w:szCs w:val="24"/>
        </w:rPr>
        <w:fldChar w:fldCharType="end"/>
      </w:r>
      <w:r w:rsidR="00C73423" w:rsidRPr="007A3223">
        <w:rPr>
          <w:rFonts w:eastAsia="Times New Roman"/>
          <w:szCs w:val="24"/>
          <w:vertAlign w:val="superscript"/>
        </w:rPr>
        <w:t>,</w:t>
      </w:r>
      <w:r w:rsidR="00C73423" w:rsidRPr="00F33908">
        <w:rPr>
          <w:rFonts w:eastAsia="Times New Roman"/>
          <w:szCs w:val="24"/>
          <w:vertAlign w:val="superscript"/>
        </w:rPr>
        <w:t>13</w:t>
      </w:r>
      <w:r w:rsidR="00C77B3C" w:rsidRPr="007A3223">
        <w:rPr>
          <w:rFonts w:eastAsia="Times New Roman"/>
          <w:szCs w:val="24"/>
        </w:rPr>
        <w:t xml:space="preserve">. </w:t>
      </w:r>
      <w:r w:rsidR="007A6E6D" w:rsidRPr="007A3223">
        <w:rPr>
          <w:rFonts w:eastAsia="Times New Roman"/>
          <w:szCs w:val="24"/>
        </w:rPr>
        <w:t>Immunosuppressive cells, specifically, regulatory T cells (Tregs) and myeloid-derived suppressor cells (MDSCs), down-regulate anti-tumor immunity</w:t>
      </w:r>
      <w:hyperlink w:anchor="_ENREF_10" w:tooltip="Facciabene, 2012 #10" w:history="1">
        <w:r w:rsidR="00F77861" w:rsidRPr="00244551">
          <w:rPr>
            <w:rStyle w:val="Hyperlink"/>
            <w:szCs w:val="24"/>
          </w:rPr>
          <w:fldChar w:fldCharType="begin"/>
        </w:r>
        <w:r w:rsidR="00F77861" w:rsidRPr="00244551">
          <w:rPr>
            <w:rStyle w:val="Hyperlink"/>
            <w:szCs w:val="24"/>
          </w:rPr>
          <w:instrText xml:space="preserve"> ADDIN EN.CITE &lt;EndNote&gt;&lt;Cite&gt;&lt;Author&gt;Facciabene&lt;/Author&gt;&lt;Year&gt;2012&lt;/Year&gt;&lt;RecNum&gt;10&lt;/RecNum&gt;&lt;DisplayText&gt;&lt;style face="superscript"&gt;10&lt;/style&gt;&lt;/DisplayText&gt;&lt;record&gt;&lt;rec-number&gt;10&lt;/rec-number&gt;&lt;foreign-keys&gt;&lt;key app="EN" db-id="fd5pzdff0z5dt7er5swxsd2m2te2fd9saae5" timestamp="1426604746"&gt;10&lt;/key&gt;&lt;/foreign-keys&gt;&lt;ref-type name="Journal Article"&gt;17&lt;/ref-type&gt;&lt;contributors&gt;&lt;authors&gt;&lt;author&gt;Facciabene, A.&lt;/author&gt;&lt;author&gt;Motz, G. T.&lt;/author&gt;&lt;author&gt;Coukos, G.&lt;/author&gt;&lt;/authors&gt;&lt;/contributors&gt;&lt;auth-address&gt;Ovarian Cancer Research Center, University of Pennsylvania, Philadelphia, Pennsylvania 19104, USA.&lt;/auth-address&gt;&lt;titles&gt;&lt;title&gt;T-regulatory cells: key players in tumor immune escape and angiogenesis&lt;/title&gt;&lt;secondary-title&gt;Cancer Res&lt;/secondary-title&gt;&lt;/titles&gt;&lt;periodical&gt;&lt;full-title&gt;Cancer Res&lt;/full-title&gt;&lt;/periodical&gt;&lt;pages&gt;2162-71&lt;/pages&gt;&lt;volume&gt;72&lt;/volume&gt;&lt;number&gt;9&lt;/number&gt;&lt;edition&gt;2012/05/03&lt;/edition&gt;&lt;keywords&gt;&lt;keyword&gt;Animals&lt;/keyword&gt;&lt;keyword&gt;Humans&lt;/keyword&gt;&lt;keyword&gt;Neoplasms/*blood supply/*immunology/therapy&lt;/keyword&gt;&lt;keyword&gt;Neovascularization, Pathologic/immunology/therapy&lt;/keyword&gt;&lt;keyword&gt;T-Lymphocytes, Regulatory/*immunology&lt;/keyword&gt;&lt;keyword&gt;Tumor Escape/*immunology&lt;/keyword&gt;&lt;/keywords&gt;&lt;dates&gt;&lt;year&gt;2012&lt;/year&gt;&lt;pub-dates&gt;&lt;date&gt;May 1&lt;/date&gt;&lt;/pub-dates&gt;&lt;/dates&gt;&lt;isbn&gt;1538-7445 (Electronic)&amp;#xD;0008-5472 (Linking)&lt;/isbn&gt;&lt;accession-num&gt;22549946&lt;/accession-num&gt;&lt;urls&gt;&lt;related-urls&gt;&lt;url&gt;http://www.ncbi.nlm.nih.gov/entrez/query.fcgi?cmd=Retrieve&amp;amp;db=PubMed&amp;amp;dopt=Citation&amp;amp;list_uids=22549946&lt;/url&gt;&lt;/related-urls&gt;&lt;/urls&gt;&lt;custom2&gt;3342842&lt;/custom2&gt;&lt;electronic-resource-num&gt;72/9/2162 [pii]&amp;#xD;10.1158/0008-5472.CAN-11-3687&lt;/electronic-resource-num&gt;&lt;language&gt;eng&lt;/language&gt;&lt;/record&gt;&lt;/Cite&gt;&lt;/EndNote&gt;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10</w:t>
        </w:r>
        <w:r w:rsidR="00F77861" w:rsidRPr="00244551">
          <w:rPr>
            <w:rStyle w:val="Hyperlink"/>
            <w:szCs w:val="24"/>
          </w:rPr>
          <w:fldChar w:fldCharType="end"/>
        </w:r>
      </w:hyperlink>
      <w:r w:rsidR="007A6E6D" w:rsidRPr="007A3223">
        <w:rPr>
          <w:szCs w:val="24"/>
        </w:rPr>
        <w:t>. Increased Treg infiltration is associated with poor prognosis</w:t>
      </w:r>
      <w:r w:rsidR="00A519DD" w:rsidRPr="00F33908">
        <w:rPr>
          <w:szCs w:val="24"/>
        </w:rPr>
        <w:t>, and high grade, advanced stage disease</w:t>
      </w:r>
      <w:r w:rsidR="007A6E6D" w:rsidRPr="007A3223">
        <w:rPr>
          <w:szCs w:val="24"/>
        </w:rPr>
        <w:t xml:space="preserve"> in ovarian cancer patients</w:t>
      </w:r>
      <w:hyperlink w:anchor="_ENREF_11" w:tooltip="Wolf, 2005 #11" w:history="1">
        <w:r w:rsidR="00F77861" w:rsidRPr="00244551">
          <w:rPr>
            <w:rStyle w:val="Hyperlink"/>
            <w:szCs w:val="24"/>
          </w:rPr>
          <w:fldChar w:fldCharType="begin">
            <w:fldData xml:space="preserve">PEVuZE5vdGU+PENpdGU+PEF1dGhvcj5Xb2xmPC9BdXRob3I+PFllYXI+MjAwNTwvWWVhcj48UmVj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PEVuZE5vdGU+PENpdGU+PEF1dGhvcj5Xb2xmPC9BdXRob3I+PFllYXI+MjAwNTwvWWVhcj48UmVj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11-13</w:t>
        </w:r>
        <w:r w:rsidR="00F77861" w:rsidRPr="00244551">
          <w:rPr>
            <w:rStyle w:val="Hyperlink"/>
            <w:szCs w:val="24"/>
          </w:rPr>
          <w:fldChar w:fldCharType="end"/>
        </w:r>
      </w:hyperlink>
      <w:r w:rsidR="007A6E6D" w:rsidRPr="007A3223">
        <w:rPr>
          <w:szCs w:val="24"/>
        </w:rPr>
        <w:t>.</w:t>
      </w:r>
      <w:r w:rsidR="000E3A58" w:rsidRPr="00F33908">
        <w:rPr>
          <w:szCs w:val="24"/>
        </w:rPr>
        <w:t xml:space="preserve"> </w:t>
      </w:r>
      <w:r w:rsidR="007A6E6D" w:rsidRPr="007A3223">
        <w:rPr>
          <w:rFonts w:eastAsia="Times New Roman"/>
          <w:szCs w:val="24"/>
        </w:rPr>
        <w:t xml:space="preserve">MDSCs are a heterogeneous family of myeloid cells that suppress T cell immunity in tumor-bearing hosts </w:t>
      </w:r>
      <w:r w:rsidR="007A6E6D" w:rsidRPr="007A3223">
        <w:rPr>
          <w:szCs w:val="24"/>
        </w:rPr>
        <w:t>and promote cancer cell proliferation, epithelial-mesenchymal transition, and dissemination in preclinical models</w:t>
      </w:r>
      <w:hyperlink w:anchor="_ENREF_14" w:tooltip="Movahedi, 2008 #14" w:history="1">
        <w:r w:rsidR="00F77861" w:rsidRPr="00244551">
          <w:rPr>
            <w:rStyle w:val="Hyperlink"/>
            <w:rFonts w:eastAsia="Times New Roman"/>
            <w:szCs w:val="24"/>
          </w:rPr>
          <w:fldChar w:fldCharType="begin">
            <w:fldData xml:space="preserve">PEVuZE5vdGU+PENpdGU+PEF1dGhvcj5Nb3ZhaGVkaTwvQXV0aG9yPjxZZWFyPjIwMDg8L1llYXI+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PEVuZE5vdGU+PENpdGU+PEF1dGhvcj5Nb3ZhaGVkaTwvQXV0aG9yPjxZZWFyPjIwMDg8L1llYXI+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14</w:t>
        </w:r>
        <w:r w:rsidR="00F77861" w:rsidRPr="00244551">
          <w:rPr>
            <w:rStyle w:val="Hyperlink"/>
            <w:rFonts w:eastAsia="Times New Roman"/>
            <w:szCs w:val="24"/>
          </w:rPr>
          <w:fldChar w:fldCharType="end"/>
        </w:r>
      </w:hyperlink>
      <w:r w:rsidR="00CA3D80" w:rsidRPr="007A3223">
        <w:rPr>
          <w:rFonts w:eastAsia="Times New Roman"/>
          <w:szCs w:val="24"/>
          <w:vertAlign w:val="superscript"/>
        </w:rPr>
        <w:t>,</w:t>
      </w:r>
      <w:hyperlink w:anchor="_ENREF_15" w:tooltip="Toh, 2011 #15" w:history="1">
        <w:r w:rsidR="00F77861" w:rsidRPr="00244551">
          <w:rPr>
            <w:rStyle w:val="Hyperlink"/>
            <w:rFonts w:eastAsia="Times New Roman"/>
            <w:szCs w:val="24"/>
          </w:rPr>
          <w:fldChar w:fldCharType="begin">
            <w:fldData xml:space="preserve">PEVuZE5vdGU+PENpdGU+PEF1dGhvcj5Ub2g8L0F1dGhvcj48WWVhcj4yMDExPC9ZZWFyPjxSZWNO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aW9sb2d5PC9hYmJyLTE+PC9hbHQtcGVyaW9kaWNhbD48cGFnZXM+ZTEwMDExNjI8L3BhZ2VzPjx2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PEVuZE5vdGU+PENpdGU+PEF1dGhvcj5Ub2g8L0F1dGhvcj48WWVhcj4yMDExPC9ZZWFyPjxSZWNO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aW9sb2d5PC9hYmJyLTE+PC9hbHQtcGVyaW9kaWNhbD48cGFnZXM+ZTEwMDExNjI8L3BhZ2VzPjx2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15</w:t>
        </w:r>
        <w:r w:rsidR="00F77861" w:rsidRPr="00244551">
          <w:rPr>
            <w:rStyle w:val="Hyperlink"/>
            <w:rFonts w:eastAsia="Times New Roman"/>
            <w:szCs w:val="24"/>
          </w:rPr>
          <w:fldChar w:fldCharType="end"/>
        </w:r>
      </w:hyperlink>
      <w:r w:rsidR="007A6E6D" w:rsidRPr="007A3223">
        <w:rPr>
          <w:rFonts w:eastAsia="Times New Roman"/>
          <w:szCs w:val="24"/>
        </w:rPr>
        <w:t xml:space="preserve">. MDSCs have a role in immune </w:t>
      </w:r>
      <w:r w:rsidR="007A6E6D" w:rsidRPr="00F33908">
        <w:rPr>
          <w:rFonts w:eastAsia="Times New Roman"/>
          <w:szCs w:val="24"/>
        </w:rPr>
        <w:t>suppression of</w:t>
      </w:r>
      <w:r w:rsidR="00EB59CB" w:rsidRPr="007A3223">
        <w:rPr>
          <w:rFonts w:eastAsia="Times New Roman"/>
          <w:szCs w:val="24"/>
        </w:rPr>
        <w:t xml:space="preserve"> ovarian cancer in mouse models. H</w:t>
      </w:r>
      <w:r w:rsidR="007A6E6D" w:rsidRPr="007A3223">
        <w:rPr>
          <w:rFonts w:eastAsia="Times New Roman"/>
          <w:szCs w:val="24"/>
        </w:rPr>
        <w:t>owever, their relevance in human ovarian cancers needs to be studied</w:t>
      </w:r>
      <w:hyperlink w:anchor="_ENREF_16" w:tooltip="Yang, 2006 #16" w:history="1">
        <w:r w:rsidR="00F77861" w:rsidRPr="00244551">
          <w:rPr>
            <w:rStyle w:val="Hyperlink"/>
            <w:rFonts w:eastAsia="Times New Roman"/>
            <w:szCs w:val="24"/>
          </w:rPr>
          <w:fldChar w:fldCharType="begin">
            <w:fldData xml:space="preserve">PEVuZE5vdGU+PENpdGU+PEF1dGhvcj5ZYW5nPC9BdXRob3I+PFllYXI+MjAwNjwvWWVhcj48UmVj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PEVuZE5vdGU+PENpdGU+PEF1dGhvcj5ZYW5nPC9BdXRob3I+PFllYXI+MjAwNjwvWWVhcj48UmVj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16</w:t>
        </w:r>
        <w:r w:rsidR="00F77861" w:rsidRPr="00244551">
          <w:rPr>
            <w:rStyle w:val="Hyperlink"/>
            <w:rFonts w:eastAsia="Times New Roman"/>
            <w:szCs w:val="24"/>
          </w:rPr>
          <w:fldChar w:fldCharType="end"/>
        </w:r>
      </w:hyperlink>
      <w:r w:rsidR="007A6E6D" w:rsidRPr="007A3223">
        <w:rPr>
          <w:rFonts w:eastAsia="Times New Roman"/>
          <w:szCs w:val="24"/>
        </w:rPr>
        <w:t>.</w:t>
      </w:r>
    </w:p>
    <w:p w14:paraId="46BA7201" w14:textId="0D82FF49" w:rsidR="007A6E6D" w:rsidRPr="00F33908" w:rsidRDefault="007A6E6D" w:rsidP="00AC750A">
      <w:pPr>
        <w:spacing w:after="0"/>
        <w:ind w:firstLine="360"/>
        <w:rPr>
          <w:szCs w:val="24"/>
        </w:rPr>
      </w:pPr>
      <w:r w:rsidRPr="007A3223">
        <w:rPr>
          <w:szCs w:val="24"/>
        </w:rPr>
        <w:t>Blocking</w:t>
      </w:r>
      <w:r w:rsidRPr="007A3223">
        <w:rPr>
          <w:rFonts w:eastAsia="Times New Roman"/>
          <w:szCs w:val="24"/>
        </w:rPr>
        <w:t xml:space="preserve"> tumor-mediated immunosuppression, thus enhancing anti-tumor immunity, is a rational therapeutic </w:t>
      </w:r>
      <w:r w:rsidRPr="007A3223">
        <w:rPr>
          <w:szCs w:val="24"/>
        </w:rPr>
        <w:t>approach</w:t>
      </w:r>
      <w:r w:rsidRPr="007A3223">
        <w:rPr>
          <w:rFonts w:eastAsia="Times New Roman"/>
          <w:szCs w:val="24"/>
        </w:rPr>
        <w:t>. The programmed death (PD) -1/ PD-ligand-1 (PD-L1) pathway is a critical component of tumor-mediated immunosuppression. It suppresses immune activation and the expansion of antigen-specific T cells</w:t>
      </w:r>
      <w:hyperlink w:anchor="_ENREF_17" w:tooltip="Keir, 2008 #17" w:history="1">
        <w:r w:rsidR="00F77861" w:rsidRPr="00244551">
          <w:rPr>
            <w:rStyle w:val="Hyperlink"/>
            <w:rFonts w:eastAsia="Times New Roman"/>
            <w:szCs w:val="24"/>
          </w:rPr>
          <w:fldChar w:fldCharType="begin">
            <w:fldData xml:space="preserve">PEVuZE5vdGU+PENpdGU+PEF1dGhvcj5LZWlyPC9BdXRob3I+PFllYXI+MjAwODwvWWVhcj48UmVj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aW1tdW5vbG9neTwvYWJici0xPjwvYWx0LXBlcmlvZGljYWw+PHBhZ2VzPjY3Ny03MDQ8L3BhZ2Vz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PEVuZE5vdGU+PENpdGU+PEF1dGhvcj5LZWlyPC9BdXRob3I+PFllYXI+MjAwODwvWWVhcj48UmVj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aW1tdW5vbG9neTwvYWJici0xPjwvYWx0LXBlcmlvZGljYWw+PHBhZ2VzPjY3Ny03MDQ8L3BhZ2Vz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17</w:t>
        </w:r>
        <w:r w:rsidR="00F77861" w:rsidRPr="00244551">
          <w:rPr>
            <w:rStyle w:val="Hyperlink"/>
            <w:rFonts w:eastAsia="Times New Roman"/>
            <w:szCs w:val="24"/>
          </w:rPr>
          <w:fldChar w:fldCharType="end"/>
        </w:r>
      </w:hyperlink>
      <w:r w:rsidRPr="007A3223">
        <w:rPr>
          <w:rFonts w:eastAsia="Times New Roman"/>
          <w:szCs w:val="24"/>
        </w:rPr>
        <w:t>. These immune checkpoints normally promote tolerance and prevention of collateral host tissue damage during immu</w:t>
      </w:r>
      <w:r w:rsidRPr="00F33908">
        <w:rPr>
          <w:rFonts w:eastAsia="Times New Roman"/>
          <w:szCs w:val="24"/>
        </w:rPr>
        <w:t>ne responses</w:t>
      </w:r>
      <w:hyperlink w:anchor="_ENREF_17" w:tooltip="Keir, 2008 #17" w:history="1">
        <w:r w:rsidR="00F77861" w:rsidRPr="00244551">
          <w:rPr>
            <w:rStyle w:val="Hyperlink"/>
            <w:rFonts w:eastAsia="Times New Roman"/>
            <w:szCs w:val="24"/>
          </w:rPr>
          <w:fldChar w:fldCharType="begin">
            <w:fldData xml:space="preserve">PEVuZE5vdGU+PENpdGU+PEF1dGhvcj5LZWlyPC9BdXRob3I+PFllYXI+MjAwODwvWWVhcj48UmVj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aW1tdW5vbG9neTwvYWJici0xPjwvYWx0LXBlcmlvZGljYWw+PHBhZ2VzPjY3Ny03MDQ8L3BhZ2Vz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PEVuZE5vdGU+PENpdGU+PEF1dGhvcj5LZWlyPC9BdXRob3I+PFllYXI+MjAwODwvWWVhcj48UmVj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aW1tdW5vbG9neTwvYWJici0xPjwvYWx0LXBlcmlvZGljYWw+PHBhZ2VzPjY3Ny03MDQ8L3BhZ2Vz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17</w:t>
        </w:r>
        <w:r w:rsidR="00F77861" w:rsidRPr="00244551">
          <w:rPr>
            <w:rStyle w:val="Hyperlink"/>
            <w:rFonts w:eastAsia="Times New Roman"/>
            <w:szCs w:val="24"/>
          </w:rPr>
          <w:fldChar w:fldCharType="end"/>
        </w:r>
      </w:hyperlink>
      <w:r w:rsidRPr="007A3223">
        <w:rPr>
          <w:rFonts w:eastAsia="Times New Roman"/>
          <w:szCs w:val="24"/>
        </w:rPr>
        <w:t xml:space="preserve">. Upregulation of the PD-1/PD-L1 axis results in an exhausted T cell phenotype that allows disease growth and disruption of </w:t>
      </w:r>
      <w:r w:rsidRPr="00F33908">
        <w:rPr>
          <w:rFonts w:eastAsia="Times New Roman"/>
          <w:szCs w:val="24"/>
        </w:rPr>
        <w:t>cytotoxic T lymphocyte (CTL</w:t>
      </w:r>
      <w:r w:rsidRPr="007A3223">
        <w:rPr>
          <w:rFonts w:eastAsia="Times New Roman"/>
          <w:szCs w:val="24"/>
        </w:rPr>
        <w:t>)-mediated killing of tumor targets</w:t>
      </w:r>
      <w:hyperlink w:anchor="_ENREF_18" w:tooltip="Keir, 2007 #18" w:history="1">
        <w:r w:rsidR="00F77861" w:rsidRPr="00244551">
          <w:rPr>
            <w:rStyle w:val="Hyperlink"/>
            <w:rFonts w:eastAsia="Times New Roman"/>
            <w:szCs w:val="24"/>
          </w:rPr>
          <w:fldChar w:fldCharType="begin">
            <w:fldData xml:space="preserve">PEVuZE5vdGU+PENpdGU+PEF1dGhvcj5LZWlyPC9BdXRob3I+PFllYXI+MjAwNzwvWWVhcj48UmVj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PEVuZE5vdGU+PENpdGU+PEF1dGhvcj5LZWlyPC9BdXRob3I+PFllYXI+MjAwNzwvWWVhcj48UmVj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18</w:t>
        </w:r>
        <w:r w:rsidR="00F77861" w:rsidRPr="00244551">
          <w:rPr>
            <w:rStyle w:val="Hyperlink"/>
            <w:rFonts w:eastAsia="Times New Roman"/>
            <w:szCs w:val="24"/>
          </w:rPr>
          <w:fldChar w:fldCharType="end"/>
        </w:r>
      </w:hyperlink>
      <w:r w:rsidRPr="007A3223">
        <w:rPr>
          <w:rFonts w:eastAsia="Times New Roman"/>
          <w:szCs w:val="24"/>
        </w:rPr>
        <w:t xml:space="preserve">. PD-1 has two known ligands, </w:t>
      </w:r>
      <w:r w:rsidRPr="00F33908">
        <w:rPr>
          <w:szCs w:val="24"/>
        </w:rPr>
        <w:t>PD-L1 (B7-H1, CD274),</w:t>
      </w:r>
      <w:r w:rsidR="002457B0" w:rsidRPr="00585A7F">
        <w:rPr>
          <w:szCs w:val="24"/>
        </w:rPr>
        <w:fldChar w:fldCharType="begin">
          <w:fldData xml:space="preserve">PEVuZE5vdGU+PENpdGU+PEF1dGhvcj5Eb25nPC9BdXRob3I+PFllYXI+MTk5OTwvWWVhcj48UmVj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cGVyaW9kaWNhbD48cGFnZXM+MTAyNy0zNDwvcGFnZXM+PHZvbHVtZT4xOTI8L3ZvbHVtZT48bnVt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</w:fldData>
        </w:fldChar>
      </w:r>
      <w:r w:rsidR="00E83A7F" w:rsidRPr="007A3223">
        <w:rPr>
          <w:szCs w:val="24"/>
        </w:rPr>
        <w:instrText xml:space="preserve"> ADDIN EN.CITE </w:instrText>
      </w:r>
      <w:r w:rsidR="00E83A7F" w:rsidRPr="00C94619">
        <w:rPr>
          <w:szCs w:val="24"/>
        </w:rPr>
        <w:fldChar w:fldCharType="begin">
          <w:fldData xml:space="preserve">PEVuZE5vdGU+PENpdGU+PEF1dGhvcj5Eb25nPC9BdXRob3I+PFllYXI+MTk5OTwvWWVhcj48UmVj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cGVyaW9kaWNhbD48cGFnZXM+MTAyNy0zNDwvcGFnZXM+PHZvbHVtZT4xOTI8L3ZvbHVtZT48bnVt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</w:fldData>
        </w:fldChar>
      </w:r>
      <w:r w:rsidR="00E83A7F" w:rsidRPr="007A3223">
        <w:rPr>
          <w:szCs w:val="24"/>
        </w:rPr>
        <w:instrText xml:space="preserve"> ADDIN EN.CITE.DATA </w:instrText>
      </w:r>
      <w:r w:rsidR="00E83A7F" w:rsidRPr="00C94619">
        <w:rPr>
          <w:szCs w:val="24"/>
        </w:rPr>
      </w:r>
      <w:r w:rsidR="00E83A7F" w:rsidRPr="00C94619">
        <w:rPr>
          <w:szCs w:val="24"/>
        </w:rPr>
        <w:fldChar w:fldCharType="end"/>
      </w:r>
      <w:r w:rsidR="002457B0" w:rsidRPr="00585A7F">
        <w:rPr>
          <w:szCs w:val="24"/>
        </w:rPr>
      </w:r>
      <w:r w:rsidR="002457B0" w:rsidRPr="00585A7F">
        <w:rPr>
          <w:szCs w:val="24"/>
        </w:rPr>
        <w:fldChar w:fldCharType="separate"/>
      </w:r>
      <w:hyperlink w:anchor="_ENREF_19" w:tooltip="Dong, 1999 #19" w:history="1">
        <w:r w:rsidR="00F77861" w:rsidRPr="00244551">
          <w:rPr>
            <w:rStyle w:val="Hyperlink"/>
            <w:noProof/>
            <w:szCs w:val="24"/>
            <w:vertAlign w:val="superscript"/>
          </w:rPr>
          <w:t>19</w:t>
        </w:r>
      </w:hyperlink>
      <w:r w:rsidRPr="00F33908">
        <w:rPr>
          <w:noProof/>
          <w:szCs w:val="24"/>
          <w:vertAlign w:val="superscript"/>
        </w:rPr>
        <w:t>,</w:t>
      </w:r>
      <w:hyperlink w:anchor="_ENREF_20" w:tooltip="Freeman, 2000 #20" w:history="1">
        <w:r w:rsidR="00F77861" w:rsidRPr="00244551">
          <w:rPr>
            <w:rStyle w:val="Hyperlink"/>
            <w:noProof/>
            <w:szCs w:val="24"/>
            <w:vertAlign w:val="superscript"/>
          </w:rPr>
          <w:t>20</w:t>
        </w:r>
      </w:hyperlink>
      <w:r w:rsidR="002457B0" w:rsidRPr="00585A7F">
        <w:rPr>
          <w:szCs w:val="24"/>
        </w:rPr>
        <w:fldChar w:fldCharType="end"/>
      </w:r>
      <w:r w:rsidRPr="007A3223">
        <w:rPr>
          <w:szCs w:val="24"/>
        </w:rPr>
        <w:t xml:space="preserve"> and PD-L2 (B7-DC, CD273)</w:t>
      </w:r>
      <w:r w:rsidR="002457B0" w:rsidRPr="00585A7F">
        <w:rPr>
          <w:szCs w:val="24"/>
        </w:rPr>
        <w:fldChar w:fldCharType="begin">
          <w:fldData xml:space="preserve">PEVuZE5vdGU+PENpdGU+PEF1dGhvcj5Uc2VuZzwvQXV0aG9yPjxZZWFyPjIwMDE8L1llYXI+PFJl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</w:fldData>
        </w:fldChar>
      </w:r>
      <w:r w:rsidR="00E83A7F" w:rsidRPr="007A3223">
        <w:rPr>
          <w:szCs w:val="24"/>
        </w:rPr>
        <w:instrText xml:space="preserve"> ADDIN EN.CITE </w:instrText>
      </w:r>
      <w:r w:rsidR="00E83A7F" w:rsidRPr="00C94619">
        <w:rPr>
          <w:szCs w:val="24"/>
        </w:rPr>
        <w:fldChar w:fldCharType="begin">
          <w:fldData xml:space="preserve">PEVuZE5vdGU+PENpdGU+PEF1dGhvcj5Uc2VuZzwvQXV0aG9yPjxZZWFyPjIwMDE8L1llYXI+PFJl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</w:fldData>
        </w:fldChar>
      </w:r>
      <w:r w:rsidR="00E83A7F" w:rsidRPr="007A3223">
        <w:rPr>
          <w:szCs w:val="24"/>
        </w:rPr>
        <w:instrText xml:space="preserve"> ADDIN EN.CITE.DATA </w:instrText>
      </w:r>
      <w:r w:rsidR="00E83A7F" w:rsidRPr="00C94619">
        <w:rPr>
          <w:szCs w:val="24"/>
        </w:rPr>
      </w:r>
      <w:r w:rsidR="00E83A7F" w:rsidRPr="00C94619">
        <w:rPr>
          <w:szCs w:val="24"/>
        </w:rPr>
        <w:fldChar w:fldCharType="end"/>
      </w:r>
      <w:r w:rsidR="002457B0" w:rsidRPr="00585A7F">
        <w:rPr>
          <w:szCs w:val="24"/>
        </w:rPr>
      </w:r>
      <w:r w:rsidR="002457B0" w:rsidRPr="00585A7F">
        <w:rPr>
          <w:szCs w:val="24"/>
        </w:rPr>
        <w:fldChar w:fldCharType="separate"/>
      </w:r>
      <w:hyperlink w:anchor="_ENREF_21" w:tooltip="Tseng, 2001 #21" w:history="1">
        <w:r w:rsidR="00F77861" w:rsidRPr="00244551">
          <w:rPr>
            <w:rStyle w:val="Hyperlink"/>
            <w:noProof/>
            <w:szCs w:val="24"/>
            <w:vertAlign w:val="superscript"/>
          </w:rPr>
          <w:t>21</w:t>
        </w:r>
      </w:hyperlink>
      <w:r w:rsidRPr="00F33908">
        <w:rPr>
          <w:noProof/>
          <w:szCs w:val="24"/>
          <w:vertAlign w:val="superscript"/>
        </w:rPr>
        <w:t>,</w:t>
      </w:r>
      <w:hyperlink w:anchor="_ENREF_22" w:tooltip="Latchman, 2001 #22" w:history="1">
        <w:r w:rsidR="00F77861" w:rsidRPr="00244551">
          <w:rPr>
            <w:rStyle w:val="Hyperlink"/>
            <w:noProof/>
            <w:szCs w:val="24"/>
            <w:vertAlign w:val="superscript"/>
          </w:rPr>
          <w:t>22</w:t>
        </w:r>
      </w:hyperlink>
      <w:r w:rsidR="002457B0" w:rsidRPr="00585A7F">
        <w:rPr>
          <w:szCs w:val="24"/>
        </w:rPr>
        <w:fldChar w:fldCharType="end"/>
      </w:r>
      <w:r w:rsidRPr="007A3223">
        <w:rPr>
          <w:szCs w:val="24"/>
        </w:rPr>
        <w:t>. PD-L1 ex</w:t>
      </w:r>
      <w:r w:rsidRPr="00F33908">
        <w:rPr>
          <w:szCs w:val="24"/>
        </w:rPr>
        <w:t>pression is upregulated on tumor cells, antigen-presenting cells, and dendritic cells; whereas, PD</w:t>
      </w:r>
      <w:r w:rsidRPr="007A3223">
        <w:rPr>
          <w:szCs w:val="24"/>
        </w:rPr>
        <w:t>-L2 expression is limited to hematopoietic and endothelial cells. Nearly all human tumor-reactive tumor-infiltrating lymphocytes (TILs) in epithelial ovarian cancer express high levels of PD-1</w:t>
      </w:r>
      <w:hyperlink w:anchor="_ENREF_23" w:tooltip="Sandhu, 2013 #23" w:history="1">
        <w:r w:rsidR="00F77861" w:rsidRPr="00244551">
          <w:rPr>
            <w:rStyle w:val="Hyperlink"/>
            <w:szCs w:val="24"/>
          </w:rPr>
          <w:fldChar w:fldCharType="begin">
            <w:fldData xml:space="preserve">PEVuZE5vdGU+PENpdGU+PEF1dGhvcj5TYW5kaHU8L0F1dGhvcj48WWVhcj4yMDEzPC9ZZWFyPjxS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PEVuZE5vdGU+PENpdGU+PEF1dGhvcj5TYW5kaHU8L0F1dGhvcj48WWVhcj4yMDEzPC9ZZWFyPjxS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23</w:t>
        </w:r>
        <w:r w:rsidR="00F77861" w:rsidRPr="00244551">
          <w:rPr>
            <w:rStyle w:val="Hyperlink"/>
            <w:szCs w:val="24"/>
          </w:rPr>
          <w:fldChar w:fldCharType="end"/>
        </w:r>
      </w:hyperlink>
      <w:r w:rsidRPr="007A3223">
        <w:rPr>
          <w:szCs w:val="24"/>
        </w:rPr>
        <w:t>, requiring signaling through its ligands to suppress T cell function (</w:t>
      </w:r>
      <w:r w:rsidR="00307B04" w:rsidRPr="00F33908">
        <w:fldChar w:fldCharType="begin"/>
      </w:r>
      <w:r w:rsidR="00307B04" w:rsidRPr="007A3223">
        <w:instrText xml:space="preserve"> REF _Ref398818295 \h  \* MERGEFORMAT </w:instrText>
      </w:r>
      <w:r w:rsidR="00307B04" w:rsidRPr="00F33908">
        <w:fldChar w:fldCharType="separate"/>
      </w:r>
      <w:r w:rsidR="00E47ACA" w:rsidRPr="00E47ACA">
        <w:rPr>
          <w:b/>
          <w:color w:val="0000FF"/>
          <w:szCs w:val="24"/>
        </w:rPr>
        <w:t>Figure 1</w:t>
      </w:r>
      <w:r w:rsidR="00307B04" w:rsidRPr="00F33908">
        <w:fldChar w:fldCharType="end"/>
      </w:r>
      <w:r w:rsidRPr="007A3223">
        <w:rPr>
          <w:szCs w:val="24"/>
        </w:rPr>
        <w:t>)</w:t>
      </w:r>
      <w:hyperlink w:anchor="_ENREF_4" w:tooltip="Mellman, 2011 #4" w:history="1">
        <w:r w:rsidR="00F77861" w:rsidRPr="00244551">
          <w:rPr>
            <w:rStyle w:val="Hyperlink"/>
            <w:szCs w:val="24"/>
          </w:rPr>
          <w:fldChar w:fldCharType="begin"/>
        </w:r>
        <w:r w:rsidR="00F77861" w:rsidRPr="00244551">
          <w:rPr>
            <w:rStyle w:val="Hyperlink"/>
            <w:szCs w:val="24"/>
          </w:rPr>
          <w:instrText xml:space="preserve"> ADDIN EN.CITE &lt;EndNote&gt;&lt;Cite&gt;&lt;Author&gt;Mellman&lt;/Author&gt;&lt;Year&gt;2011&lt;/Year&gt;&lt;RecNum&gt;4&lt;/RecNum&gt;&lt;DisplayText&gt;&lt;style face="superscript"&gt;4&lt;/style&gt;&lt;/DisplayText&gt;&lt;record&gt;&lt;rec-number&gt;4&lt;/rec-number&gt;&lt;foreign-keys&gt;&lt;key app="EN" db-id="fd5pzdff0z5dt7er5swxsd2m2te2fd9saae5" timestamp="1426604744"&gt;4&lt;/key&gt;&lt;/foreign-keys&gt;&lt;ref-type name="Journal Article"&gt;17&lt;/ref-type&gt;&lt;contributors&gt;&lt;authors&gt;&lt;author&gt;Mellman, I.&lt;/author&gt;&lt;author&gt;Coukos, G.&lt;/author&gt;&lt;author&gt;Dranoff, G.&lt;/author&gt;&lt;/authors&gt;&lt;/contributors&gt;&lt;auth-address&gt;Genentech, 1 DNA Way, South San Francisco, California 94080, USA. mellman.ira@gene.com&lt;/auth-address&gt;&lt;titles&gt;&lt;title&gt;Cancer immunotherapy comes of age&lt;/title&gt;&lt;secondary-title&gt;Nature&lt;/secondary-title&gt;&lt;alt-title&gt;Nature&lt;/alt-title&gt;&lt;/titles&gt;&lt;periodical&gt;&lt;full-title&gt;Nature&lt;/full-title&gt;&lt;abbr-1&gt;Nature&lt;/abbr-1&gt;&lt;/periodical&gt;&lt;alt-periodical&gt;&lt;full-title&gt;Nature&lt;/full-title&gt;&lt;abbr-1&gt;Nature&lt;/abbr-1&gt;&lt;/alt-periodical&gt;&lt;pages&gt;480-9&lt;/pages&gt;&lt;volume&gt;480&lt;/volume&gt;&lt;number&gt;7378&lt;/number&gt;&lt;edition&gt;2011/12/24&lt;/edition&gt;&lt;keywords&gt;&lt;keyword&gt;Antibodies, Monoclonal/therapeutic use&lt;/keyword&gt;&lt;keyword&gt;Antineoplastic Agents/therapeutic use&lt;/keyword&gt;&lt;keyword&gt;Cancer Vaccines/therapeutic use&lt;/keyword&gt;&lt;keyword&gt;Humans&lt;/keyword&gt;&lt;keyword&gt;Immunologic Factors/therapeutic use&lt;/keyword&gt;&lt;keyword&gt;*Immunotherapy&lt;/keyword&gt;&lt;keyword&gt;Male&lt;/keyword&gt;&lt;keyword&gt;Neoplasms/drug therapy/*therapy&lt;/keyword&gt;&lt;keyword&gt;Prostatic Neoplasms/therapy&lt;/keyword&gt;&lt;keyword&gt;T-Lymphocytes/immunology&lt;/keyword&gt;&lt;/keywords&gt;&lt;dates&gt;&lt;year&gt;2011&lt;/year&gt;&lt;pub-dates&gt;&lt;date&gt;Dec 22&lt;/date&gt;&lt;/pub-dates&gt;&lt;/dates&gt;&lt;isbn&gt;1476-4687 (Electronic)&amp;#xD;0028-0836 (Linking)&lt;/isbn&gt;&lt;accession-num&gt;22193102&lt;/accession-num&gt;&lt;work-type&gt;Review&lt;/work-type&gt;&lt;urls&gt;&lt;related-urls&gt;&lt;url&gt;http://www.ncbi.nlm.nih.gov/pubmed/22193102&lt;/url&gt;&lt;/related-urls&gt;&lt;/urls&gt;&lt;custom2&gt;3967235&lt;/custom2&gt;&lt;electronic-resource-num&gt;10.1038/nature10673&lt;/electronic-resource-num&gt;&lt;language&gt;eng&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4</w:t>
        </w:r>
        <w:r w:rsidR="00F77861" w:rsidRPr="00244551">
          <w:rPr>
            <w:rStyle w:val="Hyperlink"/>
            <w:szCs w:val="24"/>
          </w:rPr>
          <w:fldChar w:fldCharType="end"/>
        </w:r>
      </w:hyperlink>
      <w:r w:rsidRPr="007A3223">
        <w:rPr>
          <w:szCs w:val="24"/>
        </w:rPr>
        <w:t xml:space="preserve">. </w:t>
      </w:r>
    </w:p>
    <w:p w14:paraId="79B47D28" w14:textId="77777777" w:rsidR="00157089" w:rsidRPr="00F33908" w:rsidRDefault="00157089" w:rsidP="00AC750A">
      <w:pPr>
        <w:pStyle w:val="Caption"/>
        <w:spacing w:before="0" w:after="0"/>
        <w:rPr>
          <w:szCs w:val="24"/>
        </w:rPr>
      </w:pPr>
    </w:p>
    <w:tbl>
      <w:tblPr>
        <w:tblW w:w="0" w:type="auto"/>
        <w:tblLook w:val="04A0" w:firstRow="1" w:lastRow="0" w:firstColumn="1" w:lastColumn="0" w:noHBand="0" w:noVBand="1"/>
      </w:tblPr>
      <w:tblGrid>
        <w:gridCol w:w="6009"/>
        <w:gridCol w:w="3351"/>
      </w:tblGrid>
      <w:tr w:rsidR="002F5445" w:rsidRPr="007A3223" w14:paraId="7B14E6AD" w14:textId="77777777" w:rsidTr="00FF6391">
        <w:tc>
          <w:tcPr>
            <w:tcW w:w="6091" w:type="dxa"/>
            <w:shd w:val="clear" w:color="auto" w:fill="auto"/>
          </w:tcPr>
          <w:p w14:paraId="1C325DD8" w14:textId="77777777" w:rsidR="002F5445" w:rsidRPr="007A3223" w:rsidRDefault="00877D1F" w:rsidP="00AC750A">
            <w:pPr>
              <w:tabs>
                <w:tab w:val="left" w:pos="720"/>
              </w:tabs>
              <w:spacing w:after="0"/>
              <w:rPr>
                <w:szCs w:val="24"/>
              </w:rPr>
            </w:pPr>
            <w:r w:rsidRPr="007A3223">
              <w:rPr>
                <w:noProof/>
                <w:szCs w:val="24"/>
                <w:lang w:eastAsia="ko-KR"/>
              </w:rPr>
              <w:drawing>
                <wp:inline distT="0" distB="0" distL="0" distR="0" wp14:anchorId="4F1C23CC" wp14:editId="0596378F">
                  <wp:extent cx="3145603" cy="2197100"/>
                  <wp:effectExtent l="0" t="0" r="4445" b="0"/>
                  <wp:docPr id="1" name="Picture 147" descr="nature1067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ture10673-f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5963" cy="2197352"/>
                          </a:xfrm>
                          <a:prstGeom prst="rect">
                            <a:avLst/>
                          </a:prstGeom>
                          <a:noFill/>
                          <a:ln>
                            <a:noFill/>
                          </a:ln>
                        </pic:spPr>
                      </pic:pic>
                    </a:graphicData>
                  </a:graphic>
                </wp:inline>
              </w:drawing>
            </w:r>
          </w:p>
        </w:tc>
        <w:tc>
          <w:tcPr>
            <w:tcW w:w="3485" w:type="dxa"/>
            <w:shd w:val="clear" w:color="auto" w:fill="auto"/>
          </w:tcPr>
          <w:p w14:paraId="5346FA1D" w14:textId="25BCA622" w:rsidR="002F5445" w:rsidRPr="007A3223" w:rsidRDefault="00157089" w:rsidP="00AC750A">
            <w:pPr>
              <w:spacing w:after="0"/>
              <w:rPr>
                <w:color w:val="262626"/>
                <w:sz w:val="22"/>
                <w:u w:val="single"/>
              </w:rPr>
            </w:pPr>
            <w:bookmarkStart w:id="38" w:name="_Ref398818295"/>
            <w:r w:rsidRPr="00F33908">
              <w:rPr>
                <w:b/>
                <w:sz w:val="22"/>
              </w:rPr>
              <w:t xml:space="preserve">Figure </w:t>
            </w:r>
            <w:r w:rsidR="002457B0" w:rsidRPr="00F33908">
              <w:rPr>
                <w:b/>
                <w:sz w:val="22"/>
              </w:rPr>
              <w:fldChar w:fldCharType="begin"/>
            </w:r>
            <w:r w:rsidRPr="007A3223">
              <w:rPr>
                <w:b/>
                <w:sz w:val="22"/>
              </w:rPr>
              <w:instrText xml:space="preserve"> SEQ Figure \* ARABIC </w:instrText>
            </w:r>
            <w:r w:rsidR="002457B0" w:rsidRPr="00F33908">
              <w:rPr>
                <w:b/>
                <w:sz w:val="22"/>
              </w:rPr>
              <w:fldChar w:fldCharType="separate"/>
            </w:r>
            <w:r w:rsidR="00E47ACA">
              <w:rPr>
                <w:b/>
                <w:noProof/>
                <w:sz w:val="22"/>
              </w:rPr>
              <w:t>1</w:t>
            </w:r>
            <w:r w:rsidR="002457B0" w:rsidRPr="00F33908">
              <w:rPr>
                <w:b/>
                <w:sz w:val="22"/>
              </w:rPr>
              <w:fldChar w:fldCharType="end"/>
            </w:r>
            <w:bookmarkEnd w:id="38"/>
            <w:r w:rsidR="002F5445" w:rsidRPr="007A3223">
              <w:rPr>
                <w:b/>
                <w:color w:val="262626"/>
                <w:sz w:val="22"/>
              </w:rPr>
              <w:t xml:space="preserve">. </w:t>
            </w:r>
            <w:r w:rsidR="002F5445" w:rsidRPr="00F33908">
              <w:rPr>
                <w:color w:val="262626"/>
                <w:sz w:val="22"/>
                <w:u w:val="single"/>
              </w:rPr>
              <w:t>I</w:t>
            </w:r>
            <w:r w:rsidR="002F5445" w:rsidRPr="007A3223">
              <w:rPr>
                <w:color w:val="262626"/>
                <w:sz w:val="22"/>
                <w:u w:val="single"/>
              </w:rPr>
              <w:t>mmunosuppression by the PD-1/PD-L1 pathway activation</w:t>
            </w:r>
          </w:p>
          <w:p w14:paraId="64F611C9" w14:textId="57A7467C" w:rsidR="002F5445" w:rsidRPr="00F33908" w:rsidRDefault="002F5445" w:rsidP="00AC750A">
            <w:pPr>
              <w:spacing w:after="0"/>
              <w:rPr>
                <w:color w:val="262626"/>
                <w:sz w:val="22"/>
              </w:rPr>
            </w:pPr>
            <w:r w:rsidRPr="007A3223">
              <w:rPr>
                <w:color w:val="262626"/>
                <w:sz w:val="22"/>
              </w:rPr>
              <w:t>Interaction of PD-1 with PD-L1 suppresses T cell responses, and may promote differentiation into Tregs. Antigen-educated T cells exit the lymph node and enter the tumor bed, where a host of immunosuppressive defense mechanism can be produced by tumors that oppose effector T cell function</w:t>
            </w:r>
            <w:r w:rsidR="00B87CA2" w:rsidRPr="007A3223">
              <w:rPr>
                <w:color w:val="262626"/>
                <w:sz w:val="22"/>
              </w:rPr>
              <w:t xml:space="preserve">; Figure </w:t>
            </w:r>
            <w:r w:rsidR="00B87CA2" w:rsidRPr="007A3223">
              <w:t>reproduced from Melman et al.</w:t>
            </w:r>
            <w:hyperlink w:anchor="_ENREF_4" w:tooltip="Mellman, 2011 #4" w:history="1">
              <w:r w:rsidR="00F77861" w:rsidRPr="00244551">
                <w:rPr>
                  <w:rStyle w:val="Hyperlink"/>
                  <w:sz w:val="22"/>
                </w:rPr>
                <w:fldChar w:fldCharType="begin"/>
              </w:r>
              <w:r w:rsidR="00F77861" w:rsidRPr="00244551">
                <w:rPr>
                  <w:rStyle w:val="Hyperlink"/>
                  <w:sz w:val="22"/>
                </w:rPr>
                <w:instrText xml:space="preserve"> ADDIN EN.CITE &lt;EndNote&gt;&lt;Cite&gt;&lt;Author&gt;Mellman&lt;/Author&gt;&lt;Year&gt;2011&lt;/Year&gt;&lt;RecNum&gt;4&lt;/RecNum&gt;&lt;DisplayText&gt;&lt;style face="superscript"&gt;4&lt;/style&gt;&lt;/DisplayText&gt;&lt;record&gt;&lt;rec-number&gt;4&lt;/rec-number&gt;&lt;foreign-keys&gt;&lt;key app="EN" db-id="fd5pzdff0z5dt7er5swxsd2m2te2fd9saae5" timestamp="1426604744"&gt;4&lt;/key&gt;&lt;/foreign-keys&gt;&lt;ref-type name="Journal Article"&gt;17&lt;/ref-type&gt;&lt;contributors&gt;&lt;authors&gt;&lt;author&gt;Mellman, I.&lt;/author&gt;&lt;author&gt;Coukos, G.&lt;/author&gt;&lt;author&gt;Dranoff, G.&lt;/author&gt;&lt;/authors&gt;&lt;/contributors&gt;&lt;auth-address&gt;Genentech, 1 DNA Way, South San Francisco, California 94080, USA. mellman.ira@gene.com&lt;/auth-address&gt;&lt;titles&gt;&lt;title&gt;Cancer immunotherapy comes of age&lt;/title&gt;&lt;secondary-title&gt;Nature&lt;/secondary-title&gt;&lt;alt-title&gt;Nature&lt;/alt-title&gt;&lt;/titles&gt;&lt;periodical&gt;&lt;full-title&gt;Nature&lt;/full-title&gt;&lt;abbr-1&gt;Nature&lt;/abbr-1&gt;&lt;/periodical&gt;&lt;alt-periodical&gt;&lt;full-title&gt;Nature&lt;/full-title&gt;&lt;abbr-1&gt;Nature&lt;/abbr-1&gt;&lt;/alt-periodical&gt;&lt;pages&gt;480-9&lt;/pages&gt;&lt;volume&gt;480&lt;/volume&gt;&lt;number&gt;7378&lt;/number&gt;&lt;edition&gt;2011/12/24&lt;/edition&gt;&lt;keywords&gt;&lt;keyword&gt;Antibodies, Monoclonal/therapeutic use&lt;/keyword&gt;&lt;keyword&gt;Antineoplastic Agents/therapeutic use&lt;/keyword&gt;&lt;keyword&gt;Cancer Vaccines/therapeutic use&lt;/keyword&gt;&lt;keyword&gt;Humans&lt;/keyword&gt;&lt;keyword&gt;Immunologic Factors/therapeutic use&lt;/keyword&gt;&lt;keyword&gt;*Immunotherapy&lt;/keyword&gt;&lt;keyword&gt;Male&lt;/keyword&gt;&lt;keyword&gt;Neoplasms/drug therapy/*therapy&lt;/keyword&gt;&lt;keyword&gt;Prostatic Neoplasms/therapy&lt;/keyword&gt;&lt;keyword&gt;T-Lymphocytes/immunology&lt;/keyword&gt;&lt;/keywords&gt;&lt;dates&gt;&lt;year&gt;2011&lt;/year&gt;&lt;pub-dates&gt;&lt;date&gt;Dec 22&lt;/date&gt;&lt;/pub-dates&gt;&lt;/dates&gt;&lt;isbn&gt;1476-4687 (Electronic)&amp;#xD;0028-0836 (Linking)&lt;/isbn&gt;&lt;accession-num&gt;22193102&lt;/accession-num&gt;&lt;work-type&gt;Review&lt;/work-type&gt;&lt;urls&gt;&lt;related-urls&gt;&lt;url&gt;http://www.ncbi.nlm.nih.gov/pubmed/22193102&lt;/url&gt;&lt;/related-urls&gt;&lt;/urls&gt;&lt;custom2&gt;3967235&lt;/custom2&gt;&lt;electronic-resource-num&gt;10.1038/nature10673&lt;/electronic-resource-num&gt;&lt;language&gt;eng&lt;/language&gt;&lt;/record&gt;&lt;/Cite&gt;&lt;/EndNote&gt;</w:instrText>
              </w:r>
              <w:r w:rsidR="00F77861" w:rsidRPr="00244551">
                <w:rPr>
                  <w:rStyle w:val="Hyperlink"/>
                  <w:sz w:val="22"/>
                </w:rPr>
                <w:fldChar w:fldCharType="separate"/>
              </w:r>
              <w:r w:rsidR="00F77861" w:rsidRPr="00244551">
                <w:rPr>
                  <w:rStyle w:val="Hyperlink"/>
                  <w:noProof/>
                  <w:sz w:val="22"/>
                  <w:vertAlign w:val="superscript"/>
                </w:rPr>
                <w:t>4</w:t>
              </w:r>
              <w:r w:rsidR="00F77861" w:rsidRPr="00244551">
                <w:rPr>
                  <w:rStyle w:val="Hyperlink"/>
                  <w:sz w:val="22"/>
                </w:rPr>
                <w:fldChar w:fldCharType="end"/>
              </w:r>
            </w:hyperlink>
            <w:r w:rsidR="00CD1EB4" w:rsidRPr="007A3223">
              <w:rPr>
                <w:color w:val="262626"/>
                <w:sz w:val="22"/>
              </w:rPr>
              <w:t>.</w:t>
            </w:r>
          </w:p>
          <w:p w14:paraId="4F153166" w14:textId="77777777" w:rsidR="002F5445" w:rsidRPr="007A3223" w:rsidRDefault="002F5445" w:rsidP="00AC750A">
            <w:pPr>
              <w:tabs>
                <w:tab w:val="left" w:pos="720"/>
              </w:tabs>
              <w:spacing w:after="0"/>
              <w:rPr>
                <w:szCs w:val="24"/>
              </w:rPr>
            </w:pPr>
          </w:p>
        </w:tc>
      </w:tr>
    </w:tbl>
    <w:p w14:paraId="6BE265C5" w14:textId="206A9613" w:rsidR="007A6E6D" w:rsidRPr="00263259" w:rsidRDefault="006F7A98" w:rsidP="00AC750A">
      <w:pPr>
        <w:spacing w:after="0"/>
        <w:rPr>
          <w:i/>
          <w:color w:val="262626"/>
          <w:szCs w:val="24"/>
        </w:rPr>
      </w:pPr>
      <w:r w:rsidRPr="007A3223">
        <w:rPr>
          <w:szCs w:val="24"/>
        </w:rPr>
        <w:t xml:space="preserve">     </w:t>
      </w:r>
      <w:r w:rsidR="007A6E6D" w:rsidRPr="007A3223">
        <w:rPr>
          <w:szCs w:val="24"/>
        </w:rPr>
        <w:t>PD-L1 expressed on tumor cells from epithelial ovarian cancers inhibit</w:t>
      </w:r>
      <w:r w:rsidR="00A519DD" w:rsidRPr="007A3223">
        <w:rPr>
          <w:szCs w:val="24"/>
        </w:rPr>
        <w:t>s</w:t>
      </w:r>
      <w:r w:rsidR="007A6E6D" w:rsidRPr="007A3223">
        <w:rPr>
          <w:szCs w:val="24"/>
        </w:rPr>
        <w:t xml:space="preserve"> anti-cancer immunity</w:t>
      </w:r>
      <w:hyperlink w:anchor="_ENREF_19" w:tooltip="Dong, 1999 #19" w:history="1">
        <w:r w:rsidR="00F77861" w:rsidRPr="00244551">
          <w:rPr>
            <w:rStyle w:val="Hyperlink"/>
            <w:szCs w:val="24"/>
          </w:rPr>
          <w:fldChar w:fldCharType="begin">
            <w:fldData xml:space="preserve">PEVuZE5vdGU+PENpdGU+PEF1dGhvcj5Eb25nPC9BdXRob3I+PFllYXI+MTk5OTwvWWVhcj48UmVj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PEVuZE5vdGU+PENpdGU+PEF1dGhvcj5Eb25nPC9BdXRob3I+PFllYXI+MTk5OTwvWWVhcj48UmVj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19</w:t>
        </w:r>
        <w:r w:rsidR="00F77861" w:rsidRPr="00244551">
          <w:rPr>
            <w:rStyle w:val="Hyperlink"/>
            <w:szCs w:val="24"/>
          </w:rPr>
          <w:fldChar w:fldCharType="end"/>
        </w:r>
      </w:hyperlink>
      <w:r w:rsidR="007A6E6D" w:rsidRPr="007A3223">
        <w:rPr>
          <w:szCs w:val="24"/>
        </w:rPr>
        <w:t>. In a preclinical model, PD-L1 bearing ovarian tumors inhibited tumor-directed cytotoxic T cell activity</w:t>
      </w:r>
      <w:hyperlink w:anchor="_ENREF_24" w:tooltip="Lin, 2010 #24" w:history="1">
        <w:r w:rsidR="00F77861" w:rsidRPr="00244551">
          <w:rPr>
            <w:rStyle w:val="Hyperlink"/>
            <w:szCs w:val="24"/>
          </w:rPr>
          <w:fldChar w:fldCharType="begin">
            <w:fldData xml:space="preserve">PEVuZE5vdGU+PENpdGU+PEF1dGhvcj5MaW48L0F1dGhvcj48WWVhcj4yMDEwPC9ZZWFyPjxSZWNO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ZXM+Mjc0Ny01MzwvcGFnZXM+PHZvbHVtZT4xODU8L3ZvbHVtZT48bnVtYmVyPjU8L251bWJlcj48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PEVuZE5vdGU+PENpdGU+PEF1dGhvcj5MaW48L0F1dGhvcj48WWVhcj4yMDEwPC9ZZWFyPjxSZWNO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ZXM+Mjc0Ny01MzwvcGFnZXM+PHZvbHVtZT4xODU8L3ZvbHVtZT48bnVtYmVyPjU8L251bWJlcj48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24</w:t>
        </w:r>
        <w:r w:rsidR="00F77861" w:rsidRPr="00244551">
          <w:rPr>
            <w:rStyle w:val="Hyperlink"/>
            <w:szCs w:val="24"/>
          </w:rPr>
          <w:fldChar w:fldCharType="end"/>
        </w:r>
      </w:hyperlink>
      <w:r w:rsidR="007A6E6D" w:rsidRPr="007A3223">
        <w:rPr>
          <w:szCs w:val="24"/>
        </w:rPr>
        <w:t>. Furthermore, blocking the interaction of PD-L1 with PD-1 on T cells has resulted in tumor regression in a mouse epithelial ovarian cancer model</w:t>
      </w:r>
      <w:hyperlink w:anchor="_ENREF_24" w:tooltip="Lin, 2010 #24" w:history="1">
        <w:r w:rsidR="00F77861" w:rsidRPr="00244551">
          <w:rPr>
            <w:rStyle w:val="Hyperlink"/>
            <w:szCs w:val="24"/>
          </w:rPr>
          <w:fldChar w:fldCharType="begin">
            <w:fldData xml:space="preserve">PEVuZE5vdGU+PENpdGU+PEF1dGhvcj5MaW48L0F1dGhvcj48WWVhcj4yMDEwPC9ZZWFyPjxSZWNO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ZXM+Mjc0Ny01MzwvcGFnZXM+PHZvbHVtZT4xODU8L3ZvbHVtZT48bnVtYmVyPjU8L251bWJlcj48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PEVuZE5vdGU+PENpdGU+PEF1dGhvcj5MaW48L0F1dGhvcj48WWVhcj4yMDEwPC9ZZWFyPjxSZWNO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ZXM+Mjc0Ny01MzwvcGFnZXM+PHZvbHVtZT4xODU8L3ZvbHVtZT48bnVtYmVyPjU8L251bWJlcj48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24</w:t>
        </w:r>
        <w:r w:rsidR="00F77861" w:rsidRPr="00244551">
          <w:rPr>
            <w:rStyle w:val="Hyperlink"/>
            <w:szCs w:val="24"/>
          </w:rPr>
          <w:fldChar w:fldCharType="end"/>
        </w:r>
      </w:hyperlink>
      <w:r w:rsidR="007A6E6D" w:rsidRPr="007A3223">
        <w:rPr>
          <w:szCs w:val="24"/>
        </w:rPr>
        <w:t xml:space="preserve">. Maine </w:t>
      </w:r>
      <w:r w:rsidR="007A6E6D" w:rsidRPr="00F33908">
        <w:rPr>
          <w:i/>
          <w:szCs w:val="24"/>
        </w:rPr>
        <w:t>et al.</w:t>
      </w:r>
      <w:r w:rsidR="007A6E6D" w:rsidRPr="007A3223">
        <w:rPr>
          <w:szCs w:val="24"/>
        </w:rPr>
        <w:t xml:space="preserve"> showed that PD-L1 was </w:t>
      </w:r>
      <w:r w:rsidR="007A6E6D" w:rsidRPr="007A3223">
        <w:rPr>
          <w:rFonts w:eastAsia="Times New Roman"/>
          <w:szCs w:val="24"/>
        </w:rPr>
        <w:t>over</w:t>
      </w:r>
      <w:r w:rsidR="007A6E6D" w:rsidRPr="007A3223">
        <w:rPr>
          <w:szCs w:val="24"/>
        </w:rPr>
        <w:t>-expressed on monocytes within ascites of patients with ovarian cancer; they demonstrated functional links between PD-L1 expression on those monocytes and tumor cells</w:t>
      </w:r>
      <w:hyperlink w:anchor="_ENREF_25" w:tooltip="Maine, 2013 #25" w:history="1">
        <w:r w:rsidR="00F77861" w:rsidRPr="00244551">
          <w:rPr>
            <w:rStyle w:val="Hyperlink"/>
            <w:szCs w:val="24"/>
          </w:rPr>
          <w:fldChar w:fldCharType="begin"/>
        </w:r>
        <w:r w:rsidR="00F77861" w:rsidRPr="00244551">
          <w:rPr>
            <w:rStyle w:val="Hyperlink"/>
            <w:szCs w:val="24"/>
          </w:rPr>
          <w:instrText xml:space="preserve"> ADDIN EN.CITE &lt;EndNote&gt;&lt;Cite&gt;&lt;Author&gt;Maine&lt;/Author&gt;&lt;Year&gt;2013&lt;/Year&gt;&lt;RecNum&gt;25&lt;/RecNum&gt;&lt;DisplayText&gt;&lt;style face="superscript"&gt;25&lt;/style&gt;&lt;/DisplayText&gt;&lt;record&gt;&lt;rec-number&gt;25&lt;/rec-number&gt;&lt;foreign-keys&gt;&lt;key app="EN" db-id="fd5pzdff0z5dt7er5swxsd2m2te2fd9saae5" timestamp="1426604750"&gt;25&lt;/key&gt;&lt;/foreign-keys&gt;&lt;ref-type name="Journal Article"&gt;17&lt;/ref-type&gt;&lt;contributors&gt;&lt;authors&gt;&lt;author&gt;Maine, C. J.&lt;/author&gt;&lt;author&gt;Aziz, N. H.&lt;/author&gt;&lt;author&gt;Chatterjee, J.&lt;/author&gt;&lt;author&gt;Hayford, C.&lt;/author&gt;&lt;author&gt;Brewig, N.&lt;/author&gt;&lt;author&gt;Whilding, L.&lt;/author&gt;&lt;author&gt;George, A. J.&lt;/author&gt;&lt;author&gt;Ghaem-Maghami, S.&lt;/author&gt;&lt;/authors&gt;&lt;/contributors&gt;&lt;auth-address&gt;Department of Medicine, Imperial College London, London, UK.&lt;/auth-address&gt;&lt;titles&gt;&lt;title&gt;Programmed death ligand-1 over-expression correlates with malignancy and contributes to immune regulation in ovarian cancer&lt;/title&gt;&lt;secondary-title&gt;Cancer Immunol Immunother&lt;/secondary-title&gt;&lt;alt-title&gt;Cancer immunology, immunotherapy : CII&lt;/alt-title&gt;&lt;/titles&gt;&lt;periodical&gt;&lt;full-title&gt;Cancer Immunol Immunother&lt;/full-title&gt;&lt;abbr-1&gt;Cancer immunology, immunotherapy : CII&lt;/abbr-1&gt;&lt;/periodical&gt;&lt;alt-periodical&gt;&lt;full-title&gt;Cancer Immunol Immunother&lt;/full-title&gt;&lt;abbr-1&gt;Cancer immunology, immunotherapy : CII&lt;/abbr-1&gt;&lt;/alt-periodical&gt;&lt;dates&gt;&lt;year&gt;2013&lt;/year&gt;&lt;pub-dates&gt;&lt;date&gt;Dec 3&lt;/date&gt;&lt;/pub-dates&gt;&lt;/dates&gt;&lt;isbn&gt;1432-0851 (Electronic)&amp;#xD;0340-7004 (Linking)&lt;/isbn&gt;&lt;accession-num&gt;24297569&lt;/accession-num&gt;&lt;urls&gt;&lt;related-urls&gt;&lt;url&gt;http://www.ncbi.nlm.nih.gov/pubmed/24297569&lt;/url&gt;&lt;/related-urls&gt;&lt;/urls&gt;&lt;electronic-resource-num&gt;10.1007/s00262-013-1503-x&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25</w:t>
        </w:r>
        <w:r w:rsidR="00F77861" w:rsidRPr="00244551">
          <w:rPr>
            <w:rStyle w:val="Hyperlink"/>
            <w:szCs w:val="24"/>
          </w:rPr>
          <w:fldChar w:fldCharType="end"/>
        </w:r>
      </w:hyperlink>
      <w:r w:rsidR="007A6E6D" w:rsidRPr="007A3223">
        <w:rPr>
          <w:szCs w:val="24"/>
        </w:rPr>
        <w:t xml:space="preserve">. Hamanishi </w:t>
      </w:r>
      <w:r w:rsidR="007A6E6D" w:rsidRPr="00F33908">
        <w:rPr>
          <w:i/>
          <w:szCs w:val="24"/>
        </w:rPr>
        <w:t>et al.</w:t>
      </w:r>
      <w:r w:rsidR="007A6E6D" w:rsidRPr="007A3223">
        <w:rPr>
          <w:szCs w:val="24"/>
          <w:lang w:eastAsia="ko-KR"/>
        </w:rPr>
        <w:t xml:space="preserve"> </w:t>
      </w:r>
      <w:r w:rsidR="007A6E6D" w:rsidRPr="007A3223">
        <w:rPr>
          <w:szCs w:val="24"/>
        </w:rPr>
        <w:t>reported PD-L1 and PD-L2 expression in human ovarian cancers is associated with poor survival and that expression of PD-L1 was inversely related to the presence of CD8+ suppressor T cells in tumor islets</w:t>
      </w:r>
      <w:hyperlink w:anchor="_ENREF_26" w:tooltip="Hamanishi, 2007 #26" w:history="1">
        <w:r w:rsidR="00F77861" w:rsidRPr="00244551">
          <w:rPr>
            <w:rStyle w:val="Hyperlink"/>
            <w:szCs w:val="24"/>
          </w:rPr>
          <w:fldChar w:fldCharType="begin">
            <w:fldData xml:space="preserve">PEVuZE5vdGU+PENpdGU+PEF1dGhvcj5IYW1hbmlzaGk8L0F1dGhvcj48WWVhcj4yMDA3PC9ZZWFy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QTwvZnVsbC10aXRsZT48L3BlcmlvZGljYWw+PHBhZ2VzPjMzNjAtNTwvcGFnZXM+PHZvbHVtZT4x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PEVuZE5vdGU+PENpdGU+PEF1dGhvcj5IYW1hbmlzaGk8L0F1dGhvcj48WWVhcj4yMDA3PC9ZZWFy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QTwvZnVsbC10aXRsZT48L3BlcmlvZGljYWw+PHBhZ2VzPjMzNjAtNTwvcGFnZXM+PHZvbHVtZT4x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26</w:t>
        </w:r>
        <w:r w:rsidR="00F77861" w:rsidRPr="00244551">
          <w:rPr>
            <w:rStyle w:val="Hyperlink"/>
            <w:szCs w:val="24"/>
          </w:rPr>
          <w:fldChar w:fldCharType="end"/>
        </w:r>
      </w:hyperlink>
      <w:r w:rsidR="007A6E6D" w:rsidRPr="007A3223">
        <w:rPr>
          <w:szCs w:val="24"/>
        </w:rPr>
        <w:t xml:space="preserve">. Thus, disruption of </w:t>
      </w:r>
      <w:r w:rsidR="007A6E6D" w:rsidRPr="00F33908">
        <w:rPr>
          <w:szCs w:val="24"/>
        </w:rPr>
        <w:t xml:space="preserve">the PD-1/PD-L1 interaction is a rational strategy for immunotherapy in patients with advanced epithelial ovarian cancer. </w:t>
      </w:r>
    </w:p>
    <w:p w14:paraId="67671832" w14:textId="2838FDF1" w:rsidR="007A6E6D" w:rsidRPr="007A3223" w:rsidRDefault="007A6E6D" w:rsidP="00AC750A">
      <w:pPr>
        <w:spacing w:after="0"/>
        <w:ind w:firstLine="270"/>
        <w:rPr>
          <w:rFonts w:eastAsia="Times New Roman"/>
          <w:szCs w:val="24"/>
        </w:rPr>
      </w:pPr>
      <w:r w:rsidRPr="007A3223">
        <w:rPr>
          <w:rFonts w:eastAsia="Times New Roman"/>
          <w:szCs w:val="24"/>
        </w:rPr>
        <w:t xml:space="preserve">Recently, Brahmer </w:t>
      </w:r>
      <w:r w:rsidRPr="00F33908">
        <w:rPr>
          <w:rStyle w:val="Emphasis"/>
          <w:rFonts w:eastAsia="Times New Roman"/>
          <w:szCs w:val="24"/>
        </w:rPr>
        <w:t>et al.</w:t>
      </w:r>
      <w:r w:rsidRPr="007A3223">
        <w:rPr>
          <w:rFonts w:eastAsia="Times New Roman"/>
          <w:szCs w:val="24"/>
        </w:rPr>
        <w:t xml:space="preserve"> presented the first in human study of anti-PD-L1 antibody (BMS-936559) in patients with advanced malignancies</w:t>
      </w:r>
      <w:hyperlink w:anchor="_ENREF_27" w:tooltip="Brahmer, 2012 #27" w:history="1">
        <w:r w:rsidR="00F77861" w:rsidRPr="00244551">
          <w:rPr>
            <w:rStyle w:val="Hyperlink"/>
            <w:rFonts w:eastAsia="Times New Roman"/>
            <w:szCs w:val="24"/>
          </w:rPr>
          <w:fldChar w:fldCharType="begin">
            <w:fldData xml:space="preserve">PEVuZE5vdGU+PENpdGU+PEF1dGhvcj5CcmFobWVyPC9BdXRob3I+PFllYXI+MjAxMjwvWWVhcj48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</w:fldData>
          </w:fldChar>
        </w:r>
        <w:r w:rsidR="00F77861" w:rsidRPr="00244551">
          <w:rPr>
            <w:rStyle w:val="Hyperlink"/>
            <w:rFonts w:eastAsia="Times New Roman"/>
            <w:szCs w:val="24"/>
          </w:rPr>
          <w:instrText xml:space="preserve"> ADDIN EN.CITE </w:instrText>
        </w:r>
        <w:r w:rsidR="00F77861" w:rsidRPr="00244551">
          <w:rPr>
            <w:rStyle w:val="Hyperlink"/>
            <w:rFonts w:eastAsia="Times New Roman"/>
            <w:szCs w:val="24"/>
          </w:rPr>
          <w:fldChar w:fldCharType="begin">
            <w:fldData xml:space="preserve">PEVuZE5vdGU+PENpdGU+PEF1dGhvcj5CcmFobWVyPC9BdXRob3I+PFllYXI+MjAxMjwvWWVhcj48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</w:fldData>
          </w:fldChar>
        </w:r>
        <w:r w:rsidR="00F77861" w:rsidRPr="00244551">
          <w:rPr>
            <w:rStyle w:val="Hyperlink"/>
            <w:rFonts w:eastAsia="Times New Roman"/>
            <w:szCs w:val="24"/>
          </w:rPr>
          <w:instrText xml:space="preserve"> ADDIN EN.CITE.DATA </w:instrText>
        </w:r>
        <w:r w:rsidR="00F77861" w:rsidRPr="00244551">
          <w:rPr>
            <w:rStyle w:val="Hyperlink"/>
            <w:rFonts w:eastAsia="Times New Roman"/>
            <w:szCs w:val="24"/>
          </w:rPr>
        </w:r>
        <w:r w:rsidR="00F77861" w:rsidRPr="0024455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27</w:t>
        </w:r>
        <w:r w:rsidR="00F77861" w:rsidRPr="00244551">
          <w:rPr>
            <w:rStyle w:val="Hyperlink"/>
            <w:rFonts w:eastAsia="Times New Roman"/>
            <w:szCs w:val="24"/>
          </w:rPr>
          <w:fldChar w:fldCharType="end"/>
        </w:r>
      </w:hyperlink>
      <w:r w:rsidRPr="007A3223">
        <w:rPr>
          <w:rFonts w:eastAsia="Times New Roman"/>
          <w:szCs w:val="24"/>
        </w:rPr>
        <w:t>. Treatment was well tolerated in the 207 patients treated for a median of 12 weeks. Treatment related grade 3-4 adverse events occurred in only 9% of patients.</w:t>
      </w:r>
      <w:r w:rsidRPr="00F33908">
        <w:rPr>
          <w:rFonts w:eastAsia="Times New Roman"/>
          <w:szCs w:val="24"/>
        </w:rPr>
        <w:t xml:space="preserve"> Immune-mediated adverse </w:t>
      </w:r>
      <w:r w:rsidRPr="007A3223">
        <w:rPr>
          <w:rFonts w:eastAsia="Times New Roman"/>
          <w:szCs w:val="24"/>
        </w:rPr>
        <w:t xml:space="preserve">events, including rash, hypothyroidism, and hepatitis, were predominantly mild, although 9 patients required transient administration of glucocorticoids. Treatment responses were observed in 9 out of 52 patients with melanoma, 5 of 49 patients with non-small cell lung cancer, 2 of 17 patients with renal cancer, and 1 of 17 patients with ovarian cancer. </w:t>
      </w:r>
    </w:p>
    <w:p w14:paraId="79182A13" w14:textId="3E57E09A" w:rsidR="00053797" w:rsidRPr="007A3223" w:rsidRDefault="007A6E6D" w:rsidP="006F7A98">
      <w:pPr>
        <w:spacing w:after="0"/>
        <w:ind w:firstLine="270"/>
        <w:rPr>
          <w:szCs w:val="24"/>
        </w:rPr>
      </w:pPr>
      <w:r w:rsidRPr="007A3223">
        <w:rPr>
          <w:szCs w:val="24"/>
        </w:rPr>
        <w:t xml:space="preserve">A phase II study of </w:t>
      </w:r>
      <w:r w:rsidRPr="007A3223">
        <w:rPr>
          <w:rFonts w:eastAsia="Times New Roman"/>
          <w:szCs w:val="24"/>
        </w:rPr>
        <w:t>anti-PD1 antibody (nivolumab, BMS-936558)</w:t>
      </w:r>
      <w:r w:rsidRPr="007A3223">
        <w:rPr>
          <w:szCs w:val="24"/>
        </w:rPr>
        <w:t xml:space="preserve"> in recurrent platinum-resistant ovarian cancer was reported at 2014 ASCO</w:t>
      </w:r>
      <w:hyperlink w:anchor="_ENREF_28" w:tooltip="Hamanishi J,  #28" w:history="1">
        <w:r w:rsidR="00F77861" w:rsidRPr="00244551">
          <w:rPr>
            <w:rStyle w:val="Hyperlink"/>
            <w:szCs w:val="24"/>
          </w:rPr>
          <w:fldChar w:fldCharType="begin"/>
        </w:r>
        <w:r w:rsidR="00F77861" w:rsidRPr="00244551">
          <w:rPr>
            <w:rStyle w:val="Hyperlink"/>
            <w:szCs w:val="24"/>
          </w:rPr>
          <w:instrText xml:space="preserve"> ADDIN EN.CITE &lt;EndNote&gt;&lt;Cite&gt;&lt;Author&gt;Hamanishi J&lt;/Author&gt;&lt;RecNum&gt;28&lt;/RecNum&gt;&lt;DisplayText&gt;&lt;style face="superscript"&gt;28&lt;/style&gt;&lt;/DisplayText&gt;&lt;record&gt;&lt;rec-number&gt;28&lt;/rec-number&gt;&lt;foreign-keys&gt;&lt;key app="EN" db-id="fd5pzdff0z5dt7er5swxsd2m2te2fd9saae5" timestamp="1426604751"&gt;28&lt;/key&gt;&lt;/foreign-keys&gt;&lt;ref-type name="Journal Article"&gt;17&lt;/ref-type&gt;&lt;contributors&gt;&lt;authors&gt;&lt;author&gt;Hamanishi J, Mandai M, Ikeda T, Minami M, Kawaguchi A, Matsumura N, Abiko K, Baba T, Yamaguchi K, Ueda A, Kanai M, Mori Y, Matsumoto S, Murayama T, Chikuma S, Morita S, Yokode M, Shimizu A, Honjo T, Konishi I&lt;/author&gt;&lt;/authors&gt;&lt;/contributors&gt;&lt;titles&gt;&lt;title&gt;Efficacy and safety of anti-PD-1 antibody (Nivolumab: BMS-936558, ONO-4538) in patients with platinum-resistant ovarian cancer.&lt;/title&gt;&lt;secondary-title&gt;J Clin Oncol 32:5s, 2014 (suppl; abstr 5511)&lt;/secondary-title&gt;&lt;/titles&gt;&lt;periodical&gt;&lt;full-title&gt;J Clin Oncol 32:5s, 2014 (suppl; abstr 5511)&lt;/full-title&gt;&lt;/periodical&gt;&lt;dates&gt;&lt;/dates&gt;&lt;urls&gt;&lt;/urls&gt;&lt;/record&gt;&lt;/Cite&gt;&lt;/EndNote&gt;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28</w:t>
        </w:r>
        <w:r w:rsidR="00F77861" w:rsidRPr="00244551">
          <w:rPr>
            <w:rStyle w:val="Hyperlink"/>
            <w:szCs w:val="24"/>
          </w:rPr>
          <w:fldChar w:fldCharType="end"/>
        </w:r>
      </w:hyperlink>
      <w:r w:rsidRPr="007A3223">
        <w:rPr>
          <w:szCs w:val="24"/>
        </w:rPr>
        <w:t>. Eighteen platinum-resistant ovarian cancer patients were treated with nivolumab on two dose cohorts; 1</w:t>
      </w:r>
      <w:r w:rsidR="00541B61" w:rsidRPr="00F33908">
        <w:rPr>
          <w:szCs w:val="24"/>
        </w:rPr>
        <w:t xml:space="preserve"> </w:t>
      </w:r>
      <w:r w:rsidRPr="007A3223">
        <w:rPr>
          <w:szCs w:val="24"/>
        </w:rPr>
        <w:t>mg/kg (10 patients) and 3</w:t>
      </w:r>
      <w:r w:rsidR="00541B61" w:rsidRPr="007A3223">
        <w:rPr>
          <w:szCs w:val="24"/>
        </w:rPr>
        <w:t xml:space="preserve"> </w:t>
      </w:r>
      <w:r w:rsidRPr="007A3223">
        <w:rPr>
          <w:szCs w:val="24"/>
        </w:rPr>
        <w:t>mg/kg (8 patients), administered every 2 weeks for up to 1 year. More than half of the patients received &gt; 4 prior treatment regimens. Median treatment duration was 14 weeks and objective response rate (ORR) by RECIST was 17% (3/18). Two patients in the 3</w:t>
      </w:r>
      <w:r w:rsidR="00541B61" w:rsidRPr="007A3223">
        <w:rPr>
          <w:szCs w:val="24"/>
        </w:rPr>
        <w:t xml:space="preserve"> </w:t>
      </w:r>
      <w:r w:rsidRPr="007A3223">
        <w:rPr>
          <w:szCs w:val="24"/>
        </w:rPr>
        <w:t xml:space="preserve">mg/kg group experienced complete response </w:t>
      </w:r>
      <w:hyperlink w:anchor="_ENREF_29" w:tooltip="Le, 2015 #27" w:history="1">
        <w:r w:rsidR="00F77861" w:rsidRPr="00244551">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 </w:instrText>
        </w:r>
        <w:r w:rsidR="00F77861" w:rsidRPr="00244551">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EN.CITE.DATA </w:instrText>
        </w:r>
        <w:r w:rsidR="00F77861" w:rsidRPr="00244551">
          <w:rPr>
            <w:rStyle w:val="Hyperlink"/>
            <w:szCs w:val="24"/>
          </w:rPr>
        </w:r>
        <w:r w:rsidR="00F77861" w:rsidRPr="0024455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29</w:t>
        </w:r>
        <w:r w:rsidR="00F77861" w:rsidRPr="00244551">
          <w:rPr>
            <w:rStyle w:val="Hyperlink"/>
            <w:szCs w:val="24"/>
          </w:rPr>
          <w:fldChar w:fldCharType="end"/>
        </w:r>
      </w:hyperlink>
      <w:r w:rsidRPr="007A3223">
        <w:rPr>
          <w:szCs w:val="24"/>
        </w:rPr>
        <w:t>, one with serous epithelial ovarian cancer and another with clear cell ovarian cancer. One e</w:t>
      </w:r>
      <w:r w:rsidRPr="00F33908">
        <w:rPr>
          <w:szCs w:val="24"/>
        </w:rPr>
        <w:t>xperienced a partial response (PR) and two patients experienced stable disease (SD) in the 1</w:t>
      </w:r>
      <w:r w:rsidR="00541B61" w:rsidRPr="00F33908">
        <w:rPr>
          <w:szCs w:val="24"/>
        </w:rPr>
        <w:t xml:space="preserve"> </w:t>
      </w:r>
      <w:r w:rsidRPr="007A3223">
        <w:rPr>
          <w:szCs w:val="24"/>
        </w:rPr>
        <w:t xml:space="preserve">mg/kg group. </w:t>
      </w:r>
      <w:r w:rsidR="006F7A98" w:rsidRPr="007A3223">
        <w:rPr>
          <w:szCs w:val="24"/>
        </w:rPr>
        <w:t xml:space="preserve">This result suggests disruption of the PD-1/PD-L1 </w:t>
      </w:r>
      <w:r w:rsidR="006F7A98" w:rsidRPr="007A3223">
        <w:rPr>
          <w:szCs w:val="24"/>
        </w:rPr>
        <w:lastRenderedPageBreak/>
        <w:t>pathway is a promising direction for recurrent ovarian cancer patients for whom there are limited therapeutic options.</w:t>
      </w:r>
    </w:p>
    <w:p w14:paraId="2F131B08" w14:textId="77777777" w:rsidR="002F2BD0" w:rsidRPr="007A3223" w:rsidRDefault="002F2BD0" w:rsidP="006F7A98">
      <w:pPr>
        <w:spacing w:after="0"/>
        <w:ind w:firstLine="270"/>
      </w:pPr>
    </w:p>
    <w:p w14:paraId="0B00CCC3" w14:textId="77777777" w:rsidR="00B1720F" w:rsidRPr="007A3223" w:rsidRDefault="000572F0" w:rsidP="005551CC">
      <w:pPr>
        <w:rPr>
          <w:i/>
        </w:rPr>
      </w:pPr>
      <w:r w:rsidRPr="007A3223">
        <w:t xml:space="preserve">Targeting the PD-1/PD-L1 pathway in combination with angiogenesis inhibition and/or </w:t>
      </w:r>
      <w:r w:rsidR="007A6E6D" w:rsidRPr="007A3223">
        <w:t>Poly(ADP-ribose)</w:t>
      </w:r>
      <w:r w:rsidR="00F0647E" w:rsidRPr="007A3223">
        <w:t xml:space="preserve"> </w:t>
      </w:r>
      <w:r w:rsidR="007A6E6D" w:rsidRPr="007A3223">
        <w:t>polymerase (PARP) inhibition in recurrent ovarian cancer</w:t>
      </w:r>
    </w:p>
    <w:p w14:paraId="38BC19ED" w14:textId="53AAC515" w:rsidR="006F7A98" w:rsidRPr="007A3223" w:rsidRDefault="006F7A98" w:rsidP="00EA69AB">
      <w:pPr>
        <w:rPr>
          <w:i/>
        </w:rPr>
      </w:pPr>
      <w:r w:rsidRPr="007A3223">
        <w:t>Emerging data suggest modulation of other pathways can alter host immune responses, which raises the possibility of innovative therapeutic combinations</w:t>
      </w:r>
      <w:r w:rsidR="002457B0" w:rsidRPr="00585A7F">
        <w:rPr>
          <w:i/>
        </w:rPr>
        <w:fldChar w:fldCharType="begin">
          <w:fldData xml:space="preserve">PEVuZE5vdGU+PENpdGU+PEF1dGhvcj5HYWxsdXp6aTwvQXV0aG9yPjxZZWFyPjIwMTI8L1llYXI+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</w:fldData>
        </w:fldChar>
      </w:r>
      <w:r w:rsidR="00A756D5" w:rsidRPr="007A3223">
        <w:rPr>
          <w:i/>
        </w:rPr>
        <w:instrText xml:space="preserve"> ADDIN EN.CITE </w:instrText>
      </w:r>
      <w:r w:rsidR="00A756D5" w:rsidRPr="007A726A">
        <w:rPr>
          <w:i/>
        </w:rPr>
        <w:fldChar w:fldCharType="begin">
          <w:fldData xml:space="preserve">PEVuZE5vdGU+PENpdGU+PEF1dGhvcj5HYWxsdXp6aTwvQXV0aG9yPjxZZWFyPjIwMTI8L1llYXI+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</w:fldData>
        </w:fldChar>
      </w:r>
      <w:r w:rsidR="00A756D5" w:rsidRPr="007A3223">
        <w:rPr>
          <w:i/>
        </w:rPr>
        <w:instrText xml:space="preserve"> ADDIN EN.CITE.DATA </w:instrText>
      </w:r>
      <w:r w:rsidR="00A756D5" w:rsidRPr="007A726A">
        <w:rPr>
          <w:i/>
        </w:rPr>
      </w:r>
      <w:r w:rsidR="00A756D5" w:rsidRPr="007A726A">
        <w:rPr>
          <w:i/>
        </w:rPr>
        <w:fldChar w:fldCharType="end"/>
      </w:r>
      <w:r w:rsidR="002457B0" w:rsidRPr="00585A7F">
        <w:rPr>
          <w:i/>
        </w:rPr>
      </w:r>
      <w:r w:rsidR="002457B0" w:rsidRPr="00585A7F">
        <w:rPr>
          <w:i/>
        </w:rPr>
        <w:fldChar w:fldCharType="separate"/>
      </w:r>
      <w:hyperlink w:anchor="_ENREF_30" w:tooltip="Galluzzi, 2012 #29" w:history="1">
        <w:r w:rsidR="00F77861" w:rsidRPr="00244551">
          <w:rPr>
            <w:rStyle w:val="Hyperlink"/>
            <w:noProof/>
            <w:vertAlign w:val="superscript"/>
          </w:rPr>
          <w:t>30</w:t>
        </w:r>
      </w:hyperlink>
      <w:r w:rsidR="00DD2541" w:rsidRPr="00F33908">
        <w:rPr>
          <w:i/>
          <w:noProof/>
          <w:vertAlign w:val="superscript"/>
        </w:rPr>
        <w:t>,</w:t>
      </w:r>
      <w:hyperlink w:anchor="_ENREF_31" w:tooltip="Schoenfeld, 2011 #30" w:history="1">
        <w:r w:rsidR="00F77861" w:rsidRPr="00244551">
          <w:rPr>
            <w:rStyle w:val="Hyperlink"/>
            <w:noProof/>
            <w:vertAlign w:val="superscript"/>
          </w:rPr>
          <w:t>31</w:t>
        </w:r>
      </w:hyperlink>
      <w:r w:rsidR="002457B0" w:rsidRPr="00585A7F">
        <w:rPr>
          <w:i/>
        </w:rPr>
        <w:fldChar w:fldCharType="end"/>
      </w:r>
      <w:r w:rsidRPr="007A3223">
        <w:t xml:space="preserve">. Active therapeutic targets in </w:t>
      </w:r>
      <w:r w:rsidR="000572F0" w:rsidRPr="00F33908">
        <w:t>recurrent ovarian cancer</w:t>
      </w:r>
      <w:r w:rsidRPr="007A3223">
        <w:t xml:space="preserve"> include </w:t>
      </w:r>
      <w:r w:rsidRPr="007A3223">
        <w:rPr>
          <w:rStyle w:val="normalchar"/>
        </w:rPr>
        <w:t>angiogenesis and DNA damage repair pathways.</w:t>
      </w:r>
    </w:p>
    <w:p w14:paraId="233B5EB5" w14:textId="77777777" w:rsidR="00DF00FF" w:rsidRPr="007A3223" w:rsidRDefault="00D35C72" w:rsidP="008255D7">
      <w:pPr>
        <w:pStyle w:val="Heading4"/>
      </w:pPr>
      <w:r w:rsidRPr="007A3223">
        <w:t>Angiogenesis inhibition</w:t>
      </w:r>
    </w:p>
    <w:p w14:paraId="37AD15C7" w14:textId="6FA952A2" w:rsidR="006F7A98" w:rsidRPr="007A3223" w:rsidRDefault="006F7A98" w:rsidP="00C71D13">
      <w:pPr>
        <w:widowControl w:val="0"/>
        <w:autoSpaceDE w:val="0"/>
        <w:autoSpaceDN w:val="0"/>
        <w:adjustRightInd w:val="0"/>
        <w:spacing w:after="0"/>
        <w:rPr>
          <w:b/>
          <w:szCs w:val="24"/>
          <w:u w:val="single"/>
        </w:rPr>
      </w:pPr>
      <w:r w:rsidRPr="007A3223">
        <w:rPr>
          <w:szCs w:val="24"/>
        </w:rPr>
        <w:t xml:space="preserve">     </w:t>
      </w:r>
      <w:r w:rsidR="00571A6C" w:rsidRPr="007A3223">
        <w:rPr>
          <w:szCs w:val="24"/>
        </w:rPr>
        <w:t xml:space="preserve">Angiogenic factors influence lymphocyte trafficking across </w:t>
      </w:r>
      <w:r w:rsidR="00571A6C" w:rsidRPr="007A3223">
        <w:rPr>
          <w:rFonts w:eastAsia="Times New Roman"/>
          <w:szCs w:val="24"/>
        </w:rPr>
        <w:t>endothelia</w:t>
      </w:r>
      <w:r w:rsidR="00571A6C" w:rsidRPr="007A3223">
        <w:rPr>
          <w:szCs w:val="24"/>
        </w:rPr>
        <w:t xml:space="preserve"> into tumor deposits</w:t>
      </w:r>
      <w:hyperlink w:anchor="_ENREF_32" w:tooltip="Kandalaft, 2011 #31" w:history="1">
        <w:r w:rsidR="00F77861" w:rsidRPr="00244551">
          <w:rPr>
            <w:rStyle w:val="Hyperlink"/>
            <w:szCs w:val="24"/>
          </w:rPr>
          <w:fldChar w:fldCharType="begin">
            <w:fldData xml:space="preserve">PEVuZE5vdGU+PENpdGU+PEF1dGhvcj5LYW5kYWxhZnQ8L0F1dGhvcj48WWVhcj4yMDExPC9ZZWFy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PEVuZE5vdGU+PENpdGU+PEF1dGhvcj5LYW5kYWxhZnQ8L0F1dGhvcj48WWVhcj4yMDExPC9ZZWFy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32</w:t>
        </w:r>
        <w:r w:rsidR="00F77861" w:rsidRPr="00244551">
          <w:rPr>
            <w:rStyle w:val="Hyperlink"/>
            <w:szCs w:val="24"/>
          </w:rPr>
          <w:fldChar w:fldCharType="end"/>
        </w:r>
      </w:hyperlink>
      <w:r w:rsidR="00571A6C" w:rsidRPr="007A3223">
        <w:rPr>
          <w:szCs w:val="24"/>
        </w:rPr>
        <w:t xml:space="preserve"> and suppress inflammation to promote vessel growth</w:t>
      </w:r>
      <w:hyperlink w:anchor="_ENREF_33" w:tooltip="Tartour, 2011 #32" w:history="1">
        <w:r w:rsidR="00F77861" w:rsidRPr="00244551">
          <w:rPr>
            <w:rStyle w:val="Hyperlink"/>
            <w:szCs w:val="24"/>
          </w:rPr>
          <w:fldChar w:fldCharType="begin">
            <w:fldData xml:space="preserve">PEVuZE5vdGU+PENpdGU+PEF1dGhvcj5UYXJ0b3VyPC9BdXRob3I+PFllYXI+MjAxMTwvWWVhcj48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PEVuZE5vdGU+PENpdGU+PEF1dGhvcj5UYXJ0b3VyPC9BdXRob3I+PFllYXI+MjAxMTwvWWVhcj48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33</w:t>
        </w:r>
        <w:r w:rsidR="00F77861" w:rsidRPr="00244551">
          <w:rPr>
            <w:rStyle w:val="Hyperlink"/>
            <w:szCs w:val="24"/>
          </w:rPr>
          <w:fldChar w:fldCharType="end"/>
        </w:r>
      </w:hyperlink>
      <w:r w:rsidR="00571A6C" w:rsidRPr="007A3223">
        <w:rPr>
          <w:szCs w:val="24"/>
        </w:rPr>
        <w:t xml:space="preserve">. VEGF </w:t>
      </w:r>
      <w:r w:rsidR="008A27FF" w:rsidRPr="00F33908">
        <w:rPr>
          <w:szCs w:val="24"/>
        </w:rPr>
        <w:t xml:space="preserve">negatively </w:t>
      </w:r>
      <w:r w:rsidR="00571A6C" w:rsidRPr="007A3223">
        <w:rPr>
          <w:szCs w:val="24"/>
        </w:rPr>
        <w:t>alters antitumor immune responses in preclinical and clinical models, including the suppression of dendritic cell maturation</w:t>
      </w:r>
      <w:hyperlink w:anchor="_ENREF_34" w:tooltip="Sondak, 2011 #33" w:history="1">
        <w:r w:rsidR="00F77861" w:rsidRPr="00244551">
          <w:rPr>
            <w:rStyle w:val="Hyperlink"/>
            <w:szCs w:val="24"/>
          </w:rPr>
          <w:fldChar w:fldCharType="begin"/>
        </w:r>
        <w:r w:rsidR="00F77861" w:rsidRPr="00244551">
          <w:rPr>
            <w:rStyle w:val="Hyperlink"/>
            <w:szCs w:val="24"/>
          </w:rPr>
          <w:instrText xml:space="preserve"> ADDIN EN.CITE &lt;EndNote&gt;&lt;Cite ExcludeYear="1"&gt;&lt;Author&gt;Sondak&lt;/Author&gt;&lt;Year&gt;2011&lt;/Year&gt;&lt;RecNum&gt;33&lt;/RecNum&gt;&lt;DisplayText&gt;&lt;style face="superscript"&gt;34&lt;/style&gt;&lt;/DisplayText&gt;&lt;record&gt;&lt;rec-number&gt;33&lt;/rec-number&gt;&lt;foreign-keys&gt;&lt;key app="EN" db-id="fd5pzdff0z5dt7er5swxsd2m2te2fd9saae5" timestamp="1426604752"&gt;33&lt;/key&gt;&lt;/foreign-keys&gt;&lt;ref-type name="Journal Article"&gt;17&lt;/ref-type&gt;&lt;contributors&gt;&lt;authors&gt;&lt;author&gt;Sondak, V. K.&lt;/author&gt;&lt;author&gt;Smalley, K. S.&lt;/author&gt;&lt;author&gt;Kudchadkar, R.&lt;/author&gt;&lt;author&gt;Grippon, S.&lt;/author&gt;&lt;author&gt;Kirkpatrick, P.&lt;/author&gt;&lt;/authors&gt;&lt;/contributors&gt;&lt;titles&gt;&lt;title&gt;Ipilimumab&lt;/title&gt;&lt;secondary-title&gt;Nat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discovery&lt;/abbr-1&gt;&lt;/alt-periodical&gt;&lt;pages&gt;411-2&lt;/pages&gt;&lt;volume&gt;10&lt;/volume&gt;&lt;number&gt;6&lt;/number&gt;&lt;keywords&gt;&lt;keyword&gt;Animals&lt;/keyword&gt;&lt;keyword&gt;Antibodies, Monoclonal/administration &amp;amp; dosage/*therapeutic use&lt;/keyword&gt;&lt;keyword&gt;Antigens, CD/immunology&lt;/keyword&gt;&lt;keyword&gt;CTLA-4 Antigen&lt;/keyword&gt;&lt;keyword&gt;Humans&lt;/keyword&gt;&lt;keyword&gt;Melanoma/*drug therapy/immunology/secondary&lt;/keyword&gt;&lt;/keywords&gt;&lt;dates&gt;&lt;year&gt;2011&lt;/year&gt;&lt;pub-dates&gt;&lt;date&gt;Jun&lt;/date&gt;&lt;/pub-dates&gt;&lt;/dates&gt;&lt;isbn&gt;1474-1784 (Electronic)&amp;#xD;1474-1776 (Linking)&lt;/isbn&gt;&lt;accession-num&gt;21629286&lt;/accession-num&gt;&lt;urls&gt;&lt;related-urls&gt;&lt;url&gt;http://www.ncbi.nlm.nih.gov/pubmed/21629286&lt;/url&gt;&lt;/related-urls&gt;&lt;/urls&gt;&lt;electronic-resource-num&gt;10.1038/nrd3463&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34</w:t>
        </w:r>
        <w:r w:rsidR="00F77861" w:rsidRPr="00244551">
          <w:rPr>
            <w:rStyle w:val="Hyperlink"/>
            <w:szCs w:val="24"/>
          </w:rPr>
          <w:fldChar w:fldCharType="end"/>
        </w:r>
      </w:hyperlink>
      <w:r w:rsidR="00571A6C" w:rsidRPr="007A3223">
        <w:rPr>
          <w:szCs w:val="24"/>
          <w:vertAlign w:val="superscript"/>
        </w:rPr>
        <w:t>,</w:t>
      </w:r>
      <w:r w:rsidR="00571A6C" w:rsidRPr="00F33908">
        <w:rPr>
          <w:szCs w:val="24"/>
        </w:rPr>
        <w:t xml:space="preserve"> </w:t>
      </w:r>
      <w:r w:rsidR="002457B0" w:rsidRPr="00585A7F">
        <w:rPr>
          <w:szCs w:val="24"/>
        </w:rPr>
        <w:fldChar w:fldCharType="begin">
          <w:fldData xml:space="preserve">PEVuZE5vdGU+PENpdGU+PEF1dGhvcj5PaG08L0F1dGhvcj48WWVhcj4yMDAxPC9ZZWFyPjxSZWNO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=
</w:fldData>
        </w:fldChar>
      </w:r>
      <w:r w:rsidR="00A756D5" w:rsidRPr="007A3223">
        <w:rPr>
          <w:szCs w:val="24"/>
        </w:rPr>
        <w:instrText xml:space="preserve"> ADDIN EN.CITE </w:instrText>
      </w:r>
      <w:r w:rsidR="00A756D5" w:rsidRPr="007A726A">
        <w:rPr>
          <w:szCs w:val="24"/>
        </w:rPr>
        <w:fldChar w:fldCharType="begin">
          <w:fldData xml:space="preserve">PEVuZE5vdGU+PENpdGU+PEF1dGhvcj5PaG08L0F1dGhvcj48WWVhcj4yMDAxPC9ZZWFyPjxSZWNO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=
</w:fldData>
        </w:fldChar>
      </w:r>
      <w:r w:rsidR="00A756D5" w:rsidRPr="007A3223">
        <w:rPr>
          <w:szCs w:val="24"/>
        </w:rPr>
        <w:instrText xml:space="preserve"> ADDIN EN.CITE.DATA </w:instrText>
      </w:r>
      <w:r w:rsidR="00A756D5" w:rsidRPr="007A726A">
        <w:rPr>
          <w:szCs w:val="24"/>
        </w:rPr>
      </w:r>
      <w:r w:rsidR="00A756D5" w:rsidRPr="007A726A">
        <w:rPr>
          <w:szCs w:val="24"/>
        </w:rPr>
        <w:fldChar w:fldCharType="end"/>
      </w:r>
      <w:r w:rsidR="002457B0" w:rsidRPr="00585A7F">
        <w:rPr>
          <w:szCs w:val="24"/>
        </w:rPr>
      </w:r>
      <w:r w:rsidR="002457B0" w:rsidRPr="00585A7F">
        <w:rPr>
          <w:szCs w:val="24"/>
        </w:rPr>
        <w:fldChar w:fldCharType="separate"/>
      </w:r>
      <w:hyperlink w:anchor="_ENREF_35" w:tooltip="Ohm, 2001 #34" w:history="1">
        <w:r w:rsidR="00F77861" w:rsidRPr="00244551">
          <w:rPr>
            <w:rStyle w:val="Hyperlink"/>
            <w:noProof/>
            <w:szCs w:val="24"/>
            <w:vertAlign w:val="superscript"/>
          </w:rPr>
          <w:t>35</w:t>
        </w:r>
      </w:hyperlink>
      <w:r w:rsidR="00DD2541" w:rsidRPr="00F33908">
        <w:rPr>
          <w:noProof/>
          <w:szCs w:val="24"/>
          <w:vertAlign w:val="superscript"/>
        </w:rPr>
        <w:t>,</w:t>
      </w:r>
      <w:hyperlink w:anchor="_ENREF_36" w:tooltip="Oyama, 1998 #35" w:history="1">
        <w:r w:rsidR="00F77861" w:rsidRPr="00244551">
          <w:rPr>
            <w:rStyle w:val="Hyperlink"/>
            <w:noProof/>
            <w:szCs w:val="24"/>
            <w:vertAlign w:val="superscript"/>
          </w:rPr>
          <w:t>36</w:t>
        </w:r>
      </w:hyperlink>
      <w:r w:rsidR="002457B0" w:rsidRPr="00585A7F">
        <w:rPr>
          <w:szCs w:val="24"/>
        </w:rPr>
        <w:fldChar w:fldCharType="end"/>
      </w:r>
      <w:r w:rsidR="00571A6C" w:rsidRPr="007A3223">
        <w:rPr>
          <w:szCs w:val="24"/>
        </w:rPr>
        <w:t>, proliferation of Tregs, inhibition of T cell responses</w:t>
      </w:r>
      <w:hyperlink w:anchor="_ENREF_37" w:tooltip="Terme, 2013 #36" w:history="1">
        <w:r w:rsidR="00F77861" w:rsidRPr="00244551">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37</w:t>
        </w:r>
        <w:r w:rsidR="00F77861" w:rsidRPr="00244551">
          <w:rPr>
            <w:rStyle w:val="Hyperlink"/>
            <w:szCs w:val="24"/>
          </w:rPr>
          <w:fldChar w:fldCharType="end"/>
        </w:r>
      </w:hyperlink>
      <w:r w:rsidR="00571A6C" w:rsidRPr="007A3223">
        <w:rPr>
          <w:szCs w:val="24"/>
        </w:rPr>
        <w:t>, and accumulation of MDSCs</w:t>
      </w:r>
      <w:hyperlink w:anchor="_ENREF_38" w:tooltip="Gabrilovich, 2012 #37" w:history="1">
        <w:r w:rsidR="00F77861" w:rsidRPr="00244551">
          <w:rPr>
            <w:rStyle w:val="Hyperlink"/>
            <w:szCs w:val="24"/>
          </w:rPr>
          <w:fldChar w:fldCharType="begin">
            <w:fldData xml:space="preserve">PEVuZE5vdGU+PENpdGU+PEF1dGhvcj5HYWJyaWxvdmljaDwvQXV0aG9yPjxZZWFyPjIwMTI8L1ll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LXBlcmlvZGljYWw+PHBhZ2VzPjI1My02ODwvcGFnZXM+PHZvbHVtZT4xMjwvdm9sdW1lPjxudW1i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Ly93d3cubmNiaS5ubG0ubmloLmdvdi9wdWJtZWQvMjM0NDA0MjY8L3VybD48L3JlbGF0ZWQtdXJs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bD48cGFnZXM+NDkyOTIwPC9wYWdlcz48dm9sdW1lPjIwMTI8L3ZvbHVtZT48ZWRpdGlvbj4yMDEz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PEVuZE5vdGU+PENpdGU+PEF1dGhvcj5HYWJyaWxvdmljaDwvQXV0aG9yPjxZZWFyPjIwMTI8L1ll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LXBlcmlvZGljYWw+PHBhZ2VzPjI1My02ODwvcGFnZXM+PHZvbHVtZT4xMjwvdm9sdW1lPjxudW1i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Ly93d3cubmNiaS5ubG0ubmloLmdvdi9wdWJtZWQvMjM0NDA0MjY8L3VybD48L3JlbGF0ZWQtdXJs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bD48cGFnZXM+NDkyOTIwPC9wYWdlcz48dm9sdW1lPjIwMTI8L3ZvbHVtZT48ZWRpdGlvbj4yMDEz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38-40</w:t>
        </w:r>
        <w:r w:rsidR="00F77861" w:rsidRPr="00244551">
          <w:rPr>
            <w:rStyle w:val="Hyperlink"/>
            <w:szCs w:val="24"/>
          </w:rPr>
          <w:fldChar w:fldCharType="end"/>
        </w:r>
      </w:hyperlink>
      <w:r w:rsidR="00571A6C" w:rsidRPr="007A3223">
        <w:rPr>
          <w:szCs w:val="24"/>
        </w:rPr>
        <w:t>.</w:t>
      </w:r>
      <w:r w:rsidRPr="00F33908">
        <w:rPr>
          <w:szCs w:val="24"/>
        </w:rPr>
        <w:t xml:space="preserve"> VEGF suppresses lymphocyte trafficking across endothelia into tumor deposits</w:t>
      </w:r>
      <w:r w:rsidR="008A27FF" w:rsidRPr="007A3223">
        <w:rPr>
          <w:szCs w:val="24"/>
        </w:rPr>
        <w:t xml:space="preserve"> </w:t>
      </w:r>
      <w:r w:rsidRPr="007A3223">
        <w:rPr>
          <w:szCs w:val="24"/>
        </w:rPr>
        <w:t>and sites of inflammation to promote vessel growth</w:t>
      </w:r>
      <w:r w:rsidR="002457B0" w:rsidRPr="00585A7F">
        <w:rPr>
          <w:szCs w:val="24"/>
        </w:rPr>
        <w:fldChar w:fldCharType="begin">
          <w:fldData xml:space="preserve">PEVuZE5vdGU+PENpdGU+PEF1dGhvcj5LYW5kYWxhZnQ8L0F1dGhvcj48WWVhcj4yMDExPC9ZZWFy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</w:fldData>
        </w:fldChar>
      </w:r>
      <w:r w:rsidR="00A756D5" w:rsidRPr="007A3223">
        <w:rPr>
          <w:szCs w:val="24"/>
        </w:rPr>
        <w:instrText xml:space="preserve"> ADDIN EN.CITE </w:instrText>
      </w:r>
      <w:r w:rsidR="00A756D5" w:rsidRPr="007A726A">
        <w:rPr>
          <w:szCs w:val="24"/>
        </w:rPr>
        <w:fldChar w:fldCharType="begin">
          <w:fldData xml:space="preserve">PEVuZE5vdGU+PENpdGU+PEF1dGhvcj5LYW5kYWxhZnQ8L0F1dGhvcj48WWVhcj4yMDExPC9ZZWFy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</w:fldData>
        </w:fldChar>
      </w:r>
      <w:r w:rsidR="00A756D5" w:rsidRPr="007A3223">
        <w:rPr>
          <w:szCs w:val="24"/>
        </w:rPr>
        <w:instrText xml:space="preserve"> ADDIN EN.CITE.DATA </w:instrText>
      </w:r>
      <w:r w:rsidR="00A756D5" w:rsidRPr="007A726A">
        <w:rPr>
          <w:szCs w:val="24"/>
        </w:rPr>
      </w:r>
      <w:r w:rsidR="00A756D5" w:rsidRPr="007A726A">
        <w:rPr>
          <w:szCs w:val="24"/>
        </w:rPr>
        <w:fldChar w:fldCharType="end"/>
      </w:r>
      <w:r w:rsidR="002457B0" w:rsidRPr="00585A7F">
        <w:rPr>
          <w:szCs w:val="24"/>
        </w:rPr>
      </w:r>
      <w:r w:rsidR="002457B0" w:rsidRPr="00585A7F">
        <w:rPr>
          <w:szCs w:val="24"/>
        </w:rPr>
        <w:fldChar w:fldCharType="separate"/>
      </w:r>
      <w:hyperlink w:anchor="_ENREF_32" w:tooltip="Kandalaft, 2011 #31" w:history="1">
        <w:r w:rsidR="00F77861" w:rsidRPr="00244551">
          <w:rPr>
            <w:rStyle w:val="Hyperlink"/>
            <w:noProof/>
            <w:szCs w:val="24"/>
            <w:vertAlign w:val="superscript"/>
          </w:rPr>
          <w:t>32</w:t>
        </w:r>
      </w:hyperlink>
      <w:r w:rsidR="00DD2541" w:rsidRPr="00F33908">
        <w:rPr>
          <w:noProof/>
          <w:szCs w:val="24"/>
          <w:vertAlign w:val="superscript"/>
        </w:rPr>
        <w:t>,</w:t>
      </w:r>
      <w:hyperlink w:anchor="_ENREF_33" w:tooltip="Tartour, 2011 #32" w:history="1">
        <w:r w:rsidR="00F77861" w:rsidRPr="00244551">
          <w:rPr>
            <w:rStyle w:val="Hyperlink"/>
            <w:noProof/>
            <w:szCs w:val="24"/>
            <w:vertAlign w:val="superscript"/>
          </w:rPr>
          <w:t>33</w:t>
        </w:r>
      </w:hyperlink>
      <w:r w:rsidR="002457B0" w:rsidRPr="00585A7F">
        <w:rPr>
          <w:szCs w:val="24"/>
        </w:rPr>
        <w:fldChar w:fldCharType="end"/>
      </w:r>
      <w:r w:rsidR="008A27FF" w:rsidRPr="007A3223">
        <w:rPr>
          <w:szCs w:val="24"/>
        </w:rPr>
        <w:t xml:space="preserve">. </w:t>
      </w:r>
      <w:r w:rsidRPr="00F33908">
        <w:rPr>
          <w:szCs w:val="24"/>
        </w:rPr>
        <w:t xml:space="preserve">In a metastatic renal cell </w:t>
      </w:r>
      <w:r w:rsidRPr="007A3223">
        <w:rPr>
          <w:szCs w:val="24"/>
        </w:rPr>
        <w:t>cancer phase I study, both nivolumab with sunitinib or with pazopanib yielded an approximately 50</w:t>
      </w:r>
      <w:r w:rsidR="00CF6850" w:rsidRPr="007A3223">
        <w:rPr>
          <w:szCs w:val="24"/>
        </w:rPr>
        <w:t xml:space="preserve"> </w:t>
      </w:r>
      <w:r w:rsidRPr="007A3223">
        <w:rPr>
          <w:szCs w:val="24"/>
        </w:rPr>
        <w:t>% RR</w:t>
      </w:r>
      <w:hyperlink w:anchor="_ENREF_41" w:tooltip="Amin A, 2014 #40" w:history="1">
        <w:r w:rsidR="00F77861" w:rsidRPr="00244551">
          <w:rPr>
            <w:rStyle w:val="Hyperlink"/>
            <w:szCs w:val="24"/>
          </w:rPr>
          <w:fldChar w:fldCharType="begin"/>
        </w:r>
        <w:r w:rsidR="00F77861" w:rsidRPr="00244551">
          <w:rPr>
            <w:rStyle w:val="Hyperlink"/>
            <w:szCs w:val="24"/>
          </w:rPr>
          <w:instrText xml:space="preserve"> ADDIN EN.CITE &lt;EndNote&gt;&lt;Cite&gt;&lt;Author&gt;Amin A&lt;/Author&gt;&lt;Year&gt;2014&lt;/Year&gt;&lt;RecNum&gt;40&lt;/RecNum&gt;&lt;DisplayText&gt;&lt;style face="superscript"&gt;41&lt;/style&gt;&lt;/DisplayText&gt;&lt;record&gt;&lt;rec-number&gt;40&lt;/rec-number&gt;&lt;foreign-keys&gt;&lt;key app="EN" db-id="fd5pzdff0z5dt7er5swxsd2m2te2fd9saae5" timestamp="1426604755"&gt;40&lt;/key&gt;&lt;/foreign-keys&gt;&lt;ref-type name="Journal Article"&gt;17&lt;/ref-type&gt;&lt;contributors&gt;&lt;authors&gt;&lt;author&gt;Amin A, Plimack ER, Infante JR, Ernstoff MS&lt;/author&gt;&lt;/authors&gt;&lt;/contributors&gt;&lt;titles&gt;&lt;title&gt;Nivolumab (anti-PD-1; BMS-936558, ONO-4538) in combination with sunitinib or pazopanib in patients (pts) with metastatic renal cell carcinoma (mRCC).&lt;/title&gt;&lt;secondary-title&gt;J Clin Oncol 32:5s (suppl; abstr 5010)&lt;/secondary-title&gt;&lt;/titles&gt;&lt;periodical&gt;&lt;full-title&gt;J Clin Oncol 32:5s (suppl; abstr 5010)&lt;/full-title&gt;&lt;/periodical&gt;&lt;dates&gt;&lt;year&gt;2014&lt;/year&gt;&lt;/dates&gt;&lt;urls&gt;&lt;/urls&gt;&lt;/record&gt;&lt;/Cite&gt;&lt;/EndNote&gt;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41</w:t>
        </w:r>
        <w:r w:rsidR="00F77861" w:rsidRPr="00244551">
          <w:rPr>
            <w:rStyle w:val="Hyperlink"/>
            <w:szCs w:val="24"/>
          </w:rPr>
          <w:fldChar w:fldCharType="end"/>
        </w:r>
      </w:hyperlink>
      <w:r w:rsidRPr="007A3223">
        <w:rPr>
          <w:szCs w:val="24"/>
        </w:rPr>
        <w:t>. CTLA4 blockade with ipilimumab combined with bevacizumab was reported as an active and tolerable combination in metastatic melanoma p</w:t>
      </w:r>
      <w:r w:rsidR="00C70BF2" w:rsidRPr="00F33908">
        <w:rPr>
          <w:szCs w:val="24"/>
        </w:rPr>
        <w:t>a</w:t>
      </w:r>
      <w:r w:rsidRPr="007A3223">
        <w:rPr>
          <w:szCs w:val="24"/>
        </w:rPr>
        <w:t>t</w:t>
      </w:r>
      <w:r w:rsidR="00C70BF2" w:rsidRPr="007A3223">
        <w:rPr>
          <w:szCs w:val="24"/>
        </w:rPr>
        <w:t>ient</w:t>
      </w:r>
      <w:r w:rsidRPr="007A3223">
        <w:rPr>
          <w:szCs w:val="24"/>
        </w:rPr>
        <w:t>s</w:t>
      </w:r>
      <w:hyperlink w:anchor="_ENREF_42" w:tooltip="Hodi, 2014 #41" w:history="1">
        <w:r w:rsidR="00F77861" w:rsidRPr="00244551">
          <w:rPr>
            <w:rStyle w:val="Hyperlink"/>
            <w:szCs w:val="24"/>
          </w:rPr>
          <w:fldChar w:fldCharType="begin">
            <w:fldData xml:space="preserve">PEVuZE5vdGU+PENpdGU+PEF1dGhvcj5Ib2RpPC9BdXRob3I+PFllYXI+MjAxNDwvWWVhcj48UmVj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PEVuZE5vdGU+PENpdGU+PEF1dGhvcj5Ib2RpPC9BdXRob3I+PFllYXI+MjAxNDwvWWVhcj48UmVj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42</w:t>
        </w:r>
        <w:r w:rsidR="00F77861" w:rsidRPr="00244551">
          <w:rPr>
            <w:rStyle w:val="Hyperlink"/>
            <w:szCs w:val="24"/>
          </w:rPr>
          <w:fldChar w:fldCharType="end"/>
        </w:r>
      </w:hyperlink>
      <w:r w:rsidRPr="007A3223">
        <w:rPr>
          <w:szCs w:val="24"/>
        </w:rPr>
        <w:t>. There, the combination significantly increased trafficking of CD8</w:t>
      </w:r>
      <w:r w:rsidRPr="00F33908">
        <w:rPr>
          <w:szCs w:val="24"/>
          <w:vertAlign w:val="superscript"/>
        </w:rPr>
        <w:t>+</w:t>
      </w:r>
      <w:r w:rsidR="00FC740D" w:rsidRPr="007A3223">
        <w:rPr>
          <w:szCs w:val="24"/>
        </w:rPr>
        <w:t xml:space="preserve"> T </w:t>
      </w:r>
      <w:r w:rsidRPr="007A3223">
        <w:rPr>
          <w:szCs w:val="24"/>
        </w:rPr>
        <w:t>cells and CD163</w:t>
      </w:r>
      <w:r w:rsidRPr="007A3223">
        <w:rPr>
          <w:szCs w:val="24"/>
          <w:vertAlign w:val="superscript"/>
        </w:rPr>
        <w:t>+</w:t>
      </w:r>
      <w:r w:rsidRPr="007A3223">
        <w:rPr>
          <w:szCs w:val="24"/>
        </w:rPr>
        <w:t xml:space="preserve"> dendritic macrophages across the tumor vasculature compared with ipilimumab alone. These results indicate that angiogenesis inhibition may promote antitumor immune response,</w:t>
      </w:r>
      <w:r w:rsidR="008A659C" w:rsidRPr="007A3223">
        <w:rPr>
          <w:szCs w:val="24"/>
        </w:rPr>
        <w:t xml:space="preserve"> two targets important in recurrent ovarian cancer</w:t>
      </w:r>
      <w:r w:rsidRPr="007A3223">
        <w:rPr>
          <w:szCs w:val="24"/>
        </w:rPr>
        <w:t>, making such a combination an important new direction.</w:t>
      </w:r>
    </w:p>
    <w:p w14:paraId="06294CD6" w14:textId="3D445250" w:rsidR="00FB6BD9" w:rsidRPr="00F33908" w:rsidRDefault="008A659C" w:rsidP="00C71D13">
      <w:pPr>
        <w:spacing w:after="0"/>
        <w:rPr>
          <w:szCs w:val="24"/>
        </w:rPr>
      </w:pPr>
      <w:r w:rsidRPr="007A3223">
        <w:rPr>
          <w:szCs w:val="24"/>
        </w:rPr>
        <w:t xml:space="preserve">     </w:t>
      </w:r>
      <w:r w:rsidR="00C70BF2" w:rsidRPr="007A3223">
        <w:rPr>
          <w:szCs w:val="24"/>
        </w:rPr>
        <w:t xml:space="preserve">Angiogenesis inhibition </w:t>
      </w:r>
      <w:r w:rsidR="00171823" w:rsidRPr="007A3223">
        <w:rPr>
          <w:szCs w:val="24"/>
        </w:rPr>
        <w:t xml:space="preserve">has </w:t>
      </w:r>
      <w:r w:rsidR="00C70BF2" w:rsidRPr="007A3223">
        <w:rPr>
          <w:szCs w:val="24"/>
        </w:rPr>
        <w:t xml:space="preserve">demonstrated therapeutic potential in ovarian cancer. </w:t>
      </w:r>
      <w:r w:rsidR="006F7A98" w:rsidRPr="007A3223">
        <w:rPr>
          <w:szCs w:val="24"/>
        </w:rPr>
        <w:t>Bevacizumab contributes to</w:t>
      </w:r>
      <w:r w:rsidRPr="007A3223">
        <w:rPr>
          <w:szCs w:val="24"/>
        </w:rPr>
        <w:t xml:space="preserve"> PFS</w:t>
      </w:r>
      <w:r w:rsidR="006F7A98" w:rsidRPr="007A3223">
        <w:rPr>
          <w:szCs w:val="24"/>
        </w:rPr>
        <w:t xml:space="preserve"> in both front-line</w:t>
      </w:r>
      <w:r w:rsidR="002457B0" w:rsidRPr="00585A7F">
        <w:rPr>
          <w:szCs w:val="24"/>
        </w:rPr>
        <w:fldChar w:fldCharType="begin">
          <w:fldData xml:space="preserve">PEVuZE5vdGU+PENpdGU+PEF1dGhvcj5QZXJyZW48L0F1dGhvcj48WWVhcj4yMDExPC9ZZWFyPjxS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</w:fldData>
        </w:fldChar>
      </w:r>
      <w:r w:rsidR="00A756D5" w:rsidRPr="007A3223">
        <w:rPr>
          <w:szCs w:val="24"/>
        </w:rPr>
        <w:instrText xml:space="preserve"> ADDIN EN.CITE </w:instrText>
      </w:r>
      <w:r w:rsidR="00A756D5" w:rsidRPr="007A726A">
        <w:rPr>
          <w:szCs w:val="24"/>
        </w:rPr>
        <w:fldChar w:fldCharType="begin">
          <w:fldData xml:space="preserve">PEVuZE5vdGU+PENpdGU+PEF1dGhvcj5QZXJyZW48L0F1dGhvcj48WWVhcj4yMDExPC9ZZWFyPjxS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</w:fldData>
        </w:fldChar>
      </w:r>
      <w:r w:rsidR="00A756D5" w:rsidRPr="007A3223">
        <w:rPr>
          <w:szCs w:val="24"/>
        </w:rPr>
        <w:instrText xml:space="preserve"> ADDIN EN.CITE.DATA </w:instrText>
      </w:r>
      <w:r w:rsidR="00A756D5" w:rsidRPr="007A726A">
        <w:rPr>
          <w:szCs w:val="24"/>
        </w:rPr>
      </w:r>
      <w:r w:rsidR="00A756D5" w:rsidRPr="007A726A">
        <w:rPr>
          <w:szCs w:val="24"/>
        </w:rPr>
        <w:fldChar w:fldCharType="end"/>
      </w:r>
      <w:r w:rsidR="002457B0" w:rsidRPr="00585A7F">
        <w:rPr>
          <w:szCs w:val="24"/>
        </w:rPr>
      </w:r>
      <w:r w:rsidR="002457B0" w:rsidRPr="00585A7F">
        <w:rPr>
          <w:szCs w:val="24"/>
        </w:rPr>
        <w:fldChar w:fldCharType="separate"/>
      </w:r>
      <w:hyperlink w:anchor="_ENREF_43" w:tooltip="Perren, 2011 #42" w:history="1">
        <w:r w:rsidR="00F77861" w:rsidRPr="00244551">
          <w:rPr>
            <w:rStyle w:val="Hyperlink"/>
            <w:noProof/>
            <w:szCs w:val="24"/>
            <w:vertAlign w:val="superscript"/>
          </w:rPr>
          <w:t>43</w:t>
        </w:r>
      </w:hyperlink>
      <w:r w:rsidR="00DD2541" w:rsidRPr="00F33908">
        <w:rPr>
          <w:noProof/>
          <w:szCs w:val="24"/>
          <w:vertAlign w:val="superscript"/>
        </w:rPr>
        <w:t>,</w:t>
      </w:r>
      <w:hyperlink w:anchor="_ENREF_44" w:tooltip="Burger, 2011 #43" w:history="1">
        <w:r w:rsidR="00F77861" w:rsidRPr="00244551">
          <w:rPr>
            <w:rStyle w:val="Hyperlink"/>
            <w:noProof/>
            <w:szCs w:val="24"/>
            <w:vertAlign w:val="superscript"/>
          </w:rPr>
          <w:t>44</w:t>
        </w:r>
      </w:hyperlink>
      <w:r w:rsidR="002457B0" w:rsidRPr="00585A7F">
        <w:rPr>
          <w:szCs w:val="24"/>
        </w:rPr>
        <w:fldChar w:fldCharType="end"/>
      </w:r>
      <w:r w:rsidR="006F7A98" w:rsidRPr="007A3223">
        <w:rPr>
          <w:szCs w:val="24"/>
        </w:rPr>
        <w:t xml:space="preserve"> and recurrent sett</w:t>
      </w:r>
      <w:r w:rsidR="006F7A98" w:rsidRPr="00F33908">
        <w:rPr>
          <w:szCs w:val="24"/>
        </w:rPr>
        <w:t>ings</w:t>
      </w:r>
      <w:hyperlink w:anchor="_ENREF_45" w:tooltip="Pujade-Lauraine, 2014 #44" w:history="1">
        <w:r w:rsidR="00F77861" w:rsidRPr="00244551">
          <w:rPr>
            <w:rStyle w:val="Hyperlink"/>
            <w:szCs w:val="24"/>
          </w:rPr>
          <w:fldChar w:fldCharType="begin">
            <w:fldData xml:space="preserve">PEVuZE5vdGU+PENpdGU+PEF1dGhvcj5QdWphZGUtTGF1cmFpbmU8L0F1dGhvcj48WWVhcj4yMDE0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IE9uY29sb2d5PC9hYmJyLTE+PC9hbHQtcGVyaW9kaWNhbD48cGFnZXM+MTMwMi04PC9wYWdlcz48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PEVuZE5vdGU+PENpdGU+PEF1dGhvcj5QdWphZGUtTGF1cmFpbmU8L0F1dGhvcj48WWVhcj4yMDE0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IE9uY29sb2d5PC9hYmJyLTE+PC9hbHQtcGVyaW9kaWNhbD48cGFnZXM+MTMwMi04PC9wYWdlcz48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45</w:t>
        </w:r>
        <w:r w:rsidR="00F77861" w:rsidRPr="00244551">
          <w:rPr>
            <w:rStyle w:val="Hyperlink"/>
            <w:szCs w:val="24"/>
          </w:rPr>
          <w:fldChar w:fldCharType="end"/>
        </w:r>
      </w:hyperlink>
      <w:r w:rsidR="006F7A98" w:rsidRPr="007A3223">
        <w:rPr>
          <w:szCs w:val="24"/>
        </w:rPr>
        <w:t>. Cediranib, an oral VEGFR1-3 tyrosine kinase inhibitor</w:t>
      </w:r>
      <w:hyperlink w:anchor="_ENREF_42" w:tooltip="Hodi, 2014 #41" w:history="1">
        <w:r w:rsidR="00F77861" w:rsidRPr="00244551">
          <w:rPr>
            <w:rStyle w:val="Hyperlink"/>
            <w:szCs w:val="24"/>
          </w:rPr>
          <w:fldChar w:fldCharType="begin">
            <w:fldData xml:space="preserve">PEVuZE5vdGU+PENpdGUgRXhjbHVkZVllYXI9IjEiPjxBdXRob3I+SG9kaTwvQXV0aG9yPjxZZWFy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PEVuZE5vdGU+PENpdGUgRXhjbHVkZVllYXI9IjEiPjxBdXRob3I+SG9kaTwvQXV0aG9yPjxZZWFy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42</w:t>
        </w:r>
        <w:r w:rsidR="00F77861" w:rsidRPr="00244551">
          <w:rPr>
            <w:rStyle w:val="Hyperlink"/>
            <w:szCs w:val="24"/>
          </w:rPr>
          <w:fldChar w:fldCharType="end"/>
        </w:r>
      </w:hyperlink>
      <w:r w:rsidR="006F7A98" w:rsidRPr="007A3223">
        <w:rPr>
          <w:szCs w:val="24"/>
        </w:rPr>
        <w:t>, also is active in r</w:t>
      </w:r>
      <w:r w:rsidR="00E84993" w:rsidRPr="00F33908">
        <w:rPr>
          <w:szCs w:val="24"/>
        </w:rPr>
        <w:t xml:space="preserve">ecurrent ovarian </w:t>
      </w:r>
      <w:r w:rsidR="00E84993" w:rsidRPr="007A3223">
        <w:rPr>
          <w:szCs w:val="24"/>
        </w:rPr>
        <w:t>cancer</w:t>
      </w:r>
      <w:r w:rsidR="006F7A98" w:rsidRPr="007A3223">
        <w:rPr>
          <w:szCs w:val="24"/>
        </w:rPr>
        <w:t xml:space="preserve"> as monotherapy or in combination with chemotherapy</w:t>
      </w:r>
      <w:r w:rsidR="002457B0" w:rsidRPr="00585A7F">
        <w:rPr>
          <w:szCs w:val="24"/>
        </w:rPr>
        <w:fldChar w:fldCharType="begin">
          <w:fldData xml:space="preserve">PEVuZE5vdGU+PENpdGU+PEF1dGhvcj5NYXR1bG9uaXM8L0F1dGhvcj48WWVhcj4yMDA5PC9ZZWFy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</w:fldData>
        </w:fldChar>
      </w:r>
      <w:r w:rsidR="00A756D5" w:rsidRPr="007A3223">
        <w:rPr>
          <w:szCs w:val="24"/>
        </w:rPr>
        <w:instrText xml:space="preserve"> ADDIN EN.CITE </w:instrText>
      </w:r>
      <w:r w:rsidR="00A756D5" w:rsidRPr="007A726A">
        <w:rPr>
          <w:szCs w:val="24"/>
        </w:rPr>
        <w:fldChar w:fldCharType="begin">
          <w:fldData xml:space="preserve">PEVuZE5vdGU+PENpdGU+PEF1dGhvcj5NYXR1bG9uaXM8L0F1dGhvcj48WWVhcj4yMDA5PC9ZZWFy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</w:fldData>
        </w:fldChar>
      </w:r>
      <w:r w:rsidR="00A756D5" w:rsidRPr="007A3223">
        <w:rPr>
          <w:szCs w:val="24"/>
        </w:rPr>
        <w:instrText xml:space="preserve"> ADDIN EN.CITE.DATA </w:instrText>
      </w:r>
      <w:r w:rsidR="00A756D5" w:rsidRPr="007A726A">
        <w:rPr>
          <w:szCs w:val="24"/>
        </w:rPr>
      </w:r>
      <w:r w:rsidR="00A756D5" w:rsidRPr="007A726A">
        <w:rPr>
          <w:szCs w:val="24"/>
        </w:rPr>
        <w:fldChar w:fldCharType="end"/>
      </w:r>
      <w:r w:rsidR="002457B0" w:rsidRPr="00585A7F">
        <w:rPr>
          <w:szCs w:val="24"/>
        </w:rPr>
      </w:r>
      <w:r w:rsidR="002457B0" w:rsidRPr="00585A7F">
        <w:rPr>
          <w:szCs w:val="24"/>
        </w:rPr>
        <w:fldChar w:fldCharType="separate"/>
      </w:r>
      <w:hyperlink w:anchor="_ENREF_46" w:tooltip="Matulonis, 2009 #45" w:history="1">
        <w:r w:rsidR="00F77861" w:rsidRPr="00244551">
          <w:rPr>
            <w:rStyle w:val="Hyperlink"/>
            <w:noProof/>
            <w:szCs w:val="24"/>
            <w:vertAlign w:val="superscript"/>
          </w:rPr>
          <w:t>46</w:t>
        </w:r>
      </w:hyperlink>
      <w:r w:rsidR="00DD2541" w:rsidRPr="00F33908">
        <w:rPr>
          <w:noProof/>
          <w:szCs w:val="24"/>
          <w:vertAlign w:val="superscript"/>
        </w:rPr>
        <w:t>,</w:t>
      </w:r>
      <w:hyperlink w:anchor="_ENREF_47" w:tooltip="Ledermann JA, 2013 #46" w:history="1">
        <w:r w:rsidR="00F77861" w:rsidRPr="00244551">
          <w:rPr>
            <w:rStyle w:val="Hyperlink"/>
            <w:noProof/>
            <w:szCs w:val="24"/>
            <w:vertAlign w:val="superscript"/>
          </w:rPr>
          <w:t>47</w:t>
        </w:r>
      </w:hyperlink>
      <w:r w:rsidR="002457B0" w:rsidRPr="00585A7F">
        <w:rPr>
          <w:szCs w:val="24"/>
        </w:rPr>
        <w:fldChar w:fldCharType="end"/>
      </w:r>
      <w:r w:rsidRPr="007A3223">
        <w:rPr>
          <w:szCs w:val="24"/>
        </w:rPr>
        <w:t xml:space="preserve"> </w:t>
      </w:r>
      <w:hyperlink w:anchor="_ENREF_48" w:tooltip="Kaye, 2012 #47" w:history="1">
        <w:r w:rsidR="00F77861" w:rsidRPr="00244551">
          <w:rPr>
            <w:rStyle w:val="Hyperlink"/>
            <w:szCs w:val="24"/>
          </w:rPr>
          <w:fldChar w:fldCharType="begin">
            <w:fldData xml:space="preserve">PEVuZE5vdGU+PENpdGU+PEF1dGhvcj5LYXllPC9BdXRob3I+PFllYXI+MjAxMjwvWWVhcj48UmVj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==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PEVuZE5vdGU+PENpdGU+PEF1dGhvcj5LYXllPC9BdXRob3I+PFllYXI+MjAxMjwvWWVhcj48UmVj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==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48</w:t>
        </w:r>
        <w:r w:rsidR="00F77861" w:rsidRPr="00244551">
          <w:rPr>
            <w:rStyle w:val="Hyperlink"/>
            <w:szCs w:val="24"/>
          </w:rPr>
          <w:fldChar w:fldCharType="end"/>
        </w:r>
      </w:hyperlink>
      <w:r w:rsidR="007A6E6D" w:rsidRPr="007A3223">
        <w:rPr>
          <w:szCs w:val="24"/>
        </w:rPr>
        <w:t xml:space="preserve">. Its adverse events are generally class </w:t>
      </w:r>
      <w:r w:rsidR="007A6E6D" w:rsidRPr="00F33908">
        <w:rPr>
          <w:rFonts w:eastAsia="Times New Roman"/>
          <w:szCs w:val="24"/>
        </w:rPr>
        <w:t>effects</w:t>
      </w:r>
      <w:r w:rsidR="007A6E6D" w:rsidRPr="007A3223">
        <w:rPr>
          <w:szCs w:val="24"/>
        </w:rPr>
        <w:t xml:space="preserve"> including diarrhea, fatigue, hypertension, hoarseness, hand-foot syndrome, and uncommonly, nausea and vomiting</w:t>
      </w:r>
      <w:hyperlink w:anchor="_ENREF_46" w:tooltip="Matulonis, 2009 #45" w:history="1">
        <w:r w:rsidR="00F77861" w:rsidRPr="00244551">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46</w:t>
        </w:r>
        <w:r w:rsidR="00F77861" w:rsidRPr="00244551">
          <w:rPr>
            <w:rStyle w:val="Hyperlink"/>
            <w:szCs w:val="24"/>
          </w:rPr>
          <w:fldChar w:fldCharType="end"/>
        </w:r>
      </w:hyperlink>
      <w:r w:rsidR="007A6E6D" w:rsidRPr="007A3223">
        <w:rPr>
          <w:szCs w:val="24"/>
        </w:rPr>
        <w:t>. Diarrhea is the most common adverse event (</w:t>
      </w:r>
      <w:r w:rsidR="00C16227" w:rsidRPr="00F33908">
        <w:rPr>
          <w:szCs w:val="24"/>
        </w:rPr>
        <w:t xml:space="preserve">AE, </w:t>
      </w:r>
      <w:r w:rsidR="007A6E6D" w:rsidRPr="007A3223">
        <w:rPr>
          <w:szCs w:val="24"/>
        </w:rPr>
        <w:t>91% all grade), predominantly grade 1 or 2</w:t>
      </w:r>
      <w:hyperlink w:anchor="_ENREF_46" w:tooltip="Matulonis, 2009 #45" w:history="1">
        <w:r w:rsidR="00F77861" w:rsidRPr="00244551">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46</w:t>
        </w:r>
        <w:r w:rsidR="00F77861" w:rsidRPr="00244551">
          <w:rPr>
            <w:rStyle w:val="Hyperlink"/>
            <w:szCs w:val="24"/>
          </w:rPr>
          <w:fldChar w:fldCharType="end"/>
        </w:r>
      </w:hyperlink>
      <w:r w:rsidR="007A6E6D" w:rsidRPr="007A3223">
        <w:rPr>
          <w:szCs w:val="24"/>
        </w:rPr>
        <w:t>. Two phase II studies of ce</w:t>
      </w:r>
      <w:r w:rsidR="007A6E6D" w:rsidRPr="00F33908">
        <w:rPr>
          <w:szCs w:val="24"/>
        </w:rPr>
        <w:t>diranib (30</w:t>
      </w:r>
      <w:r w:rsidR="008E7012" w:rsidRPr="007A3223">
        <w:rPr>
          <w:szCs w:val="24"/>
        </w:rPr>
        <w:t xml:space="preserve"> </w:t>
      </w:r>
      <w:r w:rsidR="007A6E6D" w:rsidRPr="007A3223">
        <w:rPr>
          <w:szCs w:val="24"/>
        </w:rPr>
        <w:t>mg daily) in recurrent ovarian or peritoneal or fallopian tube cancer</w:t>
      </w:r>
      <w:r w:rsidR="007A6E6D" w:rsidRPr="007A3223">
        <w:rPr>
          <w:b/>
          <w:bCs/>
          <w:szCs w:val="24"/>
        </w:rPr>
        <w:t xml:space="preserve"> </w:t>
      </w:r>
      <w:r w:rsidR="007A6E6D" w:rsidRPr="007A3223">
        <w:rPr>
          <w:szCs w:val="24"/>
        </w:rPr>
        <w:t xml:space="preserve">demonstrated a clinical benefit rate of up to 30% (CBR; defined as CR, PR, SD </w:t>
      </w:r>
      <w:r w:rsidR="007A6E6D" w:rsidRPr="007A3223">
        <w:rPr>
          <w:szCs w:val="24"/>
          <w:u w:val="single"/>
        </w:rPr>
        <w:t>&gt;</w:t>
      </w:r>
      <w:r w:rsidR="007A6E6D" w:rsidRPr="007A3223">
        <w:rPr>
          <w:szCs w:val="24"/>
        </w:rPr>
        <w:t xml:space="preserve"> 16 weeks, or CA-125 non-progression &gt;16</w:t>
      </w:r>
      <w:r w:rsidR="008E7012" w:rsidRPr="007A3223">
        <w:rPr>
          <w:szCs w:val="24"/>
        </w:rPr>
        <w:t xml:space="preserve"> </w:t>
      </w:r>
      <w:r w:rsidR="007A6E6D" w:rsidRPr="007A3223">
        <w:rPr>
          <w:szCs w:val="24"/>
        </w:rPr>
        <w:t>weeks) and PFS of 4.1 and 5.2 months, respectively. Overall, eight patients (17</w:t>
      </w:r>
      <w:r w:rsidR="00CF6850" w:rsidRPr="007A3223">
        <w:rPr>
          <w:szCs w:val="24"/>
        </w:rPr>
        <w:t xml:space="preserve"> </w:t>
      </w:r>
      <w:r w:rsidR="007A6E6D" w:rsidRPr="007A3223">
        <w:rPr>
          <w:szCs w:val="24"/>
        </w:rPr>
        <w:t>%) had a PR, and six patients (13</w:t>
      </w:r>
      <w:r w:rsidR="00CF6850" w:rsidRPr="007A3223">
        <w:rPr>
          <w:szCs w:val="24"/>
        </w:rPr>
        <w:t xml:space="preserve"> </w:t>
      </w:r>
      <w:r w:rsidR="007A6E6D" w:rsidRPr="007A3223">
        <w:rPr>
          <w:szCs w:val="24"/>
        </w:rPr>
        <w:t>%) had SD</w:t>
      </w:r>
      <w:hyperlink w:anchor="_ENREF_46" w:tooltip="Matulonis, 2009 #45" w:history="1">
        <w:r w:rsidR="00F77861" w:rsidRPr="00244551">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 </w:instrText>
        </w:r>
        <w:r w:rsidR="00F77861" w:rsidRPr="007A726A">
          <w:rPr>
            <w:rStyle w:val="Hyperlink"/>
            <w:szCs w:val="24"/>
          </w:rPr>
          <w:fldChar w:fldCharType="begin">
            <w:fldData xml:space="preserve">PEVuZE5vdGU+PENpdGU+PEF1dGhvcj5NYXR1bG9uaXM8L0F1dGhvcj48WWVhcj4yMDA5PC9ZZWFy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</w:fldData>
          </w:fldChar>
        </w:r>
        <w:r w:rsidR="00F77861" w:rsidRPr="00244551">
          <w:rPr>
            <w:rStyle w:val="Hyperlink"/>
            <w:szCs w:val="24"/>
          </w:rPr>
          <w:instrText xml:space="preserve"> ADDIN EN.CITE.DATA </w:instrText>
        </w:r>
        <w:r w:rsidR="00F77861" w:rsidRPr="007A726A">
          <w:rPr>
            <w:rStyle w:val="Hyperlink"/>
            <w:szCs w:val="24"/>
          </w:rPr>
        </w:r>
        <w:r w:rsidR="00F77861" w:rsidRPr="007A726A">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46</w:t>
        </w:r>
        <w:r w:rsidR="00F77861" w:rsidRPr="00244551">
          <w:rPr>
            <w:rStyle w:val="Hyperlink"/>
            <w:szCs w:val="24"/>
          </w:rPr>
          <w:fldChar w:fldCharType="end"/>
        </w:r>
      </w:hyperlink>
      <w:r w:rsidR="007A6E6D" w:rsidRPr="007A3223">
        <w:rPr>
          <w:szCs w:val="24"/>
        </w:rPr>
        <w:t>. ICON6 is a randomized 3-arm, doubl</w:t>
      </w:r>
      <w:r w:rsidR="007A6E6D" w:rsidRPr="00F33908">
        <w:rPr>
          <w:szCs w:val="24"/>
        </w:rPr>
        <w:t>e-blind, placebo-controlled phase III trial for first relapse of platinum-sensitive ovarian cancer. Cediranib was added to</w:t>
      </w:r>
      <w:r w:rsidR="007A6E6D" w:rsidRPr="007A3223">
        <w:rPr>
          <w:szCs w:val="24"/>
        </w:rPr>
        <w:t xml:space="preserve"> platinum-based chemotherapy in 2 of 3 arms, one of which also had cediranib maintenance. The combination/maintenance resulted in a significantly improved PFS of 11.1 months in the cediranib maintenance arm compared to 8.7 months in the chemotherapy a</w:t>
      </w:r>
      <w:r w:rsidR="00E84993" w:rsidRPr="007A3223">
        <w:rPr>
          <w:szCs w:val="24"/>
        </w:rPr>
        <w:t>rm (hazard ratio [HR], 0.57; p &lt; 0.001</w:t>
      </w:r>
      <w:r w:rsidR="00441ADC" w:rsidRPr="007A3223">
        <w:rPr>
          <w:szCs w:val="24"/>
        </w:rPr>
        <w:t xml:space="preserve">, </w:t>
      </w:r>
      <w:r w:rsidR="00307B04" w:rsidRPr="00F33908">
        <w:fldChar w:fldCharType="begin"/>
      </w:r>
      <w:r w:rsidR="00307B04" w:rsidRPr="007A3223">
        <w:instrText xml:space="preserve"> REF _Ref405293729 \h  \* MERGEFORMAT </w:instrText>
      </w:r>
      <w:r w:rsidR="00307B04" w:rsidRPr="00F33908">
        <w:fldChar w:fldCharType="separate"/>
      </w:r>
      <w:r w:rsidR="00E47ACA" w:rsidRPr="00E47ACA">
        <w:rPr>
          <w:b/>
          <w:color w:val="0000FF"/>
          <w:szCs w:val="24"/>
        </w:rPr>
        <w:t>Figure 2</w:t>
      </w:r>
      <w:r w:rsidR="00307B04" w:rsidRPr="00F33908">
        <w:fldChar w:fldCharType="end"/>
      </w:r>
      <w:r w:rsidR="00D8274C" w:rsidRPr="007A3223">
        <w:rPr>
          <w:b/>
          <w:szCs w:val="24"/>
        </w:rPr>
        <w:t>A</w:t>
      </w:r>
      <w:r w:rsidR="007A6E6D" w:rsidRPr="00F33908">
        <w:rPr>
          <w:szCs w:val="24"/>
        </w:rPr>
        <w:t>). Median OS was 26.3 months in the cediranib</w:t>
      </w:r>
      <w:r w:rsidR="007A6E6D" w:rsidRPr="007A3223">
        <w:rPr>
          <w:szCs w:val="24"/>
        </w:rPr>
        <w:t xml:space="preserve"> maintenance arm compared to 20.3 months in the chemo</w:t>
      </w:r>
      <w:r w:rsidR="00E84993" w:rsidRPr="007A3223">
        <w:rPr>
          <w:szCs w:val="24"/>
        </w:rPr>
        <w:t>therapy arm (HR, 0.70; p = 0.04</w:t>
      </w:r>
      <w:r w:rsidR="00441ADC" w:rsidRPr="007A3223">
        <w:rPr>
          <w:szCs w:val="24"/>
        </w:rPr>
        <w:t xml:space="preserve">, </w:t>
      </w:r>
      <w:r w:rsidR="00307B04" w:rsidRPr="00F33908">
        <w:fldChar w:fldCharType="begin"/>
      </w:r>
      <w:r w:rsidR="00307B04" w:rsidRPr="007A3223">
        <w:instrText xml:space="preserve"> REF _Ref405293729 \h  \* MERGEFORMAT </w:instrText>
      </w:r>
      <w:r w:rsidR="00307B04" w:rsidRPr="00F33908">
        <w:fldChar w:fldCharType="separate"/>
      </w:r>
      <w:r w:rsidR="00E47ACA" w:rsidRPr="00E47ACA">
        <w:rPr>
          <w:b/>
          <w:color w:val="0000FF"/>
          <w:szCs w:val="24"/>
        </w:rPr>
        <w:t>Figure 2</w:t>
      </w:r>
      <w:r w:rsidR="00307B04" w:rsidRPr="00F33908">
        <w:fldChar w:fldCharType="end"/>
      </w:r>
      <w:r w:rsidR="00D8274C" w:rsidRPr="007A3223">
        <w:rPr>
          <w:b/>
          <w:szCs w:val="24"/>
        </w:rPr>
        <w:t>B</w:t>
      </w:r>
      <w:r w:rsidR="007A6E6D" w:rsidRPr="00F33908">
        <w:rPr>
          <w:szCs w:val="24"/>
        </w:rPr>
        <w:t>)</w:t>
      </w:r>
      <w:hyperlink w:anchor="_ENREF_47" w:tooltip="Ledermann JA, 2013 #46" w:history="1">
        <w:r w:rsidR="00F77861" w:rsidRPr="00244551">
          <w:rPr>
            <w:rStyle w:val="Hyperlink"/>
            <w:szCs w:val="24"/>
          </w:rPr>
          <w:fldChar w:fldCharType="begin"/>
        </w:r>
        <w:r w:rsidR="00F77861" w:rsidRPr="00244551">
          <w:rPr>
            <w:rStyle w:val="Hyperlink"/>
            <w:szCs w:val="24"/>
          </w:rPr>
          <w:instrText xml:space="preserve"> ADDIN EN.CITE &lt;EndNote&gt;&lt;Cite&gt;&lt;Author&gt;Ledermann JA&lt;/Author&gt;&lt;Year&gt;2013&lt;/Year&gt;&lt;RecNum&gt;46&lt;/RecNum&gt;&lt;DisplayText&gt;&lt;style face="superscript"&gt;47&lt;/style&gt;&lt;/DisplayText&gt;&lt;record&gt;&lt;rec-number&gt;46&lt;/rec-number&gt;&lt;foreign-keys&gt;&lt;key app="EN" db-id="fd5pzdff0z5dt7er5swxsd2m2te2fd9saae5" timestamp="1426604756"&gt;46&lt;/key&gt;&lt;/foreign-keys&gt;&lt;ref-type name="Journal Article"&gt;17&lt;/ref-type&gt;&lt;contributors&gt;&lt;authors&gt;&lt;author&gt;Ledermann JA, Perren JG, Raja FA, et al.&lt;/author&gt;&lt;/authors&gt;&lt;/contributors&gt;&lt;titles&gt;&lt;title&gt;Randomised double-blind phase III trial of cediranib (AZD 2171) in relaposed platinum sensitive ovarian cancer:  Results of the ICON6 trial&lt;/title&gt;&lt;secondary-title&gt;Presented at the 38th Congress of the European Society for Medical Oncology (ESMO), Abst LBA10.&lt;/secondary-title&gt;&lt;/titles&gt;&lt;periodical&gt;&lt;full-title&gt;Presented at the 38th Congress of the European Society for Medical Oncology (ESMO), Abst LBA10.&lt;/full-title&gt;&lt;/periodical&gt;&lt;dates&gt;&lt;year&gt;2013&lt;/year&gt;&lt;/dates&gt;&lt;urls&gt;&lt;/urls&gt;&lt;/record&gt;&lt;/Cite&gt;&lt;/EndNote&gt;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47</w:t>
        </w:r>
        <w:r w:rsidR="00F77861" w:rsidRPr="00244551">
          <w:rPr>
            <w:rStyle w:val="Hyperlink"/>
            <w:szCs w:val="24"/>
          </w:rPr>
          <w:fldChar w:fldCharType="end"/>
        </w:r>
      </w:hyperlink>
      <w:r w:rsidR="007A6E6D" w:rsidRPr="007A3223">
        <w:rPr>
          <w:szCs w:val="24"/>
        </w:rPr>
        <w:t xml:space="preserve">. </w:t>
      </w:r>
    </w:p>
    <w:p w14:paraId="7975638A" w14:textId="77777777" w:rsidR="00FB6BD9" w:rsidRPr="007A3223" w:rsidRDefault="00FB6BD9" w:rsidP="00AC750A">
      <w:pPr>
        <w:spacing w:after="0"/>
        <w:ind w:firstLine="270"/>
        <w:rPr>
          <w:szCs w:val="24"/>
        </w:rPr>
      </w:pPr>
    </w:p>
    <w:p w14:paraId="27788F02" w14:textId="77777777" w:rsidR="00FB6BD9" w:rsidRPr="007A3223" w:rsidRDefault="00F4035A" w:rsidP="004269C3">
      <w:pPr>
        <w:keepNext/>
        <w:spacing w:after="0"/>
        <w:ind w:firstLine="274"/>
        <w:rPr>
          <w:rFonts w:eastAsia="Times New Roman"/>
          <w:szCs w:val="24"/>
        </w:rPr>
      </w:pPr>
      <w:r w:rsidRPr="007A3223">
        <w:rPr>
          <w:noProof/>
          <w:szCs w:val="24"/>
          <w:lang w:eastAsia="ko-KR"/>
        </w:rPr>
        <w:lastRenderedPageBreak/>
        <mc:AlternateContent>
          <mc:Choice Requires="wps">
            <w:drawing>
              <wp:anchor distT="0" distB="0" distL="114300" distR="114300" simplePos="0" relativeHeight="251682816" behindDoc="0" locked="0" layoutInCell="1" allowOverlap="1" wp14:anchorId="6EDE1262" wp14:editId="58742499">
                <wp:simplePos x="0" y="0"/>
                <wp:positionH relativeFrom="column">
                  <wp:posOffset>2438400</wp:posOffset>
                </wp:positionH>
                <wp:positionV relativeFrom="paragraph">
                  <wp:posOffset>1630045</wp:posOffset>
                </wp:positionV>
                <wp:extent cx="838200" cy="403860"/>
                <wp:effectExtent l="0" t="0" r="0" b="0"/>
                <wp:wrapNone/>
                <wp:docPr id="1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03860"/>
                        </a:xfrm>
                        <a:prstGeom prst="rect">
                          <a:avLst/>
                        </a:prstGeom>
                        <a:noFill/>
                      </wps:spPr>
                      <wps:txbx>
                        <w:txbxContent>
                          <w:p w14:paraId="313FB275" w14:textId="77777777" w:rsidR="0045176A" w:rsidRPr="00656890" w:rsidRDefault="0045176A" w:rsidP="0015588E">
                            <w:pPr>
                              <w:pStyle w:val="NormalWeb"/>
                              <w:spacing w:before="0" w:beforeAutospacing="0" w:after="0" w:afterAutospacing="0"/>
                              <w:jc w:val="right"/>
                              <w:rPr>
                                <w:b/>
                                <w:color w:val="366281"/>
                                <w:kern w:val="24"/>
                                <w:sz w:val="12"/>
                                <w:szCs w:val="12"/>
                                <w:lang w:val="en-GB"/>
                              </w:rPr>
                            </w:pPr>
                            <w:r w:rsidRPr="00656890">
                              <w:rPr>
                                <w:b/>
                                <w:color w:val="800000"/>
                                <w:kern w:val="24"/>
                                <w:sz w:val="12"/>
                                <w:szCs w:val="12"/>
                                <w:lang w:val="en-GB"/>
                              </w:rPr>
                              <w:t>Maintenance</w:t>
                            </w:r>
                          </w:p>
                          <w:p w14:paraId="73AE09B8" w14:textId="77777777" w:rsidR="0045176A" w:rsidRPr="00656890" w:rsidRDefault="0045176A" w:rsidP="0015588E">
                            <w:pPr>
                              <w:pStyle w:val="NormalWeb"/>
                              <w:spacing w:before="0" w:beforeAutospacing="0" w:after="0" w:afterAutospacing="0"/>
                              <w:jc w:val="right"/>
                              <w:rPr>
                                <w:b/>
                                <w:color w:val="0000FF"/>
                                <w:kern w:val="24"/>
                                <w:sz w:val="12"/>
                                <w:szCs w:val="12"/>
                                <w:lang w:val="en-GB"/>
                              </w:rPr>
                            </w:pPr>
                            <w:r w:rsidRPr="00656890">
                              <w:rPr>
                                <w:b/>
                                <w:color w:val="0000FF"/>
                                <w:kern w:val="24"/>
                                <w:sz w:val="12"/>
                                <w:szCs w:val="12"/>
                                <w:lang w:val="en-GB"/>
                              </w:rPr>
                              <w:t>Chemo</w:t>
                            </w:r>
                          </w:p>
                          <w:p w14:paraId="76B7C22A"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02A0BBE0"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6B54222A" w14:textId="77777777" w:rsidR="0045176A" w:rsidRPr="00656890" w:rsidRDefault="0045176A" w:rsidP="00F27FC9">
                            <w:pPr>
                              <w:pStyle w:val="NormalWeb"/>
                              <w:spacing w:before="0" w:beforeAutospacing="0" w:after="0" w:afterAutospacing="0"/>
                              <w:jc w:val="right"/>
                              <w:rPr>
                                <w:sz w:val="12"/>
                                <w:szCs w:val="1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DE1262" id="TextBox 9" o:spid="_x0000_s1035" type="#_x0000_t202" style="position:absolute;left:0;text-align:left;margin-left:192pt;margin-top:128.35pt;width:66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" filled="f" stroked="f">
                <v:textbox>
                  <w:txbxContent>
                    <w:p w14:paraId="313FB275" w14:textId="77777777" w:rsidR="0045176A" w:rsidRPr="00656890" w:rsidRDefault="0045176A" w:rsidP="0015588E">
                      <w:pPr>
                        <w:pStyle w:val="NormalWeb"/>
                        <w:spacing w:before="0" w:beforeAutospacing="0" w:after="0" w:afterAutospacing="0"/>
                        <w:jc w:val="right"/>
                        <w:rPr>
                          <w:b/>
                          <w:color w:val="366281"/>
                          <w:kern w:val="24"/>
                          <w:sz w:val="12"/>
                          <w:szCs w:val="12"/>
                          <w:lang w:val="en-GB"/>
                        </w:rPr>
                      </w:pPr>
                      <w:r w:rsidRPr="00656890">
                        <w:rPr>
                          <w:b/>
                          <w:color w:val="800000"/>
                          <w:kern w:val="24"/>
                          <w:sz w:val="12"/>
                          <w:szCs w:val="12"/>
                          <w:lang w:val="en-GB"/>
                        </w:rPr>
                        <w:t>Maintenance</w:t>
                      </w:r>
                    </w:p>
                    <w:p w14:paraId="73AE09B8" w14:textId="77777777" w:rsidR="0045176A" w:rsidRPr="00656890" w:rsidRDefault="0045176A" w:rsidP="0015588E">
                      <w:pPr>
                        <w:pStyle w:val="NormalWeb"/>
                        <w:spacing w:before="0" w:beforeAutospacing="0" w:after="0" w:afterAutospacing="0"/>
                        <w:jc w:val="right"/>
                        <w:rPr>
                          <w:b/>
                          <w:color w:val="0000FF"/>
                          <w:kern w:val="24"/>
                          <w:sz w:val="12"/>
                          <w:szCs w:val="12"/>
                          <w:lang w:val="en-GB"/>
                        </w:rPr>
                      </w:pPr>
                      <w:r w:rsidRPr="00656890">
                        <w:rPr>
                          <w:b/>
                          <w:color w:val="0000FF"/>
                          <w:kern w:val="24"/>
                          <w:sz w:val="12"/>
                          <w:szCs w:val="12"/>
                          <w:lang w:val="en-GB"/>
                        </w:rPr>
                        <w:t>Chemo</w:t>
                      </w:r>
                    </w:p>
                    <w:p w14:paraId="76B7C22A"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02A0BBE0"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6B54222A" w14:textId="77777777" w:rsidR="0045176A" w:rsidRPr="00656890" w:rsidRDefault="0045176A" w:rsidP="00F27FC9">
                      <w:pPr>
                        <w:pStyle w:val="NormalWeb"/>
                        <w:spacing w:before="0" w:beforeAutospacing="0" w:after="0" w:afterAutospacing="0"/>
                        <w:jc w:val="right"/>
                        <w:rPr>
                          <w:sz w:val="12"/>
                          <w:szCs w:val="12"/>
                        </w:rPr>
                      </w:pPr>
                    </w:p>
                  </w:txbxContent>
                </v:textbox>
              </v:shape>
            </w:pict>
          </mc:Fallback>
        </mc:AlternateContent>
      </w:r>
      <w:r w:rsidRPr="00CE5254">
        <w:rPr>
          <w:noProof/>
          <w:szCs w:val="24"/>
          <w:lang w:eastAsia="ko-KR"/>
        </w:rPr>
        <mc:AlternateContent>
          <mc:Choice Requires="wps">
            <w:drawing>
              <wp:anchor distT="0" distB="0" distL="114300" distR="114300" simplePos="0" relativeHeight="251684864" behindDoc="0" locked="0" layoutInCell="1" allowOverlap="1" wp14:anchorId="7AACEA1B" wp14:editId="569DF68F">
                <wp:simplePos x="0" y="0"/>
                <wp:positionH relativeFrom="column">
                  <wp:posOffset>-151765</wp:posOffset>
                </wp:positionH>
                <wp:positionV relativeFrom="paragraph">
                  <wp:posOffset>1576705</wp:posOffset>
                </wp:positionV>
                <wp:extent cx="685800" cy="457200"/>
                <wp:effectExtent l="0" t="0" r="0" b="0"/>
                <wp:wrapNone/>
                <wp:docPr id="1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wps:spPr>
                      <wps:txbx>
                        <w:txbxContent>
                          <w:p w14:paraId="0DF5ADEC" w14:textId="77777777" w:rsidR="0045176A" w:rsidRPr="00656890" w:rsidRDefault="0045176A" w:rsidP="0015588E">
                            <w:pPr>
                              <w:pStyle w:val="NormalWeb"/>
                              <w:spacing w:before="0" w:beforeAutospacing="0" w:after="0" w:afterAutospacing="0"/>
                              <w:jc w:val="right"/>
                              <w:rPr>
                                <w:b/>
                                <w:color w:val="800000"/>
                                <w:kern w:val="24"/>
                                <w:sz w:val="12"/>
                                <w:szCs w:val="12"/>
                                <w:lang w:val="en-GB"/>
                              </w:rPr>
                            </w:pPr>
                            <w:r w:rsidRPr="00656890">
                              <w:rPr>
                                <w:b/>
                                <w:color w:val="800000"/>
                                <w:kern w:val="24"/>
                                <w:sz w:val="12"/>
                                <w:szCs w:val="12"/>
                                <w:lang w:val="en-GB"/>
                              </w:rPr>
                              <w:t>Maintenance</w:t>
                            </w:r>
                          </w:p>
                          <w:p w14:paraId="251DF72D" w14:textId="77777777" w:rsidR="0045176A" w:rsidRPr="00656890" w:rsidRDefault="0045176A" w:rsidP="0015588E">
                            <w:pPr>
                              <w:pStyle w:val="NormalWeb"/>
                              <w:spacing w:before="0" w:beforeAutospacing="0" w:after="0" w:afterAutospacing="0"/>
                              <w:jc w:val="right"/>
                              <w:rPr>
                                <w:b/>
                                <w:color w:val="008000"/>
                                <w:kern w:val="24"/>
                                <w:sz w:val="12"/>
                                <w:szCs w:val="12"/>
                                <w:lang w:val="en-GB"/>
                              </w:rPr>
                            </w:pPr>
                            <w:r w:rsidRPr="00656890">
                              <w:rPr>
                                <w:b/>
                                <w:color w:val="008000"/>
                                <w:kern w:val="24"/>
                                <w:sz w:val="12"/>
                                <w:szCs w:val="12"/>
                                <w:lang w:val="en-GB"/>
                              </w:rPr>
                              <w:t>Concurrent</w:t>
                            </w:r>
                          </w:p>
                          <w:p w14:paraId="09A034EB" w14:textId="77777777" w:rsidR="0045176A" w:rsidRPr="00656890" w:rsidRDefault="0045176A" w:rsidP="0015588E">
                            <w:pPr>
                              <w:pStyle w:val="NormalWeb"/>
                              <w:spacing w:before="0" w:beforeAutospacing="0" w:after="0" w:afterAutospacing="0"/>
                              <w:jc w:val="right"/>
                              <w:rPr>
                                <w:color w:val="0000FF"/>
                                <w:kern w:val="24"/>
                                <w:sz w:val="12"/>
                                <w:szCs w:val="12"/>
                                <w:lang w:val="en-GB"/>
                              </w:rPr>
                            </w:pPr>
                            <w:r w:rsidRPr="00656890">
                              <w:rPr>
                                <w:b/>
                                <w:color w:val="0000FF"/>
                                <w:kern w:val="24"/>
                                <w:sz w:val="12"/>
                                <w:szCs w:val="12"/>
                                <w:lang w:val="en-GB"/>
                              </w:rPr>
                              <w:t>Chemo</w:t>
                            </w:r>
                          </w:p>
                          <w:p w14:paraId="621ADE5B"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3BD131BC"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636DC99E"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05DCA7D1"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7D1EA23D"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1B42E989" w14:textId="77777777" w:rsidR="0045176A" w:rsidRPr="00656890" w:rsidRDefault="0045176A" w:rsidP="00F27FC9">
                            <w:pPr>
                              <w:pStyle w:val="NormalWeb"/>
                              <w:spacing w:before="0" w:beforeAutospacing="0" w:after="0" w:afterAutospacing="0"/>
                              <w:jc w:val="right"/>
                              <w:rPr>
                                <w:sz w:val="12"/>
                                <w:szCs w:val="12"/>
                              </w:rPr>
                            </w:pPr>
                            <w:r w:rsidRPr="00656890">
                              <w:rPr>
                                <w:color w:val="366281"/>
                                <w:kern w:val="24"/>
                                <w:sz w:val="12"/>
                                <w:szCs w:val="12"/>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ACEA1B" id="_x0000_s1036" type="#_x0000_t202" style="position:absolute;left:0;text-align:left;margin-left:-11.95pt;margin-top:124.15pt;width:5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" filled="f" stroked="f">
                <v:textbox>
                  <w:txbxContent>
                    <w:p w14:paraId="0DF5ADEC" w14:textId="77777777" w:rsidR="0045176A" w:rsidRPr="00656890" w:rsidRDefault="0045176A" w:rsidP="0015588E">
                      <w:pPr>
                        <w:pStyle w:val="NormalWeb"/>
                        <w:spacing w:before="0" w:beforeAutospacing="0" w:after="0" w:afterAutospacing="0"/>
                        <w:jc w:val="right"/>
                        <w:rPr>
                          <w:b/>
                          <w:color w:val="800000"/>
                          <w:kern w:val="24"/>
                          <w:sz w:val="12"/>
                          <w:szCs w:val="12"/>
                          <w:lang w:val="en-GB"/>
                        </w:rPr>
                      </w:pPr>
                      <w:r w:rsidRPr="00656890">
                        <w:rPr>
                          <w:b/>
                          <w:color w:val="800000"/>
                          <w:kern w:val="24"/>
                          <w:sz w:val="12"/>
                          <w:szCs w:val="12"/>
                          <w:lang w:val="en-GB"/>
                        </w:rPr>
                        <w:t>Maintenance</w:t>
                      </w:r>
                    </w:p>
                    <w:p w14:paraId="251DF72D" w14:textId="77777777" w:rsidR="0045176A" w:rsidRPr="00656890" w:rsidRDefault="0045176A" w:rsidP="0015588E">
                      <w:pPr>
                        <w:pStyle w:val="NormalWeb"/>
                        <w:spacing w:before="0" w:beforeAutospacing="0" w:after="0" w:afterAutospacing="0"/>
                        <w:jc w:val="right"/>
                        <w:rPr>
                          <w:b/>
                          <w:color w:val="008000"/>
                          <w:kern w:val="24"/>
                          <w:sz w:val="12"/>
                          <w:szCs w:val="12"/>
                          <w:lang w:val="en-GB"/>
                        </w:rPr>
                      </w:pPr>
                      <w:r w:rsidRPr="00656890">
                        <w:rPr>
                          <w:b/>
                          <w:color w:val="008000"/>
                          <w:kern w:val="24"/>
                          <w:sz w:val="12"/>
                          <w:szCs w:val="12"/>
                          <w:lang w:val="en-GB"/>
                        </w:rPr>
                        <w:t>Concurrent</w:t>
                      </w:r>
                    </w:p>
                    <w:p w14:paraId="09A034EB" w14:textId="77777777" w:rsidR="0045176A" w:rsidRPr="00656890" w:rsidRDefault="0045176A" w:rsidP="0015588E">
                      <w:pPr>
                        <w:pStyle w:val="NormalWeb"/>
                        <w:spacing w:before="0" w:beforeAutospacing="0" w:after="0" w:afterAutospacing="0"/>
                        <w:jc w:val="right"/>
                        <w:rPr>
                          <w:color w:val="0000FF"/>
                          <w:kern w:val="24"/>
                          <w:sz w:val="12"/>
                          <w:szCs w:val="12"/>
                          <w:lang w:val="en-GB"/>
                        </w:rPr>
                      </w:pPr>
                      <w:r w:rsidRPr="00656890">
                        <w:rPr>
                          <w:b/>
                          <w:color w:val="0000FF"/>
                          <w:kern w:val="24"/>
                          <w:sz w:val="12"/>
                          <w:szCs w:val="12"/>
                          <w:lang w:val="en-GB"/>
                        </w:rPr>
                        <w:t>Chemo</w:t>
                      </w:r>
                    </w:p>
                    <w:p w14:paraId="621ADE5B"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3BD131BC"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636DC99E" w14:textId="77777777" w:rsidR="0045176A" w:rsidRPr="00656890" w:rsidRDefault="0045176A" w:rsidP="00F27FC9">
                      <w:pPr>
                        <w:pStyle w:val="NormalWeb"/>
                        <w:spacing w:before="0" w:beforeAutospacing="0" w:after="0" w:afterAutospacing="0"/>
                        <w:rPr>
                          <w:color w:val="0000FF"/>
                          <w:kern w:val="24"/>
                          <w:sz w:val="12"/>
                          <w:szCs w:val="12"/>
                          <w:lang w:val="en-GB"/>
                        </w:rPr>
                      </w:pPr>
                    </w:p>
                    <w:p w14:paraId="05DCA7D1"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7D1EA23D" w14:textId="77777777" w:rsidR="0045176A" w:rsidRPr="00656890" w:rsidRDefault="0045176A" w:rsidP="00F27FC9">
                      <w:pPr>
                        <w:pStyle w:val="NormalWeb"/>
                        <w:spacing w:before="0" w:beforeAutospacing="0" w:after="0" w:afterAutospacing="0"/>
                        <w:jc w:val="right"/>
                        <w:rPr>
                          <w:color w:val="366281"/>
                          <w:kern w:val="24"/>
                          <w:sz w:val="12"/>
                          <w:szCs w:val="12"/>
                          <w:lang w:val="en-GB"/>
                        </w:rPr>
                      </w:pPr>
                    </w:p>
                    <w:p w14:paraId="1B42E989" w14:textId="77777777" w:rsidR="0045176A" w:rsidRPr="00656890" w:rsidRDefault="0045176A" w:rsidP="00F27FC9">
                      <w:pPr>
                        <w:pStyle w:val="NormalWeb"/>
                        <w:spacing w:before="0" w:beforeAutospacing="0" w:after="0" w:afterAutospacing="0"/>
                        <w:jc w:val="right"/>
                        <w:rPr>
                          <w:sz w:val="12"/>
                          <w:szCs w:val="12"/>
                        </w:rPr>
                      </w:pPr>
                      <w:r w:rsidRPr="00656890">
                        <w:rPr>
                          <w:color w:val="366281"/>
                          <w:kern w:val="24"/>
                          <w:sz w:val="12"/>
                          <w:szCs w:val="12"/>
                          <w:lang w:val="en-GB"/>
                        </w:rPr>
                        <w:t>\</w:t>
                      </w:r>
                    </w:p>
                  </w:txbxContent>
                </v:textbox>
              </v:shape>
            </w:pict>
          </mc:Fallback>
        </mc:AlternateContent>
      </w:r>
      <w:r w:rsidRPr="00CE5254">
        <w:rPr>
          <w:noProof/>
          <w:szCs w:val="24"/>
          <w:lang w:eastAsia="ko-KR"/>
        </w:rPr>
        <mc:AlternateContent>
          <mc:Choice Requires="wps">
            <w:drawing>
              <wp:anchor distT="0" distB="0" distL="114300" distR="114300" simplePos="0" relativeHeight="251662336" behindDoc="0" locked="0" layoutInCell="1" allowOverlap="1" wp14:anchorId="0508A365" wp14:editId="37710C32">
                <wp:simplePos x="0" y="0"/>
                <wp:positionH relativeFrom="column">
                  <wp:posOffset>533400</wp:posOffset>
                </wp:positionH>
                <wp:positionV relativeFrom="paragraph">
                  <wp:posOffset>121285</wp:posOffset>
                </wp:positionV>
                <wp:extent cx="1981200" cy="1684020"/>
                <wp:effectExtent l="0" t="0" r="0" b="0"/>
                <wp:wrapNone/>
                <wp:docPr id="1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684020"/>
                        </a:xfrm>
                        <a:prstGeom prst="rect">
                          <a:avLst/>
                        </a:prstGeom>
                        <a:noFill/>
                        <a:ln>
                          <a:noFill/>
                        </a:ln>
                      </wps:spPr>
                      <wps:txbx>
                        <w:txbxContent>
                          <w:p w14:paraId="0B27CF2A" w14:textId="77777777" w:rsidR="0045176A" w:rsidRPr="00F27FC9" w:rsidRDefault="0045176A" w:rsidP="00630F43">
                            <w:pPr>
                              <w:pStyle w:val="NormalWeb"/>
                              <w:spacing w:before="0" w:beforeAutospacing="0" w:after="0" w:afterAutospacing="0"/>
                              <w:jc w:val="right"/>
                              <w:rPr>
                                <w:b/>
                                <w:color w:val="800000"/>
                                <w:kern w:val="24"/>
                                <w:sz w:val="20"/>
                                <w:szCs w:val="20"/>
                                <w:lang w:val="en-GB"/>
                              </w:rPr>
                            </w:pPr>
                            <w:r w:rsidRPr="00F27FC9">
                              <w:rPr>
                                <w:b/>
                                <w:color w:val="800000"/>
                                <w:kern w:val="24"/>
                                <w:sz w:val="20"/>
                                <w:szCs w:val="20"/>
                                <w:lang w:val="en-GB"/>
                              </w:rPr>
                              <w:t>Maintenance</w:t>
                            </w:r>
                          </w:p>
                          <w:p w14:paraId="11432CF1" w14:textId="77777777" w:rsidR="0045176A" w:rsidRPr="00F27FC9" w:rsidRDefault="0045176A" w:rsidP="00630F43">
                            <w:pPr>
                              <w:pStyle w:val="NormalWeb"/>
                              <w:spacing w:before="0" w:beforeAutospacing="0" w:after="0" w:afterAutospacing="0"/>
                              <w:jc w:val="right"/>
                              <w:rPr>
                                <w:b/>
                                <w:color w:val="800000"/>
                                <w:kern w:val="24"/>
                                <w:sz w:val="20"/>
                                <w:szCs w:val="20"/>
                                <w:lang w:val="en-GB"/>
                              </w:rPr>
                            </w:pPr>
                          </w:p>
                          <w:p w14:paraId="591FD33F"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34F7EC7B" w14:textId="77777777" w:rsidR="0045176A" w:rsidRPr="00F27FC9" w:rsidRDefault="0045176A" w:rsidP="00630F43">
                            <w:pPr>
                              <w:pStyle w:val="NormalWeb"/>
                              <w:spacing w:before="0" w:beforeAutospacing="0" w:after="0" w:afterAutospacing="0"/>
                              <w:jc w:val="right"/>
                              <w:rPr>
                                <w:b/>
                                <w:color w:val="008000"/>
                                <w:kern w:val="24"/>
                                <w:sz w:val="20"/>
                                <w:szCs w:val="20"/>
                                <w:lang w:val="en-GB"/>
                              </w:rPr>
                            </w:pPr>
                            <w:r w:rsidRPr="00F27FC9">
                              <w:rPr>
                                <w:b/>
                                <w:color w:val="008000"/>
                                <w:kern w:val="24"/>
                                <w:sz w:val="20"/>
                                <w:szCs w:val="20"/>
                                <w:lang w:val="en-GB"/>
                              </w:rPr>
                              <w:t>Concurrent</w:t>
                            </w:r>
                          </w:p>
                          <w:p w14:paraId="2638074C" w14:textId="77777777" w:rsidR="0045176A" w:rsidRPr="00F27FC9" w:rsidRDefault="0045176A" w:rsidP="00630F43">
                            <w:pPr>
                              <w:pStyle w:val="NormalWeb"/>
                              <w:spacing w:before="0" w:beforeAutospacing="0" w:after="0" w:afterAutospacing="0"/>
                              <w:jc w:val="right"/>
                              <w:rPr>
                                <w:b/>
                                <w:color w:val="008000"/>
                                <w:kern w:val="24"/>
                                <w:sz w:val="20"/>
                                <w:szCs w:val="20"/>
                                <w:lang w:val="en-GB"/>
                              </w:rPr>
                            </w:pPr>
                          </w:p>
                          <w:p w14:paraId="4E7CB591"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214E560B" w14:textId="77777777" w:rsidR="0045176A" w:rsidRPr="00F27FC9" w:rsidRDefault="0045176A" w:rsidP="00FB6BD9">
                            <w:pPr>
                              <w:pStyle w:val="NormalWeb"/>
                              <w:spacing w:before="0" w:beforeAutospacing="0" w:after="0" w:afterAutospacing="0"/>
                              <w:rPr>
                                <w:b/>
                                <w:color w:val="366281"/>
                                <w:kern w:val="24"/>
                                <w:sz w:val="16"/>
                                <w:szCs w:val="16"/>
                                <w:lang w:val="en-GB"/>
                              </w:rPr>
                            </w:pPr>
                          </w:p>
                          <w:p w14:paraId="554799B8" w14:textId="77777777" w:rsidR="0045176A" w:rsidRPr="00F27FC9" w:rsidRDefault="0045176A" w:rsidP="00FB6BD9">
                            <w:pPr>
                              <w:pStyle w:val="NormalWeb"/>
                              <w:spacing w:before="0" w:beforeAutospacing="0" w:after="0" w:afterAutospacing="0"/>
                              <w:rPr>
                                <w:b/>
                                <w:color w:val="0000FF"/>
                                <w:kern w:val="24"/>
                                <w:sz w:val="20"/>
                                <w:szCs w:val="20"/>
                                <w:lang w:val="en-GB"/>
                              </w:rPr>
                            </w:pPr>
                            <w:r w:rsidRPr="00F27FC9">
                              <w:rPr>
                                <w:b/>
                                <w:color w:val="0000FF"/>
                                <w:kern w:val="24"/>
                                <w:sz w:val="20"/>
                                <w:szCs w:val="20"/>
                                <w:lang w:val="en-GB"/>
                              </w:rPr>
                              <w:t>Chemotherapy</w:t>
                            </w:r>
                          </w:p>
                          <w:p w14:paraId="36E10AC0"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72663898"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56961F0C"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5831E4B4"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0D1FA2F6"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11BB7B7B" w14:textId="77777777" w:rsidR="0045176A" w:rsidRPr="00F27FC9" w:rsidRDefault="0045176A" w:rsidP="00630F43">
                            <w:pPr>
                              <w:pStyle w:val="NormalWeb"/>
                              <w:spacing w:before="0" w:beforeAutospacing="0" w:after="0" w:afterAutospacing="0"/>
                              <w:jc w:val="right"/>
                              <w:rPr>
                                <w:b/>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08A365" id="_x0000_s1037" type="#_x0000_t202" style="position:absolute;left:0;text-align:left;margin-left:42pt;margin-top:9.55pt;width:156pt;height:1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" filled="f" stroked="f">
                <v:textbox>
                  <w:txbxContent>
                    <w:p w14:paraId="0B27CF2A" w14:textId="77777777" w:rsidR="0045176A" w:rsidRPr="00F27FC9" w:rsidRDefault="0045176A" w:rsidP="00630F43">
                      <w:pPr>
                        <w:pStyle w:val="NormalWeb"/>
                        <w:spacing w:before="0" w:beforeAutospacing="0" w:after="0" w:afterAutospacing="0"/>
                        <w:jc w:val="right"/>
                        <w:rPr>
                          <w:b/>
                          <w:color w:val="800000"/>
                          <w:kern w:val="24"/>
                          <w:sz w:val="20"/>
                          <w:szCs w:val="20"/>
                          <w:lang w:val="en-GB"/>
                        </w:rPr>
                      </w:pPr>
                      <w:r w:rsidRPr="00F27FC9">
                        <w:rPr>
                          <w:b/>
                          <w:color w:val="800000"/>
                          <w:kern w:val="24"/>
                          <w:sz w:val="20"/>
                          <w:szCs w:val="20"/>
                          <w:lang w:val="en-GB"/>
                        </w:rPr>
                        <w:t>Maintenance</w:t>
                      </w:r>
                    </w:p>
                    <w:p w14:paraId="11432CF1" w14:textId="77777777" w:rsidR="0045176A" w:rsidRPr="00F27FC9" w:rsidRDefault="0045176A" w:rsidP="00630F43">
                      <w:pPr>
                        <w:pStyle w:val="NormalWeb"/>
                        <w:spacing w:before="0" w:beforeAutospacing="0" w:after="0" w:afterAutospacing="0"/>
                        <w:jc w:val="right"/>
                        <w:rPr>
                          <w:b/>
                          <w:color w:val="800000"/>
                          <w:kern w:val="24"/>
                          <w:sz w:val="20"/>
                          <w:szCs w:val="20"/>
                          <w:lang w:val="en-GB"/>
                        </w:rPr>
                      </w:pPr>
                    </w:p>
                    <w:p w14:paraId="591FD33F"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34F7EC7B" w14:textId="77777777" w:rsidR="0045176A" w:rsidRPr="00F27FC9" w:rsidRDefault="0045176A" w:rsidP="00630F43">
                      <w:pPr>
                        <w:pStyle w:val="NormalWeb"/>
                        <w:spacing w:before="0" w:beforeAutospacing="0" w:after="0" w:afterAutospacing="0"/>
                        <w:jc w:val="right"/>
                        <w:rPr>
                          <w:b/>
                          <w:color w:val="008000"/>
                          <w:kern w:val="24"/>
                          <w:sz w:val="20"/>
                          <w:szCs w:val="20"/>
                          <w:lang w:val="en-GB"/>
                        </w:rPr>
                      </w:pPr>
                      <w:r w:rsidRPr="00F27FC9">
                        <w:rPr>
                          <w:b/>
                          <w:color w:val="008000"/>
                          <w:kern w:val="24"/>
                          <w:sz w:val="20"/>
                          <w:szCs w:val="20"/>
                          <w:lang w:val="en-GB"/>
                        </w:rPr>
                        <w:t>Concurrent</w:t>
                      </w:r>
                    </w:p>
                    <w:p w14:paraId="2638074C" w14:textId="77777777" w:rsidR="0045176A" w:rsidRPr="00F27FC9" w:rsidRDefault="0045176A" w:rsidP="00630F43">
                      <w:pPr>
                        <w:pStyle w:val="NormalWeb"/>
                        <w:spacing w:before="0" w:beforeAutospacing="0" w:after="0" w:afterAutospacing="0"/>
                        <w:jc w:val="right"/>
                        <w:rPr>
                          <w:b/>
                          <w:color w:val="008000"/>
                          <w:kern w:val="24"/>
                          <w:sz w:val="20"/>
                          <w:szCs w:val="20"/>
                          <w:lang w:val="en-GB"/>
                        </w:rPr>
                      </w:pPr>
                    </w:p>
                    <w:p w14:paraId="4E7CB591"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214E560B" w14:textId="77777777" w:rsidR="0045176A" w:rsidRPr="00F27FC9" w:rsidRDefault="0045176A" w:rsidP="00FB6BD9">
                      <w:pPr>
                        <w:pStyle w:val="NormalWeb"/>
                        <w:spacing w:before="0" w:beforeAutospacing="0" w:after="0" w:afterAutospacing="0"/>
                        <w:rPr>
                          <w:b/>
                          <w:color w:val="366281"/>
                          <w:kern w:val="24"/>
                          <w:sz w:val="16"/>
                          <w:szCs w:val="16"/>
                          <w:lang w:val="en-GB"/>
                        </w:rPr>
                      </w:pPr>
                    </w:p>
                    <w:p w14:paraId="554799B8" w14:textId="77777777" w:rsidR="0045176A" w:rsidRPr="00F27FC9" w:rsidRDefault="0045176A" w:rsidP="00FB6BD9">
                      <w:pPr>
                        <w:pStyle w:val="NormalWeb"/>
                        <w:spacing w:before="0" w:beforeAutospacing="0" w:after="0" w:afterAutospacing="0"/>
                        <w:rPr>
                          <w:b/>
                          <w:color w:val="0000FF"/>
                          <w:kern w:val="24"/>
                          <w:sz w:val="20"/>
                          <w:szCs w:val="20"/>
                          <w:lang w:val="en-GB"/>
                        </w:rPr>
                      </w:pPr>
                      <w:r w:rsidRPr="00F27FC9">
                        <w:rPr>
                          <w:b/>
                          <w:color w:val="0000FF"/>
                          <w:kern w:val="24"/>
                          <w:sz w:val="20"/>
                          <w:szCs w:val="20"/>
                          <w:lang w:val="en-GB"/>
                        </w:rPr>
                        <w:t>Chemotherapy</w:t>
                      </w:r>
                    </w:p>
                    <w:p w14:paraId="36E10AC0"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72663898"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56961F0C" w14:textId="77777777" w:rsidR="0045176A" w:rsidRPr="00F27FC9" w:rsidRDefault="0045176A" w:rsidP="00FB6BD9">
                      <w:pPr>
                        <w:pStyle w:val="NormalWeb"/>
                        <w:spacing w:before="0" w:beforeAutospacing="0" w:after="0" w:afterAutospacing="0"/>
                        <w:rPr>
                          <w:b/>
                          <w:color w:val="0000FF"/>
                          <w:kern w:val="24"/>
                          <w:sz w:val="20"/>
                          <w:szCs w:val="20"/>
                          <w:lang w:val="en-GB"/>
                        </w:rPr>
                      </w:pPr>
                    </w:p>
                    <w:p w14:paraId="5831E4B4"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0D1FA2F6" w14:textId="77777777" w:rsidR="0045176A" w:rsidRPr="00F27FC9" w:rsidRDefault="0045176A" w:rsidP="00630F43">
                      <w:pPr>
                        <w:pStyle w:val="NormalWeb"/>
                        <w:spacing w:before="0" w:beforeAutospacing="0" w:after="0" w:afterAutospacing="0"/>
                        <w:jc w:val="right"/>
                        <w:rPr>
                          <w:b/>
                          <w:color w:val="366281"/>
                          <w:kern w:val="24"/>
                          <w:sz w:val="20"/>
                          <w:szCs w:val="20"/>
                          <w:lang w:val="en-GB"/>
                        </w:rPr>
                      </w:pPr>
                    </w:p>
                    <w:p w14:paraId="11BB7B7B" w14:textId="77777777" w:rsidR="0045176A" w:rsidRPr="00F27FC9" w:rsidRDefault="0045176A" w:rsidP="00630F43">
                      <w:pPr>
                        <w:pStyle w:val="NormalWeb"/>
                        <w:spacing w:before="0" w:beforeAutospacing="0" w:after="0" w:afterAutospacing="0"/>
                        <w:jc w:val="right"/>
                        <w:rPr>
                          <w:b/>
                          <w:sz w:val="20"/>
                          <w:szCs w:val="20"/>
                        </w:rPr>
                      </w:pPr>
                    </w:p>
                  </w:txbxContent>
                </v:textbox>
              </v:shape>
            </w:pict>
          </mc:Fallback>
        </mc:AlternateContent>
      </w:r>
      <w:r w:rsidRPr="00CE5254">
        <w:rPr>
          <w:noProof/>
          <w:szCs w:val="24"/>
          <w:lang w:eastAsia="ko-KR"/>
        </w:rPr>
        <mc:AlternateContent>
          <mc:Choice Requires="wps">
            <w:drawing>
              <wp:anchor distT="0" distB="0" distL="114300" distR="114300" simplePos="0" relativeHeight="251680768" behindDoc="0" locked="0" layoutInCell="1" allowOverlap="1" wp14:anchorId="06ED9DFA" wp14:editId="64D2420E">
                <wp:simplePos x="0" y="0"/>
                <wp:positionH relativeFrom="column">
                  <wp:posOffset>3817620</wp:posOffset>
                </wp:positionH>
                <wp:positionV relativeFrom="paragraph">
                  <wp:posOffset>121285</wp:posOffset>
                </wp:positionV>
                <wp:extent cx="1363980" cy="1143000"/>
                <wp:effectExtent l="0" t="0" r="0" b="0"/>
                <wp:wrapNone/>
                <wp:docPr id="1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1143000"/>
                        </a:xfrm>
                        <a:prstGeom prst="rect">
                          <a:avLst/>
                        </a:prstGeom>
                        <a:noFill/>
                      </wps:spPr>
                      <wps:txbx>
                        <w:txbxContent>
                          <w:p w14:paraId="3014BC32" w14:textId="77777777" w:rsidR="0045176A" w:rsidRPr="00F27FC9" w:rsidRDefault="0045176A" w:rsidP="00F27FC9">
                            <w:pPr>
                              <w:pStyle w:val="NormalWeb"/>
                              <w:spacing w:before="0" w:beforeAutospacing="0" w:after="0" w:afterAutospacing="0"/>
                              <w:jc w:val="right"/>
                              <w:rPr>
                                <w:b/>
                                <w:color w:val="800000"/>
                                <w:kern w:val="24"/>
                                <w:sz w:val="20"/>
                                <w:szCs w:val="20"/>
                                <w:lang w:val="en-GB"/>
                              </w:rPr>
                            </w:pPr>
                            <w:r w:rsidRPr="00F27FC9">
                              <w:rPr>
                                <w:b/>
                                <w:color w:val="800000"/>
                                <w:kern w:val="24"/>
                                <w:sz w:val="20"/>
                                <w:szCs w:val="20"/>
                                <w:lang w:val="en-GB"/>
                              </w:rPr>
                              <w:t>Maintenance</w:t>
                            </w:r>
                          </w:p>
                          <w:p w14:paraId="26849ED6"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48CE34F5"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9D28434"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0C2699A2"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3FE08E0E"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4B67D63" w14:textId="77777777" w:rsidR="0045176A" w:rsidRPr="00F27FC9" w:rsidRDefault="0045176A" w:rsidP="00F27FC9">
                            <w:pPr>
                              <w:pStyle w:val="NormalWeb"/>
                              <w:spacing w:before="0" w:beforeAutospacing="0" w:after="0" w:afterAutospacing="0"/>
                              <w:jc w:val="right"/>
                              <w:rPr>
                                <w:b/>
                                <w:color w:val="0000FF"/>
                                <w:kern w:val="24"/>
                                <w:sz w:val="20"/>
                                <w:szCs w:val="20"/>
                                <w:lang w:val="en-GB"/>
                              </w:rPr>
                            </w:pPr>
                            <w:r w:rsidRPr="00F27FC9">
                              <w:rPr>
                                <w:b/>
                                <w:color w:val="0000FF"/>
                                <w:kern w:val="24"/>
                                <w:sz w:val="20"/>
                                <w:szCs w:val="20"/>
                                <w:lang w:val="en-GB"/>
                              </w:rPr>
                              <w:t>Chemotherapy</w:t>
                            </w:r>
                          </w:p>
                          <w:p w14:paraId="07F511B0"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5FB454CB"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425D101" w14:textId="77777777" w:rsidR="0045176A" w:rsidRPr="00F27FC9" w:rsidRDefault="0045176A" w:rsidP="00F27FC9">
                            <w:pPr>
                              <w:pStyle w:val="NormalWeb"/>
                              <w:spacing w:before="0" w:beforeAutospacing="0" w:after="0" w:afterAutospacing="0"/>
                              <w:jc w:val="right"/>
                              <w:rPr>
                                <w:b/>
                                <w:sz w:val="20"/>
                                <w:szCs w:val="20"/>
                              </w:rPr>
                            </w:pPr>
                            <w:r w:rsidRPr="00F27FC9">
                              <w:rPr>
                                <w:b/>
                                <w:color w:val="366281"/>
                                <w:kern w:val="24"/>
                                <w:sz w:val="20"/>
                                <w:szCs w:val="20"/>
                                <w:lang w:val="en-GB"/>
                              </w:rPr>
                              <w:t>Main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ED9DFA" id="_x0000_s1038" type="#_x0000_t202" style="position:absolute;left:0;text-align:left;margin-left:300.6pt;margin-top:9.55pt;width:107.4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" filled="f" stroked="f">
                <v:textbox>
                  <w:txbxContent>
                    <w:p w14:paraId="3014BC32" w14:textId="77777777" w:rsidR="0045176A" w:rsidRPr="00F27FC9" w:rsidRDefault="0045176A" w:rsidP="00F27FC9">
                      <w:pPr>
                        <w:pStyle w:val="NormalWeb"/>
                        <w:spacing w:before="0" w:beforeAutospacing="0" w:after="0" w:afterAutospacing="0"/>
                        <w:jc w:val="right"/>
                        <w:rPr>
                          <w:b/>
                          <w:color w:val="800000"/>
                          <w:kern w:val="24"/>
                          <w:sz w:val="20"/>
                          <w:szCs w:val="20"/>
                          <w:lang w:val="en-GB"/>
                        </w:rPr>
                      </w:pPr>
                      <w:r w:rsidRPr="00F27FC9">
                        <w:rPr>
                          <w:b/>
                          <w:color w:val="800000"/>
                          <w:kern w:val="24"/>
                          <w:sz w:val="20"/>
                          <w:szCs w:val="20"/>
                          <w:lang w:val="en-GB"/>
                        </w:rPr>
                        <w:t>Maintenance</w:t>
                      </w:r>
                    </w:p>
                    <w:p w14:paraId="26849ED6"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48CE34F5"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9D28434"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0C2699A2"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3FE08E0E"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4B67D63" w14:textId="77777777" w:rsidR="0045176A" w:rsidRPr="00F27FC9" w:rsidRDefault="0045176A" w:rsidP="00F27FC9">
                      <w:pPr>
                        <w:pStyle w:val="NormalWeb"/>
                        <w:spacing w:before="0" w:beforeAutospacing="0" w:after="0" w:afterAutospacing="0"/>
                        <w:jc w:val="right"/>
                        <w:rPr>
                          <w:b/>
                          <w:color w:val="0000FF"/>
                          <w:kern w:val="24"/>
                          <w:sz w:val="20"/>
                          <w:szCs w:val="20"/>
                          <w:lang w:val="en-GB"/>
                        </w:rPr>
                      </w:pPr>
                      <w:r w:rsidRPr="00F27FC9">
                        <w:rPr>
                          <w:b/>
                          <w:color w:val="0000FF"/>
                          <w:kern w:val="24"/>
                          <w:sz w:val="20"/>
                          <w:szCs w:val="20"/>
                          <w:lang w:val="en-GB"/>
                        </w:rPr>
                        <w:t>Chemotherapy</w:t>
                      </w:r>
                    </w:p>
                    <w:p w14:paraId="07F511B0"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5FB454CB" w14:textId="77777777" w:rsidR="0045176A" w:rsidRPr="00F27FC9" w:rsidRDefault="0045176A" w:rsidP="00F27FC9">
                      <w:pPr>
                        <w:pStyle w:val="NormalWeb"/>
                        <w:spacing w:before="0" w:beforeAutospacing="0" w:after="0" w:afterAutospacing="0"/>
                        <w:jc w:val="right"/>
                        <w:rPr>
                          <w:b/>
                          <w:color w:val="366281"/>
                          <w:kern w:val="24"/>
                          <w:sz w:val="20"/>
                          <w:szCs w:val="20"/>
                          <w:lang w:val="en-GB"/>
                        </w:rPr>
                      </w:pPr>
                    </w:p>
                    <w:p w14:paraId="2425D101" w14:textId="77777777" w:rsidR="0045176A" w:rsidRPr="00F27FC9" w:rsidRDefault="0045176A" w:rsidP="00F27FC9">
                      <w:pPr>
                        <w:pStyle w:val="NormalWeb"/>
                        <w:spacing w:before="0" w:beforeAutospacing="0" w:after="0" w:afterAutospacing="0"/>
                        <w:jc w:val="right"/>
                        <w:rPr>
                          <w:b/>
                          <w:sz w:val="20"/>
                          <w:szCs w:val="20"/>
                        </w:rPr>
                      </w:pPr>
                      <w:r w:rsidRPr="00F27FC9">
                        <w:rPr>
                          <w:b/>
                          <w:color w:val="366281"/>
                          <w:kern w:val="24"/>
                          <w:sz w:val="20"/>
                          <w:szCs w:val="20"/>
                          <w:lang w:val="en-GB"/>
                        </w:rPr>
                        <w:t>Main</w:t>
                      </w:r>
                    </w:p>
                  </w:txbxContent>
                </v:textbox>
              </v:shape>
            </w:pict>
          </mc:Fallback>
        </mc:AlternateContent>
      </w:r>
      <w:r w:rsidR="00FB6BD9" w:rsidRPr="00CE5254">
        <w:rPr>
          <w:noProof/>
          <w:szCs w:val="24"/>
          <w:lang w:eastAsia="ko-KR"/>
        </w:rPr>
        <w:drawing>
          <wp:inline distT="0" distB="0" distL="0" distR="0" wp14:anchorId="713D02CD" wp14:editId="4CA16C02">
            <wp:extent cx="2701535" cy="1978000"/>
            <wp:effectExtent l="0" t="0" r="0"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702770" cy="1978904"/>
                    </a:xfrm>
                    <a:prstGeom prst="rect">
                      <a:avLst/>
                    </a:prstGeom>
                    <a:noFill/>
                    <a:ln>
                      <a:noFill/>
                    </a:ln>
                    <a:effectLst/>
                  </pic:spPr>
                </pic:pic>
              </a:graphicData>
            </a:graphic>
          </wp:inline>
        </w:drawing>
      </w:r>
      <w:r w:rsidR="00F27FC9" w:rsidRPr="00CE5254">
        <w:rPr>
          <w:noProof/>
          <w:szCs w:val="24"/>
          <w:lang w:eastAsia="ko-KR"/>
        </w:rPr>
        <w:drawing>
          <wp:inline distT="0" distB="0" distL="0" distR="0" wp14:anchorId="67B9542D" wp14:editId="4BDF3F2E">
            <wp:extent cx="2680335" cy="1788160"/>
            <wp:effectExtent l="0" t="0" r="1206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682010" cy="1789277"/>
                    </a:xfrm>
                    <a:prstGeom prst="rect">
                      <a:avLst/>
                    </a:prstGeom>
                    <a:noFill/>
                    <a:ln>
                      <a:noFill/>
                    </a:ln>
                    <a:effectLst/>
                  </pic:spPr>
                </pic:pic>
              </a:graphicData>
            </a:graphic>
          </wp:inline>
        </w:drawing>
      </w:r>
    </w:p>
    <w:p w14:paraId="57130C87" w14:textId="77777777" w:rsidR="00FB6BD9" w:rsidRPr="007A3223" w:rsidRDefault="00FB6BD9" w:rsidP="00AC750A">
      <w:pPr>
        <w:spacing w:after="0"/>
        <w:rPr>
          <w:rFonts w:ascii="Times" w:hAnsi="Times"/>
          <w:b/>
        </w:rPr>
      </w:pPr>
      <w:r w:rsidRPr="00F33908">
        <w:rPr>
          <w:rFonts w:ascii="Times" w:hAnsi="Times"/>
          <w:b/>
        </w:rPr>
        <w:t xml:space="preserve">A. </w:t>
      </w:r>
      <w:r w:rsidR="00F27FC9" w:rsidRPr="007A3223">
        <w:rPr>
          <w:rFonts w:ascii="Times" w:hAnsi="Times"/>
          <w:b/>
        </w:rPr>
        <w:tab/>
      </w:r>
      <w:r w:rsidR="00F27FC9" w:rsidRPr="007A3223">
        <w:rPr>
          <w:rFonts w:ascii="Times" w:hAnsi="Times"/>
          <w:b/>
        </w:rPr>
        <w:tab/>
      </w:r>
      <w:r w:rsidR="00F27FC9" w:rsidRPr="007A3223">
        <w:rPr>
          <w:rFonts w:ascii="Times" w:hAnsi="Times"/>
          <w:b/>
        </w:rPr>
        <w:tab/>
      </w:r>
      <w:r w:rsidR="00F27FC9" w:rsidRPr="007A3223">
        <w:rPr>
          <w:rFonts w:ascii="Times" w:hAnsi="Times"/>
          <w:b/>
        </w:rPr>
        <w:tab/>
      </w:r>
      <w:r w:rsidR="00F27FC9" w:rsidRPr="007A3223">
        <w:rPr>
          <w:rFonts w:ascii="Times" w:hAnsi="Times"/>
          <w:b/>
        </w:rPr>
        <w:tab/>
      </w:r>
      <w:r w:rsidR="00F27FC9" w:rsidRPr="007A3223">
        <w:rPr>
          <w:rFonts w:ascii="Times" w:hAnsi="Times"/>
          <w:b/>
        </w:rPr>
        <w:tab/>
      </w:r>
      <w:r w:rsidR="00BC248B" w:rsidRPr="007A3223">
        <w:rPr>
          <w:rFonts w:ascii="Times" w:hAnsi="Times"/>
          <w:b/>
        </w:rPr>
        <w:tab/>
      </w:r>
      <w:r w:rsidRPr="007A3223">
        <w:rPr>
          <w:rFonts w:ascii="Times" w:hAnsi="Times"/>
          <w:b/>
        </w:rPr>
        <w:t>B.</w:t>
      </w:r>
      <w:r w:rsidR="00F27FC9" w:rsidRPr="007A3223">
        <w:rPr>
          <w:szCs w:val="24"/>
        </w:rPr>
        <w:t xml:space="preserve"> </w:t>
      </w:r>
    </w:p>
    <w:p w14:paraId="10D477DB" w14:textId="75FA49F2" w:rsidR="008A659C" w:rsidRPr="007A3223" w:rsidRDefault="004269C3" w:rsidP="004269C3">
      <w:pPr>
        <w:pStyle w:val="Caption"/>
      </w:pPr>
      <w:bookmarkStart w:id="39" w:name="_Ref405293729"/>
      <w:r w:rsidRPr="007A3223">
        <w:rPr>
          <w:sz w:val="22"/>
          <w:szCs w:val="22"/>
        </w:rPr>
        <w:t xml:space="preserve">Figure </w:t>
      </w:r>
      <w:r w:rsidR="002457B0" w:rsidRPr="00F33908">
        <w:rPr>
          <w:sz w:val="22"/>
          <w:szCs w:val="22"/>
        </w:rPr>
        <w:fldChar w:fldCharType="begin"/>
      </w:r>
      <w:r w:rsidRPr="007A3223">
        <w:rPr>
          <w:sz w:val="22"/>
          <w:szCs w:val="22"/>
        </w:rPr>
        <w:instrText xml:space="preserve"> SEQ Figure \* ARABIC </w:instrText>
      </w:r>
      <w:r w:rsidR="002457B0" w:rsidRPr="00F33908">
        <w:rPr>
          <w:sz w:val="22"/>
          <w:szCs w:val="22"/>
        </w:rPr>
        <w:fldChar w:fldCharType="separate"/>
      </w:r>
      <w:r w:rsidR="00E47ACA">
        <w:rPr>
          <w:noProof/>
          <w:sz w:val="22"/>
          <w:szCs w:val="22"/>
        </w:rPr>
        <w:t>2</w:t>
      </w:r>
      <w:r w:rsidR="002457B0" w:rsidRPr="00F33908">
        <w:rPr>
          <w:sz w:val="22"/>
          <w:szCs w:val="22"/>
        </w:rPr>
        <w:fldChar w:fldCharType="end"/>
      </w:r>
      <w:bookmarkEnd w:id="39"/>
      <w:r w:rsidRPr="007A3223">
        <w:t>.</w:t>
      </w:r>
      <w:r w:rsidRPr="00F33908">
        <w:rPr>
          <w:color w:val="262626"/>
          <w:sz w:val="22"/>
        </w:rPr>
        <w:t xml:space="preserve"> </w:t>
      </w:r>
      <w:r w:rsidRPr="007A3223">
        <w:rPr>
          <w:b w:val="0"/>
          <w:color w:val="262626"/>
          <w:sz w:val="22"/>
          <w:u w:val="single"/>
        </w:rPr>
        <w:t>C</w:t>
      </w:r>
      <w:r w:rsidRPr="007A3223">
        <w:rPr>
          <w:b w:val="0"/>
          <w:bCs w:val="0"/>
          <w:color w:val="262626"/>
          <w:sz w:val="22"/>
          <w:u w:val="single"/>
        </w:rPr>
        <w:t>ombination therapy followed by cediranib maintenance led to improved PFS (A) and overall survival (B) in patients with platinum-sensitive recurrent ovarian cancer</w:t>
      </w:r>
      <w:r w:rsidRPr="007A3223">
        <w:rPr>
          <w:b w:val="0"/>
          <w:bCs w:val="0"/>
          <w:color w:val="262626"/>
          <w:sz w:val="22"/>
          <w:u w:val="single"/>
          <w:vertAlign w:val="superscript"/>
        </w:rPr>
        <w:t>38</w:t>
      </w:r>
      <w:r w:rsidRPr="007A3223">
        <w:rPr>
          <w:b w:val="0"/>
          <w:color w:val="262626"/>
          <w:sz w:val="22"/>
          <w:u w:val="single"/>
        </w:rPr>
        <w:t>.</w:t>
      </w:r>
    </w:p>
    <w:p w14:paraId="4206B3BF" w14:textId="77777777" w:rsidR="002F2BD0" w:rsidRPr="007A3223" w:rsidRDefault="002F2BD0" w:rsidP="00EA69AB">
      <w:pPr>
        <w:rPr>
          <w:i/>
          <w:u w:val="single"/>
        </w:rPr>
      </w:pPr>
    </w:p>
    <w:p w14:paraId="162A8027" w14:textId="77777777" w:rsidR="006F7A98" w:rsidRPr="007A3223" w:rsidRDefault="005F1734" w:rsidP="00541C93">
      <w:pPr>
        <w:pStyle w:val="Heading4"/>
      </w:pPr>
      <w:r w:rsidRPr="007A3223">
        <w:t>PARP</w:t>
      </w:r>
      <w:r w:rsidR="00C107F2" w:rsidRPr="007A3223">
        <w:t xml:space="preserve"> inhibition</w:t>
      </w:r>
    </w:p>
    <w:p w14:paraId="778322DE" w14:textId="57772BA9" w:rsidR="00524641" w:rsidRPr="00F33908" w:rsidRDefault="008A659C" w:rsidP="002369B6">
      <w:pPr>
        <w:spacing w:after="0"/>
        <w:ind w:firstLine="270"/>
        <w:rPr>
          <w:rFonts w:eastAsia="Times New Roman"/>
          <w:szCs w:val="24"/>
        </w:rPr>
      </w:pPr>
      <w:r w:rsidRPr="007A3223">
        <w:rPr>
          <w:szCs w:val="24"/>
        </w:rPr>
        <w:t>Preclinical studies have demonstrated promotion of local antigen release and systemic anti-tumor responses after tumor exposure to radiation or DNA damaging agents</w:t>
      </w:r>
      <w:r w:rsidR="002457B0" w:rsidRPr="00585A7F">
        <w:rPr>
          <w:szCs w:val="24"/>
        </w:rPr>
        <w:fldChar w:fldCharType="begin">
          <w:fldData xml:space="preserve">PEVuZE5vdGU+PENpdGU+PEF1dGhvcj5HYWxsdXp6aTwvQXV0aG9yPjxZZWFyPjIwMTI8L1llYXI+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Y2FsPjxwYWdlcz4yMTUtMzM8L3BhZ2VzPjx2b2x1bWU+MTE8L3ZvbHVtZT48bnVtYmVyPjM8L251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</w:fldData>
        </w:fldChar>
      </w:r>
      <w:r w:rsidR="00A756D5" w:rsidRPr="007A3223">
        <w:rPr>
          <w:szCs w:val="24"/>
        </w:rPr>
        <w:instrText xml:space="preserve"> ADDIN EN.CITE </w:instrText>
      </w:r>
      <w:r w:rsidR="00A756D5" w:rsidRPr="005A0CE9">
        <w:rPr>
          <w:szCs w:val="24"/>
        </w:rPr>
        <w:fldChar w:fldCharType="begin">
          <w:fldData xml:space="preserve">PEVuZE5vdGU+PENpdGU+PEF1dGhvcj5HYWxsdXp6aTwvQXV0aG9yPjxZZWFyPjIwMTI8L1llYXI+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Y2FsPjxwYWdlcz4yMTUtMzM8L3BhZ2VzPjx2b2x1bWU+MTE8L3ZvbHVtZT48bnVtYmVyPjM8L251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</w:fldData>
        </w:fldChar>
      </w:r>
      <w:r w:rsidR="00A756D5" w:rsidRPr="007A3223">
        <w:rPr>
          <w:szCs w:val="24"/>
        </w:rPr>
        <w:instrText xml:space="preserve"> ADDIN EN.CITE.DATA </w:instrText>
      </w:r>
      <w:r w:rsidR="00A756D5" w:rsidRPr="005A0CE9">
        <w:rPr>
          <w:szCs w:val="24"/>
        </w:rPr>
      </w:r>
      <w:r w:rsidR="00A756D5" w:rsidRPr="005A0CE9">
        <w:rPr>
          <w:szCs w:val="24"/>
        </w:rPr>
        <w:fldChar w:fldCharType="end"/>
      </w:r>
      <w:r w:rsidR="002457B0" w:rsidRPr="00585A7F">
        <w:rPr>
          <w:szCs w:val="24"/>
        </w:rPr>
      </w:r>
      <w:r w:rsidR="002457B0" w:rsidRPr="00585A7F">
        <w:rPr>
          <w:szCs w:val="24"/>
        </w:rPr>
        <w:fldChar w:fldCharType="separate"/>
      </w:r>
      <w:hyperlink w:anchor="_ENREF_30" w:tooltip="Galluzzi, 2012 #29" w:history="1">
        <w:r w:rsidR="00F77861" w:rsidRPr="00244551">
          <w:rPr>
            <w:rStyle w:val="Hyperlink"/>
            <w:noProof/>
            <w:szCs w:val="24"/>
            <w:vertAlign w:val="superscript"/>
          </w:rPr>
          <w:t>30</w:t>
        </w:r>
      </w:hyperlink>
      <w:r w:rsidR="00DD2541" w:rsidRPr="00F33908">
        <w:rPr>
          <w:noProof/>
          <w:szCs w:val="24"/>
          <w:vertAlign w:val="superscript"/>
        </w:rPr>
        <w:t>,</w:t>
      </w:r>
      <w:hyperlink w:anchor="_ENREF_49" w:tooltip="Wu, 2014 #49" w:history="1">
        <w:r w:rsidR="00F77861" w:rsidRPr="00244551">
          <w:rPr>
            <w:rStyle w:val="Hyperlink"/>
            <w:noProof/>
            <w:szCs w:val="24"/>
            <w:vertAlign w:val="superscript"/>
          </w:rPr>
          <w:t>49-51</w:t>
        </w:r>
      </w:hyperlink>
      <w:r w:rsidR="002457B0" w:rsidRPr="00585A7F">
        <w:rPr>
          <w:szCs w:val="24"/>
        </w:rPr>
        <w:fldChar w:fldCharType="end"/>
      </w:r>
      <w:r w:rsidRPr="007A3223">
        <w:rPr>
          <w:szCs w:val="24"/>
        </w:rPr>
        <w:t xml:space="preserve">. </w:t>
      </w:r>
      <w:r w:rsidR="001374E9" w:rsidRPr="00F33908">
        <w:rPr>
          <w:szCs w:val="24"/>
        </w:rPr>
        <w:t xml:space="preserve">Recently, Snyder </w:t>
      </w:r>
      <w:r w:rsidR="001374E9" w:rsidRPr="007A3223">
        <w:rPr>
          <w:i/>
          <w:szCs w:val="24"/>
        </w:rPr>
        <w:t>et al</w:t>
      </w:r>
      <w:r w:rsidR="001374E9" w:rsidRPr="007A3223">
        <w:rPr>
          <w:szCs w:val="24"/>
        </w:rPr>
        <w:t>. reported mutational load by exome sequencing was associated with clinical benefit in malignant melanoma patients treated with anti-CTLA-4 antibodies</w:t>
      </w:r>
      <w:r w:rsidR="00C16227" w:rsidRPr="007A3223">
        <w:rPr>
          <w:szCs w:val="24"/>
        </w:rPr>
        <w:t xml:space="preserve"> (p=0.01)</w:t>
      </w:r>
      <w:hyperlink w:anchor="_ENREF_52" w:tooltip="Snyder, 2014 #52" w:history="1">
        <w:r w:rsidR="00F77861" w:rsidRPr="00244551">
          <w:rPr>
            <w:rStyle w:val="Hyperlink"/>
            <w:szCs w:val="24"/>
          </w:rPr>
          <w:fldChar w:fldCharType="begin">
            <w:fldData xml:space="preserve">PEVuZE5vdGU+PENpdGU+PEF1dGhvcj5TbnlkZXI8L0F1dGhvcj48WWVhcj4yMDE0PC9ZZWFyPjxS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</w:fldData>
          </w:fldChar>
        </w:r>
        <w:r w:rsidR="00F77861" w:rsidRPr="00244551">
          <w:rPr>
            <w:rStyle w:val="Hyperlink"/>
            <w:szCs w:val="24"/>
          </w:rPr>
          <w:instrText xml:space="preserve"> ADDIN EN.CITE </w:instrText>
        </w:r>
        <w:r w:rsidR="00F77861" w:rsidRPr="005A0CE9">
          <w:rPr>
            <w:rStyle w:val="Hyperlink"/>
            <w:szCs w:val="24"/>
          </w:rPr>
          <w:fldChar w:fldCharType="begin">
            <w:fldData xml:space="preserve">PEVuZE5vdGU+PENpdGU+PEF1dGhvcj5TbnlkZXI8L0F1dGhvcj48WWVhcj4yMDE0PC9ZZWFyPjxS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</w:fldData>
          </w:fldChar>
        </w:r>
        <w:r w:rsidR="00F77861" w:rsidRPr="00244551">
          <w:rPr>
            <w:rStyle w:val="Hyperlink"/>
            <w:szCs w:val="24"/>
          </w:rPr>
          <w:instrText xml:space="preserve"> ADDIN EN.CITE.DATA </w:instrText>
        </w:r>
        <w:r w:rsidR="00F77861" w:rsidRPr="005A0CE9">
          <w:rPr>
            <w:rStyle w:val="Hyperlink"/>
            <w:szCs w:val="24"/>
          </w:rPr>
        </w:r>
        <w:r w:rsidR="00F77861" w:rsidRPr="005A0CE9">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52</w:t>
        </w:r>
        <w:r w:rsidR="00F77861" w:rsidRPr="00244551">
          <w:rPr>
            <w:rStyle w:val="Hyperlink"/>
            <w:szCs w:val="24"/>
          </w:rPr>
          <w:fldChar w:fldCharType="end"/>
        </w:r>
      </w:hyperlink>
      <w:r w:rsidR="00972414" w:rsidRPr="007A3223">
        <w:rPr>
          <w:szCs w:val="24"/>
        </w:rPr>
        <w:t xml:space="preserve">. </w:t>
      </w:r>
      <w:r w:rsidR="004C517A" w:rsidRPr="00F33908">
        <w:rPr>
          <w:szCs w:val="24"/>
        </w:rPr>
        <w:t>C</w:t>
      </w:r>
      <w:r w:rsidR="001374E9" w:rsidRPr="007A3223">
        <w:rPr>
          <w:szCs w:val="24"/>
        </w:rPr>
        <w:t>andidate tumor neoantigens</w:t>
      </w:r>
      <w:r w:rsidR="00972414" w:rsidRPr="007A3223">
        <w:rPr>
          <w:szCs w:val="24"/>
        </w:rPr>
        <w:t xml:space="preserve"> were identified</w:t>
      </w:r>
      <w:r w:rsidR="00C107F2" w:rsidRPr="007A3223">
        <w:rPr>
          <w:szCs w:val="24"/>
        </w:rPr>
        <w:t>, using genome</w:t>
      </w:r>
      <w:r w:rsidR="002369B6" w:rsidRPr="007A3223">
        <w:rPr>
          <w:szCs w:val="24"/>
        </w:rPr>
        <w:t>-</w:t>
      </w:r>
      <w:r w:rsidR="00C107F2" w:rsidRPr="007A3223">
        <w:rPr>
          <w:szCs w:val="24"/>
        </w:rPr>
        <w:t xml:space="preserve">wide somatic neoepitope </w:t>
      </w:r>
      <w:r w:rsidR="00D84443" w:rsidRPr="007A3223">
        <w:rPr>
          <w:szCs w:val="24"/>
        </w:rPr>
        <w:t>analysis and patient-specific HL</w:t>
      </w:r>
      <w:r w:rsidR="00C107F2" w:rsidRPr="007A3223">
        <w:rPr>
          <w:szCs w:val="24"/>
        </w:rPr>
        <w:t>A typing</w:t>
      </w:r>
      <w:r w:rsidR="002A6596" w:rsidRPr="007A3223">
        <w:rPr>
          <w:szCs w:val="24"/>
        </w:rPr>
        <w:t>; a</w:t>
      </w:r>
      <w:r w:rsidR="00C107F2" w:rsidRPr="007A3223">
        <w:rPr>
          <w:szCs w:val="24"/>
        </w:rPr>
        <w:t xml:space="preserve"> neoantigen was specifically </w:t>
      </w:r>
      <w:r w:rsidR="00AC2013" w:rsidRPr="007A3223">
        <w:rPr>
          <w:szCs w:val="24"/>
        </w:rPr>
        <w:t xml:space="preserve">identified </w:t>
      </w:r>
      <w:r w:rsidR="00C107F2" w:rsidRPr="007A3223">
        <w:rPr>
          <w:szCs w:val="24"/>
        </w:rPr>
        <w:t xml:space="preserve">in tumors with a strong response to CTLA-4 </w:t>
      </w:r>
      <w:r w:rsidR="00D84443" w:rsidRPr="007A3223">
        <w:rPr>
          <w:szCs w:val="24"/>
        </w:rPr>
        <w:t>blockade</w:t>
      </w:r>
      <w:hyperlink w:anchor="_ENREF_52" w:tooltip="Snyder, 2014 #52" w:history="1">
        <w:r w:rsidR="00F77861" w:rsidRPr="00244551">
          <w:rPr>
            <w:rStyle w:val="Hyperlink"/>
            <w:szCs w:val="24"/>
          </w:rPr>
          <w:fldChar w:fldCharType="begin">
            <w:fldData xml:space="preserve">PEVuZE5vdGU+PENpdGU+PEF1dGhvcj5TbnlkZXI8L0F1dGhvcj48WWVhcj4yMDE0PC9ZZWFyPjxS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</w:fldData>
          </w:fldChar>
        </w:r>
        <w:r w:rsidR="00F77861" w:rsidRPr="00244551">
          <w:rPr>
            <w:rStyle w:val="Hyperlink"/>
            <w:szCs w:val="24"/>
          </w:rPr>
          <w:instrText xml:space="preserve"> ADDIN EN.CITE </w:instrText>
        </w:r>
        <w:r w:rsidR="00F77861" w:rsidRPr="005A0CE9">
          <w:rPr>
            <w:rStyle w:val="Hyperlink"/>
            <w:szCs w:val="24"/>
          </w:rPr>
          <w:fldChar w:fldCharType="begin">
            <w:fldData xml:space="preserve">PEVuZE5vdGU+PENpdGU+PEF1dGhvcj5TbnlkZXI8L0F1dGhvcj48WWVhcj4yMDE0PC9ZZWFyPjxS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</w:fldData>
          </w:fldChar>
        </w:r>
        <w:r w:rsidR="00F77861" w:rsidRPr="00244551">
          <w:rPr>
            <w:rStyle w:val="Hyperlink"/>
            <w:szCs w:val="24"/>
          </w:rPr>
          <w:instrText xml:space="preserve"> ADDIN EN.CITE.DATA </w:instrText>
        </w:r>
        <w:r w:rsidR="00F77861" w:rsidRPr="005A0CE9">
          <w:rPr>
            <w:rStyle w:val="Hyperlink"/>
            <w:szCs w:val="24"/>
          </w:rPr>
        </w:r>
        <w:r w:rsidR="00F77861" w:rsidRPr="005A0CE9">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52</w:t>
        </w:r>
        <w:r w:rsidR="00F77861" w:rsidRPr="00244551">
          <w:rPr>
            <w:rStyle w:val="Hyperlink"/>
            <w:szCs w:val="24"/>
          </w:rPr>
          <w:fldChar w:fldCharType="end"/>
        </w:r>
      </w:hyperlink>
      <w:r w:rsidR="00C107F2" w:rsidRPr="007A3223">
        <w:rPr>
          <w:szCs w:val="24"/>
        </w:rPr>
        <w:t xml:space="preserve">. </w:t>
      </w:r>
      <w:r w:rsidR="0085739F" w:rsidRPr="00F33908">
        <w:rPr>
          <w:rFonts w:eastAsia="Times New Roman"/>
          <w:szCs w:val="24"/>
        </w:rPr>
        <w:t>PARP</w:t>
      </w:r>
      <w:r w:rsidRPr="007A3223">
        <w:rPr>
          <w:rFonts w:eastAsia="Times New Roman"/>
          <w:szCs w:val="24"/>
        </w:rPr>
        <w:t>-1 mediates DNA damage repair mechanisms by supporting repair of single stranded DNA breaks through the base excision repair pathway</w:t>
      </w:r>
      <w:hyperlink w:anchor="_ENREF_28" w:tooltip="Lee, 2014 #45" w:history="1">
        <w:r w:rsidRPr="00F33908">
          <w:rPr>
            <w:szCs w:val="24"/>
            <w:vertAlign w:val="superscript"/>
          </w:rPr>
          <w:t>28</w:t>
        </w:r>
      </w:hyperlink>
      <w:r w:rsidRPr="007A3223">
        <w:rPr>
          <w:szCs w:val="24"/>
          <w:vertAlign w:val="superscript"/>
        </w:rPr>
        <w:t>,</w:t>
      </w:r>
      <w:hyperlink w:anchor="_ENREF_29" w:tooltip="O'Sullivan, 2014 #5" w:history="1">
        <w:r w:rsidRPr="00F33908">
          <w:rPr>
            <w:szCs w:val="24"/>
            <w:vertAlign w:val="superscript"/>
          </w:rPr>
          <w:t>29</w:t>
        </w:r>
      </w:hyperlink>
      <w:r w:rsidRPr="007A3223">
        <w:rPr>
          <w:rFonts w:eastAsia="Times New Roman"/>
          <w:szCs w:val="24"/>
        </w:rPr>
        <w:t xml:space="preserve">. </w:t>
      </w:r>
      <w:r w:rsidR="009A3BE4" w:rsidRPr="00F33908">
        <w:rPr>
          <w:rFonts w:eastAsia="Times New Roman"/>
          <w:szCs w:val="24"/>
        </w:rPr>
        <w:t>Increased DNA damage by PARPi would thus be expected to further the antigenic microenvironment</w:t>
      </w:r>
      <w:hyperlink w:anchor="_ENREF_53" w:tooltip="Gajewski, 2013 #53" w:history="1">
        <w:r w:rsidR="00F77861" w:rsidRPr="00244551">
          <w:rPr>
            <w:rStyle w:val="Hyperlink"/>
            <w:rFonts w:eastAsia="Times New Roman"/>
            <w:szCs w:val="24"/>
          </w:rPr>
          <w:fldChar w:fldCharType="begin"/>
        </w:r>
        <w:r w:rsidR="00F77861" w:rsidRPr="00244551">
          <w:rPr>
            <w:rStyle w:val="Hyperlink"/>
            <w:rFonts w:eastAsia="Times New Roman"/>
            <w:szCs w:val="24"/>
          </w:rPr>
          <w:instrText xml:space="preserve"> ADDIN EN.CITE &lt;EndNote&gt;&lt;Cite&gt;&lt;Author&gt;Gajewski&lt;/Author&gt;&lt;Year&gt;2013&lt;/Year&gt;&lt;RecNum&gt;53&lt;/RecNum&gt;&lt;DisplayText&gt;&lt;style face="superscript"&gt;53&lt;/style&gt;&lt;/DisplayText&gt;&lt;record&gt;&lt;rec-number&gt;53&lt;/rec-number&gt;&lt;foreign-keys&gt;&lt;key app="EN" db-id="fd5pzdff0z5dt7er5swxsd2m2te2fd9saae5" timestamp="1426604758"&gt;53&lt;/key&gt;&lt;/foreign-keys&gt;&lt;ref-type name="Journal Article"&gt;17&lt;/ref-type&gt;&lt;contributors&gt;&lt;authors&gt;&lt;author&gt;Gajewski, T. F.&lt;/author&gt;&lt;author&gt;Schreiber, H.&lt;/author&gt;&lt;author&gt;Fu, Y. X.&lt;/author&gt;&lt;/authors&gt;&lt;/contributors&gt;&lt;auth-address&gt;University of Chicago, Chicago, Illinois, USA.&lt;/auth-address&gt;&lt;titles&gt;&lt;title&gt;Innate and adaptive immune cells in the tumor microenvironment&lt;/title&gt;&lt;secondary-title&gt;Nat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immunology&lt;/abbr-1&gt;&lt;/alt-periodical&gt;&lt;pages&gt;1014-22&lt;/pages&gt;&lt;volume&gt;14&lt;/volume&gt;&lt;number&gt;10&lt;/number&gt;&lt;edition&gt;2013/09/21&lt;/edition&gt;&lt;keywords&gt;&lt;keyword&gt;*Adaptive Immunity&lt;/keyword&gt;&lt;keyword&gt;Animals&lt;/keyword&gt;&lt;keyword&gt;Dendritic Cells/immunology/metabolism&lt;/keyword&gt;&lt;keyword&gt;Humans&lt;/keyword&gt;&lt;keyword&gt;*Immunity, Innate&lt;/keyword&gt;&lt;keyword&gt;Lymphocyte Activation&lt;/keyword&gt;&lt;keyword&gt;Neoplasms/*immunology/therapy&lt;/keyword&gt;&lt;keyword&gt;Stromal Cells/immunology/metabolism&lt;/keyword&gt;&lt;keyword&gt;T-Lymphocyte Subsets/immunology/metabolism&lt;/keyword&gt;&lt;keyword&gt;Tumor Microenvironment/*immunology&lt;/keyword&gt;&lt;/keywords&gt;&lt;dates&gt;&lt;year&gt;2013&lt;/year&gt;&lt;pub-dates&gt;&lt;date&gt;Oct&lt;/date&gt;&lt;/pub-dates&gt;&lt;/dates&gt;&lt;isbn&gt;1529-2916 (Electronic)&amp;#xD;1529-2908 (Linking)&lt;/isbn&gt;&lt;accession-num&gt;24048123&lt;/accession-num&gt;&lt;work-type&gt;Review&lt;/work-type&gt;&lt;urls&gt;&lt;related-urls&gt;&lt;url&gt;http://www.ncbi.nlm.nih.gov/pubmed/24048123&lt;/url&gt;&lt;/related-urls&gt;&lt;/urls&gt;&lt;custom2&gt;4118725&lt;/custom2&gt;&lt;electronic-resource-num&gt;10.1038/ni.2703&lt;/electronic-resource-num&gt;&lt;language&gt;eng&lt;/language&gt;&lt;/record&gt;&lt;/Cite&gt;&lt;/EndNote&gt;</w:instrText>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53</w:t>
        </w:r>
        <w:r w:rsidR="00F77861" w:rsidRPr="00244551">
          <w:rPr>
            <w:rStyle w:val="Hyperlink"/>
            <w:rFonts w:eastAsia="Times New Roman"/>
            <w:szCs w:val="24"/>
          </w:rPr>
          <w:fldChar w:fldCharType="end"/>
        </w:r>
      </w:hyperlink>
      <w:r w:rsidRPr="007A3223">
        <w:rPr>
          <w:rFonts w:eastAsia="Times New Roman"/>
          <w:szCs w:val="24"/>
        </w:rPr>
        <w:t xml:space="preserve">. </w:t>
      </w:r>
    </w:p>
    <w:p w14:paraId="7CDDA285" w14:textId="00DC2286" w:rsidR="0085739F" w:rsidRPr="007A3223" w:rsidRDefault="008A659C" w:rsidP="002369B6">
      <w:pPr>
        <w:spacing w:after="0"/>
        <w:ind w:firstLine="270"/>
        <w:rPr>
          <w:szCs w:val="24"/>
        </w:rPr>
      </w:pPr>
      <w:r w:rsidRPr="007A3223">
        <w:rPr>
          <w:rFonts w:eastAsia="Times New Roman"/>
          <w:szCs w:val="24"/>
        </w:rPr>
        <w:t>PARPi are a recognized active drug class for r</w:t>
      </w:r>
      <w:r w:rsidR="0085739F" w:rsidRPr="007A3223">
        <w:rPr>
          <w:rFonts w:eastAsia="Times New Roman"/>
          <w:szCs w:val="24"/>
        </w:rPr>
        <w:t xml:space="preserve">ecurrent ovarian cancer </w:t>
      </w:r>
      <w:r w:rsidRPr="007A3223">
        <w:rPr>
          <w:rFonts w:eastAsia="Times New Roman"/>
          <w:szCs w:val="24"/>
        </w:rPr>
        <w:t xml:space="preserve">with </w:t>
      </w:r>
      <w:r w:rsidRPr="007A3223">
        <w:rPr>
          <w:szCs w:val="24"/>
        </w:rPr>
        <w:t xml:space="preserve">activity in </w:t>
      </w:r>
      <w:r w:rsidR="002369B6" w:rsidRPr="007A3223">
        <w:rPr>
          <w:szCs w:val="24"/>
        </w:rPr>
        <w:t>g</w:t>
      </w:r>
      <w:r w:rsidR="003644F3" w:rsidRPr="007A3223">
        <w:rPr>
          <w:szCs w:val="24"/>
        </w:rPr>
        <w:t xml:space="preserve">ermline </w:t>
      </w:r>
      <w:r w:rsidR="002369B6" w:rsidRPr="007A3223">
        <w:rPr>
          <w:szCs w:val="24"/>
        </w:rPr>
        <w:t>BRCA</w:t>
      </w:r>
      <w:r w:rsidR="003644F3" w:rsidRPr="007A3223">
        <w:rPr>
          <w:szCs w:val="24"/>
        </w:rPr>
        <w:t xml:space="preserve"> mutation (gBRCA</w:t>
      </w:r>
      <w:r w:rsidR="002369B6" w:rsidRPr="007A3223">
        <w:rPr>
          <w:szCs w:val="24"/>
        </w:rPr>
        <w:t>m</w:t>
      </w:r>
      <w:r w:rsidR="00E15F54" w:rsidRPr="007A3223">
        <w:rPr>
          <w:szCs w:val="24"/>
        </w:rPr>
        <w:t>)</w:t>
      </w:r>
      <w:r w:rsidRPr="007A3223">
        <w:rPr>
          <w:szCs w:val="24"/>
        </w:rPr>
        <w:t xml:space="preserve"> -associated and sporadic high-g</w:t>
      </w:r>
      <w:r w:rsidR="0085739F" w:rsidRPr="007A3223">
        <w:rPr>
          <w:szCs w:val="24"/>
        </w:rPr>
        <w:t>rade serous ovarian cancers</w:t>
      </w:r>
      <w:r w:rsidR="002457B0" w:rsidRPr="00585A7F">
        <w:rPr>
          <w:szCs w:val="24"/>
        </w:rPr>
        <w:fldChar w:fldCharType="begin">
          <w:fldData xml:space="preserve">PEVuZE5vdGU+PENpdGU+PEF1dGhvcj5PJmFwb3M7U3VsbGl2YW48L0F1dGhvcj48WWVhcj4yMDE0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</w:fldData>
        </w:fldChar>
      </w:r>
      <w:r w:rsidR="00A756D5" w:rsidRPr="007A3223">
        <w:rPr>
          <w:szCs w:val="24"/>
        </w:rPr>
        <w:instrText xml:space="preserve"> ADDIN EN.CITE </w:instrText>
      </w:r>
      <w:r w:rsidR="00A756D5" w:rsidRPr="005A0CE9">
        <w:rPr>
          <w:szCs w:val="24"/>
        </w:rPr>
        <w:fldChar w:fldCharType="begin">
          <w:fldData xml:space="preserve">PEVuZE5vdGU+PENpdGU+PEF1dGhvcj5PJmFwb3M7U3VsbGl2YW48L0F1dGhvcj48WWVhcj4yMDE0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</w:fldData>
        </w:fldChar>
      </w:r>
      <w:r w:rsidR="00A756D5" w:rsidRPr="007A3223">
        <w:rPr>
          <w:szCs w:val="24"/>
        </w:rPr>
        <w:instrText xml:space="preserve"> ADDIN EN.CITE.DATA </w:instrText>
      </w:r>
      <w:r w:rsidR="00A756D5" w:rsidRPr="005A0CE9">
        <w:rPr>
          <w:szCs w:val="24"/>
        </w:rPr>
      </w:r>
      <w:r w:rsidR="00A756D5" w:rsidRPr="005A0CE9">
        <w:rPr>
          <w:szCs w:val="24"/>
        </w:rPr>
        <w:fldChar w:fldCharType="end"/>
      </w:r>
      <w:r w:rsidR="002457B0" w:rsidRPr="00585A7F">
        <w:rPr>
          <w:szCs w:val="24"/>
        </w:rPr>
      </w:r>
      <w:r w:rsidR="002457B0" w:rsidRPr="00585A7F">
        <w:rPr>
          <w:szCs w:val="24"/>
        </w:rPr>
        <w:fldChar w:fldCharType="separate"/>
      </w:r>
      <w:hyperlink w:anchor="_ENREF_54" w:tooltip="O'Sullivan, 2014 #54" w:history="1">
        <w:r w:rsidR="00F77861" w:rsidRPr="00244551">
          <w:rPr>
            <w:rStyle w:val="Hyperlink"/>
            <w:noProof/>
            <w:szCs w:val="24"/>
            <w:vertAlign w:val="superscript"/>
          </w:rPr>
          <w:t>54</w:t>
        </w:r>
      </w:hyperlink>
      <w:r w:rsidR="00DD2541" w:rsidRPr="00F33908">
        <w:rPr>
          <w:noProof/>
          <w:szCs w:val="24"/>
          <w:vertAlign w:val="superscript"/>
        </w:rPr>
        <w:t>,</w:t>
      </w:r>
      <w:hyperlink w:anchor="_ENREF_55" w:tooltip="LEE JM, 2014 #55" w:history="1">
        <w:r w:rsidR="00F77861" w:rsidRPr="00244551">
          <w:rPr>
            <w:rStyle w:val="Hyperlink"/>
            <w:noProof/>
            <w:szCs w:val="24"/>
            <w:vertAlign w:val="superscript"/>
          </w:rPr>
          <w:t>55</w:t>
        </w:r>
      </w:hyperlink>
      <w:r w:rsidR="002457B0" w:rsidRPr="00585A7F">
        <w:rPr>
          <w:szCs w:val="24"/>
        </w:rPr>
        <w:fldChar w:fldCharType="end"/>
      </w:r>
      <w:r w:rsidRPr="007A3223">
        <w:rPr>
          <w:szCs w:val="24"/>
        </w:rPr>
        <w:t xml:space="preserve">. </w:t>
      </w:r>
      <w:r w:rsidR="0085739F" w:rsidRPr="00F33908">
        <w:rPr>
          <w:rFonts w:eastAsia="Times New Roman"/>
          <w:szCs w:val="24"/>
        </w:rPr>
        <w:t>Women with gBRCAm-associated ovarian cancer have marked tumor genomic instability, a feature that can increase antigen quantity and expo</w:t>
      </w:r>
      <w:r w:rsidR="0085739F" w:rsidRPr="007A3223">
        <w:rPr>
          <w:rFonts w:eastAsia="Times New Roman"/>
          <w:szCs w:val="24"/>
        </w:rPr>
        <w:t>sure leading to activation of the immune response</w:t>
      </w:r>
      <w:hyperlink w:anchor="_ENREF_56" w:tooltip="McAlpine, 2012 #56" w:history="1">
        <w:r w:rsidR="00F77861" w:rsidRPr="00244551">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 </w:instrText>
        </w:r>
        <w:r w:rsidR="00F77861" w:rsidRPr="005A0CE9">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EN.CITE.DATA </w:instrText>
        </w:r>
        <w:r w:rsidR="00F77861" w:rsidRPr="005A0CE9">
          <w:rPr>
            <w:rStyle w:val="Hyperlink"/>
            <w:rFonts w:eastAsia="Times New Roman"/>
            <w:szCs w:val="24"/>
          </w:rPr>
        </w:r>
        <w:r w:rsidR="00F77861" w:rsidRPr="005A0CE9">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56</w:t>
        </w:r>
        <w:r w:rsidR="00F77861" w:rsidRPr="00244551">
          <w:rPr>
            <w:rStyle w:val="Hyperlink"/>
            <w:rFonts w:eastAsia="Times New Roman"/>
            <w:szCs w:val="24"/>
          </w:rPr>
          <w:fldChar w:fldCharType="end"/>
        </w:r>
      </w:hyperlink>
      <w:r w:rsidR="0085739F" w:rsidRPr="007A3223">
        <w:rPr>
          <w:rFonts w:eastAsia="Times New Roman"/>
          <w:szCs w:val="24"/>
          <w:vertAlign w:val="superscript"/>
        </w:rPr>
        <w:t>,</w:t>
      </w:r>
      <w:hyperlink w:anchor="_ENREF_5" w:tooltip=", 2011 #5" w:history="1">
        <w:r w:rsidR="00F77861" w:rsidRPr="00244551">
          <w:rPr>
            <w:rStyle w:val="Hyperlink"/>
            <w:rFonts w:eastAsia="Times New Roman"/>
            <w:szCs w:val="24"/>
          </w:rPr>
          <w:fldChar w:fldCharType="begin"/>
        </w:r>
        <w:r w:rsidR="00F77861" w:rsidRPr="00244551">
          <w:rPr>
            <w:rStyle w:val="Hyperlink"/>
            <w:rFonts w:eastAsia="Times New Roman"/>
            <w:szCs w:val="24"/>
          </w:rPr>
          <w:instrText xml:space="preserve"> ADDIN EN.CITE &lt;EndNote&gt;&lt;Cite&gt;&lt;Year&gt;2011&lt;/Year&gt;&lt;RecNum&gt;5&lt;/RecNum&gt;&lt;DisplayText&gt;&lt;style face="superscript"&gt;5&lt;/style&gt;&lt;/DisplayText&gt;&lt;record&gt;&lt;rec-number&gt;5&lt;/rec-number&gt;&lt;foreign-keys&gt;&lt;key app="EN" db-id="fd5pzdff0z5dt7er5swxsd2m2te2fd9saae5" timestamp="1426604745"&gt;5&lt;/key&gt;&lt;/foreign-keys&gt;&lt;ref-type name="Journal Article"&gt;17&lt;/ref-type&gt;&lt;contributors&gt;&lt;/contributors&gt;&lt;titles&gt;&lt;title&gt;Integrated genomic analyses of ovarian 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609-15&lt;/pages&gt;&lt;volume&gt;474&lt;/volume&gt;&lt;number&gt;7353&lt;/number&gt;&lt;edition&gt;2011/07/02&lt;/edition&gt;&lt;keywords&gt;&lt;keyword&gt;Aged&lt;/keyword&gt;&lt;keyword&gt;Carcinoma/*genetics/physiopathology&lt;/keyword&gt;&lt;keyword&gt;DNA Methylation&lt;/keyword&gt;&lt;keyword&gt;Female&lt;/keyword&gt;&lt;keyword&gt;Gene Dosage&lt;/keyword&gt;&lt;keyword&gt;Gene Expression Profiling&lt;/keyword&gt;&lt;keyword&gt;Gene Expression Regulation, Neoplastic&lt;/keyword&gt;&lt;keyword&gt;*Genomics&lt;/keyword&gt;&lt;keyword&gt;Humans&lt;/keyword&gt;&lt;keyword&gt;MicroRNAs/metabolism&lt;/keyword&gt;&lt;keyword&gt;Middle Aged&lt;/keyword&gt;&lt;keyword&gt;Mutation/genetics&lt;/keyword&gt;&lt;keyword&gt;Ovarian Neoplasms/*genetics/physiopathology&lt;/keyword&gt;&lt;keyword&gt;RNA, Messenger/metabolism&lt;/keyword&gt;&lt;/keywords&gt;&lt;dates&gt;&lt;year&gt;2011&lt;/year&gt;&lt;pub-dates&gt;&lt;date&gt;Jun 30&lt;/date&gt;&lt;/pub-dates&gt;&lt;/dates&gt;&lt;isbn&gt;1476-4687 (Electronic)&amp;#xD;0028-0836 (Linking)&lt;/isbn&gt;&lt;accession-num&gt;21720365&lt;/accession-num&gt;&lt;work-type&gt;Research Support, N.I.H., Extramural&lt;/work-type&gt;&lt;urls&gt;&lt;related-urls&gt;&lt;url&gt;http://www.ncbi.nlm.nih.gov/pubmed/21720365&lt;/url&gt;&lt;/related-urls&gt;&lt;/urls&gt;&lt;custom2&gt;3163504&lt;/custom2&gt;&lt;electronic-resource-num&gt;10.1038/nature10166&lt;/electronic-resource-num&gt;&lt;language&gt;eng&lt;/language&gt;&lt;/record&gt;&lt;/Cite&gt;&lt;/EndNote&gt;</w:instrText>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5</w:t>
        </w:r>
        <w:r w:rsidR="00F77861" w:rsidRPr="00244551">
          <w:rPr>
            <w:rStyle w:val="Hyperlink"/>
            <w:rFonts w:eastAsia="Times New Roman"/>
            <w:szCs w:val="24"/>
          </w:rPr>
          <w:fldChar w:fldCharType="end"/>
        </w:r>
      </w:hyperlink>
      <w:r w:rsidR="0085739F" w:rsidRPr="007A3223">
        <w:rPr>
          <w:rFonts w:eastAsia="Times New Roman"/>
          <w:szCs w:val="24"/>
        </w:rPr>
        <w:t>. It is plausible to speculate that increased DNA damage by PARPi ma</w:t>
      </w:r>
      <w:r w:rsidR="0085739F" w:rsidRPr="00F33908">
        <w:rPr>
          <w:rFonts w:eastAsia="Times New Roman"/>
          <w:szCs w:val="24"/>
        </w:rPr>
        <w:t xml:space="preserve">y contribute to further genomic instability, activation of immune response, </w:t>
      </w:r>
      <w:r w:rsidR="0085739F" w:rsidRPr="007A3223">
        <w:rPr>
          <w:rFonts w:eastAsia="Times New Roman"/>
          <w:szCs w:val="24"/>
        </w:rPr>
        <w:t xml:space="preserve">and thus the favorable clinical outcome in this population. </w:t>
      </w:r>
    </w:p>
    <w:p w14:paraId="5DB0BC87" w14:textId="315BFBD1" w:rsidR="006F7A98" w:rsidRPr="007A3223" w:rsidRDefault="005639D3" w:rsidP="006F7A98">
      <w:pPr>
        <w:spacing w:after="0"/>
        <w:ind w:firstLine="270"/>
        <w:rPr>
          <w:rFonts w:eastAsia="Times New Roman"/>
          <w:szCs w:val="24"/>
        </w:rPr>
      </w:pPr>
      <w:r w:rsidRPr="007A3223">
        <w:rPr>
          <w:rFonts w:eastAsia="Times New Roman"/>
          <w:szCs w:val="24"/>
        </w:rPr>
        <w:t>Olaparib (Lynparza</w:t>
      </w:r>
      <w:r w:rsidRPr="007A3223">
        <w:rPr>
          <w:rFonts w:eastAsia="Times New Roman"/>
          <w:szCs w:val="24"/>
          <w:vertAlign w:val="superscript"/>
        </w:rPr>
        <w:t>TM</w:t>
      </w:r>
      <w:r w:rsidRPr="007A3223">
        <w:rPr>
          <w:rFonts w:eastAsia="Times New Roman"/>
          <w:szCs w:val="24"/>
        </w:rPr>
        <w:t>), a recently FDA approved PARPi for gBRCAm-related advanced ovarian cancer</w:t>
      </w:r>
      <w:r w:rsidR="006F7A98" w:rsidRPr="007A3223">
        <w:rPr>
          <w:rFonts w:eastAsia="Times New Roman"/>
          <w:szCs w:val="24"/>
        </w:rPr>
        <w:t xml:space="preserve">, </w:t>
      </w:r>
      <w:r w:rsidR="006F7A98" w:rsidRPr="007A3223">
        <w:rPr>
          <w:szCs w:val="24"/>
        </w:rPr>
        <w:t>is well tolerated at doses of 400 mg twice daily in capsule formulation</w:t>
      </w:r>
      <w:r w:rsidR="002457B0" w:rsidRPr="00585A7F">
        <w:rPr>
          <w:szCs w:val="24"/>
        </w:rPr>
        <w:fldChar w:fldCharType="begin">
          <w:fldData xml:space="preserve">PEVuZE5vdGU+PENpdGU+PEF1dGhvcj5MZWU8L0F1dGhvcj48WWVhcj4yMDE0PC9ZZWFyPjxSZWNO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Y2FsPjxwYWdlcz40MjwvcGFnZXM+PHZvbHVtZT40PC92b2x1bWU+PGVkaXRpb24+MjAxNC8wMy8x
MzwvZWRpdGlvbj48ZGF0ZXM+PHllYXI+MjAxNDwveWVhcj48L2RhdGVzPjxpc2JuPjIyMzQtOTQz
WCAoRWxlY3Ryb25pYykmI3hEOzIyMzQtOTQzWCAoTGlua2luZyk8L2lzYm4+PGFjY2Vzc2lvbi1u
dW0+MjQ2MTY4ODI8L2FjY2Vzc2lvbi1udW0+PHdvcmstdHlwZT5SZXZpZXc8L3dvcmstdHlwZT48
dXJscz48cmVsYXRlZC11cmxzPjx1cmw+aHR0cDovL3d3dy5uY2JpLm5sbS5uaWguZ292L3B1Ym1l
ZC8yNDYxNjg4MjwvdXJsPjwvcmVsYXRlZC11cmxzPjwvdXJscz48Y3VzdG9tMj4zOTM3ODE1PC9j
dXN0b20yPjxlbGVjdHJvbmljLXJlc291cmNlLW51bT4xMC4zMzg5L2ZvbmMuMjAxNC4wMDA0Mjwv
ZWxlY3Ryb25pYy1yZXNvdXJjZS1udW0+PGxhbmd1YWdlPmVuZzwvbGFuZ3VhZ2U+PC9yZWNvcmQ+
PC9DaXRlPjwvRW5kTm90ZT4A
</w:fldData>
        </w:fldChar>
      </w:r>
      <w:r w:rsidR="00A756D5" w:rsidRPr="007A3223">
        <w:rPr>
          <w:szCs w:val="24"/>
        </w:rPr>
        <w:instrText xml:space="preserve"> ADDIN EN.CITE </w:instrText>
      </w:r>
      <w:r w:rsidR="00A756D5" w:rsidRPr="005A0CE9">
        <w:rPr>
          <w:szCs w:val="24"/>
        </w:rPr>
        <w:fldChar w:fldCharType="begin">
          <w:fldData xml:space="preserve">PEVuZE5vdGU+PENpdGU+PEF1dGhvcj5MZWU8L0F1dGhvcj48WWVhcj4yMDE0PC9ZZWFyPjxSZWNO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Y2FsPjxwYWdlcz40MjwvcGFnZXM+PHZvbHVtZT40PC92b2x1bWU+PGVkaXRpb24+MjAxNC8wMy8x
MzwvZWRpdGlvbj48ZGF0ZXM+PHllYXI+MjAxNDwveWVhcj48L2RhdGVzPjxpc2JuPjIyMzQtOTQz
WCAoRWxlY3Ryb25pYykmI3hEOzIyMzQtOTQzWCAoTGlua2luZyk8L2lzYm4+PGFjY2Vzc2lvbi1u
dW0+MjQ2MTY4ODI8L2FjY2Vzc2lvbi1udW0+PHdvcmstdHlwZT5SZXZpZXc8L3dvcmstdHlwZT48
dXJscz48cmVsYXRlZC11cmxzPjx1cmw+aHR0cDovL3d3dy5uY2JpLm5sbS5uaWguZ292L3B1Ym1l
ZC8yNDYxNjg4MjwvdXJsPjwvcmVsYXRlZC11cmxzPjwvdXJscz48Y3VzdG9tMj4zOTM3ODE1PC9j
dXN0b20yPjxlbGVjdHJvbmljLXJlc291cmNlLW51bT4xMC4zMzg5L2ZvbmMuMjAxNC4wMDA0Mjwv
ZWxlY3Ryb25pYy1yZXNvdXJjZS1udW0+PGxhbmd1YWdlPmVuZzwvbGFuZ3VhZ2U+PC9yZWNvcmQ+
PC9DaXRlPjwvRW5kTm90ZT4A
</w:fldData>
        </w:fldChar>
      </w:r>
      <w:r w:rsidR="00A756D5" w:rsidRPr="007A3223">
        <w:rPr>
          <w:szCs w:val="24"/>
        </w:rPr>
        <w:instrText xml:space="preserve"> ADDIN EN.CITE.DATA </w:instrText>
      </w:r>
      <w:r w:rsidR="00A756D5" w:rsidRPr="005A0CE9">
        <w:rPr>
          <w:szCs w:val="24"/>
        </w:rPr>
      </w:r>
      <w:r w:rsidR="00A756D5" w:rsidRPr="005A0CE9">
        <w:rPr>
          <w:szCs w:val="24"/>
        </w:rPr>
        <w:fldChar w:fldCharType="end"/>
      </w:r>
      <w:r w:rsidR="002457B0" w:rsidRPr="00585A7F">
        <w:rPr>
          <w:szCs w:val="24"/>
        </w:rPr>
      </w:r>
      <w:r w:rsidR="002457B0" w:rsidRPr="00585A7F">
        <w:rPr>
          <w:szCs w:val="24"/>
        </w:rPr>
        <w:fldChar w:fldCharType="separate"/>
      </w:r>
      <w:hyperlink w:anchor="_ENREF_54" w:tooltip="O'Sullivan, 2014 #54" w:history="1">
        <w:r w:rsidR="00F77861" w:rsidRPr="00244551">
          <w:rPr>
            <w:rStyle w:val="Hyperlink"/>
            <w:noProof/>
            <w:szCs w:val="24"/>
            <w:vertAlign w:val="superscript"/>
          </w:rPr>
          <w:t>54</w:t>
        </w:r>
      </w:hyperlink>
      <w:r w:rsidR="00DD2541" w:rsidRPr="00F33908">
        <w:rPr>
          <w:noProof/>
          <w:szCs w:val="24"/>
          <w:vertAlign w:val="superscript"/>
        </w:rPr>
        <w:t>,</w:t>
      </w:r>
      <w:hyperlink w:anchor="_ENREF_57" w:tooltip="Lee JM, 2014 #68" w:history="1">
        <w:r w:rsidR="00F77861" w:rsidRPr="00244551">
          <w:rPr>
            <w:rStyle w:val="Hyperlink"/>
            <w:noProof/>
            <w:szCs w:val="24"/>
            <w:vertAlign w:val="superscript"/>
          </w:rPr>
          <w:t>57</w:t>
        </w:r>
      </w:hyperlink>
      <w:r w:rsidR="002457B0" w:rsidRPr="00585A7F">
        <w:rPr>
          <w:szCs w:val="24"/>
        </w:rPr>
        <w:fldChar w:fldCharType="end"/>
      </w:r>
      <w:r w:rsidR="006F7A98" w:rsidRPr="007A3223">
        <w:rPr>
          <w:rFonts w:eastAsia="Times New Roman"/>
          <w:szCs w:val="24"/>
        </w:rPr>
        <w:t xml:space="preserve">. </w:t>
      </w:r>
      <w:r w:rsidR="006F7A98" w:rsidRPr="00F33908">
        <w:rPr>
          <w:szCs w:val="24"/>
        </w:rPr>
        <w:t>Class-based AEs include bone marrow toxicity, fatigu</w:t>
      </w:r>
      <w:r w:rsidR="006F7A98" w:rsidRPr="007A3223">
        <w:rPr>
          <w:szCs w:val="24"/>
        </w:rPr>
        <w:t>e, headache, and nausea in 25-40% of patients, predominantly grade 1 or 2. Olaparib monotherapy demonstrated clinical activity in both women with gBRCAm-related and BRCA wild type (BRCAwt)-ovarian cancers, with reported RRs of ~40</w:t>
      </w:r>
      <w:r w:rsidR="00CF6850" w:rsidRPr="007A3223">
        <w:rPr>
          <w:szCs w:val="24"/>
        </w:rPr>
        <w:t xml:space="preserve"> </w:t>
      </w:r>
      <w:r w:rsidR="006F7A98" w:rsidRPr="007A3223">
        <w:rPr>
          <w:szCs w:val="24"/>
        </w:rPr>
        <w:t>% in gBRCAm and 24</w:t>
      </w:r>
      <w:r w:rsidR="00CF6850" w:rsidRPr="007A3223">
        <w:rPr>
          <w:szCs w:val="24"/>
        </w:rPr>
        <w:t xml:space="preserve"> </w:t>
      </w:r>
      <w:r w:rsidR="006F7A98" w:rsidRPr="007A3223">
        <w:rPr>
          <w:szCs w:val="24"/>
        </w:rPr>
        <w:t>% of BRCAwt patients</w:t>
      </w:r>
      <w:hyperlink w:anchor="_ENREF_58" w:tooltip="Jonathan A. Ledermann, 2013 #58" w:history="1">
        <w:r w:rsidR="00F77861" w:rsidRPr="00244551">
          <w:rPr>
            <w:rStyle w:val="Hyperlink"/>
            <w:szCs w:val="24"/>
          </w:rPr>
          <w:fldChar w:fldCharType="begin"/>
        </w:r>
        <w:r w:rsidR="00F77861" w:rsidRPr="00244551">
          <w:rPr>
            <w:rStyle w:val="Hyperlink"/>
            <w:szCs w:val="24"/>
          </w:rPr>
          <w:instrText xml:space="preserve"> ADDIN EN.CITE &lt;EndNote&gt;&lt;Cite ExcludeYear="1"&gt;&lt;Author&gt;Jonathan A. Ledermann&lt;/Author&gt;&lt;Year&gt;2013&lt;/Year&gt;&lt;RecNum&gt;58&lt;/RecNum&gt;&lt;DisplayText&gt;&lt;style face="superscript"&gt;58&lt;/style&gt;&lt;/DisplayText&gt;&lt;record&gt;&lt;rec-number&gt;58&lt;/rec-number&gt;&lt;foreign-keys&gt;&lt;key app="EN" db-id="fd5pzdff0z5dt7er5swxsd2m2te2fd9saae5" timestamp="1426604760"&gt;58&lt;/key&gt;&lt;/foreign-keys&gt;&lt;ref-type name="Journal Article"&gt;17&lt;/ref-type&gt;&lt;contributors&gt;&lt;authors&gt;&lt;author&gt;Jonathan A. Ledermann, Philipp Harter, Charlie Gourley, Michael Friedlander, Ignace Vergote, Gordon J. S. Rustin, Clare L. Scott, Werner Meier, Ronnie Shapira-Frommer, Tamar Safra, Daniela Matei, Anitra Fielding, Euan Macpherson, Brian Dougherty, Juliane M. Jürgensmeier, Maria Orr, Ursula Matulonis&lt;/author&gt;&lt;/authors&gt;&lt;/contributors&gt;&lt;titles&gt;&lt;title&gt;Olaparib maintenance therapy in patients with platinum-sensitive relapsed serous ovarian cancer (SOC) and a BRCA mutation (BRCAm).&lt;/title&gt;&lt;secondary-title&gt;J Clin Oncol&lt;/secondary-title&gt;&lt;/titles&gt;&lt;periodical&gt;&lt;full-title&gt;J Clin Oncol&lt;/full-title&gt;&lt;abbr-1&gt;Journal of clinical oncology : official journal of the American Society of Clinical Oncology&lt;/abbr-1&gt;&lt;/periodical&gt;&lt;pages&gt;suppl; abstr 5505&lt;/pages&gt;&lt;volume&gt;31&lt;/volume&gt;&lt;dates&gt;&lt;year&gt;2013&lt;/year&gt;&lt;/dates&gt;&lt;urls&gt;&lt;/urls&gt;&lt;/record&gt;&lt;/Cite&gt;&lt;/EndNote&gt;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58</w:t>
        </w:r>
        <w:r w:rsidR="00F77861" w:rsidRPr="00244551">
          <w:rPr>
            <w:rStyle w:val="Hyperlink"/>
            <w:szCs w:val="24"/>
          </w:rPr>
          <w:fldChar w:fldCharType="end"/>
        </w:r>
      </w:hyperlink>
      <w:r w:rsidR="006F7A98" w:rsidRPr="007A3223">
        <w:rPr>
          <w:szCs w:val="24"/>
        </w:rPr>
        <w:t xml:space="preserve"> </w:t>
      </w:r>
      <w:hyperlink w:anchor="_ENREF_57" w:tooltip="Lee JM, 2014 #68" w:history="1">
        <w:r w:rsidR="00F77861" w:rsidRPr="00244551">
          <w:rPr>
            <w:rStyle w:val="Hyperlink"/>
            <w:szCs w:val="24"/>
          </w:rPr>
          <w:fldChar w:fldCharType="begin"/>
        </w:r>
        <w:r w:rsidR="00F77861" w:rsidRPr="00244551">
          <w:rPr>
            <w:rStyle w:val="Hyperlink"/>
            <w:szCs w:val="24"/>
          </w:rPr>
          <w:instrText xml:space="preserve"> ADDIN EN.CITE &lt;EndNote&gt;&lt;Cite&gt;&lt;Author&gt;Lee&lt;/Author&gt;&lt;Year&gt;2014&lt;/Year&gt;&lt;RecNum&gt;68&lt;/RecNum&gt;&lt;DisplayText&gt;&lt;style face="superscript"&gt;57&lt;/style&gt;&lt;/DisplayText&gt;&lt;record&gt;&lt;rec-number&gt;68&lt;/rec-number&gt;&lt;foreign-keys&gt;&lt;key app="EN" db-id="vp9rxwdd6st9r5ep2vp5a2ajxdf9f2ps9prw"&gt;68&lt;/key&gt;&lt;/foreign-keys&gt;&lt;ref-type name="Journal Article"&gt;17&lt;/ref-type&gt;&lt;contributors&gt;&lt;authors&gt;&lt;author&gt;Lee JM, Gordon N, Lee MJ, Trepel J, Yu M, Kohn EC.&lt;/author&gt;&lt;/authors&gt;&lt;/contributors&gt;&lt;titles&gt;&lt;title&gt;Development of flow cytometric predictive biomarker assay for response to PARP inhibitor (PARPi) therapy in high-grade serous ovarian cancer (HGSOC)&lt;/title&gt;&lt;secondary-title&gt;Gynecologic Oncology &lt;/secondary-title&gt;&lt;/titles&gt;&lt;periodical&gt;&lt;full-title&gt;Gynecologic Oncology&lt;/full-title&gt;&lt;/periodical&gt;&lt;volume&gt;133&lt;/volume&gt;&lt;number&gt;Supplement 1 (abst 257)&lt;/number&gt;&lt;dates&gt;&lt;year&gt;2014&lt;/year&gt;&lt;/dates&gt;&lt;urls&gt;&lt;/urls&gt;&lt;/record&gt;&lt;/Cite&gt;&lt;/EndNote&gt;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57</w:t>
        </w:r>
        <w:r w:rsidR="00F77861" w:rsidRPr="00244551">
          <w:rPr>
            <w:rStyle w:val="Hyperlink"/>
            <w:szCs w:val="24"/>
          </w:rPr>
          <w:fldChar w:fldCharType="end"/>
        </w:r>
      </w:hyperlink>
      <w:r w:rsidR="006F7A98" w:rsidRPr="007A3223">
        <w:rPr>
          <w:szCs w:val="24"/>
        </w:rPr>
        <w:t>. Data also indicate that RR and du</w:t>
      </w:r>
      <w:r w:rsidR="006F7A98" w:rsidRPr="00F33908">
        <w:rPr>
          <w:szCs w:val="24"/>
        </w:rPr>
        <w:t xml:space="preserve">ration of response to PARPi monotherapy </w:t>
      </w:r>
      <w:r w:rsidR="00524641" w:rsidRPr="007A3223">
        <w:rPr>
          <w:szCs w:val="24"/>
        </w:rPr>
        <w:t>are</w:t>
      </w:r>
      <w:r w:rsidR="006F7A98" w:rsidRPr="007A3223">
        <w:rPr>
          <w:szCs w:val="24"/>
        </w:rPr>
        <w:t xml:space="preserve"> associated with platinum sensitivity</w:t>
      </w:r>
      <w:hyperlink w:anchor="_ENREF_59" w:tooltip="Fong, 2010 #59" w:history="1">
        <w:r w:rsidR="00F77861" w:rsidRPr="00244551">
          <w:rPr>
            <w:rStyle w:val="Hyperlink"/>
            <w:szCs w:val="24"/>
          </w:rPr>
          <w:fldChar w:fldCharType="begin">
            <w:fldData xml:space="preserve">PEVuZE5vdGU+PENpdGU+PEF1dGhvcj5Gb25nPC9BdXRob3I+PFllYXI+MjAxMDwvWWVhcj48UmVj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b2RpY2FsPjxwYWdlcz4yNTEyLTk8L3BhZ2VzPjx2b2x1bWU+Mjg8L3ZvbHVtZT48bnVtYmVyPjE1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==
</w:fldData>
          </w:fldChar>
        </w:r>
        <w:r w:rsidR="00F77861" w:rsidRPr="00244551">
          <w:rPr>
            <w:rStyle w:val="Hyperlink"/>
            <w:szCs w:val="24"/>
          </w:rPr>
          <w:instrText xml:space="preserve"> ADDIN EN.CITE </w:instrText>
        </w:r>
        <w:r w:rsidR="00F77861" w:rsidRPr="005A0CE9">
          <w:rPr>
            <w:rStyle w:val="Hyperlink"/>
            <w:szCs w:val="24"/>
          </w:rPr>
          <w:fldChar w:fldCharType="begin">
            <w:fldData xml:space="preserve">PEVuZE5vdGU+PENpdGU+PEF1dGhvcj5Gb25nPC9BdXRob3I+PFllYXI+MjAxMDwvWWVhcj48UmVj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b2RpY2FsPjxwYWdlcz4yNTEyLTk8L3BhZ2VzPjx2b2x1bWU+Mjg8L3ZvbHVtZT48bnVtYmVyPjE1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==
</w:fldData>
          </w:fldChar>
        </w:r>
        <w:r w:rsidR="00F77861" w:rsidRPr="00244551">
          <w:rPr>
            <w:rStyle w:val="Hyperlink"/>
            <w:szCs w:val="24"/>
          </w:rPr>
          <w:instrText xml:space="preserve"> ADDIN EN.CITE.DATA </w:instrText>
        </w:r>
        <w:r w:rsidR="00F77861" w:rsidRPr="005A0CE9">
          <w:rPr>
            <w:rStyle w:val="Hyperlink"/>
            <w:szCs w:val="24"/>
          </w:rPr>
        </w:r>
        <w:r w:rsidR="00F77861" w:rsidRPr="005A0CE9">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59</w:t>
        </w:r>
        <w:r w:rsidR="00F77861" w:rsidRPr="00244551">
          <w:rPr>
            <w:rStyle w:val="Hyperlink"/>
            <w:szCs w:val="24"/>
          </w:rPr>
          <w:fldChar w:fldCharType="end"/>
        </w:r>
      </w:hyperlink>
      <w:r w:rsidR="006F7A98" w:rsidRPr="007A3223">
        <w:rPr>
          <w:szCs w:val="24"/>
        </w:rPr>
        <w:t xml:space="preserve"> </w:t>
      </w:r>
      <w:hyperlink w:anchor="_ENREF_60" w:tooltip="Gelmon, 2011 #60" w:history="1">
        <w:r w:rsidR="00F77861" w:rsidRPr="00244551">
          <w:rPr>
            <w:rStyle w:val="Hyperlink"/>
            <w:szCs w:val="24"/>
          </w:rPr>
          <w:fldChar w:fldCharType="begin">
            <w:fldData xml:space="preserve">PEVuZE5vdGU+PENpdGU+PEF1dGhvcj5HZWxtb248L0F1dGhvcj48WWVhcj4yMDExPC9ZZWFyPjxS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</w:fldData>
          </w:fldChar>
        </w:r>
        <w:r w:rsidR="00F77861" w:rsidRPr="00244551">
          <w:rPr>
            <w:rStyle w:val="Hyperlink"/>
            <w:szCs w:val="24"/>
          </w:rPr>
          <w:instrText xml:space="preserve"> ADDIN EN.CITE </w:instrText>
        </w:r>
        <w:r w:rsidR="00F77861" w:rsidRPr="005A0CE9">
          <w:rPr>
            <w:rStyle w:val="Hyperlink"/>
            <w:szCs w:val="24"/>
          </w:rPr>
          <w:fldChar w:fldCharType="begin">
            <w:fldData xml:space="preserve">PEVuZE5vdGU+PENpdGU+PEF1dGhvcj5HZWxtb248L0F1dGhvcj48WWVhcj4yMDExPC9ZZWFyPjxS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</w:fldData>
          </w:fldChar>
        </w:r>
        <w:r w:rsidR="00F77861" w:rsidRPr="00244551">
          <w:rPr>
            <w:rStyle w:val="Hyperlink"/>
            <w:szCs w:val="24"/>
          </w:rPr>
          <w:instrText xml:space="preserve"> ADDIN EN.CITE.DATA </w:instrText>
        </w:r>
        <w:r w:rsidR="00F77861" w:rsidRPr="005A0CE9">
          <w:rPr>
            <w:rStyle w:val="Hyperlink"/>
            <w:szCs w:val="24"/>
          </w:rPr>
        </w:r>
        <w:r w:rsidR="00F77861" w:rsidRPr="005A0CE9">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60</w:t>
        </w:r>
        <w:r w:rsidR="00F77861" w:rsidRPr="00244551">
          <w:rPr>
            <w:rStyle w:val="Hyperlink"/>
            <w:szCs w:val="24"/>
          </w:rPr>
          <w:fldChar w:fldCharType="end"/>
        </w:r>
      </w:hyperlink>
      <w:r w:rsidR="006F7A98" w:rsidRPr="007A3223">
        <w:rPr>
          <w:szCs w:val="24"/>
        </w:rPr>
        <w:t xml:space="preserve">.  Olaparib is being examined in combination with a variety of cytotoxic chemotherapies. Our investigator-initiated phase I study of olaparib and carboplatin in gBRCAm-associated recurrent ovarian cancer </w:t>
      </w:r>
      <w:r w:rsidR="004153A7" w:rsidRPr="007A3223">
        <w:rPr>
          <w:szCs w:val="24"/>
        </w:rPr>
        <w:t>(NCT01445418) yielded a RR o</w:t>
      </w:r>
      <w:r w:rsidR="004153A7" w:rsidRPr="00F33908">
        <w:rPr>
          <w:szCs w:val="24"/>
        </w:rPr>
        <w:t>f 52</w:t>
      </w:r>
      <w:r w:rsidR="00CF6850" w:rsidRPr="007A3223">
        <w:rPr>
          <w:szCs w:val="24"/>
        </w:rPr>
        <w:t xml:space="preserve"> </w:t>
      </w:r>
      <w:r w:rsidR="006F7A98" w:rsidRPr="007A3223">
        <w:rPr>
          <w:szCs w:val="24"/>
        </w:rPr>
        <w:t xml:space="preserve">% with a median </w:t>
      </w:r>
      <w:r w:rsidR="00524641" w:rsidRPr="007A3223">
        <w:rPr>
          <w:szCs w:val="24"/>
        </w:rPr>
        <w:t>PFS</w:t>
      </w:r>
      <w:r w:rsidR="006F7A98" w:rsidRPr="007A3223">
        <w:rPr>
          <w:szCs w:val="24"/>
        </w:rPr>
        <w:t xml:space="preserve"> of 12 months (6-45</w:t>
      </w:r>
      <w:r w:rsidR="006F7A98" w:rsidRPr="007A3223">
        <w:rPr>
          <w:szCs w:val="24"/>
          <w:vertAlign w:val="superscript"/>
        </w:rPr>
        <w:t>+</w:t>
      </w:r>
      <w:r w:rsidR="006F7A98" w:rsidRPr="007A3223">
        <w:rPr>
          <w:szCs w:val="24"/>
        </w:rPr>
        <w:t xml:space="preserve"> </w:t>
      </w:r>
      <w:r w:rsidR="006F7A98" w:rsidRPr="007A3223">
        <w:rPr>
          <w:szCs w:val="24"/>
        </w:rPr>
        <w:lastRenderedPageBreak/>
        <w:t>months)</w:t>
      </w:r>
      <w:hyperlink w:anchor="_ENREF_61" w:tooltip="Lee, 2014 #61" w:history="1">
        <w:r w:rsidR="00F77861" w:rsidRPr="00244551">
          <w:rPr>
            <w:rStyle w:val="Hyperlink"/>
            <w:szCs w:val="24"/>
          </w:rPr>
          <w:fldChar w:fldCharType="begin">
            <w:fldData xml:space="preserve">PEVuZE5vdGU+PENpdGU+PEF1dGhvcj5MZWU8L0F1dGhvcj48WWVhcj4yMDE0PC9ZZWFyPjxSZWNO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dXRlPC9hYmJyLTE+PC9hbHQtcGVyaW9kaWNhbD48dm9sdW1lPjEwNjwvdm9sdW1lPjxudW1iZXI+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==
</w:fldData>
          </w:fldChar>
        </w:r>
        <w:r w:rsidR="00F77861" w:rsidRPr="00244551">
          <w:rPr>
            <w:rStyle w:val="Hyperlink"/>
            <w:szCs w:val="24"/>
          </w:rPr>
          <w:instrText xml:space="preserve"> ADDIN EN.CITE </w:instrText>
        </w:r>
        <w:r w:rsidR="00F77861" w:rsidRPr="005A0CE9">
          <w:rPr>
            <w:rStyle w:val="Hyperlink"/>
            <w:szCs w:val="24"/>
          </w:rPr>
          <w:fldChar w:fldCharType="begin">
            <w:fldData xml:space="preserve">PEVuZE5vdGU+PENpdGU+PEF1dGhvcj5MZWU8L0F1dGhvcj48WWVhcj4yMDE0PC9ZZWFyPjxSZWNO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dXRlPC9hYmJyLTE+PC9hbHQtcGVyaW9kaWNhbD48dm9sdW1lPjEwNjwvdm9sdW1lPjxudW1iZXI+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==
</w:fldData>
          </w:fldChar>
        </w:r>
        <w:r w:rsidR="00F77861" w:rsidRPr="00244551">
          <w:rPr>
            <w:rStyle w:val="Hyperlink"/>
            <w:szCs w:val="24"/>
          </w:rPr>
          <w:instrText xml:space="preserve"> ADDIN EN.CITE.DATA </w:instrText>
        </w:r>
        <w:r w:rsidR="00F77861" w:rsidRPr="005A0CE9">
          <w:rPr>
            <w:rStyle w:val="Hyperlink"/>
            <w:szCs w:val="24"/>
          </w:rPr>
        </w:r>
        <w:r w:rsidR="00F77861" w:rsidRPr="005A0CE9">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61</w:t>
        </w:r>
        <w:r w:rsidR="00F77861" w:rsidRPr="00244551">
          <w:rPr>
            <w:rStyle w:val="Hyperlink"/>
            <w:szCs w:val="24"/>
          </w:rPr>
          <w:fldChar w:fldCharType="end"/>
        </w:r>
      </w:hyperlink>
      <w:r w:rsidR="006F7A98" w:rsidRPr="007A3223">
        <w:rPr>
          <w:szCs w:val="24"/>
        </w:rPr>
        <w:t xml:space="preserve">. </w:t>
      </w:r>
      <w:r w:rsidR="006F7A98" w:rsidRPr="00F33908">
        <w:rPr>
          <w:rFonts w:eastAsia="Times New Roman"/>
          <w:szCs w:val="24"/>
        </w:rPr>
        <w:t>This suggests unrecognized opportunities for ola</w:t>
      </w:r>
      <w:r w:rsidR="006F7A98" w:rsidRPr="007A3223">
        <w:rPr>
          <w:rFonts w:eastAsia="Times New Roman"/>
          <w:szCs w:val="24"/>
        </w:rPr>
        <w:t xml:space="preserve">parib combinations in women with recurrent ovarian cancer, a next step to consider upon completion of the present study. </w:t>
      </w:r>
    </w:p>
    <w:p w14:paraId="603D7CC1" w14:textId="77777777" w:rsidR="002A6596" w:rsidRPr="007A3223" w:rsidRDefault="002A6596" w:rsidP="006F7A98">
      <w:pPr>
        <w:spacing w:after="0"/>
        <w:ind w:firstLine="270"/>
        <w:rPr>
          <w:rFonts w:eastAsia="Times New Roman"/>
          <w:szCs w:val="24"/>
        </w:rPr>
      </w:pPr>
    </w:p>
    <w:p w14:paraId="31E7DFAA" w14:textId="77777777" w:rsidR="00157089" w:rsidRPr="007A3223" w:rsidRDefault="00D35C72" w:rsidP="00541C93">
      <w:pPr>
        <w:pStyle w:val="Heading4"/>
      </w:pPr>
      <w:r w:rsidRPr="007A3223">
        <w:t>The combination of o</w:t>
      </w:r>
      <w:r w:rsidR="00157089" w:rsidRPr="007A3223">
        <w:t xml:space="preserve">laparib and cediranib in </w:t>
      </w:r>
      <w:r w:rsidRPr="007A3223">
        <w:t>recurrent ovarian cancer</w:t>
      </w:r>
    </w:p>
    <w:p w14:paraId="277C57A6" w14:textId="0D5B7D0D" w:rsidR="00F55C3B" w:rsidRPr="007A3223" w:rsidRDefault="00DB31AA" w:rsidP="00AC750A">
      <w:pPr>
        <w:tabs>
          <w:tab w:val="left" w:pos="6660"/>
        </w:tabs>
        <w:spacing w:after="0"/>
        <w:rPr>
          <w:szCs w:val="24"/>
        </w:rPr>
      </w:pPr>
      <w:r w:rsidRPr="007A3223">
        <w:t xml:space="preserve">     </w:t>
      </w:r>
      <w:r w:rsidR="002369B6" w:rsidRPr="007A3223">
        <w:rPr>
          <w:szCs w:val="24"/>
        </w:rPr>
        <w:t xml:space="preserve">Recently, we reported the combination of </w:t>
      </w:r>
      <w:r w:rsidR="00C71D13" w:rsidRPr="007A3223">
        <w:rPr>
          <w:szCs w:val="24"/>
        </w:rPr>
        <w:t>olaparib</w:t>
      </w:r>
      <w:r w:rsidR="002369B6" w:rsidRPr="007A3223">
        <w:rPr>
          <w:szCs w:val="24"/>
        </w:rPr>
        <w:t xml:space="preserve"> with cediranib, was clinically superior to olaparib monotherapy in platinum-sensitive </w:t>
      </w:r>
      <w:r w:rsidR="00C71D13" w:rsidRPr="007A3223">
        <w:rPr>
          <w:szCs w:val="24"/>
        </w:rPr>
        <w:t>recurrent ovarian cancer patients</w:t>
      </w:r>
      <w:r w:rsidR="002369B6" w:rsidRPr="007A3223">
        <w:rPr>
          <w:szCs w:val="24"/>
        </w:rPr>
        <w:t xml:space="preserve"> (median PFS 17.7 vs. 9.0 mo</w:t>
      </w:r>
      <w:r w:rsidR="003361C8" w:rsidRPr="007A3223">
        <w:rPr>
          <w:szCs w:val="24"/>
        </w:rPr>
        <w:t>nth</w:t>
      </w:r>
      <w:r w:rsidR="002369B6" w:rsidRPr="007A3223">
        <w:rPr>
          <w:szCs w:val="24"/>
        </w:rPr>
        <w:t>s; HR=0.42, p=0.005</w:t>
      </w:r>
      <w:r w:rsidR="00C71D13" w:rsidRPr="007A3223">
        <w:rPr>
          <w:szCs w:val="24"/>
        </w:rPr>
        <w:t>,</w:t>
      </w:r>
      <w:r w:rsidR="001411D9" w:rsidRPr="007A3223">
        <w:rPr>
          <w:rFonts w:eastAsia="Times New Roman"/>
          <w:szCs w:val="24"/>
        </w:rPr>
        <w:t xml:space="preserve"> </w:t>
      </w:r>
      <w:r w:rsidR="00307B04" w:rsidRPr="00F33908">
        <w:fldChar w:fldCharType="begin"/>
      </w:r>
      <w:r w:rsidR="00307B04" w:rsidRPr="007A3223">
        <w:instrText xml:space="preserve"> REF _Ref405294029 \h  \* MERGEFORMAT </w:instrText>
      </w:r>
      <w:r w:rsidR="00307B04" w:rsidRPr="00F33908">
        <w:fldChar w:fldCharType="separate"/>
      </w:r>
      <w:r w:rsidR="00E47ACA" w:rsidRPr="00E47ACA">
        <w:rPr>
          <w:b/>
          <w:color w:val="0000FF"/>
        </w:rPr>
        <w:t>Figure 3</w:t>
      </w:r>
      <w:r w:rsidR="00307B04" w:rsidRPr="00F33908">
        <w:fldChar w:fldCharType="end"/>
      </w:r>
      <w:r w:rsidR="00761D3B" w:rsidRPr="007A3223">
        <w:rPr>
          <w:rFonts w:eastAsia="Times New Roman"/>
          <w:szCs w:val="24"/>
        </w:rPr>
        <w:t>)</w:t>
      </w:r>
      <w:hyperlink w:anchor="_ENREF_62" w:tooltip="Liu, 2014 #84" w:history="1">
        <w:r w:rsidR="00F77861" w:rsidRPr="00244551">
          <w:rPr>
            <w:rStyle w:val="Hyperlink"/>
            <w:rFonts w:eastAsia="Times New Roman"/>
            <w:szCs w:val="24"/>
          </w:rPr>
          <w:fldChar w:fldCharType="begin">
            <w:fldData xml:space="preserve">PEVuZE5vdGU+PENpdGU+PEF1dGhvcj5MaXU8L0F1dGhvcj48WWVhcj4yMDE0PC9ZZWFyPjxSZWNO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==
</w:fldData>
          </w:fldChar>
        </w:r>
        <w:r w:rsidR="00F77861" w:rsidRPr="00244551">
          <w:rPr>
            <w:rStyle w:val="Hyperlink"/>
            <w:rFonts w:eastAsia="Times New Roman"/>
            <w:szCs w:val="24"/>
          </w:rPr>
          <w:instrText xml:space="preserve"> ADDIN EN.CITE </w:instrText>
        </w:r>
        <w:r w:rsidR="00F77861" w:rsidRPr="008517CA">
          <w:rPr>
            <w:rStyle w:val="Hyperlink"/>
            <w:rFonts w:eastAsia="Times New Roman"/>
            <w:szCs w:val="24"/>
          </w:rPr>
          <w:fldChar w:fldCharType="begin">
            <w:fldData xml:space="preserve">PEVuZE5vdGU+PENpdGU+PEF1dGhvcj5MaXU8L0F1dGhvcj48WWVhcj4yMDE0PC9ZZWFyPjxSZWNO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==
</w:fldData>
          </w:fldChar>
        </w:r>
        <w:r w:rsidR="00F77861" w:rsidRPr="00244551">
          <w:rPr>
            <w:rStyle w:val="Hyperlink"/>
            <w:rFonts w:eastAsia="Times New Roman"/>
            <w:szCs w:val="24"/>
          </w:rPr>
          <w:instrText xml:space="preserve"> ADDIN EN.CITE.DATA </w:instrText>
        </w:r>
        <w:r w:rsidR="00F77861" w:rsidRPr="008517CA">
          <w:rPr>
            <w:rStyle w:val="Hyperlink"/>
            <w:rFonts w:eastAsia="Times New Roman"/>
            <w:szCs w:val="24"/>
          </w:rPr>
        </w:r>
        <w:r w:rsidR="00F77861" w:rsidRPr="008517CA">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62</w:t>
        </w:r>
        <w:r w:rsidR="00F77861" w:rsidRPr="00244551">
          <w:rPr>
            <w:rStyle w:val="Hyperlink"/>
            <w:rFonts w:eastAsia="Times New Roman"/>
            <w:szCs w:val="24"/>
          </w:rPr>
          <w:fldChar w:fldCharType="end"/>
        </w:r>
      </w:hyperlink>
      <w:r w:rsidR="007A6E6D" w:rsidRPr="007A3223">
        <w:rPr>
          <w:rFonts w:eastAsia="Times New Roman"/>
          <w:szCs w:val="24"/>
        </w:rPr>
        <w:t>.</w:t>
      </w:r>
      <w:r w:rsidR="007A6E6D" w:rsidRPr="00F33908">
        <w:rPr>
          <w:rFonts w:eastAsia="Times New Roman"/>
          <w:szCs w:val="24"/>
          <w:lang w:eastAsia="ko-KR"/>
        </w:rPr>
        <w:t xml:space="preserve"> </w:t>
      </w:r>
      <w:r w:rsidR="00C71D13" w:rsidRPr="007A3223">
        <w:rPr>
          <w:rFonts w:eastAsia="Times New Roman"/>
          <w:szCs w:val="24"/>
          <w:lang w:eastAsia="ko-KR"/>
        </w:rPr>
        <w:t>Further</w:t>
      </w:r>
      <w:r w:rsidR="00783690" w:rsidRPr="007A3223">
        <w:rPr>
          <w:rFonts w:eastAsia="Times New Roman"/>
          <w:szCs w:val="24"/>
          <w:lang w:eastAsia="ko-KR"/>
        </w:rPr>
        <w:t>more</w:t>
      </w:r>
      <w:r w:rsidR="00C71D13" w:rsidRPr="007A3223">
        <w:rPr>
          <w:rFonts w:eastAsia="Times New Roman"/>
          <w:szCs w:val="24"/>
          <w:lang w:eastAsia="ko-KR"/>
        </w:rPr>
        <w:t xml:space="preserve">, </w:t>
      </w:r>
      <w:r w:rsidR="00783690" w:rsidRPr="007A3223">
        <w:rPr>
          <w:rFonts w:eastAsia="Times New Roman"/>
          <w:szCs w:val="24"/>
          <w:lang w:eastAsia="ko-KR"/>
        </w:rPr>
        <w:t>t</w:t>
      </w:r>
      <w:r w:rsidR="007A6E6D" w:rsidRPr="007A3223">
        <w:rPr>
          <w:rFonts w:eastAsia="Times New Roman"/>
          <w:szCs w:val="24"/>
          <w:lang w:eastAsia="ko-KR"/>
        </w:rPr>
        <w:t>here was a marked increase in PFS from 5.7 months with olaparib alone to 1</w:t>
      </w:r>
      <w:r w:rsidR="00D472E9" w:rsidRPr="007A3223">
        <w:rPr>
          <w:rFonts w:eastAsia="Times New Roman"/>
          <w:szCs w:val="24"/>
          <w:lang w:eastAsia="ko-KR"/>
        </w:rPr>
        <w:t>7</w:t>
      </w:r>
      <w:r w:rsidR="007A6E6D" w:rsidRPr="007A3223">
        <w:rPr>
          <w:rFonts w:eastAsia="Times New Roman"/>
          <w:szCs w:val="24"/>
          <w:lang w:eastAsia="ko-KR"/>
        </w:rPr>
        <w:t xml:space="preserve">.7 months with combination therapy </w:t>
      </w:r>
      <w:r w:rsidR="007A6E6D" w:rsidRPr="007A3223">
        <w:rPr>
          <w:rFonts w:eastAsia="Times New Roman"/>
          <w:szCs w:val="24"/>
        </w:rPr>
        <w:t>in patients with BRCAwt or unknown BRCA status (p=0.00</w:t>
      </w:r>
      <w:r w:rsidR="00D472E9" w:rsidRPr="007A3223">
        <w:rPr>
          <w:rFonts w:eastAsia="Times New Roman"/>
          <w:szCs w:val="24"/>
        </w:rPr>
        <w:t>3</w:t>
      </w:r>
      <w:r w:rsidR="001411D9" w:rsidRPr="007A3223">
        <w:rPr>
          <w:rFonts w:eastAsia="Times New Roman"/>
          <w:szCs w:val="24"/>
        </w:rPr>
        <w:t>)</w:t>
      </w:r>
      <w:r w:rsidR="007A6E6D" w:rsidRPr="007A3223">
        <w:rPr>
          <w:rFonts w:eastAsia="Times New Roman"/>
          <w:szCs w:val="24"/>
        </w:rPr>
        <w:t xml:space="preserve">. </w:t>
      </w:r>
      <w:r w:rsidR="0093068E" w:rsidRPr="007A3223">
        <w:rPr>
          <w:rFonts w:eastAsia="Times New Roman"/>
          <w:szCs w:val="24"/>
        </w:rPr>
        <w:t>This unexpected anti-tumor activity of the combination led to development of a multi-institutional randomized phase II/III studies of olaparib/cediranib compared with standard chemotherapy in recurrent platinum-resistant ovarian cancer.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87"/>
      </w:tblGrid>
      <w:tr w:rsidR="00D8274C" w:rsidRPr="007A3223" w14:paraId="381A57C6" w14:textId="77777777" w:rsidTr="00D8274C">
        <w:tc>
          <w:tcPr>
            <w:tcW w:w="4788" w:type="dxa"/>
          </w:tcPr>
          <w:p w14:paraId="683B3B71" w14:textId="77777777" w:rsidR="00D8274C" w:rsidRPr="007A3223" w:rsidRDefault="00D8274C" w:rsidP="00AC750A">
            <w:pPr>
              <w:spacing w:after="0"/>
              <w:rPr>
                <w:rFonts w:eastAsia="Times New Roman"/>
                <w:szCs w:val="24"/>
              </w:rPr>
            </w:pPr>
            <w:r w:rsidRPr="007A3223">
              <w:rPr>
                <w:noProof/>
                <w:szCs w:val="24"/>
                <w:lang w:eastAsia="ko-KR"/>
              </w:rPr>
              <w:drawing>
                <wp:inline distT="0" distB="0" distL="0" distR="0" wp14:anchorId="4E8792B7" wp14:editId="42144980">
                  <wp:extent cx="2746672" cy="1843512"/>
                  <wp:effectExtent l="0" t="0" r="0" b="10795"/>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9"/>
                          <pic:cNvPicPr>
                            <a:picLocks noChangeAspect="1" noChangeArrowheads="1"/>
                          </pic:cNvPicPr>
                        </pic:nvPicPr>
                        <pic:blipFill>
                          <a:blip r:embed="rId28">
                            <a:extLst>
                              <a:ext uri="{28A0092B-C50C-407E-A947-70E740481C1C}">
                                <a14:useLocalDpi xmlns:a14="http://schemas.microsoft.com/office/drawing/2010/main" val="0"/>
                              </a:ext>
                            </a:extLst>
                          </a:blip>
                          <a:srcRect t="10477" r="-768" b="-659"/>
                          <a:stretch>
                            <a:fillRect/>
                          </a:stretch>
                        </pic:blipFill>
                        <pic:spPr bwMode="auto">
                          <a:xfrm>
                            <a:off x="0" y="0"/>
                            <a:ext cx="2748303" cy="1844607"/>
                          </a:xfrm>
                          <a:prstGeom prst="rect">
                            <a:avLst/>
                          </a:prstGeom>
                          <a:noFill/>
                          <a:ln>
                            <a:noFill/>
                          </a:ln>
                        </pic:spPr>
                      </pic:pic>
                    </a:graphicData>
                  </a:graphic>
                </wp:inline>
              </w:drawing>
            </w:r>
          </w:p>
        </w:tc>
        <w:tc>
          <w:tcPr>
            <w:tcW w:w="4788" w:type="dxa"/>
          </w:tcPr>
          <w:p w14:paraId="43644A79" w14:textId="2E3713B5" w:rsidR="00D8274C" w:rsidRPr="00F33908" w:rsidRDefault="00D8274C" w:rsidP="00D8274C">
            <w:pPr>
              <w:pStyle w:val="Caption"/>
              <w:rPr>
                <w:szCs w:val="24"/>
              </w:rPr>
            </w:pPr>
            <w:bookmarkStart w:id="40" w:name="_Ref405294029"/>
            <w:r w:rsidRPr="00F33908">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3</w:t>
            </w:r>
            <w:r w:rsidR="00F82420" w:rsidRPr="00F33908">
              <w:rPr>
                <w:noProof/>
              </w:rPr>
              <w:fldChar w:fldCharType="end"/>
            </w:r>
            <w:bookmarkEnd w:id="40"/>
            <w:r w:rsidRPr="007A3223">
              <w:rPr>
                <w:b w:val="0"/>
              </w:rPr>
              <w:t>.</w:t>
            </w:r>
            <w:r w:rsidRPr="00F33908">
              <w:rPr>
                <w:b w:val="0"/>
                <w:color w:val="262626"/>
              </w:rPr>
              <w:t xml:space="preserve"> </w:t>
            </w:r>
            <w:r w:rsidRPr="007A3223">
              <w:rPr>
                <w:b w:val="0"/>
                <w:color w:val="262626"/>
                <w:u w:val="single"/>
              </w:rPr>
              <w:t xml:space="preserve">Combination olaparib and cediranib </w:t>
            </w:r>
            <w:hyperlink w:anchor="_ENREF_3" w:tooltip="Tothill, 2008 #3" w:history="1">
              <w:r w:rsidR="00F77861" w:rsidRPr="008517CA">
                <w:rPr>
                  <w:rStyle w:val="Hyperlink"/>
                </w:rPr>
                <w:fldChar w:fldCharType="begin">
                  <w:fldData xml:space="preserve">PEVuZE5vdGU+PENpdGUgRXhjbHVkZVllYXI9IjEiPjxBdXRob3I+VG90aGlsbDwvQXV0aG9yPjxZ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YmJyLTE+PC9hbHQtcGVyaW9kaWNhbD48cGFnZXM+NTE5OC0yMDg8L3BhZ2VzPjx2b2x1bWU+MTQ8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==
</w:fldData>
                </w:fldChar>
              </w:r>
              <w:r w:rsidR="00F77861" w:rsidRPr="00244551">
                <w:rPr>
                  <w:rStyle w:val="Hyperlink"/>
                </w:rPr>
                <w:instrText xml:space="preserve"> ADDIN EN.CITE </w:instrText>
              </w:r>
              <w:r w:rsidR="00F77861" w:rsidRPr="008517CA">
                <w:rPr>
                  <w:rStyle w:val="Hyperlink"/>
                </w:rPr>
                <w:fldChar w:fldCharType="begin">
                  <w:fldData xml:space="preserve">PEVuZE5vdGU+PENpdGUgRXhjbHVkZVllYXI9IjEiPjxBdXRob3I+VG90aGlsbDwvQXV0aG9yPjxZ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YmJyLTE+PC9hbHQtcGVyaW9kaWNhbD48cGFnZXM+NTE5OC0yMDg8L3BhZ2VzPjx2b2x1bWU+MTQ8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==
</w:fldData>
                </w:fldChar>
              </w:r>
              <w:r w:rsidR="00F77861" w:rsidRPr="00244551">
                <w:rPr>
                  <w:rStyle w:val="Hyperlink"/>
                </w:rPr>
                <w:instrText xml:space="preserve"> ADDIN EN.CITE.DATA </w:instrText>
              </w:r>
              <w:r w:rsidR="00F77861" w:rsidRPr="008517CA">
                <w:rPr>
                  <w:rStyle w:val="Hyperlink"/>
                </w:rPr>
              </w:r>
              <w:r w:rsidR="00F77861" w:rsidRPr="008517CA">
                <w:rPr>
                  <w:rStyle w:val="Hyperlink"/>
                </w:rPr>
                <w:fldChar w:fldCharType="end"/>
              </w:r>
              <w:r w:rsidR="00F77861" w:rsidRPr="008517CA">
                <w:rPr>
                  <w:rStyle w:val="Hyperlink"/>
                </w:rPr>
              </w:r>
              <w:r w:rsidR="00F77861" w:rsidRPr="008517CA">
                <w:rPr>
                  <w:rStyle w:val="Hyperlink"/>
                </w:rPr>
                <w:fldChar w:fldCharType="separate"/>
              </w:r>
              <w:r w:rsidR="00F77861" w:rsidRPr="00244551">
                <w:rPr>
                  <w:rStyle w:val="Hyperlink"/>
                  <w:noProof/>
                  <w:vertAlign w:val="superscript"/>
                </w:rPr>
                <w:t>3</w:t>
              </w:r>
              <w:r w:rsidR="00F77861" w:rsidRPr="008517CA">
                <w:rPr>
                  <w:rStyle w:val="Hyperlink"/>
                </w:rPr>
                <w:fldChar w:fldCharType="end"/>
              </w:r>
            </w:hyperlink>
            <w:r w:rsidRPr="007A3223">
              <w:rPr>
                <w:b w:val="0"/>
                <w:color w:val="262626"/>
                <w:u w:val="single"/>
              </w:rPr>
              <w:t xml:space="preserve"> is clinically superior to olaparib alone (blue) in platinum sensitive recurrent ovarian cancer.</w:t>
            </w:r>
          </w:p>
          <w:p w14:paraId="7989D76D" w14:textId="77777777" w:rsidR="00D8274C" w:rsidRPr="007A3223" w:rsidRDefault="00D8274C" w:rsidP="00D8274C">
            <w:pPr>
              <w:keepNext/>
              <w:spacing w:after="0"/>
              <w:rPr>
                <w:rFonts w:eastAsia="Times New Roman"/>
                <w:szCs w:val="24"/>
              </w:rPr>
            </w:pPr>
          </w:p>
        </w:tc>
      </w:tr>
    </w:tbl>
    <w:p w14:paraId="65A6256A" w14:textId="77777777" w:rsidR="00DB31AA" w:rsidRPr="007A3223" w:rsidRDefault="00DB31AA" w:rsidP="0093068E">
      <w:pPr>
        <w:spacing w:after="0"/>
        <w:ind w:firstLine="274"/>
        <w:rPr>
          <w:rFonts w:eastAsia="Times New Roman"/>
          <w:szCs w:val="24"/>
        </w:rPr>
      </w:pPr>
    </w:p>
    <w:p w14:paraId="31F62F39" w14:textId="698C171E" w:rsidR="00B15DFD" w:rsidRPr="007A3223" w:rsidRDefault="007A6E6D" w:rsidP="00B15DFD">
      <w:pPr>
        <w:spacing w:after="0"/>
        <w:ind w:firstLine="270"/>
        <w:rPr>
          <w:rFonts w:eastAsia="Times New Roman"/>
          <w:szCs w:val="24"/>
        </w:rPr>
      </w:pPr>
      <w:r w:rsidRPr="007A3223">
        <w:rPr>
          <w:szCs w:val="24"/>
          <w:lang w:eastAsia="ko-KR"/>
        </w:rPr>
        <w:t>There are preclinical studies demonstrating an interaction between hypoxia and inhibition of DNA damage repair</w:t>
      </w:r>
      <w:r w:rsidR="002457B0" w:rsidRPr="00585A7F">
        <w:rPr>
          <w:rFonts w:eastAsia="Times New Roman"/>
          <w:szCs w:val="24"/>
        </w:rPr>
        <w:fldChar w:fldCharType="begin">
          <w:fldData xml:space="preserve">PEVuZE5vdGU+PENpdGU+PEF1dGhvcj5FY29ub21vcG91bG91PC9BdXRob3I+PFllYXI+MjAwOTwv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</w:fldData>
        </w:fldChar>
      </w:r>
      <w:r w:rsidR="00DD2541" w:rsidRPr="007A3223">
        <w:rPr>
          <w:rFonts w:eastAsia="Times New Roman"/>
          <w:szCs w:val="24"/>
        </w:rPr>
        <w:instrText xml:space="preserve"> ADDIN EN.CITE </w:instrText>
      </w:r>
      <w:r w:rsidR="00DD2541" w:rsidRPr="003A255F">
        <w:rPr>
          <w:rFonts w:eastAsia="Times New Roman"/>
          <w:szCs w:val="24"/>
        </w:rPr>
        <w:fldChar w:fldCharType="begin">
          <w:fldData xml:space="preserve">PEVuZE5vdGU+PENpdGU+PEF1dGhvcj5FY29ub21vcG91bG91PC9BdXRob3I+PFllYXI+MjAwOTwv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</w:fldData>
        </w:fldChar>
      </w:r>
      <w:r w:rsidR="00DD2541" w:rsidRPr="007A3223">
        <w:rPr>
          <w:rFonts w:eastAsia="Times New Roman"/>
          <w:szCs w:val="24"/>
        </w:rPr>
        <w:instrText xml:space="preserve"> ADDIN EN.CITE.DATA </w:instrText>
      </w:r>
      <w:r w:rsidR="00DD2541" w:rsidRPr="003A255F">
        <w:rPr>
          <w:rFonts w:eastAsia="Times New Roman"/>
          <w:szCs w:val="24"/>
        </w:rPr>
      </w:r>
      <w:r w:rsidR="00DD2541" w:rsidRPr="003A255F">
        <w:rPr>
          <w:rFonts w:eastAsia="Times New Roman"/>
          <w:szCs w:val="24"/>
        </w:rPr>
        <w:fldChar w:fldCharType="end"/>
      </w:r>
      <w:r w:rsidR="002457B0" w:rsidRPr="00585A7F">
        <w:rPr>
          <w:rFonts w:eastAsia="Times New Roman"/>
          <w:szCs w:val="24"/>
        </w:rPr>
      </w:r>
      <w:r w:rsidR="002457B0" w:rsidRPr="00585A7F">
        <w:rPr>
          <w:rFonts w:eastAsia="Times New Roman"/>
          <w:szCs w:val="24"/>
        </w:rPr>
        <w:fldChar w:fldCharType="separate"/>
      </w:r>
      <w:hyperlink w:anchor="_ENREF_63" w:tooltip="Economopoulou, 2009 #63" w:history="1">
        <w:r w:rsidR="00F77861" w:rsidRPr="00244551">
          <w:rPr>
            <w:rStyle w:val="Hyperlink"/>
            <w:rFonts w:eastAsia="Times New Roman"/>
            <w:noProof/>
            <w:szCs w:val="24"/>
            <w:vertAlign w:val="superscript"/>
          </w:rPr>
          <w:t>63</w:t>
        </w:r>
      </w:hyperlink>
      <w:r w:rsidR="00DD2541" w:rsidRPr="00F33908">
        <w:rPr>
          <w:rFonts w:eastAsia="Times New Roman"/>
          <w:noProof/>
          <w:szCs w:val="24"/>
          <w:vertAlign w:val="superscript"/>
        </w:rPr>
        <w:t>,</w:t>
      </w:r>
      <w:hyperlink w:anchor="_ENREF_64" w:tooltip="Tentori, 2007 #64" w:history="1">
        <w:r w:rsidR="00F77861" w:rsidRPr="00244551">
          <w:rPr>
            <w:rStyle w:val="Hyperlink"/>
            <w:rFonts w:eastAsia="Times New Roman"/>
            <w:noProof/>
            <w:szCs w:val="24"/>
            <w:vertAlign w:val="superscript"/>
          </w:rPr>
          <w:t>64</w:t>
        </w:r>
      </w:hyperlink>
      <w:r w:rsidR="002457B0" w:rsidRPr="00585A7F">
        <w:rPr>
          <w:rFonts w:eastAsia="Times New Roman"/>
          <w:szCs w:val="24"/>
        </w:rPr>
        <w:fldChar w:fldCharType="end"/>
      </w:r>
      <w:r w:rsidRPr="007A3223">
        <w:rPr>
          <w:i/>
          <w:szCs w:val="24"/>
          <w:lang w:eastAsia="ko-KR"/>
        </w:rPr>
        <w:t>.</w:t>
      </w:r>
      <w:r w:rsidRPr="00F33908">
        <w:rPr>
          <w:szCs w:val="24"/>
          <w:lang w:eastAsia="ko-KR"/>
        </w:rPr>
        <w:t xml:space="preserve"> Our preliminary work showed a more than additive inhibition of ovarian cancer c</w:t>
      </w:r>
      <w:r w:rsidRPr="007A3223">
        <w:rPr>
          <w:szCs w:val="24"/>
          <w:lang w:eastAsia="ko-KR"/>
        </w:rPr>
        <w:t xml:space="preserve">ell invasion and microvascular endothelial cell tube formation </w:t>
      </w:r>
      <w:r w:rsidRPr="007A3223">
        <w:rPr>
          <w:i/>
          <w:szCs w:val="24"/>
          <w:lang w:eastAsia="ko-KR"/>
        </w:rPr>
        <w:t>in vitro</w:t>
      </w:r>
      <w:r w:rsidRPr="007A3223">
        <w:rPr>
          <w:szCs w:val="24"/>
          <w:lang w:eastAsia="ko-KR"/>
        </w:rPr>
        <w:t xml:space="preserve"> by olaparib and cediranib (unpublished data). </w:t>
      </w:r>
      <w:r w:rsidRPr="007A3223">
        <w:rPr>
          <w:rFonts w:eastAsia="Times New Roman"/>
          <w:szCs w:val="24"/>
        </w:rPr>
        <w:t>We</w:t>
      </w:r>
      <w:r w:rsidRPr="007A3223">
        <w:rPr>
          <w:szCs w:val="24"/>
        </w:rPr>
        <w:t xml:space="preserve"> hypothesized assessment of vascular and DNA repair endpoints within the olaparib/cediranib study would identify </w:t>
      </w:r>
      <w:r w:rsidRPr="007A3223">
        <w:rPr>
          <w:rFonts w:eastAsia="Times New Roman"/>
          <w:szCs w:val="24"/>
        </w:rPr>
        <w:t>lead</w:t>
      </w:r>
      <w:r w:rsidRPr="007A3223">
        <w:rPr>
          <w:szCs w:val="24"/>
        </w:rPr>
        <w:t xml:space="preserve"> biomarker candidates. </w:t>
      </w:r>
      <w:r w:rsidRPr="007A3223">
        <w:rPr>
          <w:rFonts w:eastAsia="Times New Roman"/>
          <w:szCs w:val="24"/>
        </w:rPr>
        <w:t>Blood samples were collected pre- and day 3 of therapy to measure circulating endothelial cells (CEC: nucleated CD133</w:t>
      </w:r>
      <w:r w:rsidRPr="007A3223">
        <w:rPr>
          <w:rFonts w:eastAsia="Times New Roman"/>
          <w:szCs w:val="24"/>
          <w:vertAlign w:val="superscript"/>
        </w:rPr>
        <w:t>-</w:t>
      </w:r>
      <w:r w:rsidRPr="007A3223">
        <w:rPr>
          <w:rFonts w:eastAsia="Times New Roman"/>
          <w:szCs w:val="24"/>
        </w:rPr>
        <w:t>CD146</w:t>
      </w:r>
      <w:r w:rsidRPr="007A3223">
        <w:rPr>
          <w:rFonts w:eastAsia="Times New Roman"/>
          <w:szCs w:val="24"/>
          <w:vertAlign w:val="superscript"/>
        </w:rPr>
        <w:t>+</w:t>
      </w:r>
      <w:r w:rsidRPr="007A3223">
        <w:rPr>
          <w:rFonts w:eastAsia="Times New Roman"/>
          <w:szCs w:val="24"/>
        </w:rPr>
        <w:t>CD31</w:t>
      </w:r>
      <w:r w:rsidRPr="007A3223">
        <w:rPr>
          <w:rFonts w:eastAsia="Times New Roman"/>
          <w:szCs w:val="24"/>
          <w:vertAlign w:val="superscript"/>
        </w:rPr>
        <w:t>+</w:t>
      </w:r>
      <w:r w:rsidRPr="007A3223">
        <w:rPr>
          <w:rFonts w:eastAsia="Times New Roman"/>
          <w:szCs w:val="24"/>
        </w:rPr>
        <w:t>CD45</w:t>
      </w:r>
      <w:r w:rsidRPr="007A3223">
        <w:rPr>
          <w:rFonts w:eastAsia="Times New Roman"/>
          <w:szCs w:val="24"/>
          <w:vertAlign w:val="superscript"/>
        </w:rPr>
        <w:t>-</w:t>
      </w:r>
      <w:r w:rsidRPr="007A3223">
        <w:rPr>
          <w:rFonts w:eastAsia="Times New Roman"/>
          <w:szCs w:val="24"/>
        </w:rPr>
        <w:t>), circulating endothelial progenitor cells (CEP: viable nucleated CD133</w:t>
      </w:r>
      <w:r w:rsidRPr="007A3223">
        <w:rPr>
          <w:rFonts w:eastAsia="Times New Roman"/>
          <w:szCs w:val="24"/>
          <w:vertAlign w:val="superscript"/>
        </w:rPr>
        <w:t>+</w:t>
      </w:r>
      <w:r w:rsidRPr="007A3223">
        <w:rPr>
          <w:rFonts w:eastAsia="Times New Roman"/>
          <w:szCs w:val="24"/>
        </w:rPr>
        <w:t>, CD146</w:t>
      </w:r>
      <w:r w:rsidRPr="007A3223">
        <w:rPr>
          <w:rFonts w:eastAsia="Times New Roman"/>
          <w:szCs w:val="24"/>
          <w:vertAlign w:val="superscript"/>
        </w:rPr>
        <w:t>-</w:t>
      </w:r>
      <w:r w:rsidRPr="007A3223">
        <w:rPr>
          <w:rFonts w:eastAsia="Times New Roman"/>
          <w:szCs w:val="24"/>
        </w:rPr>
        <w:t>, CD31</w:t>
      </w:r>
      <w:r w:rsidRPr="007A3223">
        <w:rPr>
          <w:rFonts w:eastAsia="Times New Roman"/>
          <w:szCs w:val="24"/>
          <w:vertAlign w:val="superscript"/>
        </w:rPr>
        <w:t>+</w:t>
      </w:r>
      <w:r w:rsidRPr="007A3223">
        <w:rPr>
          <w:rFonts w:eastAsia="Times New Roman"/>
          <w:szCs w:val="24"/>
        </w:rPr>
        <w:t xml:space="preserve"> CD45</w:t>
      </w:r>
      <w:r w:rsidRPr="007A3223">
        <w:rPr>
          <w:rFonts w:eastAsia="Times New Roman"/>
          <w:szCs w:val="24"/>
          <w:vertAlign w:val="superscript"/>
        </w:rPr>
        <w:t>-</w:t>
      </w:r>
      <w:r w:rsidRPr="007A3223">
        <w:rPr>
          <w:rFonts w:eastAsia="Times New Roman"/>
          <w:szCs w:val="24"/>
        </w:rPr>
        <w:t xml:space="preserve"> or dim), plasma for cytokine concentrations of IL-6, IL-8, V</w:t>
      </w:r>
      <w:r w:rsidR="00D50D64" w:rsidRPr="007A3223">
        <w:rPr>
          <w:rFonts w:eastAsia="Times New Roman"/>
          <w:szCs w:val="24"/>
        </w:rPr>
        <w:t>EGF, and sVEGFR-2</w:t>
      </w:r>
      <w:r w:rsidRPr="007A3223">
        <w:rPr>
          <w:rFonts w:eastAsia="Times New Roman"/>
          <w:szCs w:val="24"/>
        </w:rPr>
        <w:t xml:space="preserve">. </w:t>
      </w:r>
      <w:r w:rsidR="0093068E" w:rsidRPr="007A3223">
        <w:rPr>
          <w:rFonts w:eastAsia="Times New Roman"/>
          <w:szCs w:val="24"/>
        </w:rPr>
        <w:t xml:space="preserve">In a test set of patients for the correlative endpoints, women </w:t>
      </w:r>
      <w:r w:rsidR="0093068E" w:rsidRPr="007A3223">
        <w:rPr>
          <w:szCs w:val="24"/>
        </w:rPr>
        <w:t>on combination therapy had a median 350</w:t>
      </w:r>
      <w:r w:rsidR="00FC5907" w:rsidRPr="007A3223">
        <w:rPr>
          <w:szCs w:val="24"/>
        </w:rPr>
        <w:t xml:space="preserve"> </w:t>
      </w:r>
      <w:r w:rsidR="0093068E" w:rsidRPr="007A3223">
        <w:rPr>
          <w:szCs w:val="24"/>
        </w:rPr>
        <w:t xml:space="preserve">% increase in circulating endothelial cells (CEC: </w:t>
      </w:r>
      <w:r w:rsidR="0093068E" w:rsidRPr="007A3223">
        <w:rPr>
          <w:rFonts w:eastAsia="Times New Roman"/>
          <w:szCs w:val="24"/>
        </w:rPr>
        <w:t>nucleated CD133</w:t>
      </w:r>
      <w:r w:rsidR="0093068E" w:rsidRPr="007A3223">
        <w:rPr>
          <w:rFonts w:eastAsia="Times New Roman"/>
          <w:szCs w:val="24"/>
          <w:vertAlign w:val="superscript"/>
        </w:rPr>
        <w:t>-</w:t>
      </w:r>
      <w:r w:rsidR="0093068E" w:rsidRPr="007A3223">
        <w:rPr>
          <w:rFonts w:eastAsia="Times New Roman"/>
          <w:szCs w:val="24"/>
        </w:rPr>
        <w:t>CD146</w:t>
      </w:r>
      <w:r w:rsidR="0093068E" w:rsidRPr="007A3223">
        <w:rPr>
          <w:rFonts w:eastAsia="Times New Roman"/>
          <w:szCs w:val="24"/>
          <w:vertAlign w:val="superscript"/>
        </w:rPr>
        <w:t>+</w:t>
      </w:r>
      <w:r w:rsidR="0093068E" w:rsidRPr="007A3223">
        <w:rPr>
          <w:rFonts w:eastAsia="Times New Roman"/>
          <w:szCs w:val="24"/>
        </w:rPr>
        <w:t>CD31</w:t>
      </w:r>
      <w:r w:rsidR="0093068E" w:rsidRPr="007A3223">
        <w:rPr>
          <w:rFonts w:eastAsia="Times New Roman"/>
          <w:szCs w:val="24"/>
          <w:vertAlign w:val="superscript"/>
        </w:rPr>
        <w:t>+</w:t>
      </w:r>
      <w:r w:rsidR="0093068E" w:rsidRPr="007A3223">
        <w:rPr>
          <w:rFonts w:eastAsia="Times New Roman"/>
          <w:szCs w:val="24"/>
        </w:rPr>
        <w:t>CD45</w:t>
      </w:r>
      <w:r w:rsidR="0093068E" w:rsidRPr="007A3223">
        <w:rPr>
          <w:rFonts w:eastAsia="Times New Roman"/>
          <w:szCs w:val="24"/>
          <w:vertAlign w:val="superscript"/>
        </w:rPr>
        <w:t>-</w:t>
      </w:r>
      <w:r w:rsidR="0093068E" w:rsidRPr="007A3223">
        <w:rPr>
          <w:rFonts w:eastAsia="Times New Roman"/>
          <w:szCs w:val="24"/>
        </w:rPr>
        <w:t xml:space="preserve">) </w:t>
      </w:r>
      <w:r w:rsidR="0093068E" w:rsidRPr="007A3223">
        <w:rPr>
          <w:szCs w:val="24"/>
        </w:rPr>
        <w:t>compared to olaparib alone (p=0.01;</w:t>
      </w:r>
      <w:r w:rsidR="0093068E" w:rsidRPr="007A3223">
        <w:rPr>
          <w:rFonts w:eastAsia="Times New Roman"/>
          <w:szCs w:val="24"/>
        </w:rPr>
        <w:t xml:space="preserve"> Lee et al., manuscript submitted</w:t>
      </w:r>
      <w:r w:rsidR="00042157" w:rsidRPr="007A3223">
        <w:rPr>
          <w:rFonts w:eastAsia="Times New Roman"/>
          <w:szCs w:val="24"/>
        </w:rPr>
        <w:t>;</w:t>
      </w:r>
      <w:r w:rsidR="0093068E" w:rsidRPr="007A3223">
        <w:rPr>
          <w:rFonts w:eastAsia="Times New Roman"/>
          <w:color w:val="0000FF"/>
          <w:szCs w:val="24"/>
        </w:rPr>
        <w:t xml:space="preserve"> </w:t>
      </w:r>
      <w:r w:rsidR="00307B04" w:rsidRPr="00F33908">
        <w:fldChar w:fldCharType="begin"/>
      </w:r>
      <w:r w:rsidR="00307B04" w:rsidRPr="007A3223">
        <w:instrText xml:space="preserve"> REF _Ref405293878 \h  \* MERGEFORMAT </w:instrText>
      </w:r>
      <w:r w:rsidR="00307B04" w:rsidRPr="00F33908">
        <w:fldChar w:fldCharType="separate"/>
      </w:r>
      <w:r w:rsidR="00E47ACA" w:rsidRPr="00E47ACA">
        <w:rPr>
          <w:b/>
          <w:color w:val="0000FF"/>
        </w:rPr>
        <w:t>Figure 4</w:t>
      </w:r>
      <w:r w:rsidR="00307B04" w:rsidRPr="00F33908">
        <w:fldChar w:fldCharType="end"/>
      </w:r>
      <w:r w:rsidR="00D8274C" w:rsidRPr="007A3223">
        <w:rPr>
          <w:rFonts w:eastAsia="Times New Roman"/>
          <w:b/>
          <w:szCs w:val="24"/>
        </w:rPr>
        <w:t>A</w:t>
      </w:r>
      <w:r w:rsidRPr="00F33908">
        <w:rPr>
          <w:rFonts w:eastAsia="Times New Roman"/>
          <w:szCs w:val="24"/>
        </w:rPr>
        <w:t xml:space="preserve">). </w:t>
      </w:r>
      <w:r w:rsidR="00042157" w:rsidRPr="007A3223">
        <w:rPr>
          <w:bCs/>
        </w:rPr>
        <w:t xml:space="preserve">The fold increase in CEC on day 3 was associated with </w:t>
      </w:r>
      <w:r w:rsidR="00D456CF" w:rsidRPr="007A3223">
        <w:rPr>
          <w:bCs/>
        </w:rPr>
        <w:t>PFS</w:t>
      </w:r>
      <w:r w:rsidR="00D67963" w:rsidRPr="007A3223">
        <w:rPr>
          <w:bCs/>
        </w:rPr>
        <w:t xml:space="preserve"> in </w:t>
      </w:r>
      <w:r w:rsidR="000528C0" w:rsidRPr="007A3223">
        <w:rPr>
          <w:bCs/>
        </w:rPr>
        <w:t xml:space="preserve">all </w:t>
      </w:r>
      <w:r w:rsidR="00042157" w:rsidRPr="007A3223">
        <w:rPr>
          <w:bCs/>
        </w:rPr>
        <w:t>patients (R</w:t>
      </w:r>
      <w:r w:rsidR="00042157" w:rsidRPr="007A3223">
        <w:rPr>
          <w:bCs/>
          <w:vertAlign w:val="superscript"/>
        </w:rPr>
        <w:t>2</w:t>
      </w:r>
      <w:r w:rsidR="00042157" w:rsidRPr="007A3223">
        <w:rPr>
          <w:bCs/>
        </w:rPr>
        <w:t>=0.77, 95%CI 0.55-0.97, p&lt;0.001</w:t>
      </w:r>
      <w:r w:rsidR="00376C54" w:rsidRPr="007A3223">
        <w:rPr>
          <w:bCs/>
        </w:rPr>
        <w:t xml:space="preserve">; </w:t>
      </w:r>
      <w:r w:rsidR="00307B04" w:rsidRPr="00F33908">
        <w:fldChar w:fldCharType="begin"/>
      </w:r>
      <w:r w:rsidR="00307B04" w:rsidRPr="007A3223">
        <w:instrText xml:space="preserve"> REF _Ref405293878 \h  \* MERGEFORMAT </w:instrText>
      </w:r>
      <w:r w:rsidR="00307B04" w:rsidRPr="00F33908">
        <w:fldChar w:fldCharType="separate"/>
      </w:r>
      <w:r w:rsidR="00E47ACA" w:rsidRPr="00E47ACA">
        <w:rPr>
          <w:b/>
          <w:color w:val="0000FF"/>
        </w:rPr>
        <w:t>Figure 4</w:t>
      </w:r>
      <w:r w:rsidR="00307B04" w:rsidRPr="00F33908">
        <w:fldChar w:fldCharType="end"/>
      </w:r>
      <w:r w:rsidR="00D8274C" w:rsidRPr="007A3223">
        <w:rPr>
          <w:b/>
          <w:bCs/>
        </w:rPr>
        <w:t>B</w:t>
      </w:r>
      <w:r w:rsidRPr="00F33908">
        <w:rPr>
          <w:rFonts w:eastAsia="Times New Roman"/>
          <w:szCs w:val="24"/>
        </w:rPr>
        <w:t>). A greater decrease in IL-8 was also noted in patients on combination co</w:t>
      </w:r>
      <w:r w:rsidR="00D456CF" w:rsidRPr="007A3223">
        <w:rPr>
          <w:rFonts w:eastAsia="Times New Roman"/>
          <w:szCs w:val="24"/>
        </w:rPr>
        <w:t>mpared to olaparib alone (p=0.02</w:t>
      </w:r>
      <w:r w:rsidRPr="007A3223">
        <w:rPr>
          <w:rFonts w:eastAsia="Times New Roman"/>
          <w:szCs w:val="24"/>
        </w:rPr>
        <w:t>6).</w:t>
      </w:r>
      <w:r w:rsidR="00B15DFD" w:rsidRPr="007A3223">
        <w:rPr>
          <w:rFonts w:eastAsia="Times New Roman"/>
          <w:szCs w:val="24"/>
        </w:rPr>
        <w:t xml:space="preserve"> </w:t>
      </w:r>
    </w:p>
    <w:p w14:paraId="4C7E5DC5" w14:textId="4F6096AD" w:rsidR="00B15DFD" w:rsidRPr="007A3223" w:rsidRDefault="00B15DFD" w:rsidP="00B15DFD">
      <w:pPr>
        <w:spacing w:after="0"/>
        <w:ind w:firstLine="270"/>
        <w:rPr>
          <w:rFonts w:eastAsia="Times New Roman"/>
          <w:szCs w:val="24"/>
        </w:rPr>
      </w:pPr>
      <w:r w:rsidRPr="007A3223">
        <w:rPr>
          <w:rFonts w:eastAsia="Times New Roman"/>
          <w:szCs w:val="24"/>
        </w:rPr>
        <w:t xml:space="preserve">Significant changes of IL-8 concentration and CEC number with olaparib/cediranib suggest greater inhibition in angiogenesis compared with olaparib. It is plausible to speculate that hypoxic </w:t>
      </w:r>
      <w:r w:rsidRPr="007A3223">
        <w:rPr>
          <w:szCs w:val="24"/>
        </w:rPr>
        <w:t>condition</w:t>
      </w:r>
      <w:r w:rsidRPr="007A3223">
        <w:rPr>
          <w:rFonts w:eastAsia="Times New Roman"/>
          <w:szCs w:val="24"/>
        </w:rPr>
        <w:t xml:space="preserve"> by cediranib may result in increased DNA damage</w:t>
      </w:r>
      <w:hyperlink w:anchor="_ENREF_65" w:tooltip="Kumareswaran, 2012 #65" w:history="1">
        <w:r w:rsidR="00F77861" w:rsidRPr="00244551">
          <w:rPr>
            <w:rStyle w:val="Hyperlink"/>
            <w:rFonts w:eastAsia="Times New Roman"/>
            <w:szCs w:val="24"/>
          </w:rPr>
          <w:fldChar w:fldCharType="begin">
            <w:fldData xml:space="preserve">PEVuZE5vdGU+PENpdGU+PEF1dGhvcj5LdW1hcmVzd2FyYW48L0F1dGhvcj48WWVhcj4yMDEyPC9Z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=
</w:fldData>
          </w:fldChar>
        </w:r>
        <w:r w:rsidR="00F77861" w:rsidRPr="00244551">
          <w:rPr>
            <w:rStyle w:val="Hyperlink"/>
            <w:rFonts w:eastAsia="Times New Roman"/>
            <w:szCs w:val="24"/>
          </w:rPr>
          <w:instrText xml:space="preserve"> ADDIN EN.CITE </w:instrText>
        </w:r>
        <w:r w:rsidR="00F77861" w:rsidRPr="003A255F">
          <w:rPr>
            <w:rStyle w:val="Hyperlink"/>
            <w:rFonts w:eastAsia="Times New Roman"/>
            <w:szCs w:val="24"/>
          </w:rPr>
          <w:fldChar w:fldCharType="begin">
            <w:fldData xml:space="preserve">PEVuZE5vdGU+PENpdGU+PEF1dGhvcj5LdW1hcmVzd2FyYW48L0F1dGhvcj48WWVhcj4yMDEyPC9Z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=
</w:fldData>
          </w:fldChar>
        </w:r>
        <w:r w:rsidR="00F77861" w:rsidRPr="00244551">
          <w:rPr>
            <w:rStyle w:val="Hyperlink"/>
            <w:rFonts w:eastAsia="Times New Roman"/>
            <w:szCs w:val="24"/>
          </w:rPr>
          <w:instrText xml:space="preserve"> ADDIN EN.CITE.DATA </w:instrText>
        </w:r>
        <w:r w:rsidR="00F77861" w:rsidRPr="003A255F">
          <w:rPr>
            <w:rStyle w:val="Hyperlink"/>
            <w:rFonts w:eastAsia="Times New Roman"/>
            <w:szCs w:val="24"/>
          </w:rPr>
        </w:r>
        <w:r w:rsidR="00F77861" w:rsidRPr="003A255F">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65</w:t>
        </w:r>
        <w:r w:rsidR="00F77861" w:rsidRPr="00244551">
          <w:rPr>
            <w:rStyle w:val="Hyperlink"/>
            <w:rFonts w:eastAsia="Times New Roman"/>
            <w:szCs w:val="24"/>
          </w:rPr>
          <w:fldChar w:fldCharType="end"/>
        </w:r>
      </w:hyperlink>
      <w:r w:rsidRPr="007A3223">
        <w:rPr>
          <w:rFonts w:eastAsia="Times New Roman"/>
          <w:szCs w:val="24"/>
        </w:rPr>
        <w:t xml:space="preserve">, facilitating induction of cell death by olaparib. Further studies of this combination with prospectively planned validation </w:t>
      </w:r>
      <w:r w:rsidRPr="007A3223">
        <w:rPr>
          <w:rFonts w:eastAsia="Times New Roman"/>
          <w:szCs w:val="24"/>
        </w:rPr>
        <w:lastRenderedPageBreak/>
        <w:t>of these potential predictive biomarkers are warranted to focus therapy to recurrent ovarian cancer patients who may best r</w:t>
      </w:r>
      <w:r w:rsidRPr="00F33908">
        <w:rPr>
          <w:rFonts w:eastAsia="Times New Roman"/>
          <w:szCs w:val="24"/>
        </w:rPr>
        <w:t xml:space="preserve">espond. </w:t>
      </w:r>
    </w:p>
    <w:p w14:paraId="26E03405" w14:textId="77777777" w:rsidR="00157089" w:rsidRPr="007A3223" w:rsidRDefault="00157089" w:rsidP="000528C0">
      <w:pPr>
        <w:spacing w:after="0"/>
        <w:ind w:firstLine="274"/>
        <w:rPr>
          <w:rFonts w:eastAsia="Calibri"/>
          <w:bCs/>
        </w:rPr>
      </w:pPr>
    </w:p>
    <w:p w14:paraId="02387B69" w14:textId="77777777" w:rsidR="00BC248B" w:rsidRPr="007A3223" w:rsidRDefault="00BC248B" w:rsidP="0093068E">
      <w:pPr>
        <w:spacing w:after="0"/>
        <w:ind w:firstLine="274"/>
        <w:rPr>
          <w:rFonts w:eastAsia="Times New Roman"/>
        </w:rPr>
      </w:pPr>
    </w:p>
    <w:p w14:paraId="4BE32B95" w14:textId="77777777" w:rsidR="00BA4C16" w:rsidRPr="007A3223" w:rsidRDefault="00BA4C16" w:rsidP="004269C3">
      <w:pPr>
        <w:keepNext/>
        <w:spacing w:after="0"/>
        <w:rPr>
          <w:rFonts w:eastAsia="Times New Roman"/>
        </w:rPr>
      </w:pPr>
      <w:r w:rsidRPr="007A3223">
        <w:rPr>
          <w:rFonts w:eastAsia="Times New Roman"/>
          <w:noProof/>
          <w:lang w:eastAsia="ko-KR"/>
        </w:rPr>
        <w:drawing>
          <wp:inline distT="0" distB="0" distL="0" distR="0" wp14:anchorId="1F54973B" wp14:editId="0B3A8336">
            <wp:extent cx="5334000" cy="2072014"/>
            <wp:effectExtent l="0" t="0" r="0" b="1079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29">
                      <a:extLst>
                        <a:ext uri="{28A0092B-C50C-407E-A947-70E740481C1C}">
                          <a14:useLocalDpi xmlns:a14="http://schemas.microsoft.com/office/drawing/2010/main" val="0"/>
                        </a:ext>
                      </a:extLst>
                    </a:blip>
                    <a:srcRect t="4912" b="65954"/>
                    <a:stretch/>
                  </pic:blipFill>
                  <pic:spPr bwMode="auto">
                    <a:xfrm>
                      <a:off x="0" y="0"/>
                      <a:ext cx="5335363" cy="2072544"/>
                    </a:xfrm>
                    <a:prstGeom prst="rect">
                      <a:avLst/>
                    </a:prstGeom>
                    <a:ln>
                      <a:noFill/>
                    </a:ln>
                    <a:extLst>
                      <a:ext uri="{53640926-AAD7-44D8-BBD7-CCE9431645EC}">
                        <a14:shadowObscured xmlns:a14="http://schemas.microsoft.com/office/drawing/2010/main"/>
                      </a:ext>
                    </a:extLst>
                  </pic:spPr>
                </pic:pic>
              </a:graphicData>
            </a:graphic>
          </wp:inline>
        </w:drawing>
      </w:r>
    </w:p>
    <w:p w14:paraId="650BD510" w14:textId="77777777" w:rsidR="00BA4C16" w:rsidRPr="007A3223" w:rsidRDefault="00BA4C16" w:rsidP="00AC750A">
      <w:pPr>
        <w:spacing w:after="0"/>
        <w:rPr>
          <w:rFonts w:ascii="Times" w:hAnsi="Times"/>
          <w:b/>
        </w:rPr>
      </w:pPr>
      <w:r w:rsidRPr="00F33908">
        <w:rPr>
          <w:rFonts w:ascii="Times" w:hAnsi="Times"/>
          <w:b/>
        </w:rPr>
        <w:t>A.</w:t>
      </w:r>
      <w:r w:rsidRPr="00F33908">
        <w:rPr>
          <w:rFonts w:ascii="Times" w:hAnsi="Times"/>
          <w:b/>
        </w:rPr>
        <w:tab/>
      </w:r>
      <w:r w:rsidRPr="00F33908">
        <w:rPr>
          <w:rFonts w:ascii="Times" w:hAnsi="Times"/>
          <w:b/>
        </w:rPr>
        <w:tab/>
      </w:r>
      <w:r w:rsidRPr="00F33908">
        <w:rPr>
          <w:rFonts w:ascii="Times" w:hAnsi="Times"/>
          <w:b/>
        </w:rPr>
        <w:tab/>
      </w:r>
      <w:r w:rsidRPr="00F33908">
        <w:rPr>
          <w:rFonts w:ascii="Times" w:hAnsi="Times"/>
          <w:b/>
        </w:rPr>
        <w:tab/>
      </w:r>
      <w:r w:rsidR="006912DB" w:rsidRPr="007A3223">
        <w:rPr>
          <w:rFonts w:ascii="Times" w:hAnsi="Times"/>
          <w:b/>
        </w:rPr>
        <w:tab/>
        <w:t xml:space="preserve">         </w:t>
      </w:r>
      <w:r w:rsidRPr="007A3223">
        <w:rPr>
          <w:rFonts w:ascii="Times" w:hAnsi="Times"/>
          <w:b/>
        </w:rPr>
        <w:t>B.</w:t>
      </w:r>
    </w:p>
    <w:p w14:paraId="11F9A0CE" w14:textId="4C066923" w:rsidR="004269C3" w:rsidRPr="007A3223" w:rsidRDefault="004269C3" w:rsidP="004269C3">
      <w:pPr>
        <w:pStyle w:val="Caption"/>
        <w:rPr>
          <w:rFonts w:ascii="Times" w:hAnsi="Times"/>
          <w:sz w:val="22"/>
          <w:u w:val="single"/>
        </w:rPr>
      </w:pPr>
      <w:bookmarkStart w:id="41" w:name="_Ref405293878"/>
      <w:r w:rsidRPr="007A3223">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4</w:t>
      </w:r>
      <w:r w:rsidR="00F82420" w:rsidRPr="00F33908">
        <w:rPr>
          <w:noProof/>
        </w:rPr>
        <w:fldChar w:fldCharType="end"/>
      </w:r>
      <w:bookmarkEnd w:id="41"/>
      <w:r w:rsidRPr="007A3223">
        <w:t xml:space="preserve">. </w:t>
      </w:r>
      <w:r w:rsidRPr="00F33908">
        <w:rPr>
          <w:rFonts w:ascii="Times" w:hAnsi="Times"/>
          <w:b w:val="0"/>
          <w:sz w:val="22"/>
          <w:u w:val="single"/>
        </w:rPr>
        <w:t>Patients receiving olaparib/cediranib had a larger fold increase median increase in CEC compared to olaparib</w:t>
      </w:r>
      <w:r w:rsidRPr="007A3223">
        <w:rPr>
          <w:rFonts w:ascii="Times" w:hAnsi="Times"/>
          <w:b w:val="0"/>
          <w:sz w:val="22"/>
          <w:u w:val="single"/>
        </w:rPr>
        <w:t xml:space="preserve"> alone (A) and the fold increase was associated with PFS (B). * represent</w:t>
      </w:r>
      <w:r w:rsidRPr="007A3223">
        <w:rPr>
          <w:rFonts w:ascii="Times" w:hAnsi="Times"/>
          <w:b w:val="0"/>
          <w:sz w:val="22"/>
          <w:u w:val="single"/>
          <w:lang w:eastAsia="ko-KR"/>
        </w:rPr>
        <w:t>s</w:t>
      </w:r>
      <w:r w:rsidRPr="007A3223">
        <w:rPr>
          <w:rFonts w:ascii="Times" w:hAnsi="Times"/>
          <w:b w:val="0"/>
          <w:sz w:val="22"/>
          <w:u w:val="single"/>
        </w:rPr>
        <w:t xml:space="preserve"> patients whose times at risk were censored on the date of their last contact and were last reported alive and progression-free.</w:t>
      </w:r>
    </w:p>
    <w:p w14:paraId="309AB815" w14:textId="77777777" w:rsidR="00DB31AA" w:rsidRPr="007A3223" w:rsidRDefault="00DB31AA" w:rsidP="00AC750A">
      <w:pPr>
        <w:spacing w:after="0"/>
      </w:pPr>
    </w:p>
    <w:p w14:paraId="3A94CEC7" w14:textId="77777777" w:rsidR="007A6E6D" w:rsidRPr="007A3223" w:rsidRDefault="007A6E6D" w:rsidP="00541C93">
      <w:pPr>
        <w:pStyle w:val="Heading4"/>
      </w:pPr>
      <w:r w:rsidRPr="007A3223">
        <w:t xml:space="preserve">Immune system modulation by targeted agents </w:t>
      </w:r>
      <w:r w:rsidR="000F3352" w:rsidRPr="007A3223">
        <w:t xml:space="preserve">and </w:t>
      </w:r>
      <w:r w:rsidR="00783690" w:rsidRPr="007A3223">
        <w:t xml:space="preserve">in </w:t>
      </w:r>
      <w:r w:rsidR="000F3352" w:rsidRPr="007A3223">
        <w:t>combina</w:t>
      </w:r>
      <w:r w:rsidRPr="007A3223">
        <w:t>t</w:t>
      </w:r>
      <w:r w:rsidR="000F3352" w:rsidRPr="007A3223">
        <w:t>i</w:t>
      </w:r>
      <w:r w:rsidRPr="007A3223">
        <w:t>on with immune checkpoint</w:t>
      </w:r>
      <w:r w:rsidR="00376C54" w:rsidRPr="007A3223">
        <w:t xml:space="preserve"> </w:t>
      </w:r>
      <w:r w:rsidRPr="007A3223">
        <w:t>blockade</w:t>
      </w:r>
    </w:p>
    <w:p w14:paraId="79CD7744" w14:textId="5EB32540" w:rsidR="007A6E6D" w:rsidRPr="007A3223" w:rsidRDefault="00444881" w:rsidP="00AC750A">
      <w:pPr>
        <w:spacing w:after="0"/>
        <w:ind w:firstLine="270"/>
        <w:rPr>
          <w:szCs w:val="24"/>
        </w:rPr>
      </w:pPr>
      <w:r w:rsidRPr="007A3223">
        <w:rPr>
          <w:szCs w:val="24"/>
        </w:rPr>
        <w:t>Emerging data further elucidates t</w:t>
      </w:r>
      <w:r w:rsidR="007A6E6D" w:rsidRPr="007A3223">
        <w:rPr>
          <w:szCs w:val="24"/>
        </w:rPr>
        <w:t xml:space="preserve">he molecular mechanisms underlying the immunogenic effects </w:t>
      </w:r>
      <w:r w:rsidR="00783690" w:rsidRPr="007A3223">
        <w:rPr>
          <w:szCs w:val="24"/>
        </w:rPr>
        <w:t>of tyrosine kinase inhibitors</w:t>
      </w:r>
      <w:hyperlink w:anchor="_ENREF_30" w:tooltip="Galluzzi, 2012 #29" w:history="1">
        <w:r w:rsidR="00F77861" w:rsidRPr="00244551">
          <w:rPr>
            <w:rStyle w:val="Hyperlink"/>
            <w:szCs w:val="24"/>
          </w:rPr>
          <w:fldChar w:fldCharType="begin"/>
        </w:r>
        <w:r w:rsidR="00F77861" w:rsidRPr="00244551">
          <w:rPr>
            <w:rStyle w:val="Hyperlink"/>
            <w:szCs w:val="24"/>
          </w:rPr>
          <w:instrText xml:space="preserve"> ADDIN EN.CITE &lt;EndNote&gt;&lt;Cite&gt;&lt;Author&gt;Galluzzi&lt;/Author&gt;&lt;Year&gt;2012&lt;/Year&gt;&lt;RecNum&gt;29&lt;/RecNum&gt;&lt;DisplayText&gt;&lt;style face="superscript"&gt;30&lt;/style&gt;&lt;/DisplayText&gt;&lt;record&gt;&lt;rec-number&gt;29&lt;/rec-number&gt;&lt;foreign-keys&gt;&lt;key app="EN" db-id="fd5pzdff0z5dt7er5swxsd2m2te2fd9saae5" timestamp="1426604751"&gt;29&lt;/key&gt;&lt;/foreign-keys&gt;&lt;ref-type name="Journal Article"&gt;17&lt;/ref-type&gt;&lt;contributors&gt;&lt;authors&gt;&lt;author&gt;Galluzzi, L.&lt;/author&gt;&lt;author&gt;Senovilla, L.&lt;/author&gt;&lt;author&gt;Zitvogel, L.&lt;/author&gt;&lt;author&gt;Kroemer, G.&lt;/author&gt;&lt;/authors&gt;&lt;/contributors&gt;&lt;auth-address&gt;INSERM U848, Institut Gustave Roussy, Pavillon de Recherche 1, 39 rue Camille Desmoulins, F-94805 Villejuif, France.&lt;/auth-address&gt;&lt;titles&gt;&lt;title&gt;The secret ally: immunostimulation by anticancer drugs&lt;/title&gt;&lt;secondary-title&gt;Nat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discovery&lt;/abbr-1&gt;&lt;/alt-periodical&gt;&lt;pages&gt;215-33&lt;/pages&gt;&lt;volume&gt;11&lt;/volume&gt;&lt;number&gt;3&lt;/number&gt;&lt;edition&gt;2012/02/04&lt;/edition&gt;&lt;keywords&gt;&lt;keyword&gt;Animals&lt;/keyword&gt;&lt;keyword&gt;Antigens, Neoplasm/immunology&lt;/keyword&gt;&lt;keyword&gt;Antineoplastic Agents/pharmacology/therapeutic use&lt;/keyword&gt;&lt;keyword&gt;Cancer Vaccines/*immunology/therapeutic use&lt;/keyword&gt;&lt;keyword&gt;Humans&lt;/keyword&gt;&lt;keyword&gt;Immunization/*methods/trends&lt;/keyword&gt;&lt;keyword&gt;Neoplasms/drug therapy/*immunology/prevention &amp;amp; control&lt;/keyword&gt;&lt;/keywords&gt;&lt;dates&gt;&lt;year&gt;2012&lt;/year&gt;&lt;pub-dates&gt;&lt;date&gt;Mar&lt;/date&gt;&lt;/pub-dates&gt;&lt;/dates&gt;&lt;isbn&gt;1474-1784 (Electronic)&amp;#xD;1474-1776 (Linking)&lt;/isbn&gt;&lt;accession-num&gt;22301798&lt;/accession-num&gt;&lt;work-type&gt;Research Support, Non-U.S. Gov&amp;apos;t&amp;#xD;Review&lt;/work-type&gt;&lt;urls&gt;&lt;related-urls&gt;&lt;url&gt;http://www.ncbi.nlm.nih.gov/pubmed/22301798&lt;/url&gt;&lt;/related-urls&gt;&lt;/urls&gt;&lt;electronic-resource-num&gt;10.1038/nrd3626&lt;/electronic-resource-num&gt;&lt;language&gt;eng&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30</w:t>
        </w:r>
        <w:r w:rsidR="00F77861" w:rsidRPr="00244551">
          <w:rPr>
            <w:rStyle w:val="Hyperlink"/>
            <w:szCs w:val="24"/>
          </w:rPr>
          <w:fldChar w:fldCharType="end"/>
        </w:r>
      </w:hyperlink>
      <w:r w:rsidR="00070021" w:rsidRPr="007A3223">
        <w:rPr>
          <w:szCs w:val="24"/>
        </w:rPr>
        <w:t xml:space="preserve"> and </w:t>
      </w:r>
      <w:r w:rsidR="007A18CB" w:rsidRPr="00F33908">
        <w:rPr>
          <w:rFonts w:eastAsia="Times New Roman"/>
          <w:szCs w:val="24"/>
        </w:rPr>
        <w:t>VEGF</w:t>
      </w:r>
      <w:r w:rsidR="00070021" w:rsidRPr="007A3223">
        <w:rPr>
          <w:rFonts w:eastAsia="Times New Roman"/>
          <w:szCs w:val="24"/>
        </w:rPr>
        <w:t xml:space="preserve"> has been shown to</w:t>
      </w:r>
      <w:r w:rsidR="007A18CB" w:rsidRPr="007A3223">
        <w:rPr>
          <w:rFonts w:eastAsia="Times New Roman"/>
          <w:szCs w:val="24"/>
        </w:rPr>
        <w:t xml:space="preserve"> </w:t>
      </w:r>
      <w:r w:rsidR="00070021" w:rsidRPr="007A3223">
        <w:rPr>
          <w:szCs w:val="24"/>
        </w:rPr>
        <w:t>negatively alter</w:t>
      </w:r>
      <w:r w:rsidR="007A18CB" w:rsidRPr="007A3223">
        <w:rPr>
          <w:szCs w:val="24"/>
        </w:rPr>
        <w:t xml:space="preserve"> antitumor immune responses in preclinical and clinical models, including the prolifer</w:t>
      </w:r>
      <w:r w:rsidR="00FC740D" w:rsidRPr="007A3223">
        <w:rPr>
          <w:szCs w:val="24"/>
        </w:rPr>
        <w:t xml:space="preserve">ation of Tregs, inhibition of T </w:t>
      </w:r>
      <w:r w:rsidR="007A18CB" w:rsidRPr="007A3223">
        <w:rPr>
          <w:szCs w:val="24"/>
        </w:rPr>
        <w:t>cell responses</w:t>
      </w:r>
      <w:hyperlink w:anchor="_ENREF_37" w:tooltip="Terme, 2013 #36" w:history="1">
        <w:r w:rsidR="00F77861" w:rsidRPr="00244551">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 </w:instrText>
        </w:r>
        <w:r w:rsidR="00F77861" w:rsidRPr="003A255F">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EN.CITE.DATA </w:instrText>
        </w:r>
        <w:r w:rsidR="00F77861" w:rsidRPr="003A255F">
          <w:rPr>
            <w:rStyle w:val="Hyperlink"/>
            <w:szCs w:val="24"/>
          </w:rPr>
        </w:r>
        <w:r w:rsidR="00F77861" w:rsidRPr="003A255F">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37</w:t>
        </w:r>
        <w:r w:rsidR="00F77861" w:rsidRPr="00244551">
          <w:rPr>
            <w:rStyle w:val="Hyperlink"/>
            <w:szCs w:val="24"/>
          </w:rPr>
          <w:fldChar w:fldCharType="end"/>
        </w:r>
      </w:hyperlink>
      <w:r w:rsidR="007A18CB" w:rsidRPr="007A3223">
        <w:rPr>
          <w:szCs w:val="24"/>
        </w:rPr>
        <w:t>, and accumulation of MDSCs</w:t>
      </w:r>
      <w:hyperlink w:anchor="_ENREF_38" w:tooltip="Gabrilovich, 2012 #37" w:history="1">
        <w:r w:rsidR="00F77861" w:rsidRPr="00244551">
          <w:rPr>
            <w:rStyle w:val="Hyperlink"/>
            <w:szCs w:val="24"/>
          </w:rPr>
          <w:fldChar w:fldCharType="begin">
            <w:fldData xml:space="preserve">PEVuZE5vdGU+PENpdGU+PEF1dGhvcj5HYWJyaWxvdmljaDwvQXV0aG9yPjxZZWFyPjIwMTI8L1ll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LXBlcmlvZGljYWw+PHBhZ2VzPjI1My02ODwvcGFnZXM+PHZvbHVtZT4xMjwvdm9sdW1lPjxudW1i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Ly93d3cubmNiaS5ubG0ubmloLmdvdi9wdWJtZWQvMjM0NDA0MjY8L3VybD48L3JlbGF0ZWQtdXJs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bD48cGFnZXM+NDkyOTIwPC9wYWdlcz48dm9sdW1lPjIwMTI8L3ZvbHVtZT48ZWRpdGlvbj4yMDEz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</w:fldData>
          </w:fldChar>
        </w:r>
        <w:r w:rsidR="00F77861" w:rsidRPr="00244551">
          <w:rPr>
            <w:rStyle w:val="Hyperlink"/>
            <w:szCs w:val="24"/>
          </w:rPr>
          <w:instrText xml:space="preserve"> ADDIN EN.CITE </w:instrText>
        </w:r>
        <w:r w:rsidR="00F77861" w:rsidRPr="003A255F">
          <w:rPr>
            <w:rStyle w:val="Hyperlink"/>
            <w:szCs w:val="24"/>
          </w:rPr>
          <w:fldChar w:fldCharType="begin">
            <w:fldData xml:space="preserve">PEVuZE5vdGU+PENpdGU+PEF1dGhvcj5HYWJyaWxvdmljaDwvQXV0aG9yPjxZZWFyPjIwMTI8L1ll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LXBlcmlvZGljYWw+PHBhZ2VzPjI1My02ODwvcGFnZXM+PHZvbHVtZT4xMjwvdm9sdW1lPjxudW1i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bD48cGFnZXM+NDkyOTIwPC9wYWdlcz48dm9sdW1lPjIwMTI8L3ZvbHVtZT48ZWRpdGlvbj4yMDEz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</w:fldData>
          </w:fldChar>
        </w:r>
        <w:r w:rsidR="00F77861" w:rsidRPr="00244551">
          <w:rPr>
            <w:rStyle w:val="Hyperlink"/>
            <w:szCs w:val="24"/>
          </w:rPr>
          <w:instrText xml:space="preserve"> ADDIN EN.CITE.DATA </w:instrText>
        </w:r>
        <w:r w:rsidR="00F77861" w:rsidRPr="003A255F">
          <w:rPr>
            <w:rStyle w:val="Hyperlink"/>
            <w:szCs w:val="24"/>
          </w:rPr>
        </w:r>
        <w:r w:rsidR="00F77861" w:rsidRPr="003A255F">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38-40</w:t>
        </w:r>
        <w:r w:rsidR="00F77861" w:rsidRPr="00244551">
          <w:rPr>
            <w:rStyle w:val="Hyperlink"/>
            <w:szCs w:val="24"/>
          </w:rPr>
          <w:fldChar w:fldCharType="end"/>
        </w:r>
      </w:hyperlink>
      <w:r w:rsidR="007A18CB" w:rsidRPr="007A3223">
        <w:rPr>
          <w:szCs w:val="24"/>
        </w:rPr>
        <w:t>.</w:t>
      </w:r>
      <w:r w:rsidR="007A18CB" w:rsidRPr="00F33908">
        <w:rPr>
          <w:color w:val="141413"/>
          <w:szCs w:val="24"/>
        </w:rPr>
        <w:t xml:space="preserve"> </w:t>
      </w:r>
      <w:r w:rsidR="007A6E6D" w:rsidRPr="007A3223">
        <w:rPr>
          <w:szCs w:val="24"/>
        </w:rPr>
        <w:t xml:space="preserve">VEGFR </w:t>
      </w:r>
      <w:r w:rsidR="00783690" w:rsidRPr="007A3223">
        <w:rPr>
          <w:szCs w:val="24"/>
        </w:rPr>
        <w:t>tyrosine kinase inhibitors</w:t>
      </w:r>
      <w:r w:rsidR="007A6E6D" w:rsidRPr="007A3223">
        <w:rPr>
          <w:szCs w:val="24"/>
        </w:rPr>
        <w:t xml:space="preserve"> such as sunitinib have been associated with decreased levels of infiltrating Treg cells and MDSCs in patients with renal cell carcinoma (RCC)</w:t>
      </w:r>
      <w:hyperlink w:anchor="_ENREF_66" w:tooltip="Adotevi, 2010 #66" w:history="1">
        <w:r w:rsidR="00F77861" w:rsidRPr="00244551">
          <w:rPr>
            <w:rStyle w:val="Hyperlink"/>
            <w:szCs w:val="24"/>
          </w:rPr>
          <w:fldChar w:fldCharType="begin">
            <w:fldData xml:space="preserve">PEVuZE5vdGU+PENpdGU+PEF1dGhvcj5BZG90ZXZpPC9BdXRob3I+PFllYXI+MjAxMDwvWWVhcj48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cz42Njc0LTgyPC9wYWdlcz48dm9sdW1lPjE0PC92b2x1bWU+PG51bWJlcj4yMDwvbnVtYmVyPjxl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ci0xPjwvYWx0LXBlcmlvZGljYWw+PHBhZ2VzPjUwNy0xMjwvcGFnZXM+PHZvbHVtZT4xMjk8L3Zv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</w:fldData>
          </w:fldChar>
        </w:r>
        <w:r w:rsidR="00F77861" w:rsidRPr="00244551">
          <w:rPr>
            <w:rStyle w:val="Hyperlink"/>
            <w:szCs w:val="24"/>
          </w:rPr>
          <w:instrText xml:space="preserve"> ADDIN EN.CITE </w:instrText>
        </w:r>
        <w:r w:rsidR="00F77861" w:rsidRPr="003A255F">
          <w:rPr>
            <w:rStyle w:val="Hyperlink"/>
            <w:szCs w:val="24"/>
          </w:rPr>
          <w:fldChar w:fldCharType="begin">
            <w:fldData xml:space="preserve">PEVuZE5vdGU+PENpdGU+PEF1dGhvcj5BZG90ZXZpPC9BdXRob3I+PFllYXI+MjAxMDwvWWVhcj48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cz42Njc0LTgyPC9wYWdlcz48dm9sdW1lPjE0PC92b2x1bWU+PG51bWJlcj4yMDwvbnVtYmVyPjxl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</w:fldData>
          </w:fldChar>
        </w:r>
        <w:r w:rsidR="00F77861" w:rsidRPr="00244551">
          <w:rPr>
            <w:rStyle w:val="Hyperlink"/>
            <w:szCs w:val="24"/>
          </w:rPr>
          <w:instrText xml:space="preserve"> ADDIN EN.CITE.DATA </w:instrText>
        </w:r>
        <w:r w:rsidR="00F77861" w:rsidRPr="003A255F">
          <w:rPr>
            <w:rStyle w:val="Hyperlink"/>
            <w:szCs w:val="24"/>
          </w:rPr>
        </w:r>
        <w:r w:rsidR="00F77861" w:rsidRPr="003A255F">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66-69</w:t>
        </w:r>
        <w:r w:rsidR="00F77861" w:rsidRPr="00244551">
          <w:rPr>
            <w:rStyle w:val="Hyperlink"/>
            <w:szCs w:val="24"/>
          </w:rPr>
          <w:fldChar w:fldCharType="end"/>
        </w:r>
      </w:hyperlink>
      <w:r w:rsidR="007A6E6D" w:rsidRPr="007A3223">
        <w:rPr>
          <w:szCs w:val="24"/>
        </w:rPr>
        <w:t>, and facilitate the development of antitumor</w:t>
      </w:r>
      <w:r w:rsidR="007A6E6D" w:rsidRPr="00F33908">
        <w:rPr>
          <w:szCs w:val="24"/>
        </w:rPr>
        <w:t xml:space="preserve"> T</w:t>
      </w:r>
      <w:r w:rsidR="007A6E6D" w:rsidRPr="007A3223">
        <w:rPr>
          <w:szCs w:val="24"/>
          <w:vertAlign w:val="subscript"/>
        </w:rPr>
        <w:t>H1</w:t>
      </w:r>
      <w:r w:rsidR="007A6E6D" w:rsidRPr="007A3223">
        <w:rPr>
          <w:szCs w:val="24"/>
        </w:rPr>
        <w:t xml:space="preserve"> responses</w:t>
      </w:r>
      <w:hyperlink w:anchor="_ENREF_67" w:tooltip="Finke, 2008 #67" w:history="1">
        <w:r w:rsidR="00F77861" w:rsidRPr="00244551">
          <w:rPr>
            <w:rStyle w:val="Hyperlink"/>
            <w:szCs w:val="24"/>
          </w:rPr>
          <w:fldChar w:fldCharType="begin">
            <w:fldData xml:space="preserve">PEVuZE5vdGU+PENpdGU+PEF1dGhvcj5GaW5rZTwvQXV0aG9yPjxZZWFyPjIwMDg8L1llYXI+PFJl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L2FsdC1wZXJpb2RpY2FsPjxwYWdlcz42Njc0LTgyPC9wYWdlcz48dm9sdW1lPjE0PC92b2x1bWU+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</w:fldData>
          </w:fldChar>
        </w:r>
        <w:r w:rsidR="00F77861" w:rsidRPr="00244551">
          <w:rPr>
            <w:rStyle w:val="Hyperlink"/>
            <w:szCs w:val="24"/>
          </w:rPr>
          <w:instrText xml:space="preserve"> ADDIN EN.CITE </w:instrText>
        </w:r>
        <w:r w:rsidR="00F77861" w:rsidRPr="003A255F">
          <w:rPr>
            <w:rStyle w:val="Hyperlink"/>
            <w:szCs w:val="24"/>
          </w:rPr>
          <w:fldChar w:fldCharType="begin">
            <w:fldData xml:space="preserve">PEVuZE5vdGU+PENpdGU+PEF1dGhvcj5GaW5rZTwvQXV0aG9yPjxZZWFyPjIwMDg8L1llYXI+PFJl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L2FsdC1wZXJpb2RpY2FsPjxwYWdlcz42Njc0LTgyPC9wYWdlcz48dm9sdW1lPjE0PC92b2x1bWU+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</w:fldData>
          </w:fldChar>
        </w:r>
        <w:r w:rsidR="00F77861" w:rsidRPr="00244551">
          <w:rPr>
            <w:rStyle w:val="Hyperlink"/>
            <w:szCs w:val="24"/>
          </w:rPr>
          <w:instrText xml:space="preserve"> ADDIN EN.CITE.DATA </w:instrText>
        </w:r>
        <w:r w:rsidR="00F77861" w:rsidRPr="003A255F">
          <w:rPr>
            <w:rStyle w:val="Hyperlink"/>
            <w:szCs w:val="24"/>
          </w:rPr>
        </w:r>
        <w:r w:rsidR="00F77861" w:rsidRPr="003A255F">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67</w:t>
        </w:r>
        <w:r w:rsidR="00F77861" w:rsidRPr="00244551">
          <w:rPr>
            <w:rStyle w:val="Hyperlink"/>
            <w:szCs w:val="24"/>
          </w:rPr>
          <w:fldChar w:fldCharType="end"/>
        </w:r>
      </w:hyperlink>
      <w:r w:rsidR="007A6E6D" w:rsidRPr="007A3223">
        <w:rPr>
          <w:szCs w:val="24"/>
        </w:rPr>
        <w:t xml:space="preserve">. </w:t>
      </w:r>
      <w:r w:rsidR="007A6E6D" w:rsidRPr="00F33908">
        <w:rPr>
          <w:rFonts w:eastAsia="Times New Roman"/>
          <w:szCs w:val="24"/>
        </w:rPr>
        <w:t>These results indicate that VEGFR inhibitors may promote antitumor immune response in recurrent ovarian cancer</w:t>
      </w:r>
      <w:r w:rsidR="007A6E6D" w:rsidRPr="007A3223">
        <w:rPr>
          <w:rFonts w:eastAsia="Times New Roman"/>
          <w:szCs w:val="24"/>
        </w:rPr>
        <w:t>s</w:t>
      </w:r>
      <w:r w:rsidR="002457B0" w:rsidRPr="00585A7F">
        <w:rPr>
          <w:szCs w:val="24"/>
        </w:rPr>
        <w:fldChar w:fldCharType="begin">
          <w:fldData xml:space="preserve">PEVuZE5vdGU+PENpdGU+PEF1dGhvcj5MZWU8L0F1dGhvcj48WWVhcj4yMDE0PC9ZZWFyPjxSZWNO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</w:fldData>
        </w:fldChar>
      </w:r>
      <w:r w:rsidR="00A756D5" w:rsidRPr="007A3223">
        <w:rPr>
          <w:szCs w:val="24"/>
        </w:rPr>
        <w:instrText xml:space="preserve"> ADDIN EN.CITE </w:instrText>
      </w:r>
      <w:r w:rsidR="00A756D5" w:rsidRPr="003A255F">
        <w:rPr>
          <w:szCs w:val="24"/>
        </w:rPr>
        <w:fldChar w:fldCharType="begin">
          <w:fldData xml:space="preserve">PEVuZE5vdGU+PENpdGU+PEF1dGhvcj5MZWU8L0F1dGhvcj48WWVhcj4yMDE0PC9ZZWFyPjxSZWNO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</w:fldData>
        </w:fldChar>
      </w:r>
      <w:r w:rsidR="00A756D5" w:rsidRPr="007A3223">
        <w:rPr>
          <w:szCs w:val="24"/>
        </w:rPr>
        <w:instrText xml:space="preserve"> ADDIN EN.CITE.DATA </w:instrText>
      </w:r>
      <w:r w:rsidR="00A756D5" w:rsidRPr="003A255F">
        <w:rPr>
          <w:szCs w:val="24"/>
        </w:rPr>
      </w:r>
      <w:r w:rsidR="00A756D5" w:rsidRPr="003A255F">
        <w:rPr>
          <w:szCs w:val="24"/>
        </w:rPr>
        <w:fldChar w:fldCharType="end"/>
      </w:r>
      <w:r w:rsidR="002457B0" w:rsidRPr="00585A7F">
        <w:rPr>
          <w:szCs w:val="24"/>
        </w:rPr>
      </w:r>
      <w:r w:rsidR="002457B0" w:rsidRPr="00585A7F">
        <w:rPr>
          <w:szCs w:val="24"/>
        </w:rPr>
        <w:fldChar w:fldCharType="separate"/>
      </w:r>
      <w:hyperlink w:anchor="_ENREF_46" w:tooltip="Matulonis, 2009 #45" w:history="1">
        <w:r w:rsidR="00F77861" w:rsidRPr="00244551">
          <w:rPr>
            <w:rStyle w:val="Hyperlink"/>
            <w:noProof/>
            <w:szCs w:val="24"/>
            <w:vertAlign w:val="superscript"/>
          </w:rPr>
          <w:t>46</w:t>
        </w:r>
      </w:hyperlink>
      <w:r w:rsidR="00DD2541" w:rsidRPr="00F33908">
        <w:rPr>
          <w:noProof/>
          <w:szCs w:val="24"/>
          <w:vertAlign w:val="superscript"/>
        </w:rPr>
        <w:t>,</w:t>
      </w:r>
      <w:hyperlink w:anchor="_ENREF_57" w:tooltip="Lee JM, 2014 #68" w:history="1">
        <w:r w:rsidR="00F77861" w:rsidRPr="00244551">
          <w:rPr>
            <w:rStyle w:val="Hyperlink"/>
            <w:noProof/>
            <w:szCs w:val="24"/>
            <w:vertAlign w:val="superscript"/>
          </w:rPr>
          <w:t>57</w:t>
        </w:r>
      </w:hyperlink>
      <w:r w:rsidR="002457B0" w:rsidRPr="00585A7F">
        <w:rPr>
          <w:szCs w:val="24"/>
        </w:rPr>
        <w:fldChar w:fldCharType="end"/>
      </w:r>
      <w:r w:rsidR="007A6E6D" w:rsidRPr="007A3223">
        <w:rPr>
          <w:rFonts w:eastAsia="Times New Roman"/>
          <w:szCs w:val="24"/>
        </w:rPr>
        <w:t xml:space="preserve"> and </w:t>
      </w:r>
      <w:r w:rsidR="00EE75B9" w:rsidRPr="00F33908">
        <w:rPr>
          <w:rFonts w:eastAsia="Times New Roman"/>
          <w:szCs w:val="24"/>
        </w:rPr>
        <w:t xml:space="preserve">suggest that </w:t>
      </w:r>
      <w:r w:rsidR="007A6E6D" w:rsidRPr="007A3223">
        <w:rPr>
          <w:rFonts w:eastAsia="Times New Roman"/>
          <w:szCs w:val="24"/>
        </w:rPr>
        <w:t>combination with a PD-L1 inhibitor a logical combination for examination.</w:t>
      </w:r>
    </w:p>
    <w:p w14:paraId="5A6556C6" w14:textId="77777777" w:rsidR="007A6E6D" w:rsidRPr="007A3223" w:rsidRDefault="007A6E6D" w:rsidP="00AC750A">
      <w:pPr>
        <w:spacing w:after="0"/>
        <w:ind w:firstLine="270"/>
        <w:rPr>
          <w:rFonts w:eastAsia="Times New Roman"/>
          <w:szCs w:val="24"/>
        </w:rPr>
      </w:pPr>
      <w:r w:rsidRPr="007A3223">
        <w:rPr>
          <w:szCs w:val="24"/>
        </w:rPr>
        <w:t>Nivolumab in combination with sunitinib or pazopanib is currently under evaluation in metastatic clear-</w:t>
      </w:r>
      <w:r w:rsidRPr="007A3223">
        <w:rPr>
          <w:rFonts w:eastAsia="Times New Roman"/>
          <w:szCs w:val="24"/>
        </w:rPr>
        <w:t>cell</w:t>
      </w:r>
      <w:r w:rsidRPr="007A3223">
        <w:rPr>
          <w:szCs w:val="24"/>
        </w:rPr>
        <w:t xml:space="preserve"> RCC patients who have received prior antiangiogenic therapy (NCT01472081). Preliminary results of this phase I study were reported at 2014 ASCO. </w:t>
      </w:r>
      <w:r w:rsidRPr="007A3223">
        <w:rPr>
          <w:rFonts w:eastAsia="Times New Roman"/>
          <w:szCs w:val="24"/>
        </w:rPr>
        <w:t>Sunitinib (50</w:t>
      </w:r>
      <w:r w:rsidR="00C5578D" w:rsidRPr="007A3223">
        <w:rPr>
          <w:rFonts w:eastAsia="Times New Roman"/>
          <w:szCs w:val="24"/>
        </w:rPr>
        <w:t xml:space="preserve"> </w:t>
      </w:r>
      <w:r w:rsidRPr="007A3223">
        <w:rPr>
          <w:rFonts w:eastAsia="Times New Roman"/>
          <w:szCs w:val="24"/>
        </w:rPr>
        <w:t>mg, 4 weeks on, 2 weeks off) or pazopanib (800 mg daily) was administered with nivolumab at 2</w:t>
      </w:r>
      <w:r w:rsidR="00C5578D" w:rsidRPr="007A3223">
        <w:rPr>
          <w:rFonts w:eastAsia="Times New Roman"/>
          <w:szCs w:val="24"/>
        </w:rPr>
        <w:t xml:space="preserve"> </w:t>
      </w:r>
      <w:r w:rsidRPr="007A3223">
        <w:rPr>
          <w:rFonts w:eastAsia="Times New Roman"/>
          <w:szCs w:val="24"/>
        </w:rPr>
        <w:t>mg/kg or 5</w:t>
      </w:r>
      <w:r w:rsidR="00C5578D" w:rsidRPr="007A3223">
        <w:rPr>
          <w:rFonts w:eastAsia="Times New Roman"/>
          <w:szCs w:val="24"/>
        </w:rPr>
        <w:t xml:space="preserve"> </w:t>
      </w:r>
      <w:r w:rsidRPr="007A3223">
        <w:rPr>
          <w:rFonts w:eastAsia="Times New Roman"/>
          <w:szCs w:val="24"/>
        </w:rPr>
        <w:t xml:space="preserve">mg/kg IV every 3 weeks. Thirty-three patients were treated with sunitinib/nivolumab (S/N; 7 </w:t>
      </w:r>
      <w:r w:rsidRPr="007A3223">
        <w:rPr>
          <w:szCs w:val="24"/>
        </w:rPr>
        <w:t>patients</w:t>
      </w:r>
      <w:r w:rsidRPr="007A3223">
        <w:rPr>
          <w:rFonts w:eastAsia="Times New Roman"/>
          <w:szCs w:val="24"/>
        </w:rPr>
        <w:t xml:space="preserve"> on 2</w:t>
      </w:r>
      <w:r w:rsidR="00C5578D" w:rsidRPr="007A3223">
        <w:rPr>
          <w:rFonts w:eastAsia="Times New Roman"/>
          <w:szCs w:val="24"/>
        </w:rPr>
        <w:t xml:space="preserve"> </w:t>
      </w:r>
      <w:r w:rsidRPr="007A3223">
        <w:rPr>
          <w:rFonts w:eastAsia="Times New Roman"/>
          <w:szCs w:val="24"/>
        </w:rPr>
        <w:t>mg/kg of N and 26 patients on 5</w:t>
      </w:r>
      <w:r w:rsidR="00C5578D" w:rsidRPr="007A3223">
        <w:rPr>
          <w:rFonts w:eastAsia="Times New Roman"/>
          <w:szCs w:val="24"/>
        </w:rPr>
        <w:t xml:space="preserve"> </w:t>
      </w:r>
      <w:r w:rsidRPr="007A3223">
        <w:rPr>
          <w:rFonts w:eastAsia="Times New Roman"/>
          <w:szCs w:val="24"/>
        </w:rPr>
        <w:t xml:space="preserve">mg/kg of N), no </w:t>
      </w:r>
      <w:r w:rsidRPr="007A3223">
        <w:rPr>
          <w:color w:val="000000"/>
          <w:szCs w:val="24"/>
        </w:rPr>
        <w:t>dose-limiting toxicities (</w:t>
      </w:r>
      <w:r w:rsidRPr="007A3223">
        <w:rPr>
          <w:rFonts w:eastAsia="Times New Roman"/>
          <w:szCs w:val="24"/>
        </w:rPr>
        <w:t>DLTs) were observed. There were 4 DLTs in 20 patients treated with pazopanib</w:t>
      </w:r>
      <w:r w:rsidR="00C5578D" w:rsidRPr="007A3223">
        <w:rPr>
          <w:rFonts w:eastAsia="Times New Roman"/>
          <w:szCs w:val="24"/>
        </w:rPr>
        <w:t>/nivolumab</w:t>
      </w:r>
      <w:r w:rsidRPr="007A3223">
        <w:rPr>
          <w:rFonts w:eastAsia="Times New Roman"/>
          <w:szCs w:val="24"/>
        </w:rPr>
        <w:t xml:space="preserve"> (P/N) at 2</w:t>
      </w:r>
      <w:r w:rsidR="00AD2FE3" w:rsidRPr="007A3223">
        <w:rPr>
          <w:rFonts w:eastAsia="Times New Roman"/>
          <w:szCs w:val="24"/>
        </w:rPr>
        <w:t xml:space="preserve"> </w:t>
      </w:r>
      <w:r w:rsidRPr="007A3223">
        <w:rPr>
          <w:rFonts w:eastAsia="Times New Roman"/>
          <w:szCs w:val="24"/>
        </w:rPr>
        <w:t xml:space="preserve">mg/kg (elevated ALT/AST [n=3], fatigue [n=1]), leading to closure of this arm. This indicates that combination of </w:t>
      </w:r>
      <w:r w:rsidR="00C5578D" w:rsidRPr="007A3223">
        <w:rPr>
          <w:rFonts w:eastAsia="Times New Roman"/>
          <w:szCs w:val="24"/>
        </w:rPr>
        <w:t xml:space="preserve">some </w:t>
      </w:r>
      <w:r w:rsidR="00783690" w:rsidRPr="007A3223">
        <w:rPr>
          <w:szCs w:val="24"/>
        </w:rPr>
        <w:t>tyrosine kinase inhibitors</w:t>
      </w:r>
      <w:r w:rsidRPr="007A3223">
        <w:rPr>
          <w:rFonts w:eastAsia="Times New Roman"/>
          <w:szCs w:val="24"/>
        </w:rPr>
        <w:t xml:space="preserve"> with a PD-</w:t>
      </w:r>
      <w:r w:rsidRPr="007A3223">
        <w:rPr>
          <w:rFonts w:eastAsia="Times New Roman"/>
          <w:szCs w:val="24"/>
        </w:rPr>
        <w:lastRenderedPageBreak/>
        <w:t>1 inhibitor may have increase</w:t>
      </w:r>
      <w:r w:rsidR="00C5578D" w:rsidRPr="007A3223">
        <w:rPr>
          <w:rFonts w:eastAsia="Times New Roman"/>
          <w:szCs w:val="24"/>
        </w:rPr>
        <w:t>d</w:t>
      </w:r>
      <w:r w:rsidRPr="007A3223">
        <w:rPr>
          <w:rFonts w:eastAsia="Times New Roman"/>
          <w:szCs w:val="24"/>
        </w:rPr>
        <w:t xml:space="preserve"> toxicity. Most common related grade 3 or 4 </w:t>
      </w:r>
      <w:r w:rsidR="00783690" w:rsidRPr="007A3223">
        <w:rPr>
          <w:rFonts w:eastAsia="Times New Roman"/>
          <w:szCs w:val="24"/>
        </w:rPr>
        <w:t>AEs</w:t>
      </w:r>
      <w:r w:rsidRPr="007A3223">
        <w:rPr>
          <w:rFonts w:eastAsia="Times New Roman"/>
          <w:szCs w:val="24"/>
        </w:rPr>
        <w:t xml:space="preserve"> included elevated ALT (18</w:t>
      </w:r>
      <w:r w:rsidR="00FC5907" w:rsidRPr="007A3223">
        <w:rPr>
          <w:rFonts w:eastAsia="Times New Roman"/>
          <w:szCs w:val="24"/>
        </w:rPr>
        <w:t xml:space="preserve"> </w:t>
      </w:r>
      <w:r w:rsidRPr="007A3223">
        <w:rPr>
          <w:rFonts w:eastAsia="Times New Roman"/>
          <w:szCs w:val="24"/>
        </w:rPr>
        <w:t>%), hypertension and hyponatremia (15</w:t>
      </w:r>
      <w:r w:rsidR="00FC5907" w:rsidRPr="007A3223">
        <w:rPr>
          <w:rFonts w:eastAsia="Times New Roman"/>
          <w:szCs w:val="24"/>
        </w:rPr>
        <w:t xml:space="preserve"> </w:t>
      </w:r>
      <w:r w:rsidRPr="007A3223">
        <w:rPr>
          <w:rFonts w:eastAsia="Times New Roman"/>
          <w:szCs w:val="24"/>
        </w:rPr>
        <w:t>% each) for S/N, and elevated ALT/ AST (20</w:t>
      </w:r>
      <w:r w:rsidR="00FC5907" w:rsidRPr="007A3223">
        <w:rPr>
          <w:rFonts w:eastAsia="Times New Roman"/>
          <w:szCs w:val="24"/>
        </w:rPr>
        <w:t xml:space="preserve"> </w:t>
      </w:r>
      <w:r w:rsidRPr="007A3223">
        <w:rPr>
          <w:rFonts w:eastAsia="Times New Roman"/>
          <w:szCs w:val="24"/>
        </w:rPr>
        <w:t>% each) and fatigue (15</w:t>
      </w:r>
      <w:r w:rsidR="00FC5907" w:rsidRPr="007A3223">
        <w:rPr>
          <w:rFonts w:eastAsia="Times New Roman"/>
          <w:szCs w:val="24"/>
        </w:rPr>
        <w:t xml:space="preserve"> </w:t>
      </w:r>
      <w:r w:rsidRPr="007A3223">
        <w:rPr>
          <w:rFonts w:eastAsia="Times New Roman"/>
          <w:szCs w:val="24"/>
        </w:rPr>
        <w:t>%) for P/N. ORR was 52</w:t>
      </w:r>
      <w:r w:rsidR="00FC5907" w:rsidRPr="007A3223">
        <w:rPr>
          <w:rFonts w:eastAsia="Times New Roman"/>
          <w:szCs w:val="24"/>
        </w:rPr>
        <w:t xml:space="preserve"> </w:t>
      </w:r>
      <w:r w:rsidRPr="007A3223">
        <w:rPr>
          <w:rFonts w:eastAsia="Times New Roman"/>
          <w:szCs w:val="24"/>
        </w:rPr>
        <w:t>% (17/33) in S/N arm and 45</w:t>
      </w:r>
      <w:r w:rsidR="00FC5907" w:rsidRPr="007A3223">
        <w:rPr>
          <w:rFonts w:eastAsia="Times New Roman"/>
          <w:szCs w:val="24"/>
        </w:rPr>
        <w:t xml:space="preserve"> </w:t>
      </w:r>
      <w:r w:rsidRPr="007A3223">
        <w:rPr>
          <w:rFonts w:eastAsia="Times New Roman"/>
          <w:szCs w:val="24"/>
        </w:rPr>
        <w:t>% (9/20) in P/N arm. These findings provide a basis for further investigating</w:t>
      </w:r>
      <w:r w:rsidR="00C5578D" w:rsidRPr="007A3223">
        <w:rPr>
          <w:rFonts w:eastAsia="Times New Roman"/>
          <w:szCs w:val="24"/>
        </w:rPr>
        <w:t xml:space="preserve"> the combination </w:t>
      </w:r>
      <w:r w:rsidR="00953DD7" w:rsidRPr="007A3223">
        <w:rPr>
          <w:rFonts w:eastAsia="Times New Roman"/>
          <w:szCs w:val="24"/>
        </w:rPr>
        <w:t>of immune</w:t>
      </w:r>
      <w:r w:rsidRPr="007A3223">
        <w:rPr>
          <w:rFonts w:eastAsia="Times New Roman"/>
          <w:szCs w:val="24"/>
        </w:rPr>
        <w:t xml:space="preserve"> checkpoint blockade and VEGFR </w:t>
      </w:r>
      <w:r w:rsidR="00783690" w:rsidRPr="007A3223">
        <w:rPr>
          <w:szCs w:val="24"/>
        </w:rPr>
        <w:t xml:space="preserve">tyrosine kinase inhibitors </w:t>
      </w:r>
      <w:r w:rsidRPr="007A3223">
        <w:rPr>
          <w:rFonts w:eastAsia="Times New Roman"/>
          <w:szCs w:val="24"/>
        </w:rPr>
        <w:t xml:space="preserve">in advanced solid tumors. </w:t>
      </w:r>
    </w:p>
    <w:p w14:paraId="7CBED97F" w14:textId="4065FFFC" w:rsidR="007A6E6D" w:rsidRPr="007A3223" w:rsidRDefault="007A6E6D" w:rsidP="00E227C5">
      <w:pPr>
        <w:spacing w:after="0"/>
        <w:ind w:firstLine="274"/>
        <w:rPr>
          <w:szCs w:val="24"/>
        </w:rPr>
      </w:pPr>
      <w:r w:rsidRPr="007A3223">
        <w:rPr>
          <w:rFonts w:eastAsia="Times New Roman"/>
          <w:szCs w:val="24"/>
        </w:rPr>
        <w:t>There are limited data on DNA damaging agents such as platinums</w:t>
      </w:r>
      <w:r w:rsidR="003F7A6B" w:rsidRPr="007A3223">
        <w:rPr>
          <w:rFonts w:eastAsia="Times New Roman"/>
          <w:szCs w:val="24"/>
        </w:rPr>
        <w:t>,</w:t>
      </w:r>
      <w:r w:rsidRPr="007A3223">
        <w:rPr>
          <w:rFonts w:eastAsia="Times New Roman"/>
          <w:szCs w:val="24"/>
        </w:rPr>
        <w:t xml:space="preserve"> and their immune modulation, </w:t>
      </w:r>
      <w:r w:rsidRPr="007A3223">
        <w:rPr>
          <w:szCs w:val="24"/>
        </w:rPr>
        <w:t>warranting further evaluation</w:t>
      </w:r>
      <w:r w:rsidRPr="007A3223">
        <w:rPr>
          <w:rFonts w:eastAsia="Times New Roman"/>
          <w:szCs w:val="24"/>
        </w:rPr>
        <w:t>. Lesterhuis</w:t>
      </w:r>
      <w:r w:rsidRPr="007A3223">
        <w:rPr>
          <w:szCs w:val="24"/>
        </w:rPr>
        <w:t xml:space="preserve"> </w:t>
      </w:r>
      <w:r w:rsidRPr="007A3223">
        <w:rPr>
          <w:i/>
          <w:szCs w:val="24"/>
        </w:rPr>
        <w:t>et al</w:t>
      </w:r>
      <w:r w:rsidR="008356D2" w:rsidRPr="007A3223">
        <w:rPr>
          <w:i/>
          <w:szCs w:val="24"/>
        </w:rPr>
        <w:t>.</w:t>
      </w:r>
      <w:r w:rsidRPr="007A3223">
        <w:rPr>
          <w:szCs w:val="24"/>
        </w:rPr>
        <w:t xml:space="preserve"> reported that </w:t>
      </w:r>
      <w:r w:rsidR="00EE75B9" w:rsidRPr="007A3223">
        <w:rPr>
          <w:szCs w:val="24"/>
        </w:rPr>
        <w:t xml:space="preserve">patients who were treated with weekly cisplatin in combination with radiotherapy had </w:t>
      </w:r>
      <w:r w:rsidRPr="007A3223">
        <w:rPr>
          <w:szCs w:val="24"/>
        </w:rPr>
        <w:t xml:space="preserve">markedly reduced STAT6-regulated expression of PD-L2 on both </w:t>
      </w:r>
      <w:r w:rsidR="00034A4B" w:rsidRPr="007A3223">
        <w:rPr>
          <w:szCs w:val="24"/>
        </w:rPr>
        <w:t>dendritic cells</w:t>
      </w:r>
      <w:r w:rsidRPr="007A3223">
        <w:rPr>
          <w:szCs w:val="24"/>
        </w:rPr>
        <w:t xml:space="preserve"> and tumor cells</w:t>
      </w:r>
      <w:hyperlink w:anchor="_ENREF_70" w:tooltip="Lesterhuis, 2011 #70" w:history="1">
        <w:r w:rsidR="00F77861" w:rsidRPr="00244551">
          <w:rPr>
            <w:rStyle w:val="Hyperlink"/>
            <w:szCs w:val="24"/>
          </w:rPr>
          <w:fldChar w:fldCharType="begin">
            <w:fldData xml:space="preserve">PEVuZE5vdGU+PENpdGU+PEF1dGhvcj5MZXN0ZXJodWlzPC9BdXRob3I+PFllYXI+MjAxMTwvWWVh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YWwgaW52ZXN0aWdhdGlvbjwvYWJici0xPjwvYWx0LXBlcmlvZGljYWw+PHBhZ2VzPjMxMDAtODwv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</w:fldData>
          </w:fldChar>
        </w:r>
        <w:r w:rsidR="00F77861" w:rsidRPr="00244551">
          <w:rPr>
            <w:rStyle w:val="Hyperlink"/>
            <w:szCs w:val="24"/>
          </w:rPr>
          <w:instrText xml:space="preserve"> ADDIN EN.CITE </w:instrText>
        </w:r>
        <w:r w:rsidR="00F77861" w:rsidRPr="003A255F">
          <w:rPr>
            <w:rStyle w:val="Hyperlink"/>
            <w:szCs w:val="24"/>
          </w:rPr>
          <w:fldChar w:fldCharType="begin">
            <w:fldData xml:space="preserve">PEVuZE5vdGU+PENpdGU+PEF1dGhvcj5MZXN0ZXJodWlzPC9BdXRob3I+PFllYXI+MjAxMTwvWWVh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YWwgaW52ZXN0aWdhdGlvbjwvYWJici0xPjwvYWx0LXBlcmlvZGljYWw+PHBhZ2VzPjMxMDAtODwv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</w:fldData>
          </w:fldChar>
        </w:r>
        <w:r w:rsidR="00F77861" w:rsidRPr="00244551">
          <w:rPr>
            <w:rStyle w:val="Hyperlink"/>
            <w:szCs w:val="24"/>
          </w:rPr>
          <w:instrText xml:space="preserve"> ADDIN EN.CITE.DATA </w:instrText>
        </w:r>
        <w:r w:rsidR="00F77861" w:rsidRPr="003A255F">
          <w:rPr>
            <w:rStyle w:val="Hyperlink"/>
            <w:szCs w:val="24"/>
          </w:rPr>
        </w:r>
        <w:r w:rsidR="00F77861" w:rsidRPr="003A255F">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70</w:t>
        </w:r>
        <w:r w:rsidR="00F77861" w:rsidRPr="00244551">
          <w:rPr>
            <w:rStyle w:val="Hyperlink"/>
            <w:szCs w:val="24"/>
          </w:rPr>
          <w:fldChar w:fldCharType="end"/>
        </w:r>
      </w:hyperlink>
      <w:r w:rsidRPr="007A3223">
        <w:rPr>
          <w:szCs w:val="24"/>
        </w:rPr>
        <w:t>. Our group has begun studying olaparib and its immune modulation in ovarian cancer patients. Further work is ongoing in collaboration with Dr. Matuloni</w:t>
      </w:r>
      <w:r w:rsidRPr="00F33908">
        <w:rPr>
          <w:szCs w:val="24"/>
        </w:rPr>
        <w:t>s at D</w:t>
      </w:r>
      <w:r w:rsidR="00441ADC" w:rsidRPr="007A3223">
        <w:rPr>
          <w:szCs w:val="24"/>
        </w:rPr>
        <w:t xml:space="preserve">ana </w:t>
      </w:r>
      <w:r w:rsidRPr="007A3223">
        <w:rPr>
          <w:szCs w:val="24"/>
        </w:rPr>
        <w:t>F</w:t>
      </w:r>
      <w:r w:rsidR="00441ADC" w:rsidRPr="007A3223">
        <w:rPr>
          <w:szCs w:val="24"/>
        </w:rPr>
        <w:t xml:space="preserve">arber </w:t>
      </w:r>
      <w:r w:rsidRPr="007A3223">
        <w:rPr>
          <w:szCs w:val="24"/>
        </w:rPr>
        <w:t>C</w:t>
      </w:r>
      <w:r w:rsidR="00441ADC" w:rsidRPr="007A3223">
        <w:rPr>
          <w:szCs w:val="24"/>
        </w:rPr>
        <w:t xml:space="preserve">ancer </w:t>
      </w:r>
      <w:r w:rsidRPr="007A3223">
        <w:rPr>
          <w:szCs w:val="24"/>
        </w:rPr>
        <w:t>I</w:t>
      </w:r>
      <w:r w:rsidR="00441ADC" w:rsidRPr="007A3223">
        <w:rPr>
          <w:szCs w:val="24"/>
        </w:rPr>
        <w:t>nstitute</w:t>
      </w:r>
      <w:r w:rsidRPr="007A3223">
        <w:rPr>
          <w:szCs w:val="24"/>
        </w:rPr>
        <w:t xml:space="preserve">. </w:t>
      </w:r>
      <w:r w:rsidR="000F4D0F" w:rsidRPr="007A3223">
        <w:rPr>
          <w:szCs w:val="24"/>
        </w:rPr>
        <w:t xml:space="preserve">Our recent success combining inhibition of angiogenesis with modulation of DNA repair with cediranib and olaparib provides a baseline upon which to build for a better therapeutic combination. Both pathways have been linked to the immune system and can activate the immune system in a fashion that ultimately leads to immune exhaustion. </w:t>
      </w:r>
      <w:r w:rsidRPr="007A3223">
        <w:rPr>
          <w:rFonts w:eastAsia="Times New Roman"/>
          <w:szCs w:val="24"/>
        </w:rPr>
        <w:t xml:space="preserve">Combination </w:t>
      </w:r>
      <w:r w:rsidR="00EE75B9" w:rsidRPr="007A3223">
        <w:rPr>
          <w:rFonts w:eastAsia="Times New Roman"/>
          <w:szCs w:val="24"/>
        </w:rPr>
        <w:t xml:space="preserve">therapy with </w:t>
      </w:r>
      <w:r w:rsidRPr="007A3223">
        <w:rPr>
          <w:rFonts w:eastAsia="Times New Roman"/>
          <w:szCs w:val="24"/>
        </w:rPr>
        <w:t xml:space="preserve">a PD-L1 inhibitor and olaparib </w:t>
      </w:r>
      <w:r w:rsidR="00D821F7" w:rsidRPr="007A3223">
        <w:rPr>
          <w:rFonts w:eastAsia="Times New Roman"/>
          <w:szCs w:val="24"/>
        </w:rPr>
        <w:t>and/</w:t>
      </w:r>
      <w:r w:rsidRPr="007A3223">
        <w:rPr>
          <w:rFonts w:eastAsia="Times New Roman"/>
          <w:szCs w:val="24"/>
        </w:rPr>
        <w:t>or cediranib ha</w:t>
      </w:r>
      <w:r w:rsidR="0038166F" w:rsidRPr="007A3223">
        <w:rPr>
          <w:rFonts w:eastAsia="Times New Roman"/>
          <w:szCs w:val="24"/>
        </w:rPr>
        <w:t>s</w:t>
      </w:r>
      <w:r w:rsidRPr="007A3223">
        <w:rPr>
          <w:rFonts w:eastAsia="Times New Roman"/>
          <w:szCs w:val="24"/>
        </w:rPr>
        <w:t xml:space="preserve"> not been studied to date, and will be an important question to guide patient- and resource-efficient use of this important</w:t>
      </w:r>
      <w:r w:rsidR="00EE75B9" w:rsidRPr="007A3223">
        <w:rPr>
          <w:rFonts w:eastAsia="Times New Roman"/>
          <w:szCs w:val="24"/>
        </w:rPr>
        <w:t>,</w:t>
      </w:r>
      <w:r w:rsidRPr="007A3223">
        <w:rPr>
          <w:rFonts w:eastAsia="Times New Roman"/>
          <w:szCs w:val="24"/>
        </w:rPr>
        <w:t xml:space="preserve"> </w:t>
      </w:r>
      <w:r w:rsidR="00EE75B9" w:rsidRPr="007A3223">
        <w:rPr>
          <w:rFonts w:eastAsia="Times New Roman"/>
          <w:szCs w:val="24"/>
        </w:rPr>
        <w:t>novel</w:t>
      </w:r>
      <w:r w:rsidRPr="007A3223">
        <w:rPr>
          <w:rFonts w:eastAsia="Times New Roman"/>
          <w:szCs w:val="24"/>
        </w:rPr>
        <w:t xml:space="preserve"> </w:t>
      </w:r>
      <w:r w:rsidR="00EE75B9" w:rsidRPr="007A3223">
        <w:rPr>
          <w:rFonts w:eastAsia="Times New Roman"/>
          <w:szCs w:val="24"/>
        </w:rPr>
        <w:t xml:space="preserve">drug </w:t>
      </w:r>
      <w:r w:rsidRPr="007A3223">
        <w:rPr>
          <w:rFonts w:eastAsia="Times New Roman"/>
          <w:szCs w:val="24"/>
        </w:rPr>
        <w:t xml:space="preserve">class. </w:t>
      </w:r>
    </w:p>
    <w:p w14:paraId="40AAC8BC" w14:textId="77777777" w:rsidR="008478CE" w:rsidRPr="007A3223" w:rsidRDefault="008478CE" w:rsidP="00EA69AB">
      <w:pPr>
        <w:spacing w:after="0"/>
      </w:pPr>
    </w:p>
    <w:p w14:paraId="72E3A7D7" w14:textId="77777777" w:rsidR="009B6B76" w:rsidRPr="007A3223" w:rsidRDefault="00BB1B7B" w:rsidP="000C1D10">
      <w:pPr>
        <w:pStyle w:val="Heading3"/>
      </w:pPr>
      <w:r w:rsidRPr="007A3223">
        <w:t>Background and Rationale of the PD-1/PD-L1 pathway inhibition in combination with a PARP inhibitor or VEGFR inhibition in lung</w:t>
      </w:r>
      <w:r w:rsidR="00F30DC0" w:rsidRPr="007A3223">
        <w:t xml:space="preserve">, </w:t>
      </w:r>
      <w:r w:rsidRPr="007A3223">
        <w:t>prostate</w:t>
      </w:r>
      <w:r w:rsidR="001371B8" w:rsidRPr="007A3223">
        <w:t>,</w:t>
      </w:r>
      <w:r w:rsidRPr="007A3223">
        <w:t xml:space="preserve"> </w:t>
      </w:r>
      <w:r w:rsidR="001371B8" w:rsidRPr="007A3223">
        <w:t xml:space="preserve">triple negative breast, </w:t>
      </w:r>
      <w:r w:rsidR="008356D2" w:rsidRPr="007A3223">
        <w:t xml:space="preserve">and colorectal </w:t>
      </w:r>
      <w:r w:rsidRPr="007A3223">
        <w:t>cancers</w:t>
      </w:r>
    </w:p>
    <w:p w14:paraId="0E2A5EB1" w14:textId="77777777" w:rsidR="00BB1B7B" w:rsidRPr="007A3223" w:rsidRDefault="00BB1B7B" w:rsidP="00541C93">
      <w:pPr>
        <w:pStyle w:val="Heading4"/>
      </w:pPr>
      <w:r w:rsidRPr="007A3223">
        <w:t xml:space="preserve">Non-small cell lung cancer cohort </w:t>
      </w:r>
    </w:p>
    <w:p w14:paraId="0A7F68FF" w14:textId="3E75E584" w:rsidR="00BB1B7B" w:rsidRPr="007A3223" w:rsidRDefault="00BB1B7B" w:rsidP="00EA1DA8">
      <w:pPr>
        <w:spacing w:after="0"/>
        <w:rPr>
          <w:bCs/>
        </w:rPr>
      </w:pPr>
      <w:r w:rsidRPr="007A3223">
        <w:rPr>
          <w:bCs/>
        </w:rPr>
        <w:t xml:space="preserve">     Non-small cell lung cancer (NSCLC) is a devastating disease with more than 200,000 cases diagnosed annually and 159,000 deaths related to the disease.</w:t>
      </w:r>
      <w:hyperlink w:anchor="_ENREF_71" w:tooltip="SEER Cancer Statistics Factsheets: Lung and Bronchus Cancer. National Cancer Institute. Bethesda,  #1569" w:history="1">
        <w:r w:rsidR="00F77861" w:rsidRPr="00244551">
          <w:rPr>
            <w:rStyle w:val="Hyperlink"/>
          </w:rPr>
          <w:fldChar w:fldCharType="begin"/>
        </w:r>
        <w:r w:rsidR="00F77861" w:rsidRPr="00244551">
          <w:rPr>
            <w:rStyle w:val="Hyperlink"/>
          </w:rPr>
          <w:instrText xml:space="preserve"> ADDIN EN.CITE &lt;EndNote&gt;&lt;Cite&gt;&lt;Author&gt;SEER Cancer Statistics Factsheets: Lung and Bronchus Cancer. National Cancer Institute. Bethesda&lt;/Author&gt;&lt;RecNum&gt;1569&lt;/RecNum&gt;&lt;DisplayText&gt;&lt;style face="superscript"&gt;71&lt;/style&gt;&lt;/DisplayText&gt;&lt;record&gt;&lt;rec-number&gt;1569&lt;/rec-number&gt;&lt;foreign-keys&gt;&lt;key app="EN" db-id="50wxdpzd9vd5r7e9t5b595djrfpttrxw9avp"&gt;1569&lt;/key&gt;&lt;/foreign-keys&gt;&lt;ref-type name="Journal Article"&gt;17&lt;/ref-type&gt;&lt;contributors&gt;&lt;authors&gt;&lt;author&gt;SEER Cancer Statistics Factsheets: Lung and Bronchus Cancer. National Cancer Institute. Bethesda, MD, http://seer.cancer.gov/statfacts/html/lungb.html. Last accessed February 12, 2015. &lt;/author&gt;&lt;/authors&gt;&lt;/contributors&gt;&lt;titles&gt;&lt;/titles&gt;&lt;dates&gt;&lt;/dates&gt;&lt;urls&gt;&lt;/urls&gt;&lt;/record&gt;&lt;/Cite&gt;&lt;/EndNote&gt;</w:instrText>
        </w:r>
        <w:r w:rsidR="00F77861" w:rsidRPr="00244551">
          <w:rPr>
            <w:rStyle w:val="Hyperlink"/>
          </w:rPr>
          <w:fldChar w:fldCharType="separate"/>
        </w:r>
        <w:r w:rsidR="00F77861" w:rsidRPr="00244551">
          <w:rPr>
            <w:rStyle w:val="Hyperlink"/>
            <w:noProof/>
            <w:vertAlign w:val="superscript"/>
          </w:rPr>
          <w:t>71</w:t>
        </w:r>
        <w:r w:rsidR="00F77861" w:rsidRPr="00244551">
          <w:rPr>
            <w:rStyle w:val="Hyperlink"/>
          </w:rPr>
          <w:fldChar w:fldCharType="end"/>
        </w:r>
      </w:hyperlink>
      <w:r w:rsidRPr="007A3223">
        <w:rPr>
          <w:bCs/>
        </w:rPr>
        <w:t xml:space="preserve"> </w:t>
      </w:r>
      <w:r w:rsidRPr="00F33908">
        <w:rPr>
          <w:bCs/>
        </w:rPr>
        <w:t xml:space="preserve">Standard therapy for advanced NSCLC is based on platinum-based chemotherapy which is associated with a </w:t>
      </w:r>
      <w:r w:rsidRPr="007A3223">
        <w:rPr>
          <w:bCs/>
        </w:rPr>
        <w:t>RR of 30% and median OS of about 12 months.</w:t>
      </w:r>
      <w:hyperlink w:anchor="_ENREF_72" w:tooltip="Blumenthal, 2015 #1695" w:history="1">
        <w:r w:rsidR="00F77861" w:rsidRPr="00244551">
          <w:rPr>
            <w:rStyle w:val="Hyperlink"/>
          </w:rPr>
          <w:fldChar w:fldCharType="begin">
            <w:fldData xml:space="preserve">PEVuZE5vdGU+PENpdGU+PEF1dGhvcj5CbHVtZW50aGFsPC9BdXRob3I+PFllYXI+MjAxNTwvWWVh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Y2FsPjxwYWdlcz4xMDA4LTE0PC9wYWdlcz48dm9sdW1lPjMzPC92b2x1bWU+PG51bWJlcj45PC9u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</w:fldData>
          </w:fldChar>
        </w:r>
        <w:r w:rsidR="00F77861" w:rsidRPr="00244551">
          <w:rPr>
            <w:rStyle w:val="Hyperlink"/>
          </w:rPr>
          <w:instrText xml:space="preserve"> ADDIN EN.CITE </w:instrText>
        </w:r>
        <w:r w:rsidR="00F77861" w:rsidRPr="003A255F">
          <w:rPr>
            <w:rStyle w:val="Hyperlink"/>
          </w:rPr>
          <w:fldChar w:fldCharType="begin">
            <w:fldData xml:space="preserve">PEVuZE5vdGU+PENpdGU+PEF1dGhvcj5CbHVtZW50aGFsPC9BdXRob3I+PFllYXI+MjAxNTwvWWVh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Y2FsPjxwYWdlcz4xMDA4LTE0PC9wYWdlcz48dm9sdW1lPjMzPC92b2x1bWU+PG51bWJlcj45PC9u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</w:fldData>
          </w:fldChar>
        </w:r>
        <w:r w:rsidR="00F77861" w:rsidRPr="00244551">
          <w:rPr>
            <w:rStyle w:val="Hyperlink"/>
          </w:rPr>
          <w:instrText xml:space="preserve"> ADDIN EN.CITE.DATA </w:instrText>
        </w:r>
        <w:r w:rsidR="00F77861" w:rsidRPr="003A255F">
          <w:rPr>
            <w:rStyle w:val="Hyperlink"/>
          </w:rPr>
        </w:r>
        <w:r w:rsidR="00F77861" w:rsidRPr="003A255F">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72</w:t>
        </w:r>
        <w:r w:rsidR="00F77861" w:rsidRPr="00244551">
          <w:rPr>
            <w:rStyle w:val="Hyperlink"/>
          </w:rPr>
          <w:fldChar w:fldCharType="end"/>
        </w:r>
      </w:hyperlink>
      <w:r w:rsidRPr="007A3223">
        <w:rPr>
          <w:bCs/>
        </w:rPr>
        <w:t xml:space="preserve"> The identification of molecular subsets of NSCLC and use of small molecular inhibitors to target specific genomic aberrations has resulted in s</w:t>
      </w:r>
      <w:r w:rsidRPr="00F33908">
        <w:rPr>
          <w:bCs/>
        </w:rPr>
        <w:t xml:space="preserve">ignificant improvements in </w:t>
      </w:r>
      <w:r w:rsidRPr="007A3223">
        <w:rPr>
          <w:bCs/>
        </w:rPr>
        <w:t>RRs and survival.</w:t>
      </w:r>
      <w:hyperlink w:anchor="_ENREF_73" w:tooltip="Rajan, 2015 #1696" w:history="1">
        <w:r w:rsidR="00F77861" w:rsidRPr="00244551">
          <w:rPr>
            <w:rStyle w:val="Hyperlink"/>
          </w:rPr>
          <w:fldChar w:fldCharType="begin"/>
        </w:r>
        <w:r w:rsidR="00F77861" w:rsidRPr="00244551">
          <w:rPr>
            <w:rStyle w:val="Hyperlink"/>
          </w:rPr>
          <w:instrText xml:space="preserve"> ADDIN EN.CITE &lt;EndNote&gt;&lt;Cite&gt;&lt;Author&gt;Rajan&lt;/Author&gt;&lt;Year&gt;2015&lt;/Year&gt;&lt;RecNum&gt;1696&lt;/RecNum&gt;&lt;DisplayText&gt;&lt;style face="superscript"&gt;73&lt;/style&gt;&lt;/DisplayText&gt;&lt;record&gt;&lt;rec-number&gt;1696&lt;/rec-number&gt;&lt;foreign-keys&gt;&lt;key app="EN" db-id="50wxdpzd9vd5r7e9t5b595djrfpttrxw9avp"&gt;1696&lt;/key&gt;&lt;/foreign-keys&gt;&lt;ref-type name="Journal Article"&gt;17&lt;/ref-type&gt;&lt;contributors&gt;&lt;authors&gt;&lt;author&gt;Rajan, A.&lt;/author&gt;&lt;author&gt;Schrump, D. S.&lt;/author&gt;&lt;/authors&gt;&lt;/contributors&gt;&lt;auth-address&gt;Thoracic and Gastrointestinal Oncology Branch, Center for Cancer Research, National Cancer Institute, National Institutes of Health, Bethesda, Maryland.&amp;#xD;Thoracic and Gastrointestinal Oncology Branch, Center for Cancer Research, National Cancer Institute, National Institutes of Health, Bethesda, Maryland. Electronic address: david.schrump@nih.gov.&lt;/auth-address&gt;&lt;titles&gt;&lt;title&gt;Precision Therapy for Lung Cancer: Tyrosine Kinase Inhibitors and Beyond&lt;/title&gt;&lt;secondary-title&gt;Semin Thorac Cardiovasc Surg&lt;/secondary-title&gt;&lt;alt-title&gt;Seminars in thoracic and cardiovascular surgery&lt;/alt-title&gt;&lt;/titles&gt;&lt;periodical&gt;&lt;full-title&gt;Seminars in Thoracic and Cardiovascular Surgery&lt;/full-title&gt;&lt;abbr-1&gt;Semin. Thorac. Cardiovasc. Surg.&lt;/abbr-1&gt;&lt;abbr-2&gt;Semin Thorac Cardiovasc Surg&lt;/abbr-2&gt;&lt;abbr-3&gt;Seminars in Thoracic &amp;amp; Cardiovascular Surgery&lt;/abbr-3&gt;&lt;/periodical&gt;&lt;alt-periodical&gt;&lt;full-title&gt;Seminars in Thoracic and Cardiovascular Surgery&lt;/full-title&gt;&lt;abbr-1&gt;Semin. Thorac. Cardiovasc. Surg.&lt;/abbr-1&gt;&lt;abbr-2&gt;Semin Thorac Cardiovasc Surg&lt;/abbr-2&gt;&lt;abbr-3&gt;Seminars in Thoracic &amp;amp; Cardiovascular Surgery&lt;/abbr-3&gt;&lt;/alt-periodical&gt;&lt;pages&gt;36-48&lt;/pages&gt;&lt;volume&gt;27&lt;/volume&gt;&lt;number&gt;1&lt;/number&gt;&lt;dates&gt;&lt;year&gt;2015&lt;/year&gt;&lt;pub-dates&gt;&lt;date&gt;Spring&lt;/date&gt;&lt;/pub-dates&gt;&lt;/dates&gt;&lt;isbn&gt;1532-9488 (Electronic)&amp;#xD;1043-0679 (Linking)&lt;/isbn&gt;&lt;accession-num&gt;26074108&lt;/accession-num&gt;&lt;urls&gt;&lt;related-urls&gt;&lt;url&gt;http://www.ncbi.nlm.nih.gov/pubmed/26074108&lt;/url&gt;&lt;/related-urls&gt;&lt;/urls&gt;&lt;electronic-resource-num&gt;10.1053/j.semtcvs.2015.04.002&lt;/electronic-resource-num&gt;&lt;/record&gt;&lt;/Cite&gt;&lt;/EndNote&gt;</w:instrText>
        </w:r>
        <w:r w:rsidR="00F77861" w:rsidRPr="00244551">
          <w:rPr>
            <w:rStyle w:val="Hyperlink"/>
          </w:rPr>
          <w:fldChar w:fldCharType="separate"/>
        </w:r>
        <w:r w:rsidR="00F77861" w:rsidRPr="00244551">
          <w:rPr>
            <w:rStyle w:val="Hyperlink"/>
            <w:noProof/>
            <w:vertAlign w:val="superscript"/>
          </w:rPr>
          <w:t>73</w:t>
        </w:r>
        <w:r w:rsidR="00F77861" w:rsidRPr="00244551">
          <w:rPr>
            <w:rStyle w:val="Hyperlink"/>
          </w:rPr>
          <w:fldChar w:fldCharType="end"/>
        </w:r>
      </w:hyperlink>
      <w:r w:rsidRPr="007A3223">
        <w:rPr>
          <w:bCs/>
        </w:rPr>
        <w:t xml:space="preserve"> </w:t>
      </w:r>
      <w:r w:rsidR="005758D6" w:rsidRPr="00F33908">
        <w:rPr>
          <w:bCs/>
        </w:rPr>
        <w:t xml:space="preserve">Yet, </w:t>
      </w:r>
      <w:r w:rsidRPr="007A3223">
        <w:rPr>
          <w:bCs/>
        </w:rPr>
        <w:t>significant challenges need to be addressed including the presence of mutations that cannot presently be targeted therapeutically, development of resistance to targeted therapy and the occurrence of tumor heterogeneity.</w:t>
      </w:r>
      <w:hyperlink w:anchor="_ENREF_73" w:tooltip="Rajan, 2015 #1696" w:history="1">
        <w:r w:rsidR="00F77861" w:rsidRPr="00244551">
          <w:rPr>
            <w:rStyle w:val="Hyperlink"/>
          </w:rPr>
          <w:fldChar w:fldCharType="begin"/>
        </w:r>
        <w:r w:rsidR="00F77861" w:rsidRPr="00244551">
          <w:rPr>
            <w:rStyle w:val="Hyperlink"/>
          </w:rPr>
          <w:instrText xml:space="preserve"> ADDIN EN.CITE &lt;EndNote&gt;&lt;Cite&gt;&lt;Author&gt;Rajan&lt;/Author&gt;&lt;Year&gt;2015&lt;/Year&gt;&lt;RecNum&gt;1696&lt;/RecNum&gt;&lt;DisplayText&gt;&lt;style face="superscript"&gt;73&lt;/style&gt;&lt;/DisplayText&gt;&lt;record&gt;&lt;rec-number&gt;1696&lt;/rec-number&gt;&lt;foreign-keys&gt;&lt;key app="EN" db-id="50wxdpzd9vd5r7e9t5b595djrfpttrxw9avp"&gt;1696&lt;/key&gt;&lt;/foreign-keys&gt;&lt;ref-type name="Journal Article"&gt;17&lt;/ref-type&gt;&lt;contributors&gt;&lt;authors&gt;&lt;author&gt;Rajan, A.&lt;/author&gt;&lt;author&gt;Schrump, D. S.&lt;/author&gt;&lt;/authors&gt;&lt;/contributors&gt;&lt;auth-address&gt;Thoracic and Gastrointestinal Oncology Branch, Center for Cancer Research, National Cancer Institute, National Institutes of Health, Bethesda, Maryland.&amp;#xD;Thoracic and Gastrointestinal Oncology Branch, Center for Cancer Research, National Cancer Institute, National Institutes of Health, Bethesda, Maryland. Electronic address: david.schrump@nih.gov.&lt;/auth-address&gt;&lt;titles&gt;&lt;title&gt;Precision Therapy for Lung Cancer: Tyrosine Kinase Inhibitors and Beyond&lt;/title&gt;&lt;secondary-title&gt;Semin Thorac Cardiovasc Surg&lt;/secondary-title&gt;&lt;alt-title&gt;Seminars in thoracic and cardiovascular surgery&lt;/alt-title&gt;&lt;/titles&gt;&lt;periodical&gt;&lt;full-title&gt;Seminars in Thoracic and Cardiovascular Surgery&lt;/full-title&gt;&lt;abbr-1&gt;Semin. Thorac. Cardiovasc. Surg.&lt;/abbr-1&gt;&lt;abbr-2&gt;Semin Thorac Cardiovasc Surg&lt;/abbr-2&gt;&lt;abbr-3&gt;Seminars in Thoracic &amp;amp; Cardiovascular Surgery&lt;/abbr-3&gt;&lt;/periodical&gt;&lt;alt-periodical&gt;&lt;full-title&gt;Seminars in Thoracic and Cardiovascular Surgery&lt;/full-title&gt;&lt;abbr-1&gt;Semin. Thorac. Cardiovasc. Surg.&lt;/abbr-1&gt;&lt;abbr-2&gt;Semin Thorac Cardiovasc Surg&lt;/abbr-2&gt;&lt;abbr-3&gt;Seminars in Thoracic &amp;amp; Cardiovascular Surgery&lt;/abbr-3&gt;&lt;/alt-periodical&gt;&lt;pages&gt;36-48&lt;/pages&gt;&lt;volume&gt;27&lt;/volume&gt;&lt;number&gt;1&lt;/number&gt;&lt;dates&gt;&lt;year&gt;2015&lt;/year&gt;&lt;pub-dates&gt;&lt;date&gt;Spring&lt;/date&gt;&lt;/pub-dates&gt;&lt;/dates&gt;&lt;isbn&gt;1532-9488 (Electronic)&amp;#xD;1043-0679 (Linking)&lt;/isbn&gt;&lt;accession-num&gt;26074108&lt;/accession-num&gt;&lt;urls&gt;&lt;related-urls&gt;&lt;url&gt;http://www.ncbi.nlm.nih.gov/pubmed/26074108&lt;/url&gt;&lt;/related-urls&gt;&lt;/urls&gt;&lt;electronic-resource-num&gt;10.1053/j.semtcvs.2015.04.002&lt;/electronic-resource-num&gt;&lt;/record&gt;&lt;/Cite&gt;&lt;/EndNote&gt;</w:instrText>
        </w:r>
        <w:r w:rsidR="00F77861" w:rsidRPr="00244551">
          <w:rPr>
            <w:rStyle w:val="Hyperlink"/>
          </w:rPr>
          <w:fldChar w:fldCharType="separate"/>
        </w:r>
        <w:r w:rsidR="00F77861" w:rsidRPr="00244551">
          <w:rPr>
            <w:rStyle w:val="Hyperlink"/>
            <w:noProof/>
            <w:vertAlign w:val="superscript"/>
          </w:rPr>
          <w:t>73</w:t>
        </w:r>
        <w:r w:rsidR="00F77861" w:rsidRPr="00244551">
          <w:rPr>
            <w:rStyle w:val="Hyperlink"/>
          </w:rPr>
          <w:fldChar w:fldCharType="end"/>
        </w:r>
      </w:hyperlink>
      <w:r w:rsidRPr="007A3223">
        <w:rPr>
          <w:bCs/>
        </w:rPr>
        <w:t xml:space="preserve">  </w:t>
      </w:r>
      <w:r w:rsidRPr="00F33908">
        <w:rPr>
          <w:bCs/>
        </w:rPr>
        <w:t xml:space="preserve">     </w:t>
      </w:r>
    </w:p>
    <w:p w14:paraId="54EBB70F" w14:textId="4FB1B91A" w:rsidR="00BB1B7B" w:rsidRPr="007A3223" w:rsidRDefault="00BB1B7B" w:rsidP="000366FA">
      <w:r w:rsidRPr="007A3223">
        <w:rPr>
          <w:bCs/>
        </w:rPr>
        <w:t xml:space="preserve">     Within the past few years the development of immune checkpoint inhibitors, especially drugs targeting the PD-1 or its ligand, PD-L1 has resulted in significant changes in the therapeutic landscape for advanced NSCLC.</w:t>
      </w:r>
      <w:hyperlink w:anchor="_ENREF_74" w:tooltip="Anagnostou, 2015 #1697" w:history="1">
        <w:r w:rsidR="00F77861" w:rsidRPr="00244551">
          <w:rPr>
            <w:rStyle w:val="Hyperlink"/>
          </w:rPr>
          <w:fldChar w:fldCharType="begin"/>
        </w:r>
        <w:r w:rsidR="00F77861" w:rsidRPr="00244551">
          <w:rPr>
            <w:rStyle w:val="Hyperlink"/>
          </w:rPr>
          <w:instrText xml:space="preserve"> ADDIN EN.CITE &lt;EndNote&gt;&lt;Cite&gt;&lt;Author&gt;Anagnostou&lt;/Author&gt;&lt;Year&gt;2015&lt;/Year&gt;&lt;RecNum&gt;1697&lt;/RecNum&gt;&lt;DisplayText&gt;&lt;style face="superscript"&gt;74&lt;/style&gt;&lt;/DisplayText&gt;&lt;record&gt;&lt;rec-number&gt;1697&lt;/rec-number&gt;&lt;foreign-keys&gt;&lt;key app="EN" db-id="50wxdpzd9vd5r7e9t5b595djrfpttrxw9avp"&gt;1697&lt;/key&gt;&lt;/foreign-keys&gt;&lt;ref-type name="Journal Article"&gt;17&lt;/ref-type&gt;&lt;contributors&gt;&lt;authors&gt;&lt;author&gt;Anagnostou, V. K.&lt;/author&gt;&lt;author&gt;Brahmer, J. R.&lt;/author&gt;&lt;/authors&gt;&lt;/contributors&gt;&lt;auth-address&gt;Department of Oncology, The Sidney Kimmel Comprehensive Cancer Center, Johns Hopkins, Baltimore, Maryland.&amp;#xD;Department of Oncology, The Sidney Kimmel Comprehensive Cancer Center, Johns Hopkins, Baltimore, Maryland. brahmju@jhmi.edu.&lt;/auth-address&gt;&lt;titles&gt;&lt;title&gt;Cancer immunotherapy: a future paradigm shift in the treatment of non-small cell lung cancer&lt;/title&gt;&lt;secondary-title&gt;Clin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Research&lt;/abbr-1&gt;&lt;/alt-periodical&gt;&lt;pages&gt;976-84&lt;/pages&gt;&lt;volume&gt;21&lt;/volume&gt;&lt;number&gt;5&lt;/number&gt;&lt;dates&gt;&lt;year&gt;2015&lt;/year&gt;&lt;pub-dates&gt;&lt;date&gt;Mar 1&lt;/date&gt;&lt;/pub-dates&gt;&lt;/dates&gt;&lt;isbn&gt;1078-0432 (Print)&amp;#xD;1078-0432 (Linking)&lt;/isbn&gt;&lt;accession-num&gt;25733707&lt;/accession-num&gt;&lt;urls&gt;&lt;related-urls&gt;&lt;url&gt;http://www.ncbi.nlm.nih.gov/pubmed/25733707&lt;/url&gt;&lt;/related-urls&gt;&lt;/urls&gt;&lt;electronic-resource-num&gt;10.1158/1078-0432.CCR-14-1187&lt;/electronic-resource-num&gt;&lt;/record&gt;&lt;/Cite&gt;&lt;/EndNote&gt;</w:instrText>
        </w:r>
        <w:r w:rsidR="00F77861" w:rsidRPr="00244551">
          <w:rPr>
            <w:rStyle w:val="Hyperlink"/>
          </w:rPr>
          <w:fldChar w:fldCharType="separate"/>
        </w:r>
        <w:r w:rsidR="00F77861" w:rsidRPr="00244551">
          <w:rPr>
            <w:rStyle w:val="Hyperlink"/>
            <w:noProof/>
            <w:vertAlign w:val="superscript"/>
          </w:rPr>
          <w:t>74</w:t>
        </w:r>
        <w:r w:rsidR="00F77861" w:rsidRPr="00244551">
          <w:rPr>
            <w:rStyle w:val="Hyperlink"/>
          </w:rPr>
          <w:fldChar w:fldCharType="end"/>
        </w:r>
      </w:hyperlink>
      <w:r w:rsidRPr="007A3223">
        <w:rPr>
          <w:bCs/>
        </w:rPr>
        <w:t xml:space="preserve"> </w:t>
      </w:r>
      <w:r w:rsidRPr="00F33908">
        <w:rPr>
          <w:bCs/>
        </w:rPr>
        <w:t xml:space="preserve">These treatments are </w:t>
      </w:r>
      <w:r w:rsidRPr="007A3223">
        <w:rPr>
          <w:bCs/>
        </w:rPr>
        <w:t>relatively well-tolerated and associated with durable responses and improvements in survival rates.</w:t>
      </w:r>
      <w:r w:rsidRPr="00585A7F">
        <w:rPr>
          <w:bCs/>
        </w:rPr>
        <w:fldChar w:fldCharType="begin">
          <w:fldData xml:space="preserve">PEVuZE5vdGU+PENpdGU+PEF1dGhvcj5HZXR0aW5nZXI8L0F1dGhvcj48WWVhcj4yMDE1PC9ZZWFy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cz4yMDA0LTEyPC9wYWdlcz48dm9sdW1lPjMzPC92b2x1bWU+PG51bWJlcj4xODwvbnVtYmVyPjxk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</w:fldData>
        </w:fldChar>
      </w:r>
      <w:r w:rsidRPr="007A3223">
        <w:rPr>
          <w:bCs/>
        </w:rPr>
        <w:instrText xml:space="preserve"> ADDIN EN.CITE </w:instrText>
      </w:r>
      <w:r w:rsidRPr="003A255F">
        <w:rPr>
          <w:bCs/>
        </w:rPr>
        <w:fldChar w:fldCharType="begin">
          <w:fldData xml:space="preserve">PEVuZE5vdGU+PENpdGU+PEF1dGhvcj5HZXR0aW5nZXI8L0F1dGhvcj48WWVhcj4yMDE1PC9ZZWFy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cz4yMDA0LTEyPC9wYWdlcz48dm9sdW1lPjMzPC92b2x1bWU+PG51bWJlcj4xODwvbnVtYmVyPjxk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</w:fldData>
        </w:fldChar>
      </w:r>
      <w:r w:rsidRPr="007A3223">
        <w:rPr>
          <w:bCs/>
        </w:rPr>
        <w:instrText xml:space="preserve"> ADDIN EN.CITE.DATA </w:instrText>
      </w:r>
      <w:r w:rsidRPr="003A255F">
        <w:rPr>
          <w:bCs/>
        </w:rPr>
      </w:r>
      <w:r w:rsidRPr="003A255F">
        <w:rPr>
          <w:bCs/>
        </w:rPr>
        <w:fldChar w:fldCharType="end"/>
      </w:r>
      <w:r w:rsidRPr="00585A7F">
        <w:rPr>
          <w:bCs/>
        </w:rPr>
      </w:r>
      <w:r w:rsidRPr="00585A7F">
        <w:rPr>
          <w:bCs/>
        </w:rPr>
        <w:fldChar w:fldCharType="separate"/>
      </w:r>
      <w:hyperlink w:anchor="_ENREF_75" w:tooltip="Gettinger, 2015 #1698" w:history="1">
        <w:r w:rsidR="00F77861" w:rsidRPr="00244551">
          <w:rPr>
            <w:rStyle w:val="Hyperlink"/>
            <w:noProof/>
            <w:vertAlign w:val="superscript"/>
          </w:rPr>
          <w:t>75</w:t>
        </w:r>
      </w:hyperlink>
      <w:r w:rsidRPr="00F33908">
        <w:rPr>
          <w:bCs/>
          <w:noProof/>
          <w:vertAlign w:val="superscript"/>
        </w:rPr>
        <w:t>,</w:t>
      </w:r>
      <w:hyperlink w:anchor="_ENREF_76" w:tooltip="Garon, 2015 #1699" w:history="1">
        <w:r w:rsidR="00F77861" w:rsidRPr="00244551">
          <w:rPr>
            <w:rStyle w:val="Hyperlink"/>
            <w:noProof/>
            <w:vertAlign w:val="superscript"/>
          </w:rPr>
          <w:t>76</w:t>
        </w:r>
      </w:hyperlink>
      <w:r w:rsidRPr="00585A7F">
        <w:rPr>
          <w:bCs/>
        </w:rPr>
        <w:fldChar w:fldCharType="end"/>
      </w:r>
      <w:r w:rsidRPr="007A3223">
        <w:rPr>
          <w:bCs/>
        </w:rPr>
        <w:t xml:space="preserve"> </w:t>
      </w:r>
      <w:r w:rsidR="000366FA" w:rsidRPr="00F33908">
        <w:t>The anti-PD-1 antibodies, niv</w:t>
      </w:r>
      <w:r w:rsidR="000366FA" w:rsidRPr="007A3223">
        <w:t xml:space="preserve">olumab and pembrolizumab are </w:t>
      </w:r>
      <w:r w:rsidR="005758D6" w:rsidRPr="007A3223">
        <w:t>now</w:t>
      </w:r>
      <w:r w:rsidR="000366FA" w:rsidRPr="007A3223">
        <w:t xml:space="preserve"> </w:t>
      </w:r>
      <w:r w:rsidR="005758D6" w:rsidRPr="007A3223">
        <w:t>FDA-</w:t>
      </w:r>
      <w:r w:rsidR="000366FA" w:rsidRPr="007A3223">
        <w:t>approved for treatment of recurrent NSCLC</w:t>
      </w:r>
      <w:r w:rsidR="005758D6" w:rsidRPr="007A3223">
        <w:t xml:space="preserve">. </w:t>
      </w:r>
      <w:r w:rsidRPr="007A3223">
        <w:rPr>
          <w:bCs/>
        </w:rPr>
        <w:t>There is emerging evidence that illustrates the impact of various biological variables on the efficacy of immune checkpoint inhibition. These factors include PD-L1 expression on tumor cells, the mutational burden of the underlying tumor and the tumor microenvironment.</w:t>
      </w:r>
      <w:r w:rsidRPr="00585A7F">
        <w:rPr>
          <w:bCs/>
        </w:rPr>
        <w:fldChar w:fldCharType="begin">
          <w:fldData xml:space="preserve">PEVuZE5vdGU+PENpdGU+PEF1dGhvcj5UYXViZTwvQXV0aG9yPjxZZWFyPjIwMTQ8L1llYXI+PFJl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UmVzZWFyY2g8L2FiYnItMT48L2FsdC1wZXJpb2RpY2FsPjxwYWdlcz41MDY0LTc0PC9wYWdlcz48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</w:fldData>
        </w:fldChar>
      </w:r>
      <w:r w:rsidR="00800327" w:rsidRPr="007A3223">
        <w:rPr>
          <w:bCs/>
        </w:rPr>
        <w:instrText xml:space="preserve"> ADDIN EN.CITE </w:instrText>
      </w:r>
      <w:r w:rsidR="00800327" w:rsidRPr="003A255F">
        <w:rPr>
          <w:bCs/>
        </w:rPr>
        <w:fldChar w:fldCharType="begin">
          <w:fldData xml:space="preserve">PEVuZE5vdGU+PENpdGU+PEF1dGhvcj5UYXViZTwvQXV0aG9yPjxZZWFyPjIwMTQ8L1llYXI+PFJl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UmVzZWFyY2g8L2FiYnItMT48L2FsdC1wZXJpb2RpY2FsPjxwYWdlcz41MDY0LTc0PC9wYWdlcz48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</w:fldData>
        </w:fldChar>
      </w:r>
      <w:r w:rsidR="00800327" w:rsidRPr="007A3223">
        <w:rPr>
          <w:bCs/>
        </w:rPr>
        <w:instrText xml:space="preserve"> ADDIN EN.CITE.DATA </w:instrText>
      </w:r>
      <w:r w:rsidR="00800327" w:rsidRPr="003A255F">
        <w:rPr>
          <w:bCs/>
        </w:rPr>
      </w:r>
      <w:r w:rsidR="00800327" w:rsidRPr="003A255F">
        <w:rPr>
          <w:bCs/>
        </w:rPr>
        <w:fldChar w:fldCharType="end"/>
      </w:r>
      <w:r w:rsidRPr="00585A7F">
        <w:rPr>
          <w:bCs/>
        </w:rPr>
      </w:r>
      <w:r w:rsidRPr="00585A7F">
        <w:rPr>
          <w:bCs/>
        </w:rPr>
        <w:fldChar w:fldCharType="separate"/>
      </w:r>
      <w:hyperlink w:anchor="_ENREF_77" w:tooltip="Taube, 2014 #1700" w:history="1">
        <w:r w:rsidR="00F77861" w:rsidRPr="00244551">
          <w:rPr>
            <w:rStyle w:val="Hyperlink"/>
            <w:noProof/>
            <w:vertAlign w:val="superscript"/>
          </w:rPr>
          <w:t>77</w:t>
        </w:r>
      </w:hyperlink>
      <w:r w:rsidRPr="00F33908">
        <w:rPr>
          <w:bCs/>
          <w:noProof/>
          <w:vertAlign w:val="superscript"/>
        </w:rPr>
        <w:t>,</w:t>
      </w:r>
      <w:hyperlink w:anchor="_ENREF_78" w:tooltip="Champiat, 2014 #78" w:history="1">
        <w:r w:rsidR="00F77861" w:rsidRPr="00244551">
          <w:rPr>
            <w:rStyle w:val="Hyperlink"/>
            <w:noProof/>
            <w:vertAlign w:val="superscript"/>
          </w:rPr>
          <w:t>78</w:t>
        </w:r>
      </w:hyperlink>
      <w:r w:rsidRPr="00585A7F">
        <w:rPr>
          <w:bCs/>
        </w:rPr>
        <w:fldChar w:fldCharType="end"/>
      </w:r>
      <w:r w:rsidRPr="007A3223">
        <w:rPr>
          <w:bCs/>
        </w:rPr>
        <w:t xml:space="preserve"> </w:t>
      </w:r>
      <w:r w:rsidR="005758D6" w:rsidRPr="00F33908">
        <w:t>Furthermore, resistance to immunotherapy emerges eventually resulting in disease progression. In an attempt to increase RRs and delay the onset of resistance immune checkpoint inh</w:t>
      </w:r>
      <w:r w:rsidR="005758D6" w:rsidRPr="007A3223">
        <w:t>ibitors are currently being evaluated in combination with other drugs known to be active against NSCLC including chemotherapy, molecular-targeted therapy and other forms of immune therapy.</w:t>
      </w:r>
    </w:p>
    <w:p w14:paraId="71DA8BAB" w14:textId="40877403" w:rsidR="00BB1B7B" w:rsidRPr="007A3223" w:rsidRDefault="00BB1B7B" w:rsidP="00EA1DA8">
      <w:pPr>
        <w:spacing w:after="0"/>
        <w:rPr>
          <w:bCs/>
        </w:rPr>
      </w:pPr>
      <w:r w:rsidRPr="007A3223">
        <w:rPr>
          <w:bCs/>
        </w:rPr>
        <w:lastRenderedPageBreak/>
        <w:t xml:space="preserve">    </w:t>
      </w:r>
      <w:r w:rsidR="00B760BE" w:rsidRPr="007A3223">
        <w:rPr>
          <w:bCs/>
        </w:rPr>
        <w:t xml:space="preserve"> </w:t>
      </w:r>
      <w:r w:rsidRPr="007A3223">
        <w:rPr>
          <w:bCs/>
        </w:rPr>
        <w:t>A subset of NSCLCs has been found to have defects in HR DNA DSB repair, which can potentially sensitize them to PARPi.</w:t>
      </w:r>
      <w:hyperlink w:anchor="_ENREF_79" w:tooltip="Birkelbach, 2013 #1702" w:history="1">
        <w:r w:rsidR="00F77861" w:rsidRPr="00244551">
          <w:rPr>
            <w:rStyle w:val="Hyperlink"/>
          </w:rPr>
          <w:fldChar w:fldCharType="begin">
            <w:fldData xml:space="preserve">PEVuZE5vdGU+PENpdGU+PEF1dGhvcj5CaXJrZWxiYWNoPC9BdXRob3I+PFllYXI+MjAxMzwvWWVh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</w:fldData>
          </w:fldChar>
        </w:r>
        <w:r w:rsidR="00F77861" w:rsidRPr="00244551">
          <w:rPr>
            <w:rStyle w:val="Hyperlink"/>
          </w:rPr>
          <w:instrText xml:space="preserve"> ADDIN EN.CITE </w:instrText>
        </w:r>
        <w:r w:rsidR="00F77861" w:rsidRPr="00D005A1">
          <w:rPr>
            <w:rStyle w:val="Hyperlink"/>
          </w:rPr>
          <w:fldChar w:fldCharType="begin">
            <w:fldData xml:space="preserve">PEVuZE5vdGU+PENpdGU+PEF1dGhvcj5CaXJrZWxiYWNoPC9BdXRob3I+PFllYXI+MjAxMzwvWWVh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</w:fldData>
          </w:fldChar>
        </w:r>
        <w:r w:rsidR="00F77861" w:rsidRPr="00244551">
          <w:rPr>
            <w:rStyle w:val="Hyperlink"/>
          </w:rPr>
          <w:instrText xml:space="preserve"> ADDIN EN.CITE.DATA </w:instrText>
        </w:r>
        <w:r w:rsidR="00F77861" w:rsidRPr="00D005A1">
          <w:rPr>
            <w:rStyle w:val="Hyperlink"/>
          </w:rPr>
        </w:r>
        <w:r w:rsidR="00F77861" w:rsidRPr="00D005A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79</w:t>
        </w:r>
        <w:r w:rsidR="00F77861" w:rsidRPr="00244551">
          <w:rPr>
            <w:rStyle w:val="Hyperlink"/>
          </w:rPr>
          <w:fldChar w:fldCharType="end"/>
        </w:r>
      </w:hyperlink>
      <w:r w:rsidRPr="007A3223">
        <w:rPr>
          <w:bCs/>
        </w:rPr>
        <w:t xml:space="preserve"> Several PARPi</w:t>
      </w:r>
      <w:r w:rsidRPr="00F33908">
        <w:rPr>
          <w:bCs/>
        </w:rPr>
        <w:t xml:space="preserve"> have been evaluated in patients with NSCLC including olaparib and veliparib.</w:t>
      </w:r>
      <w:hyperlink w:anchor="_ENREF_80" w:tooltip="Spigel, 2012 #1704" w:history="1">
        <w:r w:rsidR="00F77861" w:rsidRPr="00244551">
          <w:rPr>
            <w:rStyle w:val="Hyperlink"/>
          </w:rPr>
          <w:fldChar w:fldCharType="begin"/>
        </w:r>
        <w:r w:rsidR="00F77861" w:rsidRPr="00244551">
          <w:rPr>
            <w:rStyle w:val="Hyperlink"/>
          </w:rPr>
          <w:instrText xml:space="preserve"> ADDIN EN.CITE &lt;EndNote&gt;&lt;Cite&gt;&lt;Author&gt;Spigel&lt;/Author&gt;&lt;Year&gt;2012&lt;/Year&gt;&lt;RecNum&gt;1704&lt;/RecNum&gt;&lt;DisplayText&gt;&lt;style face="superscript"&gt;80&lt;/style&gt;&lt;/DisplayText&gt;&lt;record&gt;&lt;rec-number&gt;1704&lt;/rec-number&gt;&lt;foreign-keys&gt;&lt;key app="EN" db-id="50wxdpzd9vd5r7e9t5b595djrfpttrxw9avp"&gt;1704&lt;/key&gt;&lt;/foreign-keys&gt;&lt;ref-type name="Journal Article"&gt;17&lt;/ref-type&gt;&lt;contributors&gt;&lt;authors&gt;&lt;author&gt;Spigel, D. R.&lt;/author&gt;&lt;/authors&gt;&lt;/contributors&gt;&lt;auth-address&gt;Sarah Cannon Research Institute, Nashville, Tennessee 37203, USA. dspigel@scrresearch.net&lt;/auth-address&gt;&lt;titles&gt;&lt;title&gt;PARP inhibitors in lung cancer&lt;/title&gt;&lt;secondary-title&gt;J Thorac Oncol&lt;/secondary-title&gt;&lt;alt-title&gt;Journal of thoracic oncology : official publication of the International Association for the Study of Lung Cancer&lt;/alt-title&gt;&lt;/titles&gt;&lt;periodical&gt;&lt;full-title&gt;J Thorac Oncol&lt;/full-title&gt;&lt;abbr-1&gt;Journal of thoracic oncology : official publication of the International Association for the Study of Lung Cancer&lt;/abbr-1&gt;&lt;/periodical&gt;&lt;alt-periodical&gt;&lt;full-title&gt;J Thorac Oncol&lt;/full-title&gt;&lt;abbr-1&gt;Journal of thoracic oncology : official publication of the International Association for the Study of Lung Cancer&lt;/abbr-1&gt;&lt;/alt-periodical&gt;&lt;pages&gt;S392-3&lt;/pages&gt;&lt;volume&gt;7&lt;/volume&gt;&lt;number&gt;16 Suppl 5&lt;/number&gt;&lt;keywords&gt;&lt;keyword&gt;Antineoplastic Agents/*therapeutic use&lt;/keyword&gt;&lt;keyword&gt;Clinical Trials as Topic&lt;/keyword&gt;&lt;keyword&gt;Humans&lt;/keyword&gt;&lt;keyword&gt;Lung Neoplasms/*drug therapy/metabolism&lt;/keyword&gt;&lt;keyword&gt;*Molecular Targeted Therapy&lt;/keyword&gt;&lt;keyword&gt;Poly(ADP-ribose) Polymerases/*antagonists &amp;amp; inhibitors/metabolism&lt;/keyword&gt;&lt;/keywords&gt;&lt;dates&gt;&lt;year&gt;2012&lt;/year&gt;&lt;pub-dates&gt;&lt;date&gt;Dec&lt;/date&gt;&lt;/pub-dates&gt;&lt;/dates&gt;&lt;isbn&gt;1556-1380 (Electronic)&amp;#xD;1556-0864 (Linking)&lt;/isbn&gt;&lt;accession-num&gt;23160330&lt;/accession-num&gt;&lt;urls&gt;&lt;related-urls&gt;&lt;url&gt;http://www.ncbi.nlm.nih.gov/pubmed/23160330&lt;/url&gt;&lt;/related-urls&gt;&lt;/urls&gt;&lt;electronic-resource-num&gt;10.1097/JTO.0b013e31826df1eb&lt;/electronic-resource-num&gt;&lt;/record&gt;&lt;/Cite&gt;&lt;/EndNote&gt;</w:instrText>
        </w:r>
        <w:r w:rsidR="00F77861" w:rsidRPr="00244551">
          <w:rPr>
            <w:rStyle w:val="Hyperlink"/>
          </w:rPr>
          <w:fldChar w:fldCharType="separate"/>
        </w:r>
        <w:r w:rsidR="00F77861" w:rsidRPr="00244551">
          <w:rPr>
            <w:rStyle w:val="Hyperlink"/>
            <w:noProof/>
            <w:vertAlign w:val="superscript"/>
          </w:rPr>
          <w:t>80</w:t>
        </w:r>
        <w:r w:rsidR="00F77861" w:rsidRPr="00244551">
          <w:rPr>
            <w:rStyle w:val="Hyperlink"/>
          </w:rPr>
          <w:fldChar w:fldCharType="end"/>
        </w:r>
      </w:hyperlink>
      <w:r w:rsidRPr="007A3223">
        <w:rPr>
          <w:bCs/>
        </w:rPr>
        <w:t xml:space="preserve"> Deficient DNA damage r</w:t>
      </w:r>
      <w:r w:rsidRPr="00F33908">
        <w:rPr>
          <w:bCs/>
        </w:rPr>
        <w:t xml:space="preserve">epair in the presence of a PARPi </w:t>
      </w:r>
      <w:r w:rsidRPr="007A3223">
        <w:rPr>
          <w:bCs/>
        </w:rPr>
        <w:t>can be expected to increase the number of tumor antigens against which an immune response can be mounted.</w:t>
      </w:r>
      <w:hyperlink w:anchor="_ENREF_53" w:tooltip="Gajewski, 2013 #53" w:history="1">
        <w:r w:rsidR="00F77861" w:rsidRPr="00244551">
          <w:rPr>
            <w:rStyle w:val="Hyperlink"/>
          </w:rPr>
          <w:fldChar w:fldCharType="begin"/>
        </w:r>
        <w:r w:rsidR="00F77861" w:rsidRPr="00244551">
          <w:rPr>
            <w:rStyle w:val="Hyperlink"/>
          </w:rPr>
          <w:instrText xml:space="preserve"> ADDIN EN.CITE &lt;EndNote&gt;&lt;Cite&gt;&lt;Author&gt;Gajewski&lt;/Author&gt;&lt;Year&gt;2013&lt;/Year&gt;&lt;RecNum&gt;53&lt;/RecNum&gt;&lt;DisplayText&gt;&lt;style face="superscript"&gt;53&lt;/style&gt;&lt;/DisplayText&gt;&lt;record&gt;&lt;rec-number&gt;53&lt;/rec-number&gt;&lt;foreign-keys&gt;&lt;key app="EN" db-id="fd5pzdff0z5dt7er5swxsd2m2te2fd9saae5" timestamp="1426604758"&gt;53&lt;/key&gt;&lt;/foreign-keys&gt;&lt;ref-type name="Journal Article"&gt;17&lt;/ref-type&gt;&lt;contributors&gt;&lt;authors&gt;&lt;author&gt;Gajewski, T. F.&lt;/author&gt;&lt;author&gt;Schreiber, H.&lt;/author&gt;&lt;author&gt;Fu, Y. X.&lt;/author&gt;&lt;/authors&gt;&lt;/contributors&gt;&lt;auth-address&gt;University of Chicago, Chicago, Illinois, USA.&lt;/auth-address&gt;&lt;titles&gt;&lt;title&gt;Innate and adaptive immune cells in the tumor microenvironment&lt;/title&gt;&lt;secondary-title&gt;Nat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immunology&lt;/abbr-1&gt;&lt;/alt-periodical&gt;&lt;pages&gt;1014-22&lt;/pages&gt;&lt;volume&gt;14&lt;/volume&gt;&lt;number&gt;10&lt;/number&gt;&lt;edition&gt;2013/09/21&lt;/edition&gt;&lt;keywords&gt;&lt;keyword&gt;*Adaptive Immunity&lt;/keyword&gt;&lt;keyword&gt;Animals&lt;/keyword&gt;&lt;keyword&gt;Dendritic Cells/immunology/metabolism&lt;/keyword&gt;&lt;keyword&gt;Humans&lt;/keyword&gt;&lt;keyword&gt;*Immunity, Innate&lt;/keyword&gt;&lt;keyword&gt;Lymphocyte Activation&lt;/keyword&gt;&lt;keyword&gt;Neoplasms/*immunology/therapy&lt;/keyword&gt;&lt;keyword&gt;Stromal Cells/immunology/metabolism&lt;/keyword&gt;&lt;keyword&gt;T-Lymphocyte Subsets/immunology/metabolism&lt;/keyword&gt;&lt;keyword&gt;Tumor Microenvironment/*immunology&lt;/keyword&gt;&lt;/keywords&gt;&lt;dates&gt;&lt;year&gt;2013&lt;/year&gt;&lt;pub-dates&gt;&lt;date&gt;Oct&lt;/date&gt;&lt;/pub-dates&gt;&lt;/dates&gt;&lt;isbn&gt;1529-2916 (Electronic)&amp;#xD;1529-2908 (Linking)&lt;/isbn&gt;&lt;accession-num&gt;24048123&lt;/accession-num&gt;&lt;work-type&gt;Review&lt;/work-type&gt;&lt;urls&gt;&lt;related-urls&gt;&lt;url&gt;http://www.ncbi.nlm.nih.gov/pubmed/24048123&lt;/url&gt;&lt;/related-urls&gt;&lt;/urls&gt;&lt;custom2&gt;4118725&lt;/custom2&gt;&lt;electronic-resource-num&gt;10.1038/ni.2703&lt;/electronic-resource-num&gt;&lt;language&gt;eng&lt;/language&gt;&lt;/record&gt;&lt;/Cite&gt;&lt;/EndNote&gt;</w:instrText>
        </w:r>
        <w:r w:rsidR="00F77861" w:rsidRPr="00244551">
          <w:rPr>
            <w:rStyle w:val="Hyperlink"/>
          </w:rPr>
          <w:fldChar w:fldCharType="separate"/>
        </w:r>
        <w:r w:rsidR="00F77861" w:rsidRPr="00244551">
          <w:rPr>
            <w:rStyle w:val="Hyperlink"/>
            <w:noProof/>
            <w:vertAlign w:val="superscript"/>
          </w:rPr>
          <w:t>53</w:t>
        </w:r>
        <w:r w:rsidR="00F77861" w:rsidRPr="00244551">
          <w:rPr>
            <w:rStyle w:val="Hyperlink"/>
          </w:rPr>
          <w:fldChar w:fldCharType="end"/>
        </w:r>
      </w:hyperlink>
      <w:r w:rsidRPr="007A3223">
        <w:rPr>
          <w:bCs/>
        </w:rPr>
        <w:t xml:space="preserve"> Altho</w:t>
      </w:r>
      <w:r w:rsidRPr="00F33908">
        <w:rPr>
          <w:bCs/>
        </w:rPr>
        <w:t>ugh not all antigens are immunologically relevant, the presence of specific epitopes (rejection antigens) can modulate the process of tumor rejection and increase the likelihood that tumors will respond to immune checkpoint inh</w:t>
      </w:r>
      <w:r w:rsidRPr="007A3223">
        <w:rPr>
          <w:bCs/>
        </w:rPr>
        <w:t xml:space="preserve">ibition. Newer treatment approaches need to be developed for patients with NSCLC who are not candidates for targeted therapy and do not derive benefit from immune checkpoint inhibition. Thus, the combination of drugs that impair the DNA repair process </w:t>
      </w:r>
      <w:r w:rsidRPr="007A3223">
        <w:t>with immune checkpoint inhibitors is a novel approach that needs to be investigated further in NSCLC.</w:t>
      </w:r>
    </w:p>
    <w:p w14:paraId="682D1B6D" w14:textId="6367C67A" w:rsidR="00BB1B7B" w:rsidRPr="007A3223" w:rsidRDefault="0077729D" w:rsidP="00D21812">
      <w:r w:rsidRPr="007A3223">
        <w:rPr>
          <w:bCs/>
        </w:rPr>
        <w:t xml:space="preserve">     </w:t>
      </w:r>
      <w:r w:rsidR="00BB1B7B" w:rsidRPr="007A3223">
        <w:rPr>
          <w:bCs/>
        </w:rPr>
        <w:t xml:space="preserve">NSCLCs are also sensitive to antiangiogenic drugs. </w:t>
      </w:r>
      <w:r w:rsidR="005758D6" w:rsidRPr="007A3223">
        <w:t xml:space="preserve">We plan to evaluate </w:t>
      </w:r>
      <w:r w:rsidR="0095416A" w:rsidRPr="0095416A">
        <w:t>Durvalumab</w:t>
      </w:r>
      <w:r w:rsidR="005758D6" w:rsidRPr="007A3223">
        <w:t xml:space="preserve"> in combination with cediranib due to the potential benefits of targeting angiogenesis. Previous trials have demonstrated the benefits of anti-angiogenic drugs in combination with chemotherapy (bevacizumab in combination with carboplatin and taxol) or when used as single-agents (e.g. multikinase inhibitors with anti-angiogenic properties, such as sorafenib). </w:t>
      </w:r>
      <w:r w:rsidR="00BB1B7B" w:rsidRPr="007A3223">
        <w:rPr>
          <w:bCs/>
        </w:rPr>
        <w:t>A meta-analysis of 20 randomized controlled trials involving 10,834 subjects showed that multi-targeted antiangiogenic tyrosine kinase inhibitors improved RR (OR1.29, 95%CI, 1.08 to 1.55, p=0.006) and prolonged PFS (HR 0.83, 95%CI, 0.78 to 0.90, p=0.005).</w:t>
      </w:r>
      <w:hyperlink w:anchor="_ENREF_81" w:tooltip="Liang, 2014 #1708" w:history="1">
        <w:r w:rsidR="00F77861" w:rsidRPr="00244551">
          <w:rPr>
            <w:rStyle w:val="Hyperlink"/>
          </w:rPr>
          <w:fldChar w:fldCharType="begin">
            <w:fldData xml:space="preserve">PEVuZE5vdGU+PENpdGU+PEF1dGhvcj5MaWFuZzwvQXV0aG9yPjxZZWFyPjIwMTQ8L1llYXI+PFJl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</w:fldData>
          </w:fldChar>
        </w:r>
        <w:r w:rsidR="00F77861" w:rsidRPr="00244551">
          <w:rPr>
            <w:rStyle w:val="Hyperlink"/>
          </w:rPr>
          <w:instrText xml:space="preserve"> ADDIN EN.CITE </w:instrText>
        </w:r>
        <w:r w:rsidR="00F77861" w:rsidRPr="00D005A1">
          <w:rPr>
            <w:rStyle w:val="Hyperlink"/>
          </w:rPr>
          <w:fldChar w:fldCharType="begin">
            <w:fldData xml:space="preserve">PEVuZE5vdGU+PENpdGU+PEF1dGhvcj5MaWFuZzwvQXV0aG9yPjxZZWFyPjIwMTQ8L1llYXI+PFJl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</w:fldData>
          </w:fldChar>
        </w:r>
        <w:r w:rsidR="00F77861" w:rsidRPr="00244551">
          <w:rPr>
            <w:rStyle w:val="Hyperlink"/>
          </w:rPr>
          <w:instrText xml:space="preserve"> ADDIN EN.CITE.DATA </w:instrText>
        </w:r>
        <w:r w:rsidR="00F77861" w:rsidRPr="00D005A1">
          <w:rPr>
            <w:rStyle w:val="Hyperlink"/>
          </w:rPr>
        </w:r>
        <w:r w:rsidR="00F77861" w:rsidRPr="00D005A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81</w:t>
        </w:r>
        <w:r w:rsidR="00F77861" w:rsidRPr="00244551">
          <w:rPr>
            <w:rStyle w:val="Hyperlink"/>
          </w:rPr>
          <w:fldChar w:fldCharType="end"/>
        </w:r>
      </w:hyperlink>
      <w:r w:rsidR="00BB1B7B" w:rsidRPr="007A3223">
        <w:rPr>
          <w:bCs/>
        </w:rPr>
        <w:t xml:space="preserve"> The phase III ZODIAC trial in the second-line setting in patients with advanced NSCLC also demonstrates the benefit of the multi-</w:t>
      </w:r>
      <w:r w:rsidR="00BB1B7B" w:rsidRPr="00F33908">
        <w:rPr>
          <w:bCs/>
        </w:rPr>
        <w:t>targeted antiangiogenic tyrosine kinase inhibitor, vandetanib in combination with docetaxel versus docetaxel alone.</w:t>
      </w:r>
      <w:hyperlink w:anchor="_ENREF_82" w:tooltip="Herbst, 2010 #1711" w:history="1">
        <w:r w:rsidR="00F77861" w:rsidRPr="00244551">
          <w:rPr>
            <w:rStyle w:val="Hyperlink"/>
          </w:rPr>
          <w:fldChar w:fldCharType="begin">
            <w:fldData xml:space="preserve">PEVuZE5vdGU+PENpdGU+PEF1dGhvcj5IZXJic3Q8L0F1dGhvcj48WWVhcj4yMDEwPC9ZZWFyPjxS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PlRoZSBMYW5jZXQuIE9uY29sb2d5PC9hYmJyLTE+PC9hbHQtcGVyaW9kaWNhbD48cGFnZXM+NjE5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=
</w:fldData>
          </w:fldChar>
        </w:r>
        <w:r w:rsidR="00F77861" w:rsidRPr="00244551">
          <w:rPr>
            <w:rStyle w:val="Hyperlink"/>
          </w:rPr>
          <w:instrText xml:space="preserve"> ADDIN EN.CITE </w:instrText>
        </w:r>
        <w:r w:rsidR="00F77861" w:rsidRPr="00D005A1">
          <w:rPr>
            <w:rStyle w:val="Hyperlink"/>
          </w:rPr>
          <w:fldChar w:fldCharType="begin">
            <w:fldData xml:space="preserve">PEVuZE5vdGU+PENpdGU+PEF1dGhvcj5IZXJic3Q8L0F1dGhvcj48WWVhcj4yMDEwPC9ZZWFyPjxS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PlRoZSBMYW5jZXQuIE9uY29sb2d5PC9hYmJyLTE+PC9hbHQtcGVyaW9kaWNhbD48cGFnZXM+NjE5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=
</w:fldData>
          </w:fldChar>
        </w:r>
        <w:r w:rsidR="00F77861" w:rsidRPr="00244551">
          <w:rPr>
            <w:rStyle w:val="Hyperlink"/>
          </w:rPr>
          <w:instrText xml:space="preserve"> ADDIN EN.CITE.DATA </w:instrText>
        </w:r>
        <w:r w:rsidR="00F77861" w:rsidRPr="00D005A1">
          <w:rPr>
            <w:rStyle w:val="Hyperlink"/>
          </w:rPr>
        </w:r>
        <w:r w:rsidR="00F77861" w:rsidRPr="00D005A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82</w:t>
        </w:r>
        <w:r w:rsidR="00F77861" w:rsidRPr="00244551">
          <w:rPr>
            <w:rStyle w:val="Hyperlink"/>
          </w:rPr>
          <w:fldChar w:fldCharType="end"/>
        </w:r>
      </w:hyperlink>
      <w:r w:rsidR="00BB1B7B" w:rsidRPr="007A3223">
        <w:rPr>
          <w:bCs/>
        </w:rPr>
        <w:t xml:space="preserve"> A significant improvement in PFS was noted </w:t>
      </w:r>
      <w:r w:rsidR="00BB1B7B" w:rsidRPr="00F33908">
        <w:rPr>
          <w:bCs/>
        </w:rPr>
        <w:t xml:space="preserve">in the combination arm compared to docetaxel alone (median PFS 4.0 months versus 3.2 months, HR 0.79, 97.58% CI, 0.70-0.90, p&lt;0.0001). Therefore, immune checkpoint inhibition in combination with VEGFR inhibition </w:t>
      </w:r>
      <w:r w:rsidR="00BB1B7B" w:rsidRPr="007A3223">
        <w:rPr>
          <w:bCs/>
        </w:rPr>
        <w:t>will be a new direction to be explored in NSCLC.</w:t>
      </w:r>
    </w:p>
    <w:p w14:paraId="25820BA0" w14:textId="77777777" w:rsidR="00BB1B7B" w:rsidRPr="007A3223" w:rsidRDefault="00BB1B7B" w:rsidP="00EA1DA8">
      <w:pPr>
        <w:spacing w:after="0"/>
        <w:rPr>
          <w:bCs/>
        </w:rPr>
      </w:pPr>
    </w:p>
    <w:p w14:paraId="0904C99A" w14:textId="77777777" w:rsidR="00BB1B7B" w:rsidRPr="007A3223" w:rsidRDefault="00BB1B7B" w:rsidP="00541C93">
      <w:pPr>
        <w:pStyle w:val="Heading4"/>
      </w:pPr>
      <w:r w:rsidRPr="007A3223">
        <w:t xml:space="preserve">Small cell lung cancer cohort </w:t>
      </w:r>
    </w:p>
    <w:p w14:paraId="17B6CF92" w14:textId="0120C4A1" w:rsidR="00BB1B7B" w:rsidRPr="007A3223" w:rsidRDefault="00BB1B7B" w:rsidP="00EA1DA8">
      <w:pPr>
        <w:spacing w:after="0"/>
        <w:rPr>
          <w:szCs w:val="24"/>
        </w:rPr>
      </w:pPr>
      <w:r w:rsidRPr="007A3223">
        <w:rPr>
          <w:szCs w:val="24"/>
        </w:rPr>
        <w:t xml:space="preserve">     Small cell lung cancer (SCLC) is the most aggressive form of lung cancer. It represents 15% of all lung cancers and has an annual incidence of over 34,000 in the United States. Although SCLC is highly responsive to chemotherapy (platinum and etoposide, or topotecan), responses are not durable and it becomes refractory to treatment within a few months.</w:t>
      </w:r>
      <w:hyperlink w:anchor="_ENREF_83" w:tooltip="van Meerbeeck, 2011 #163" w:history="1">
        <w:r w:rsidR="00F77861" w:rsidRPr="00244551">
          <w:rPr>
            <w:rStyle w:val="Hyperlink"/>
            <w:szCs w:val="24"/>
          </w:rPr>
          <w:fldChar w:fldCharType="begin">
            <w:fldData xml:space="preserve">PEVuZE5vdGU+PENpdGU+PEF1dGhvcj52YW4gTWVlcmJlZWNrPC9BdXRob3I+PFllYXI+MjAxMTwv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L2FsdC1wZXJpb2RpY2FsPjxwYWdlcz4xNzQxLTU1PC9wYWdlcz48dm9sdW1lPjM3ODwvdm9sdW1l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PEVuZE5vdGU+PENpdGU+PEF1dGhvcj52YW4gTWVlcmJlZWNrPC9BdXRob3I+PFllYXI+MjAxMTwv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L2FsdC1wZXJpb2RpY2FsPjxwYWdlcz4xNzQxLTU1PC9wYWdlcz48dm9sdW1lPjM3ODwvdm9sdW1l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83</w:t>
        </w:r>
        <w:r w:rsidR="00F77861" w:rsidRPr="00244551">
          <w:rPr>
            <w:rStyle w:val="Hyperlink"/>
            <w:szCs w:val="24"/>
          </w:rPr>
          <w:fldChar w:fldCharType="end"/>
        </w:r>
      </w:hyperlink>
      <w:r w:rsidRPr="007A3223">
        <w:rPr>
          <w:szCs w:val="24"/>
        </w:rPr>
        <w:t xml:space="preserve">  T</w:t>
      </w:r>
      <w:r w:rsidRPr="00F33908">
        <w:rPr>
          <w:szCs w:val="24"/>
        </w:rPr>
        <w:t>here is a c</w:t>
      </w:r>
      <w:r w:rsidRPr="007A3223">
        <w:rPr>
          <w:szCs w:val="24"/>
        </w:rPr>
        <w:t>ritical need for newer therapeutic approaches.</w:t>
      </w:r>
    </w:p>
    <w:p w14:paraId="5B45D779" w14:textId="1CCDBB6E" w:rsidR="00BB1B7B" w:rsidRPr="00F33908" w:rsidRDefault="00BB1B7B" w:rsidP="00EA1DA8">
      <w:pPr>
        <w:spacing w:after="0"/>
        <w:rPr>
          <w:szCs w:val="24"/>
        </w:rPr>
      </w:pPr>
      <w:r w:rsidRPr="007A3223">
        <w:rPr>
          <w:szCs w:val="24"/>
        </w:rPr>
        <w:t xml:space="preserve">    SCLC is the most frequent cancer histology associated with paraneoplastic syndromes. SCLC associated paraneoplastic syndromes are thought to be related to immune-mediated tissue destruction due to neural antigen expression from cancer cells and are associated with more favorable outcomes.</w:t>
      </w:r>
      <w:hyperlink w:anchor="_ENREF_84" w:tooltip="Gandhi, 2006 #165" w:history="1">
        <w:r w:rsidR="00F77861" w:rsidRPr="00244551">
          <w:rPr>
            <w:rStyle w:val="Hyperlink"/>
            <w:szCs w:val="24"/>
          </w:rPr>
          <w:fldChar w:fldCharType="begin"/>
        </w:r>
        <w:r w:rsidR="00F77861" w:rsidRPr="00244551">
          <w:rPr>
            <w:rStyle w:val="Hyperlink"/>
            <w:szCs w:val="24"/>
          </w:rPr>
          <w:instrText xml:space="preserve"> ADDIN EN.CITE &lt;EndNote&gt;&lt;Cite&gt;&lt;Author&gt;Gandhi&lt;/Author&gt;&lt;Year&gt;2006&lt;/Year&gt;&lt;RecNum&gt;165&lt;/RecNum&gt;&lt;DisplayText&gt;&lt;style face="superscript"&gt;84&lt;/style&gt;&lt;/DisplayText&gt;&lt;record&gt;&lt;rec-number&gt;165&lt;/rec-number&gt;&lt;foreign-keys&gt;&lt;key app="EN" db-id="eezrz9wfo9z29ne2wr8v9ax4stwr2sv0apez"&gt;165&lt;/key&gt;&lt;/foreign-keys&gt;&lt;ref-type name="Journal Article"&gt;17&lt;/ref-type&gt;&lt;contributors&gt;&lt;authors&gt;&lt;author&gt;Gandhi, L.&lt;/author&gt;&lt;author&gt;Johnson, B. E.&lt;/author&gt;&lt;/authors&gt;&lt;/contributors&gt;&lt;auth-address&gt;Lowe Center for Thoracic Oncology, Department of Medical Oncology, Dana-Farber Cancer Institute, Boston, MA 02115, USA.&lt;/auth-address&gt;&lt;titles&gt;&lt;title&gt;Paraneoplastic syndromes associated with small cell lung cancer&lt;/title&gt;&lt;secondary-title&gt;J Natl Compr Canc Netw&lt;/secondary-title&gt;&lt;alt-title&gt;Journal of the National Comprehensive Cancer Network : JNCCN&lt;/alt-title&gt;&lt;/titles&gt;&lt;periodical&gt;&lt;full-title&gt;J Natl Compr Canc Netw&lt;/full-title&gt;&lt;abbr-1&gt;Journal of the National Comprehensive Cancer Network : JNCCN&lt;/abbr-1&gt;&lt;/periodical&gt;&lt;alt-periodical&gt;&lt;full-title&gt;J Natl Compr Canc Netw&lt;/full-title&gt;&lt;abbr-1&gt;Journal of the National Comprehensive Cancer Network : JNCCN&lt;/abbr-1&gt;&lt;/alt-periodical&gt;&lt;pages&gt;631-8&lt;/pages&gt;&lt;volume&gt;4&lt;/volume&gt;&lt;number&gt;6&lt;/number&gt;&lt;keywords&gt;&lt;keyword&gt;Carcinoma, Small Cell/*complications&lt;/keyword&gt;&lt;keyword&gt;Humans&lt;/keyword&gt;&lt;keyword&gt;Lung Neoplasms/*complications&lt;/keyword&gt;&lt;keyword&gt;Paraneoplastic Syndromes/diagnosis/*etiology/therapy&lt;/keyword&gt;&lt;/keywords&gt;&lt;dates&gt;&lt;year&gt;2006&lt;/year&gt;&lt;pub-dates&gt;&lt;date&gt;Jul&lt;/date&gt;&lt;/pub-dates&gt;&lt;/dates&gt;&lt;isbn&gt;1540-1405 (Print)&amp;#xD;1540-1405 (Linking)&lt;/isbn&gt;&lt;accession-num&gt;16813730&lt;/accession-num&gt;&lt;urls&gt;&lt;related-urls&gt;&lt;url&gt;http://www.ncbi.nlm.nih.gov/pubmed/16813730&lt;/url&gt;&lt;/related-urls&gt;&lt;/urls&gt;&lt;/record&gt;&lt;/Cite&gt;&lt;/EndNote&gt;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84</w:t>
        </w:r>
        <w:r w:rsidR="00F77861" w:rsidRPr="00244551">
          <w:rPr>
            <w:rStyle w:val="Hyperlink"/>
            <w:szCs w:val="24"/>
          </w:rPr>
          <w:fldChar w:fldCharType="end"/>
        </w:r>
      </w:hyperlink>
      <w:r w:rsidRPr="007A3223">
        <w:rPr>
          <w:szCs w:val="24"/>
        </w:rPr>
        <w:t xml:space="preserve"> </w:t>
      </w:r>
      <w:r w:rsidRPr="00F33908">
        <w:rPr>
          <w:szCs w:val="24"/>
        </w:rPr>
        <w:t>Preclinical s</w:t>
      </w:r>
      <w:r w:rsidRPr="007A3223">
        <w:rPr>
          <w:szCs w:val="24"/>
        </w:rPr>
        <w:t xml:space="preserve">tudies indicate that a number of immune escape mechanisms are at play in the SCLC tumor microenvironment. SCLC over-express TGF-β; high levels of TGF-β are also detected in the serum of patients with lung cancer compared with normal </w:t>
      </w:r>
      <w:r w:rsidR="003502E6" w:rsidRPr="007A3223">
        <w:rPr>
          <w:szCs w:val="24"/>
        </w:rPr>
        <w:t xml:space="preserve">individuals. </w:t>
      </w:r>
      <w:hyperlink w:anchor="_ENREF_85" w:tooltip="Fischer, 1994 #168" w:history="1">
        <w:r w:rsidR="00F77861" w:rsidRPr="00244551">
          <w:rPr>
            <w:rStyle w:val="Hyperlink"/>
            <w:szCs w:val="24"/>
          </w:rPr>
          <w:fldChar w:fldCharType="begin"/>
        </w:r>
        <w:r w:rsidR="00F77861" w:rsidRPr="00244551">
          <w:rPr>
            <w:rStyle w:val="Hyperlink"/>
            <w:szCs w:val="24"/>
          </w:rPr>
          <w:instrText xml:space="preserve"> ADDIN EN.CITE &lt;EndNote&gt;&lt;Cite&gt;&lt;Author&gt;Fischer&lt;/Author&gt;&lt;Year&gt;1994&lt;/Year&gt;&lt;RecNum&gt;168&lt;/RecNum&gt;&lt;DisplayText&gt;&lt;style face="superscript"&gt;85&lt;/style&gt;&lt;/DisplayText&gt;&lt;record&gt;&lt;rec-number&gt;168&lt;/rec-number&gt;&lt;foreign-keys&gt;&lt;key app="EN" db-id="eezrz9wfo9z29ne2wr8v9ax4stwr2sv0apez"&gt;168&lt;/key&gt;&lt;/foreign-keys&gt;&lt;ref-type name="Journal Article"&gt;17&lt;/ref-type&gt;&lt;contributors&gt;&lt;authors&gt;&lt;author&gt;Fischer, J. R.&lt;/author&gt;&lt;author&gt;Darjes, H.&lt;/author&gt;&lt;author&gt;Lahm, H.&lt;/author&gt;&lt;author&gt;Schindel, M.&lt;/author&gt;&lt;author&gt;Drings, P.&lt;/author&gt;&lt;author&gt;Krammer, P. H.&lt;/author&gt;&lt;/authors&gt;&lt;/contributors&gt;&lt;auth-address&gt;Thorax-Klinik der LVA Baden, Department of Medical Oncology, Heidelberg-Rohrbach, Germany.&lt;/auth-address&gt;&lt;titles&gt;&lt;title&gt;Constitutive secretion of bioactive transforming growth factor beta 1 by small cell lung cancer cell lines&lt;/title&gt;&lt;secondary-title&gt;Eur J Cancer&lt;/secondary-title&gt;&lt;alt-title&gt;European journal of cancer&lt;/alt-title&gt;&lt;/titles&gt;&lt;periodical&gt;&lt;full-title&gt;European Journal of Cancer&lt;/full-title&gt;&lt;abbr-1&gt;Eur J Cancer&lt;/abbr-1&gt;&lt;/periodical&gt;&lt;alt-periodical&gt;&lt;full-title&gt;European Journal of Cancer&lt;/full-title&gt;&lt;abbr-1&gt;Eur J Cancer&lt;/abbr-1&gt;&lt;/alt-periodical&gt;&lt;pages&gt;2125-9&lt;/pages&gt;&lt;volume&gt;30A&lt;/volume&gt;&lt;number&gt;14&lt;/number&gt;&lt;keywords&gt;&lt;keyword&gt;Carcinoma, Small Cell/*secretion&lt;/keyword&gt;&lt;keyword&gt;Dose-Response Relationship, Drug&lt;/keyword&gt;&lt;keyword&gt;Humans&lt;/keyword&gt;&lt;keyword&gt;Interleukin-2/antagonists &amp;amp; inhibitors&lt;/keyword&gt;&lt;keyword&gt;Lung Neoplasms/*secretion&lt;/keyword&gt;&lt;keyword&gt;Mitosis/drug effects&lt;/keyword&gt;&lt;keyword&gt;T-Lymphocytes/drug effects&lt;/keyword&gt;&lt;keyword&gt;Transforming Growth Factor beta/pharmacology/*secretion&lt;/keyword&gt;&lt;keyword&gt;Tumor Cells, Cultured/secretion&lt;/keyword&gt;&lt;/keywords&gt;&lt;dates&gt;&lt;year&gt;1994&lt;/year&gt;&lt;/dates&gt;&lt;isbn&gt;0959-8049 (Print)&amp;#xD;0959-8049 (Linking)&lt;/isbn&gt;&lt;accession-num&gt;7857713&lt;/accession-num&gt;&lt;urls&gt;&lt;related-urls&gt;&lt;url&gt;http://www.ncbi.nlm.nih.gov/pubmed/7857713&lt;/url&gt;&lt;/related-urls&gt;&lt;/urls&gt;&lt;/record&gt;&lt;/Cite&gt;&lt;/EndNote&gt;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85</w:t>
        </w:r>
        <w:r w:rsidR="00F77861" w:rsidRPr="00244551">
          <w:rPr>
            <w:rStyle w:val="Hyperlink"/>
            <w:szCs w:val="24"/>
          </w:rPr>
          <w:fldChar w:fldCharType="end"/>
        </w:r>
      </w:hyperlink>
      <w:r w:rsidRPr="007A3223">
        <w:rPr>
          <w:szCs w:val="24"/>
        </w:rPr>
        <w:t xml:space="preserve"> </w:t>
      </w:r>
      <w:r w:rsidRPr="00F33908">
        <w:rPr>
          <w:szCs w:val="24"/>
        </w:rPr>
        <w:t>Additionally, t</w:t>
      </w:r>
      <w:r w:rsidRPr="007A3223">
        <w:rPr>
          <w:szCs w:val="24"/>
        </w:rPr>
        <w:t>he expression of MHC antigens is reduced in SCLC, and this may underlie the tumor's ability to escape immunosurveillance .</w:t>
      </w:r>
      <w:hyperlink w:anchor="_ENREF_86" w:tooltip="Singal, 1996 #169" w:history="1">
        <w:r w:rsidR="00F77861" w:rsidRPr="00244551">
          <w:rPr>
            <w:rStyle w:val="Hyperlink"/>
            <w:szCs w:val="24"/>
          </w:rPr>
          <w:fldChar w:fldCharType="begin"/>
        </w:r>
        <w:r w:rsidR="00F77861" w:rsidRPr="00244551">
          <w:rPr>
            <w:rStyle w:val="Hyperlink"/>
            <w:szCs w:val="24"/>
          </w:rPr>
          <w:instrText xml:space="preserve"> ADDIN EN.CITE &lt;EndNote&gt;&lt;Cite&gt;&lt;Author&gt;Singal&lt;/Author&gt;&lt;Year&gt;1996&lt;/Year&gt;&lt;RecNum&gt;169&lt;/RecNum&gt;&lt;DisplayText&gt;&lt;style face="superscript"&gt;86&lt;/style&gt;&lt;/DisplayText&gt;&lt;record&gt;&lt;rec-number&gt;169&lt;/rec-number&gt;&lt;foreign-keys&gt;&lt;key app="EN" db-id="eezrz9wfo9z29ne2wr8v9ax4stwr2sv0apez"&gt;169&lt;/key&gt;&lt;/foreign-keys&gt;&lt;ref-type name="Journal Article"&gt;17&lt;/ref-type&gt;&lt;contributors&gt;&lt;authors&gt;&lt;author&gt;Singal, D. P.&lt;/author&gt;&lt;author&gt;Ye, M.&lt;/author&gt;&lt;author&gt;Qiu, X.&lt;/author&gt;&lt;/authors&gt;&lt;/contributors&gt;&lt;auth-address&gt;Department of Pathology, McMaster University, Hamilton, Ontario, Canada.&lt;/auth-address&gt;&lt;titles&gt;&lt;title&gt;Molecular basis for lack of expression of HLA class I antigens in human small-cell lung carcinoma cell lines&lt;/title&gt;&lt;secondary-title&gt;Int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cancer&lt;/abbr-1&gt;&lt;/alt-periodical&gt;&lt;pages&gt;629-36&lt;/pages&gt;&lt;volume&gt;68&lt;/volume&gt;&lt;number&gt;5&lt;/number&gt;&lt;keywords&gt;&lt;keyword&gt;Base Sequence&lt;/keyword&gt;&lt;keyword&gt;Carcinoma, Small Cell/genetics/*immunology&lt;/keyword&gt;&lt;keyword&gt;*Gene Expression Regulation, Neoplastic&lt;/keyword&gt;&lt;keyword&gt;Histocompatibility Antigens Class I/genetics/*immunology&lt;/keyword&gt;&lt;keyword&gt;Humans&lt;/keyword&gt;&lt;keyword&gt;Lung Neoplasms/genetics/*immunology&lt;/keyword&gt;&lt;keyword&gt;Molecular Sequence Data&lt;/keyword&gt;&lt;keyword&gt;Tumor Cells, Cultured&lt;/keyword&gt;&lt;keyword&gt;Tumor Escape/*immunology&lt;/keyword&gt;&lt;/keywords&gt;&lt;dates&gt;&lt;year&gt;1996&lt;/year&gt;&lt;pub-dates&gt;&lt;date&gt;Nov 27&lt;/date&gt;&lt;/pub-dates&gt;&lt;/dates&gt;&lt;isbn&gt;0020-7136 (Print)&amp;#xD;0020-7136 (Linking)&lt;/isbn&gt;&lt;accession-num&gt;8938146&lt;/accession-num&gt;&lt;urls&gt;&lt;related-urls&gt;&lt;url&gt;http://www.ncbi.nlm.nih.gov/pubmed/8938146&lt;/url&gt;&lt;/related-urls&gt;&lt;/urls&gt;&lt;electronic-resource-num&gt;10.1002/(SICI)1097-0215(19961127)68:5&amp;lt;629::AID-IJC13&amp;gt;3.0.CO;2-X&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86</w:t>
        </w:r>
        <w:r w:rsidR="00F77861" w:rsidRPr="00244551">
          <w:rPr>
            <w:rStyle w:val="Hyperlink"/>
            <w:szCs w:val="24"/>
          </w:rPr>
          <w:fldChar w:fldCharType="end"/>
        </w:r>
      </w:hyperlink>
      <w:r w:rsidRPr="007A3223">
        <w:rPr>
          <w:szCs w:val="24"/>
        </w:rPr>
        <w:t xml:space="preserve"> </w:t>
      </w:r>
    </w:p>
    <w:p w14:paraId="21682915" w14:textId="732ABC6E" w:rsidR="00BB1B7B" w:rsidRPr="00F33908" w:rsidRDefault="00BB1B7B" w:rsidP="00EA1DA8">
      <w:pPr>
        <w:spacing w:after="0"/>
        <w:rPr>
          <w:szCs w:val="24"/>
        </w:rPr>
      </w:pPr>
      <w:r w:rsidRPr="00F33908">
        <w:rPr>
          <w:szCs w:val="24"/>
        </w:rPr>
        <w:t xml:space="preserve">     </w:t>
      </w:r>
      <w:r w:rsidRPr="007A3223">
        <w:rPr>
          <w:szCs w:val="24"/>
        </w:rPr>
        <w:t>There are limited data on PD-L1 expression in SCLC. PD-L1 expression in tumor-infiltrating macrophages was correlated with tumor-infiltrating lymphocytes.</w:t>
      </w:r>
      <w:hyperlink w:anchor="_ENREF_87" w:tooltip="Schultheis, 2015 #170" w:history="1">
        <w:r w:rsidR="00F77861" w:rsidRPr="00244551">
          <w:rPr>
            <w:rStyle w:val="Hyperlink"/>
            <w:szCs w:val="24"/>
          </w:rPr>
          <w:fldChar w:fldCharType="begin">
            <w:fldData xml:space="preserve">PEVuZE5vdGU+PENpdGU+PEF1dGhvcj5TY2h1bHRoZWlzPC9BdXRob3I+PFllYXI+MjAxNTwvWWVh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PEVuZE5vdGU+PENpdGU+PEF1dGhvcj5TY2h1bHRoZWlzPC9BdXRob3I+PFllYXI+MjAxNTwvWWVh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87</w:t>
        </w:r>
        <w:r w:rsidR="00F77861" w:rsidRPr="00244551">
          <w:rPr>
            <w:rStyle w:val="Hyperlink"/>
            <w:szCs w:val="24"/>
          </w:rPr>
          <w:fldChar w:fldCharType="end"/>
        </w:r>
      </w:hyperlink>
      <w:r w:rsidRPr="007A3223">
        <w:rPr>
          <w:szCs w:val="24"/>
        </w:rPr>
        <w:t xml:space="preserve"> E</w:t>
      </w:r>
      <w:r w:rsidRPr="00F33908">
        <w:rPr>
          <w:szCs w:val="24"/>
        </w:rPr>
        <w:t xml:space="preserve">xpression of PD-L1 in tumor cells was </w:t>
      </w:r>
      <w:r w:rsidRPr="007A3223">
        <w:rPr>
          <w:szCs w:val="24"/>
        </w:rPr>
        <w:t xml:space="preserve">also observed in 71.6% (73 of 102) of SCLCs, and was significantly correlated </w:t>
      </w:r>
      <w:r w:rsidRPr="007A3223">
        <w:rPr>
          <w:szCs w:val="24"/>
        </w:rPr>
        <w:lastRenderedPageBreak/>
        <w:t>with a limited disease stage. In this study, patients with PD-L1-positive tumors showed longer OS than those with PD-L1-negative tumors (median OS, 16.3 vs 7.3 months; p &lt; 0.001, respectively</w:t>
      </w:r>
      <w:r w:rsidR="00D54766" w:rsidRPr="007A3223">
        <w:rPr>
          <w:szCs w:val="24"/>
        </w:rPr>
        <w:t xml:space="preserve">). </w:t>
      </w:r>
      <w:hyperlink w:anchor="_ENREF_88" w:tooltip="Ishii, 2015 #171" w:history="1">
        <w:r w:rsidR="00F77861" w:rsidRPr="00244551">
          <w:rPr>
            <w:rStyle w:val="Hyperlink"/>
            <w:szCs w:val="24"/>
          </w:rPr>
          <w:fldChar w:fldCharType="begin">
            <w:fldData xml:space="preserve">PEVuZE5vdGU+PENpdGU+PEF1dGhvcj5Jc2hpaTwvQXV0aG9yPjxZZWFyPjIwMTU8L1llYXI+PFJl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PEVuZE5vdGU+PENpdGU+PEF1dGhvcj5Jc2hpaTwvQXV0aG9yPjxZZWFyPjIwMTU8L1llYXI+PFJl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88</w:t>
        </w:r>
        <w:r w:rsidR="00F77861" w:rsidRPr="00244551">
          <w:rPr>
            <w:rStyle w:val="Hyperlink"/>
            <w:szCs w:val="24"/>
          </w:rPr>
          <w:fldChar w:fldCharType="end"/>
        </w:r>
      </w:hyperlink>
      <w:r w:rsidRPr="007A3223">
        <w:rPr>
          <w:szCs w:val="24"/>
        </w:rPr>
        <w:t xml:space="preserve"> </w:t>
      </w:r>
    </w:p>
    <w:p w14:paraId="33FCC23A" w14:textId="43FCB890" w:rsidR="00BB1B7B" w:rsidRPr="007A3223" w:rsidRDefault="00BB1B7B" w:rsidP="00EA1DA8">
      <w:pPr>
        <w:spacing w:after="0"/>
        <w:rPr>
          <w:szCs w:val="24"/>
        </w:rPr>
      </w:pPr>
      <w:r w:rsidRPr="007A3223">
        <w:rPr>
          <w:szCs w:val="24"/>
        </w:rPr>
        <w:t xml:space="preserve">    Recent reports indicate early clinical activity of immunotherapy targeting the PD-1/PD-L1 pathway in patients with relapsed SCLC. Pembrolizumab (10 mg/kg q 2 weeks IV) showed ORR of 35% (95% CI, 15%, 59%) in patients with previously treated, PD-L1-positive, extensive-stage SCLC.</w:t>
      </w:r>
      <w:hyperlink w:anchor="_ENREF_89" w:tooltip=", 2015 #179" w:history="1">
        <w:r w:rsidR="00F77861" w:rsidRPr="00244551">
          <w:rPr>
            <w:rStyle w:val="Hyperlink"/>
            <w:szCs w:val="24"/>
          </w:rPr>
          <w:fldChar w:fldCharType="begin"/>
        </w:r>
        <w:r w:rsidR="00F77861" w:rsidRPr="00244551">
          <w:rPr>
            <w:rStyle w:val="Hyperlink"/>
            <w:szCs w:val="24"/>
          </w:rPr>
          <w:instrText xml:space="preserve"> ADDIN EN.CITE &lt;EndNote&gt;&lt;Cite&gt;&lt;Year&gt;2015&lt;/Year&gt;&lt;RecNum&gt;179&lt;/RecNum&gt;&lt;DisplayText&gt;&lt;style face="superscript"&gt;89&lt;/style&gt;&lt;/DisplayText&gt;&lt;record&gt;&lt;rec-number&gt;179&lt;/rec-number&gt;&lt;foreign-keys&gt;&lt;key app="EN" db-id="eezrz9wfo9z29ne2wr8v9ax4stwr2sv0apez"&gt;179&lt;/key&gt;&lt;/foreign-keys&gt;&lt;ref-type name="Journal Article"&gt;17&lt;/ref-type&gt;&lt;contributors&gt;&lt;/contributors&gt;&lt;titles&gt;&lt;title&gt;Ott PA et al. Pembrolizumab (MK-3475) in patients (pts) with extensive-stage small cell lung cancer (SCLC): Preliminary safety and efficacy results from KEYNOTE-028. J Clin Oncol 33, 2015 (suppl; abstr 7502)&lt;/title&gt;&lt;/titles&gt;&lt;dates&gt;&lt;year&gt;2015&lt;/year&gt;&lt;/dates&gt;&lt;urls&gt;&lt;/urls&gt;&lt;/record&gt;&lt;/Cite&gt;&lt;/EndNote&gt;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89</w:t>
        </w:r>
        <w:r w:rsidR="00F77861" w:rsidRPr="00244551">
          <w:rPr>
            <w:rStyle w:val="Hyperlink"/>
            <w:szCs w:val="24"/>
          </w:rPr>
          <w:fldChar w:fldCharType="end"/>
        </w:r>
      </w:hyperlink>
      <w:r w:rsidRPr="007A3223">
        <w:rPr>
          <w:szCs w:val="24"/>
        </w:rPr>
        <w:t xml:space="preserve"> </w:t>
      </w:r>
      <w:r w:rsidRPr="00F33908">
        <w:rPr>
          <w:szCs w:val="24"/>
        </w:rPr>
        <w:t xml:space="preserve">Here, </w:t>
      </w:r>
      <w:r w:rsidRPr="007A3223">
        <w:rPr>
          <w:szCs w:val="24"/>
        </w:rPr>
        <w:t xml:space="preserve">PD-L1 expression in defined as expression on </w:t>
      </w:r>
      <w:r w:rsidRPr="007A3223">
        <w:rPr>
          <w:rFonts w:hint="eastAsia"/>
          <w:szCs w:val="24"/>
        </w:rPr>
        <w:t>≥</w:t>
      </w:r>
      <w:r w:rsidRPr="007A3223">
        <w:rPr>
          <w:szCs w:val="24"/>
        </w:rPr>
        <w:t xml:space="preserve"> 1% of cells in tumor nests or PD-L1+ bands in stroma by IHC. Responses were durable; median duration of response was 29.1 weeks (range: 0.1-29.1 weeks) and median time to response was 8.6 weeks (range: 7.7-16.1 weeks). Nivolumab also resulted in RR of 18% as monotherapy and 17% in combination with ipilimumab in a study of patients with progressive disease after one or more lines of therapy, including a first-line platinum-based regimen.</w:t>
      </w:r>
      <w:hyperlink w:anchor="_ENREF_90" w:tooltip=", 2015 #178" w:history="1">
        <w:r w:rsidR="00F77861" w:rsidRPr="00244551">
          <w:rPr>
            <w:rStyle w:val="Hyperlink"/>
            <w:szCs w:val="24"/>
          </w:rPr>
          <w:fldChar w:fldCharType="begin"/>
        </w:r>
        <w:r w:rsidR="00F77861" w:rsidRPr="00244551">
          <w:rPr>
            <w:rStyle w:val="Hyperlink"/>
            <w:szCs w:val="24"/>
          </w:rPr>
          <w:instrText xml:space="preserve"> ADDIN EN.CITE &lt;EndNote&gt;&lt;Cite&gt;&lt;Year&gt;2015&lt;/Year&gt;&lt;RecNum&gt;178&lt;/RecNum&gt;&lt;DisplayText&gt;&lt;style face="superscript"&gt;90&lt;/style&gt;&lt;/DisplayText&gt;&lt;record&gt;&lt;rec-number&gt;178&lt;/rec-number&gt;&lt;foreign-keys&gt;&lt;key app="EN" db-id="eezrz9wfo9z29ne2wr8v9ax4stwr2sv0apez"&gt;178&lt;/key&gt;&lt;/foreign-keys&gt;&lt;ref-type name="Journal Article"&gt;17&lt;/ref-type&gt;&lt;contributors&gt;&lt;/contributors&gt;&lt;titles&gt;&lt;title&gt;Antonia SJ, et al. Phase I/II study of nivolumab with or without ipilimumab for treatment of recurrent small cell lung cancer (SCLC): CA209-032. J Clin Oncol 33, 2015 (suppl; abstr 7503)&lt;/title&gt;&lt;/titles&gt;&lt;dates&gt;&lt;year&gt;2015&lt;/year&gt;&lt;/dates&gt;&lt;urls&gt;&lt;/urls&gt;&lt;/record&gt;&lt;/Cite&gt;&lt;/EndNote&gt;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90</w:t>
        </w:r>
        <w:r w:rsidR="00F77861" w:rsidRPr="00244551">
          <w:rPr>
            <w:rStyle w:val="Hyperlink"/>
            <w:szCs w:val="24"/>
          </w:rPr>
          <w:fldChar w:fldCharType="end"/>
        </w:r>
      </w:hyperlink>
      <w:r w:rsidRPr="007A3223">
        <w:rPr>
          <w:szCs w:val="24"/>
        </w:rPr>
        <w:t xml:space="preserve"> The disease control rate was 38% with mono</w:t>
      </w:r>
      <w:r w:rsidRPr="00F33908">
        <w:rPr>
          <w:szCs w:val="24"/>
        </w:rPr>
        <w:t>therapy and 54% with combination therapy. The median OS wa</w:t>
      </w:r>
      <w:r w:rsidRPr="007A3223">
        <w:rPr>
          <w:szCs w:val="24"/>
        </w:rPr>
        <w:t xml:space="preserve">s 4.4 months with monotherapy (95% CI, 2.9, 9.4) and 8.2 months with combination therapy (95% CI, 3.7, not reached). </w:t>
      </w:r>
    </w:p>
    <w:p w14:paraId="02B3FC5F" w14:textId="19DA3393" w:rsidR="00BB1B7B" w:rsidRPr="007A3223" w:rsidRDefault="00BB1B7B" w:rsidP="00EA1DA8">
      <w:pPr>
        <w:spacing w:after="0"/>
        <w:rPr>
          <w:szCs w:val="24"/>
        </w:rPr>
      </w:pPr>
      <w:r w:rsidRPr="007A3223">
        <w:rPr>
          <w:szCs w:val="24"/>
        </w:rPr>
        <w:t xml:space="preserve">    Mutational burden appears to be an important determinant of response to immune checkpoint inhibition. In a recent study analyzing tumor mutational burden in patients with NSCLC treated with the PD-1 antibody pembrolizumab, higher non-synonymous mutation burden in tumors was associated with improved objective response, durable clinical benefit, and PFS. Efficacy also correlated with the molecular smoking signature, higher neoantigen burden, and DNA repair pathway mutations; each factor was also associated with mutation burden.</w:t>
      </w:r>
      <w:hyperlink w:anchor="_ENREF_91" w:tooltip="Rizvi, 2015 #80" w:history="1">
        <w:r w:rsidR="00F77861" w:rsidRPr="00244551">
          <w:rPr>
            <w:rStyle w:val="Hyperlink"/>
            <w:szCs w:val="24"/>
          </w:rPr>
          <w:fldChar w:fldCharType="begin">
            <w:fldData xml:space="preserve">PEVuZE5vdGU+PENpdGU+PEF1dGhvcj5SaXp2aTwvQXV0aG9yPjxZZWFyPjIwMTU8L1llYXI+PFJl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aW9kaWNhbD48cGFnZXM+MTI0LTg8L3BhZ2VzPjx2b2x1bWU+MzQ4PC92b2x1bWU+PG51bWJlcj42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PEVuZE5vdGU+PENpdGU+PEF1dGhvcj5SaXp2aTwvQXV0aG9yPjxZZWFyPjIwMTU8L1llYXI+PFJl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aW9kaWNhbD48cGFnZXM+MTI0LTg8L3BhZ2VzPjx2b2x1bWU+MzQ4PC92b2x1bWU+PG51bWJlcj42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91</w:t>
        </w:r>
        <w:r w:rsidR="00F77861" w:rsidRPr="00244551">
          <w:rPr>
            <w:rStyle w:val="Hyperlink"/>
            <w:szCs w:val="24"/>
          </w:rPr>
          <w:fldChar w:fldCharType="end"/>
        </w:r>
      </w:hyperlink>
      <w:r w:rsidRPr="007A3223">
        <w:rPr>
          <w:szCs w:val="24"/>
        </w:rPr>
        <w:t xml:space="preserve"> The association between response to PD-1 inhibitors, mutation burden, and tobacco exposure and the high frequ</w:t>
      </w:r>
      <w:r w:rsidRPr="00F33908">
        <w:rPr>
          <w:szCs w:val="24"/>
        </w:rPr>
        <w:t xml:space="preserve">ency of DNA repair pathway alterations may have important implications for SCLC.  </w:t>
      </w:r>
    </w:p>
    <w:p w14:paraId="4DE57F0F" w14:textId="75636EA4" w:rsidR="007E5FFB" w:rsidRPr="007A3223" w:rsidRDefault="0077729D" w:rsidP="00EA1DA8">
      <w:pPr>
        <w:spacing w:after="0"/>
        <w:rPr>
          <w:szCs w:val="24"/>
        </w:rPr>
      </w:pPr>
      <w:r w:rsidRPr="007A3223">
        <w:rPr>
          <w:szCs w:val="24"/>
        </w:rPr>
        <w:t xml:space="preserve">     </w:t>
      </w:r>
      <w:r w:rsidR="00BB1B7B" w:rsidRPr="007A3223">
        <w:rPr>
          <w:szCs w:val="24"/>
        </w:rPr>
        <w:t>PARP1 is highly expressed at the mRNA and protein levels in SCLCs and SCLC growth is inhibited by PARP1 knockdown. PARP</w:t>
      </w:r>
      <w:r w:rsidR="007E5FFB" w:rsidRPr="007A3223">
        <w:rPr>
          <w:szCs w:val="24"/>
        </w:rPr>
        <w:t>i</w:t>
      </w:r>
      <w:r w:rsidR="00BB1B7B" w:rsidRPr="007A3223">
        <w:rPr>
          <w:szCs w:val="24"/>
        </w:rPr>
        <w:t xml:space="preserve"> downregulates key components of the DNA repair machinery and enhances the efficacy of chemotherapy.</w:t>
      </w:r>
      <w:hyperlink w:anchor="_ENREF_92" w:tooltip="Byers, 2012 #173" w:history="1">
        <w:r w:rsidR="00F77861" w:rsidRPr="00244551">
          <w:rPr>
            <w:rStyle w:val="Hyperlink"/>
            <w:szCs w:val="24"/>
          </w:rPr>
          <w:fldChar w:fldCharType="begin">
            <w:fldData xml:space="preserve">PEVuZE5vdGU+PENpdGU+PEF1dGhvcj5CeWVyczwvQXV0aG9yPjxZZWFyPjIwMTI8L1llYXI+PFJl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dC1wZXJpb2RpY2FsPjxwYWdlcz43OTgtODExPC9wYWdlcz48dm9sdW1lPjI8L3ZvbHVtZT48bnVt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PEVuZE5vdGU+PENpdGU+PEF1dGhvcj5CeWVyczwvQXV0aG9yPjxZZWFyPjIwMTI8L1llYXI+PFJl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dC1wZXJpb2RpY2FsPjxwYWdlcz43OTgtODExPC9wYWdlcz48dm9sdW1lPjI8L3ZvbHVtZT48bnVt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92</w:t>
        </w:r>
        <w:r w:rsidR="00F77861" w:rsidRPr="00244551">
          <w:rPr>
            <w:rStyle w:val="Hyperlink"/>
            <w:szCs w:val="24"/>
          </w:rPr>
          <w:fldChar w:fldCharType="end"/>
        </w:r>
      </w:hyperlink>
      <w:r w:rsidR="00BB1B7B" w:rsidRPr="007A3223">
        <w:rPr>
          <w:szCs w:val="24"/>
        </w:rPr>
        <w:t xml:space="preserve"> PARPi monotherapy has</w:t>
      </w:r>
      <w:r w:rsidR="00BB1B7B" w:rsidRPr="00F33908">
        <w:rPr>
          <w:szCs w:val="24"/>
        </w:rPr>
        <w:t xml:space="preserve"> shown clinical activity in SCLC patients; </w:t>
      </w:r>
      <w:r w:rsidR="00BB1B7B" w:rsidRPr="007A3223">
        <w:rPr>
          <w:szCs w:val="24"/>
        </w:rPr>
        <w:t>in a phase I trial, confirmed responses were reported in 2 of 11 (18%) previously treated SCLC patients with BMN 673.</w:t>
      </w:r>
      <w:hyperlink w:anchor="_ENREF_93" w:tooltip="al, 2014 #174" w:history="1">
        <w:r w:rsidR="00F77861" w:rsidRPr="00244551">
          <w:rPr>
            <w:rStyle w:val="Hyperlink"/>
            <w:szCs w:val="24"/>
          </w:rPr>
          <w:fldChar w:fldCharType="begin"/>
        </w:r>
        <w:r w:rsidR="00F77861" w:rsidRPr="00244551">
          <w:rPr>
            <w:rStyle w:val="Hyperlink"/>
            <w:szCs w:val="24"/>
          </w:rPr>
          <w:instrText xml:space="preserve"> ADDIN EN.CITE &lt;EndNote&gt;&lt;Cite&gt;&lt;Author&gt;al&lt;/Author&gt;&lt;Year&gt;2014&lt;/Year&gt;&lt;RecNum&gt;174&lt;/RecNum&gt;&lt;DisplayText&gt;&lt;style face="superscript"&gt;93&lt;/style&gt;&lt;/DisplayText&gt;&lt;record&gt;&lt;rec-number&gt;174&lt;/rec-number&gt;&lt;foreign-keys&gt;&lt;key app="EN" db-id="eezrz9wfo9z29ne2wr8v9ax4stwr2sv0apez"&gt;174&lt;/key&gt;&lt;/foreign-keys&gt;&lt;ref-type name="Journal Article"&gt;17&lt;/ref-type&gt;&lt;contributors&gt;&lt;authors&gt;&lt;author&gt;Wainberg ZA  et al&lt;/author&gt;&lt;/authors&gt;&lt;/contributors&gt;&lt;titles&gt;&lt;title&gt;Wainberg ZA, Rafii S, Ramanathan RK,Mina LA, Byers LA, Chugh R, et al. Safety and antitumor activity of the PARP inhibitor BMN673 in a phase 1 trial recruiting metastatic small-cell lung cancer (SCLC) and germline BRCA-mutation carrier cancer patients. J Clin Oncol 32:5s, 2014 (suppl; abstr 7522). &lt;/title&gt;&lt;/titles&gt;&lt;dates&gt;&lt;year&gt;2014&lt;/year&gt;&lt;/dates&gt;&lt;urls&gt;&lt;/urls&gt;&lt;/record&gt;&lt;/Cite&gt;&lt;/EndNote&gt;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93</w:t>
        </w:r>
        <w:r w:rsidR="00F77861" w:rsidRPr="00244551">
          <w:rPr>
            <w:rStyle w:val="Hyperlink"/>
            <w:szCs w:val="24"/>
          </w:rPr>
          <w:fldChar w:fldCharType="end"/>
        </w:r>
      </w:hyperlink>
      <w:r w:rsidR="00BB1B7B" w:rsidRPr="007A3223">
        <w:rPr>
          <w:szCs w:val="24"/>
        </w:rPr>
        <w:t xml:space="preserve">  In pre-clinical studies,</w:t>
      </w:r>
      <w:r w:rsidR="00BB1B7B" w:rsidRPr="00F33908">
        <w:rPr>
          <w:szCs w:val="24"/>
        </w:rPr>
        <w:t xml:space="preserve"> </w:t>
      </w:r>
      <w:r w:rsidR="00BB1B7B" w:rsidRPr="007A3223">
        <w:rPr>
          <w:szCs w:val="24"/>
        </w:rPr>
        <w:t xml:space="preserve">sensitivity to BMN 673 was associated with elevated baseline expression levels of several DNA repair </w:t>
      </w:r>
      <w:r w:rsidR="00D54766" w:rsidRPr="007A3223">
        <w:rPr>
          <w:szCs w:val="24"/>
        </w:rPr>
        <w:t xml:space="preserve">proteins. </w:t>
      </w:r>
      <w:hyperlink w:anchor="_ENREF_94" w:tooltip="Cardnell, 2013 #177" w:history="1">
        <w:r w:rsidR="00F77861" w:rsidRPr="00244551">
          <w:rPr>
            <w:rStyle w:val="Hyperlink"/>
            <w:szCs w:val="24"/>
          </w:rPr>
          <w:fldChar w:fldCharType="begin">
            <w:fldData xml:space="preserve">PEVuZE5vdGU+PENpdGU+PEF1dGhvcj5DYXJkbmVsbDwvQXV0aG9yPjxZZWFyPjIwMTM8L1llYXI+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PEVuZE5vdGU+PENpdGU+PEF1dGhvcj5DYXJkbmVsbDwvQXV0aG9yPjxZZWFyPjIwMTM8L1llYXI+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94</w:t>
        </w:r>
        <w:r w:rsidR="00F77861" w:rsidRPr="00244551">
          <w:rPr>
            <w:rStyle w:val="Hyperlink"/>
            <w:szCs w:val="24"/>
          </w:rPr>
          <w:fldChar w:fldCharType="end"/>
        </w:r>
      </w:hyperlink>
      <w:r w:rsidR="00BB1B7B" w:rsidRPr="007A3223">
        <w:rPr>
          <w:szCs w:val="24"/>
        </w:rPr>
        <w:t xml:space="preserve"> PARPi</w:t>
      </w:r>
      <w:r w:rsidR="00BB1B7B" w:rsidRPr="00F33908">
        <w:rPr>
          <w:szCs w:val="24"/>
        </w:rPr>
        <w:t xml:space="preserve"> are act</w:t>
      </w:r>
      <w:r w:rsidR="00BB1B7B" w:rsidRPr="007A3223">
        <w:rPr>
          <w:szCs w:val="24"/>
        </w:rPr>
        <w:t xml:space="preserve">ively being investigated in combination with chemotherapy (NCT01642251; NCT02289690) and with alkylating agents (NCT01638546) in SCLC. Collectively, these findings support examining the clinical activity of a PARPi and immune checkpoint inhibition in SCLC. </w:t>
      </w:r>
    </w:p>
    <w:p w14:paraId="0796BC0B" w14:textId="77777777" w:rsidR="00BB1B7B" w:rsidRPr="007A3223" w:rsidRDefault="00BB1B7B" w:rsidP="00541C93">
      <w:pPr>
        <w:pStyle w:val="Heading4"/>
      </w:pPr>
      <w:r w:rsidRPr="007A3223">
        <w:t xml:space="preserve">Metastatic castrate-resistant prostate cancer </w:t>
      </w:r>
    </w:p>
    <w:p w14:paraId="3CB8A03A" w14:textId="0201CF0A" w:rsidR="00BB1B7B" w:rsidRPr="00F33908" w:rsidRDefault="00BB1B7B" w:rsidP="002F3363">
      <w:pPr>
        <w:spacing w:after="0"/>
        <w:rPr>
          <w:szCs w:val="24"/>
        </w:rPr>
      </w:pPr>
      <w:r w:rsidRPr="007A3223">
        <w:rPr>
          <w:szCs w:val="24"/>
        </w:rPr>
        <w:t xml:space="preserve">    Prostate cancer is the second most common cancer in men in the United States with an estimated 220,800 new cases and 27,540 deaths in 2015.</w:t>
      </w:r>
      <w:hyperlink w:anchor="_ENREF_95" w:tooltip="Siegel, 2015 #447" w:history="1">
        <w:r w:rsidR="00F77861" w:rsidRPr="00244551">
          <w:rPr>
            <w:rStyle w:val="Hyperlink"/>
            <w:szCs w:val="24"/>
          </w:rPr>
          <w:fldChar w:fldCharType="begin"/>
        </w:r>
        <w:r w:rsidR="00F77861" w:rsidRPr="00244551">
          <w:rPr>
            <w:rStyle w:val="Hyperlink"/>
            <w:szCs w:val="24"/>
          </w:rPr>
          <w:instrText xml:space="preserve"> ADDIN EN.CITE &lt;EndNote&gt;&lt;Cite&gt;&lt;Author&gt;Siegel&lt;/Author&gt;&lt;Year&gt;2015&lt;/Year&gt;&lt;RecNum&gt;447&lt;/RecNum&gt;&lt;DisplayText&gt;&lt;style face="superscript"&gt;95&lt;/style&gt;&lt;/DisplayText&gt;&lt;record&gt;&lt;rec-number&gt;447&lt;/rec-number&gt;&lt;foreign-keys&gt;&lt;key app="EN" db-id="50wxdpzd9vd5r7e9t5b595djrfpttrxw9avp"&gt;447&lt;/key&gt;&lt;/foreign-keys&gt;&lt;ref-type name="Journal Article"&gt;17&lt;/ref-type&gt;&lt;contributors&gt;&lt;authors&gt;&lt;author&gt;Siegel, Rebecca L.&lt;/author&gt;&lt;author&gt;Miller, Kimberly D.&lt;/author&gt;&lt;author&gt;Jemal, Ahmedin&lt;/author&gt;&lt;/authors&gt;&lt;/contributors&gt;&lt;titles&gt;&lt;title&gt;Cancer statistics, 2015&lt;/title&gt;&lt;secondary-title&gt;CA: A Cancer Journal for Clinicians&lt;/secondary-title&gt;&lt;/titles&gt;&lt;pages&gt;5-29&lt;/pages&gt;&lt;volume&gt;65&lt;/volume&gt;&lt;number&gt;1&lt;/number&gt;&lt;keywords&gt;&lt;keyword&gt;cancer statistics&lt;/keyword&gt;&lt;keyword&gt;incidence&lt;/keyword&gt;&lt;keyword&gt;trends&lt;/keyword&gt;&lt;keyword&gt;survival&lt;/keyword&gt;&lt;keyword&gt;mortality&lt;/keyword&gt;&lt;keyword&gt;death rates&lt;/keyword&gt;&lt;keyword&gt;cancer cases&lt;/keyword&gt;&lt;/keywords&gt;&lt;dates&gt;&lt;year&gt;2015&lt;/year&gt;&lt;/dates&gt;&lt;isbn&gt;1542-4863&lt;/isbn&gt;&lt;urls&gt;&lt;related-urls&gt;&lt;url&gt;http://dx.doi.org/10.3322/caac.21254&lt;/url&gt;&lt;/related-urls&gt;&lt;/urls&gt;&lt;electronic-resource-num&gt;10.3322/caac.21254&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95</w:t>
        </w:r>
        <w:r w:rsidR="00F77861" w:rsidRPr="00244551">
          <w:rPr>
            <w:rStyle w:val="Hyperlink"/>
            <w:szCs w:val="24"/>
          </w:rPr>
          <w:fldChar w:fldCharType="end"/>
        </w:r>
      </w:hyperlink>
      <w:r w:rsidRPr="007A3223">
        <w:rPr>
          <w:szCs w:val="24"/>
        </w:rPr>
        <w:t xml:space="preserve">  While prostate cancer is initially responsive to androgen deprivation therapy (ADT), the median durati</w:t>
      </w:r>
      <w:r w:rsidRPr="00F33908">
        <w:rPr>
          <w:szCs w:val="24"/>
        </w:rPr>
        <w:t>on of sensitivity is approximately 24-36 months.</w:t>
      </w:r>
      <w:hyperlink w:anchor="_ENREF_96" w:tooltip="Eisenberger, 1998 #740" w:history="1">
        <w:r w:rsidR="00F77861" w:rsidRPr="00244551">
          <w:rPr>
            <w:rStyle w:val="Hyperlink"/>
            <w:szCs w:val="24"/>
          </w:rPr>
          <w:fldChar w:fldCharType="begin">
            <w:fldData xml:space="preserve">PEVuZE5vdGU+PENpdGU+PEF1dGhvcj5FaXNlbmJlcmdlcjwvQXV0aG9yPjxZZWFyPjE5OTg8L1ll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=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PEVuZE5vdGU+PENpdGU+PEF1dGhvcj5FaXNlbmJlcmdlcjwvQXV0aG9yPjxZZWFyPjE5OTg8L1ll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=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96</w:t>
        </w:r>
        <w:r w:rsidR="00F77861" w:rsidRPr="00244551">
          <w:rPr>
            <w:rStyle w:val="Hyperlink"/>
            <w:szCs w:val="24"/>
          </w:rPr>
          <w:fldChar w:fldCharType="end"/>
        </w:r>
      </w:hyperlink>
      <w:r w:rsidRPr="007A3223">
        <w:rPr>
          <w:szCs w:val="24"/>
        </w:rPr>
        <w:t xml:space="preserve"> While ADT can prolo</w:t>
      </w:r>
      <w:r w:rsidRPr="00F33908">
        <w:rPr>
          <w:szCs w:val="24"/>
        </w:rPr>
        <w:t>ng life, prostate ca</w:t>
      </w:r>
      <w:r w:rsidRPr="007A3223">
        <w:rPr>
          <w:szCs w:val="24"/>
        </w:rPr>
        <w:t>ncer will eventually progress, and a majority of men will go on to develop castration-resistant prostate cancer (CRPC) which is defined as disease progression despite castrate levels of testosterone (&lt;50 ng/dL).</w:t>
      </w:r>
      <w:hyperlink w:anchor="_ENREF_97" w:tooltip="Scher, 2008 #741" w:history="1">
        <w:r w:rsidR="00F77861" w:rsidRPr="00244551">
          <w:rPr>
            <w:rStyle w:val="Hyperlink"/>
            <w:szCs w:val="24"/>
          </w:rPr>
          <w:fldChar w:fldCharType="begin">
            <w:fldData xml:space="preserve">PEVuZE5vdGU+PENpdGU+PEF1dGhvcj5TY2hlcjwvQXV0aG9yPjxZZWFyPjIwMDg8L1llYXI+PFJl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PEVuZE5vdGU+PENpdGU+PEF1dGhvcj5TY2hlcjwvQXV0aG9yPjxZZWFyPjIwMDg8L1llYXI+PFJl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97</w:t>
        </w:r>
        <w:r w:rsidR="00F77861" w:rsidRPr="00244551">
          <w:rPr>
            <w:rStyle w:val="Hyperlink"/>
            <w:szCs w:val="24"/>
          </w:rPr>
          <w:fldChar w:fldCharType="end"/>
        </w:r>
      </w:hyperlink>
      <w:r w:rsidRPr="007A3223">
        <w:rPr>
          <w:szCs w:val="24"/>
        </w:rPr>
        <w:t xml:space="preserve">  In 2004, two la</w:t>
      </w:r>
      <w:r w:rsidRPr="00F33908">
        <w:rPr>
          <w:szCs w:val="24"/>
        </w:rPr>
        <w:t xml:space="preserve">ndmark studies showed </w:t>
      </w:r>
      <w:r w:rsidRPr="007A3223">
        <w:rPr>
          <w:szCs w:val="24"/>
        </w:rPr>
        <w:t>OS benefit in metastatic CRPC (mCRPC) with docetaxel.</w:t>
      </w:r>
      <w:r w:rsidRPr="00585A7F">
        <w:rPr>
          <w:szCs w:val="24"/>
        </w:rPr>
        <w:fldChar w:fldCharType="begin">
          <w:fldData xml:space="preserve">PEVuZE5vdGU+PENpdGU+PEF1dGhvcj5UYW5ub2NrPC9BdXRob3I+PFllYXI+MjAwNDwvWWVhcj48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</w:fldData>
        </w:fldChar>
      </w:r>
      <w:r w:rsidRPr="007A3223">
        <w:rPr>
          <w:szCs w:val="24"/>
        </w:rPr>
        <w:instrText xml:space="preserve"> ADDIN EN.CITE </w:instrText>
      </w:r>
      <w:r w:rsidRPr="00D005A1">
        <w:rPr>
          <w:szCs w:val="24"/>
        </w:rPr>
        <w:fldChar w:fldCharType="begin">
          <w:fldData xml:space="preserve">PEVuZE5vdGU+PENpdGU+PEF1dGhvcj5UYW5ub2NrPC9BdXRob3I+PFllYXI+MjAwNDwvWWVhcj48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</w:fldData>
        </w:fldChar>
      </w:r>
      <w:r w:rsidRPr="007A3223">
        <w:rPr>
          <w:szCs w:val="24"/>
        </w:rPr>
        <w:instrText xml:space="preserve"> ADDIN EN.CITE.DATA </w:instrText>
      </w:r>
      <w:r w:rsidRPr="00D005A1">
        <w:rPr>
          <w:szCs w:val="24"/>
        </w:rPr>
      </w:r>
      <w:r w:rsidRPr="00D005A1">
        <w:rPr>
          <w:szCs w:val="24"/>
        </w:rPr>
        <w:fldChar w:fldCharType="end"/>
      </w:r>
      <w:r w:rsidRPr="00585A7F">
        <w:rPr>
          <w:szCs w:val="24"/>
        </w:rPr>
      </w:r>
      <w:r w:rsidRPr="00585A7F">
        <w:rPr>
          <w:szCs w:val="24"/>
        </w:rPr>
        <w:fldChar w:fldCharType="separate"/>
      </w:r>
      <w:hyperlink w:anchor="_ENREF_98" w:tooltip="Tannock, 2004 #333" w:history="1">
        <w:r w:rsidR="00F77861" w:rsidRPr="00244551">
          <w:rPr>
            <w:rStyle w:val="Hyperlink"/>
            <w:noProof/>
            <w:szCs w:val="24"/>
            <w:vertAlign w:val="superscript"/>
          </w:rPr>
          <w:t>98</w:t>
        </w:r>
      </w:hyperlink>
      <w:r w:rsidRPr="00F33908">
        <w:rPr>
          <w:noProof/>
          <w:szCs w:val="24"/>
          <w:vertAlign w:val="superscript"/>
        </w:rPr>
        <w:t>,</w:t>
      </w:r>
      <w:hyperlink w:anchor="_ENREF_99" w:tooltip="Petrylak, 2004 #335" w:history="1">
        <w:r w:rsidR="00F77861" w:rsidRPr="00244551">
          <w:rPr>
            <w:rStyle w:val="Hyperlink"/>
            <w:noProof/>
            <w:szCs w:val="24"/>
            <w:vertAlign w:val="superscript"/>
          </w:rPr>
          <w:t>99</w:t>
        </w:r>
      </w:hyperlink>
      <w:r w:rsidRPr="00585A7F">
        <w:rPr>
          <w:szCs w:val="24"/>
        </w:rPr>
        <w:fldChar w:fldCharType="end"/>
      </w:r>
      <w:r w:rsidRPr="007A3223">
        <w:rPr>
          <w:szCs w:val="24"/>
        </w:rPr>
        <w:t xml:space="preserve"> However, patients eventual</w:t>
      </w:r>
      <w:r w:rsidRPr="00F33908">
        <w:rPr>
          <w:szCs w:val="24"/>
        </w:rPr>
        <w:t xml:space="preserve">ly develop resistance to docetaxel.  Over the last several years, the landscape of treatment in mCRPC has heralded new treatment options </w:t>
      </w:r>
      <w:r w:rsidRPr="00F33908">
        <w:rPr>
          <w:szCs w:val="24"/>
        </w:rPr>
        <w:lastRenderedPageBreak/>
        <w:t>including potent hormonal agents abiraterone</w:t>
      </w:r>
      <w:r w:rsidRPr="00585A7F">
        <w:rPr>
          <w:szCs w:val="24"/>
        </w:rPr>
        <w:fldChar w:fldCharType="begin">
          <w:fldData xml:space="preserve">PEVuZE5vdGU+PENpdGU+PEF1dGhvcj5kZSBCb25vPC9BdXRob3I+PFllYXI+MjAxMTwvWWVhcj48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</w:fldData>
        </w:fldChar>
      </w:r>
      <w:r w:rsidRPr="007A3223">
        <w:rPr>
          <w:szCs w:val="24"/>
        </w:rPr>
        <w:instrText xml:space="preserve"> ADDIN EN.CITE </w:instrText>
      </w:r>
      <w:r w:rsidRPr="00D005A1">
        <w:rPr>
          <w:szCs w:val="24"/>
        </w:rPr>
        <w:fldChar w:fldCharType="begin">
          <w:fldData xml:space="preserve">PEVuZE5vdGU+PENpdGU+PEF1dGhvcj5kZSBCb25vPC9BdXRob3I+PFllYXI+MjAxMTwvWWVhcj48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</w:fldData>
        </w:fldChar>
      </w:r>
      <w:r w:rsidRPr="007A3223">
        <w:rPr>
          <w:szCs w:val="24"/>
        </w:rPr>
        <w:instrText xml:space="preserve"> ADDIN EN.CITE.DATA </w:instrText>
      </w:r>
      <w:r w:rsidRPr="00D005A1">
        <w:rPr>
          <w:szCs w:val="24"/>
        </w:rPr>
      </w:r>
      <w:r w:rsidRPr="00D005A1">
        <w:rPr>
          <w:szCs w:val="24"/>
        </w:rPr>
        <w:fldChar w:fldCharType="end"/>
      </w:r>
      <w:r w:rsidRPr="00585A7F">
        <w:rPr>
          <w:szCs w:val="24"/>
        </w:rPr>
      </w:r>
      <w:r w:rsidRPr="00585A7F">
        <w:rPr>
          <w:szCs w:val="24"/>
        </w:rPr>
        <w:fldChar w:fldCharType="separate"/>
      </w:r>
      <w:hyperlink w:anchor="_ENREF_100" w:tooltip="de Bono, 2011 #746" w:history="1">
        <w:r w:rsidR="00F77861" w:rsidRPr="00244551">
          <w:rPr>
            <w:rStyle w:val="Hyperlink"/>
            <w:noProof/>
            <w:szCs w:val="24"/>
            <w:vertAlign w:val="superscript"/>
          </w:rPr>
          <w:t>100</w:t>
        </w:r>
      </w:hyperlink>
      <w:r w:rsidRPr="00F33908">
        <w:rPr>
          <w:noProof/>
          <w:szCs w:val="24"/>
          <w:vertAlign w:val="superscript"/>
        </w:rPr>
        <w:t>,</w:t>
      </w:r>
      <w:hyperlink w:anchor="_ENREF_101" w:tooltip="Ryan, 2013 #749" w:history="1">
        <w:r w:rsidR="00F77861" w:rsidRPr="00244551">
          <w:rPr>
            <w:rStyle w:val="Hyperlink"/>
            <w:noProof/>
            <w:szCs w:val="24"/>
            <w:vertAlign w:val="superscript"/>
          </w:rPr>
          <w:t>101</w:t>
        </w:r>
      </w:hyperlink>
      <w:r w:rsidRPr="00585A7F">
        <w:rPr>
          <w:szCs w:val="24"/>
        </w:rPr>
        <w:fldChar w:fldCharType="end"/>
      </w:r>
      <w:r w:rsidRPr="007A3223">
        <w:rPr>
          <w:szCs w:val="24"/>
        </w:rPr>
        <w:t xml:space="preserve"> and enzalutamide</w:t>
      </w:r>
      <w:r w:rsidRPr="00585A7F">
        <w:rPr>
          <w:szCs w:val="24"/>
        </w:rPr>
        <w:fldChar w:fldCharType="begin">
          <w:fldData xml:space="preserve">PEVuZE5vdGU+PENpdGU+PEF1dGhvcj5CZWVyPC9BdXRob3I+PFllYXI+MjAxNDwvWWVhcj48UmVj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</w:fldData>
        </w:fldChar>
      </w:r>
      <w:r w:rsidRPr="007A3223">
        <w:rPr>
          <w:szCs w:val="24"/>
        </w:rPr>
        <w:instrText xml:space="preserve"> ADDIN EN.CITE </w:instrText>
      </w:r>
      <w:r w:rsidRPr="00D005A1">
        <w:rPr>
          <w:szCs w:val="24"/>
        </w:rPr>
        <w:fldChar w:fldCharType="begin">
          <w:fldData xml:space="preserve">PEVuZE5vdGU+PENpdGU+PEF1dGhvcj5CZWVyPC9BdXRob3I+PFllYXI+MjAxNDwvWWVhcj48UmVj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</w:fldData>
        </w:fldChar>
      </w:r>
      <w:r w:rsidRPr="007A3223">
        <w:rPr>
          <w:szCs w:val="24"/>
        </w:rPr>
        <w:instrText xml:space="preserve"> ADDIN EN.CITE.DATA </w:instrText>
      </w:r>
      <w:r w:rsidRPr="00D005A1">
        <w:rPr>
          <w:szCs w:val="24"/>
        </w:rPr>
      </w:r>
      <w:r w:rsidRPr="00D005A1">
        <w:rPr>
          <w:szCs w:val="24"/>
        </w:rPr>
        <w:fldChar w:fldCharType="end"/>
      </w:r>
      <w:r w:rsidRPr="00585A7F">
        <w:rPr>
          <w:szCs w:val="24"/>
        </w:rPr>
      </w:r>
      <w:r w:rsidRPr="00585A7F">
        <w:rPr>
          <w:szCs w:val="24"/>
        </w:rPr>
        <w:fldChar w:fldCharType="separate"/>
      </w:r>
      <w:hyperlink w:anchor="_ENREF_102" w:tooltip="Beer, 2014 #752" w:history="1">
        <w:r w:rsidR="00F77861" w:rsidRPr="00244551">
          <w:rPr>
            <w:rStyle w:val="Hyperlink"/>
            <w:noProof/>
            <w:szCs w:val="24"/>
            <w:vertAlign w:val="superscript"/>
          </w:rPr>
          <w:t>102</w:t>
        </w:r>
      </w:hyperlink>
      <w:r w:rsidRPr="00F33908">
        <w:rPr>
          <w:noProof/>
          <w:szCs w:val="24"/>
          <w:vertAlign w:val="superscript"/>
        </w:rPr>
        <w:t>,</w:t>
      </w:r>
      <w:hyperlink w:anchor="_ENREF_103" w:tooltip="Scher, 2012 #753" w:history="1">
        <w:r w:rsidR="00F77861" w:rsidRPr="00244551">
          <w:rPr>
            <w:rStyle w:val="Hyperlink"/>
            <w:noProof/>
            <w:szCs w:val="24"/>
            <w:vertAlign w:val="superscript"/>
          </w:rPr>
          <w:t>103</w:t>
        </w:r>
      </w:hyperlink>
      <w:r w:rsidRPr="00585A7F">
        <w:rPr>
          <w:szCs w:val="24"/>
        </w:rPr>
        <w:fldChar w:fldCharType="end"/>
      </w:r>
      <w:r w:rsidRPr="007A3223">
        <w:rPr>
          <w:szCs w:val="24"/>
        </w:rPr>
        <w:t xml:space="preserve"> which t</w:t>
      </w:r>
      <w:r w:rsidRPr="00F33908">
        <w:rPr>
          <w:szCs w:val="24"/>
        </w:rPr>
        <w:t xml:space="preserve">arget the androgen receptor (AR).  Both abiraterone and enzalutamide have shown </w:t>
      </w:r>
      <w:r w:rsidRPr="007A3223">
        <w:rPr>
          <w:szCs w:val="24"/>
        </w:rPr>
        <w:t>OS benefits both pre- and post-chemotherapy, unfortunately, again men with mCPRC will develop resistance to these agents.</w:t>
      </w:r>
      <w:hyperlink w:anchor="_ENREF_104" w:tooltip="Robinson, 2015 #797" w:history="1">
        <w:r w:rsidR="00F77861" w:rsidRPr="00244551">
          <w:rPr>
            <w:rStyle w:val="Hyperlink"/>
            <w:szCs w:val="24"/>
          </w:rPr>
          <w:fldChar w:fldCharType="begin">
            <w:fldData xml:space="preserve">PEVuZE5vdGU+PENpdGU+PEF1dGhvcj5Sb2JpbnNvbjwvQXV0aG9yPjxZZWFyPjIwMTU8L1llYXI+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PEVuZE5vdGU+PENpdGU+PEF1dGhvcj5Sb2JpbnNvbjwvQXV0aG9yPjxZZWFyPjIwMTU8L1llYXI+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104</w:t>
        </w:r>
        <w:r w:rsidR="00F77861" w:rsidRPr="00244551">
          <w:rPr>
            <w:rStyle w:val="Hyperlink"/>
            <w:szCs w:val="24"/>
          </w:rPr>
          <w:fldChar w:fldCharType="end"/>
        </w:r>
      </w:hyperlink>
      <w:r w:rsidRPr="007A3223">
        <w:rPr>
          <w:szCs w:val="24"/>
        </w:rPr>
        <w:t xml:space="preserve">   Alternate treatment options need to be identified in this patient population. </w:t>
      </w:r>
    </w:p>
    <w:p w14:paraId="11E7ADAF" w14:textId="331DB68C" w:rsidR="00BB1B7B" w:rsidRPr="00F33908" w:rsidRDefault="00BB1B7B" w:rsidP="002F3363">
      <w:pPr>
        <w:spacing w:after="0"/>
        <w:rPr>
          <w:szCs w:val="24"/>
        </w:rPr>
      </w:pPr>
      <w:r w:rsidRPr="007A3223">
        <w:rPr>
          <w:szCs w:val="24"/>
        </w:rPr>
        <w:t xml:space="preserve">    PARP1 is implicated in androgen receptor (AR) driven gene expression.</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Cite&gt;&lt;Author&gt;Schiewer&lt;/Author&gt;&lt;Year&gt;2014&lt;/Year&gt;&lt;RecNum&gt;811&lt;/RecNum&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vertAlign w:val="superscript"/>
        </w:rPr>
        <w:t>,</w:t>
      </w:r>
      <w:hyperlink w:anchor="_ENREF_106" w:tooltip="Feng, 2015 #813" w:history="1">
        <w:r w:rsidR="00F77861" w:rsidRPr="00244551">
          <w:rPr>
            <w:rStyle w:val="Hyperlink"/>
            <w:szCs w:val="24"/>
          </w:rPr>
          <w:fldChar w:fldCharType="begin"/>
        </w:r>
        <w:r w:rsidR="00F77861" w:rsidRPr="00244551">
          <w:rPr>
            <w:rStyle w:val="Hyperlink"/>
            <w:szCs w:val="24"/>
          </w:rPr>
          <w:instrText xml:space="preserve"> ADDIN EN.CITE &lt;EndNote&gt;&lt;Cite&gt;&lt;Author&gt;Feng&lt;/Author&gt;&lt;Year&gt;2015&lt;/Year&gt;&lt;RecNum&gt;813&lt;/RecNum&gt;&lt;DisplayText&gt;&lt;style face="superscript"&gt;106&lt;/style&gt;&lt;/DisplayText&gt;&lt;record&gt;&lt;rec-number&gt;813&lt;/rec-number&gt;&lt;foreign-keys&gt;&lt;key app="EN" db-id="50wxdpzd9vd5r7e9t5b595djrfpttrxw9avp"&gt;813&lt;/key&gt;&lt;/foreign-keys&gt;&lt;ref-type name="Journal Article"&gt;17&lt;/ref-type&gt;&lt;contributors&gt;&lt;authors&gt;&lt;author&gt;Feng, Felix Y&lt;/author&gt;&lt;author&gt;de Bono, Johann S&lt;/author&gt;&lt;author&gt;Rubin, Mark A&lt;/author&gt;&lt;author&gt;Knudsen, Karen E&lt;/author&gt;&lt;/authors&gt;&lt;/contributors&gt;&lt;titles&gt;&lt;title&gt;Chromatin to Clinic: The Molecular Rationale for PARP1 Inhibitor Function&lt;/title&gt;&lt;secondary-title&gt;Molecular Cell&lt;/secondary-title&gt;&lt;/titles&gt;&lt;pages&gt;925-934&lt;/pages&gt;&lt;volume&gt;58&lt;/volume&gt;&lt;number&gt;6&lt;/number&gt;&lt;dates&gt;&lt;year&gt;2015&lt;/year&gt;&lt;/dates&gt;&lt;isbn&gt;1097-2765&lt;/isbn&gt;&lt;urls&gt;&lt;related-urls&gt;&lt;url&gt;http://www.sciencedirect.com/science/article/pii/S1097276515002725&lt;/url&gt;&lt;/related-urls&gt;&lt;/urls&gt;&lt;electronic-resource-num&gt;http://dx.doi.org/10.1016/j.molcel.2015.04.016&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106</w:t>
        </w:r>
        <w:r w:rsidR="00F77861" w:rsidRPr="00244551">
          <w:rPr>
            <w:rStyle w:val="Hyperlink"/>
            <w:szCs w:val="24"/>
          </w:rPr>
          <w:fldChar w:fldCharType="end"/>
        </w:r>
      </w:hyperlink>
      <w:r w:rsidRPr="007A3223">
        <w:rPr>
          <w:szCs w:val="24"/>
        </w:rPr>
        <w:t xml:space="preserve"> </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Cite&gt;&lt;Author&gt;Schiewer&lt;/Author&gt;&lt;Year&gt;2014&lt;/Year&gt;&lt;RecNum&gt;811&lt;/RecNum&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rPr>
        <w:t xml:space="preserve"> The AR plays a key role in prostate cancer proliferation and progression.  In mCRPC, the AR is an important target in therapeutic treatment,</w:t>
      </w:r>
      <w:r w:rsidRPr="00F33908">
        <w:rPr>
          <w:szCs w:val="24"/>
        </w:rPr>
        <w:t xml:space="preserve"> but resist</w:t>
      </w:r>
      <w:r w:rsidRPr="007A3223">
        <w:rPr>
          <w:szCs w:val="24"/>
        </w:rPr>
        <w:t>ance to agents targeting the AR is quite common.  Preclinical studies have shown PARP1 inhibitors suppress AR activity and tumor growth in the absence of DNA damaging agents or BRCA alterations.</w:t>
      </w:r>
      <w:hyperlink w:anchor="_ENREF_106" w:tooltip="Feng, 2015 #813" w:history="1">
        <w:r w:rsidR="00F77861" w:rsidRPr="00244551">
          <w:rPr>
            <w:rStyle w:val="Hyperlink"/>
            <w:szCs w:val="24"/>
          </w:rPr>
          <w:fldChar w:fldCharType="begin"/>
        </w:r>
        <w:r w:rsidR="00F77861" w:rsidRPr="00244551">
          <w:rPr>
            <w:rStyle w:val="Hyperlink"/>
            <w:szCs w:val="24"/>
          </w:rPr>
          <w:instrText xml:space="preserve"> ADDIN EN.CITE &lt;EndNote&gt;&lt;Cite&gt;&lt;Author&gt;Feng&lt;/Author&gt;&lt;Year&gt;2015&lt;/Year&gt;&lt;RecNum&gt;813&lt;/RecNum&gt;&lt;DisplayText&gt;&lt;style face="superscript"&gt;106&lt;/style&gt;&lt;/DisplayText&gt;&lt;record&gt;&lt;rec-number&gt;813&lt;/rec-number&gt;&lt;foreign-keys&gt;&lt;key app="EN" db-id="50wxdpzd9vd5r7e9t5b595djrfpttrxw9avp"&gt;813&lt;/key&gt;&lt;/foreign-keys&gt;&lt;ref-type name="Journal Article"&gt;17&lt;/ref-type&gt;&lt;contributors&gt;&lt;authors&gt;&lt;author&gt;Feng, Felix Y&lt;/author&gt;&lt;author&gt;de Bono, Johann S&lt;/author&gt;&lt;author&gt;Rubin, Mark A&lt;/author&gt;&lt;author&gt;Knudsen, Karen E&lt;/author&gt;&lt;/authors&gt;&lt;/contributors&gt;&lt;titles&gt;&lt;title&gt;Chromatin to Clinic: The Molecular Rationale for PARP1 Inhibitor Function&lt;/title&gt;&lt;secondary-title&gt;Molecular Cell&lt;/secondary-title&gt;&lt;/titles&gt;&lt;pages&gt;925-934&lt;/pages&gt;&lt;volume&gt;58&lt;/volume&gt;&lt;number&gt;6&lt;/number&gt;&lt;dates&gt;&lt;year&gt;2015&lt;/year&gt;&lt;/dates&gt;&lt;isbn&gt;1097-2765&lt;/isbn&gt;&lt;urls&gt;&lt;related-urls&gt;&lt;url&gt;http://www.sciencedirect.com/science/article/pii/S1097276515002725&lt;/url&gt;&lt;/related-urls&gt;&lt;/urls&gt;&lt;electronic-resource-num&gt;http://dx.doi.org/10.1016/j.molcel.2015.04.016&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106</w:t>
        </w:r>
        <w:r w:rsidR="00F77861" w:rsidRPr="00244551">
          <w:rPr>
            <w:rStyle w:val="Hyperlink"/>
            <w:szCs w:val="24"/>
          </w:rPr>
          <w:fldChar w:fldCharType="end"/>
        </w:r>
      </w:hyperlink>
      <w:r w:rsidRPr="007A3223">
        <w:rPr>
          <w:szCs w:val="24"/>
        </w:rPr>
        <w:t xml:space="preserve">  I</w:t>
      </w:r>
      <w:r w:rsidRPr="00F33908">
        <w:rPr>
          <w:szCs w:val="24"/>
        </w:rPr>
        <w:t>n mCRPC mod</w:t>
      </w:r>
      <w:r w:rsidRPr="007A3223">
        <w:rPr>
          <w:szCs w:val="24"/>
        </w:rPr>
        <w:t>els of disease, PARP1 is recruited to sites of AR transcriptional function, and PARP1 enzymatic activity is required for AR-driven gene expression and cancer cell proliferation.</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rPr>
        <w:t xml:space="preserve">  PARP1 inhibition leads to decreased AR activity and is associated with altered capacity</w:t>
      </w:r>
      <w:r w:rsidRPr="00F33908">
        <w:rPr>
          <w:szCs w:val="24"/>
        </w:rPr>
        <w:t xml:space="preserve"> of androge</w:t>
      </w:r>
      <w:r w:rsidRPr="007A3223">
        <w:rPr>
          <w:szCs w:val="24"/>
        </w:rPr>
        <w:t>n stimulation to elicit pro-transcriptional changes in histone modifications and chromatic architecture.</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rPr>
        <w:t xml:space="preserve"> With PARP</w:t>
      </w:r>
      <w:r w:rsidR="005339C7" w:rsidRPr="00F33908">
        <w:rPr>
          <w:szCs w:val="24"/>
        </w:rPr>
        <w:t>i</w:t>
      </w:r>
      <w:r w:rsidRPr="007A3223">
        <w:rPr>
          <w:szCs w:val="24"/>
        </w:rPr>
        <w:t>, AR activity decreased which led to decrease of tumor growth in vivo and ex vivo. PARP1 has also been implicated in interaction with the TMPRSS2-ERG fusion protein.  In more than 50% of prostate cancers, gene fusions occur between TMPRSS2, an AR target gene, and ERG (an ETS transcription factor) which induces cancer cell growth and invasion.</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rPr>
        <w:t xml:space="preserve">  The fusion gene product interacts with PARP1 and PARP1 is involved in the </w:t>
      </w:r>
      <w:r w:rsidRPr="00F33908">
        <w:rPr>
          <w:szCs w:val="24"/>
        </w:rPr>
        <w:t>transcriptional act</w:t>
      </w:r>
      <w:r w:rsidRPr="007A3223">
        <w:rPr>
          <w:szCs w:val="24"/>
        </w:rPr>
        <w:t>ivation function of ERG. In fusion positive tumor cells, PARP1 inhibition decreases ERG cell invasion and xenograft tumor growth.</w:t>
      </w:r>
      <w:hyperlink w:anchor="_ENREF_105" w:tooltip="Schiewer, 2014 #811" w:history="1">
        <w:r w:rsidR="00F77861" w:rsidRPr="00244551">
          <w:rPr>
            <w:rStyle w:val="Hyperlink"/>
            <w:szCs w:val="24"/>
          </w:rPr>
          <w:fldChar w:fldCharType="begin"/>
        </w:r>
        <w:r w:rsidR="00F77861" w:rsidRPr="00244551">
          <w:rPr>
            <w:rStyle w:val="Hyperlink"/>
            <w:szCs w:val="24"/>
          </w:rPr>
          <w:instrText xml:space="preserve"> ADDIN EN.CITE &lt;EndNote&gt;&lt;Cite&gt;&lt;Author&gt;Schiewer&lt;/Author&gt;&lt;Year&gt;2014&lt;/Year&gt;&lt;RecNum&gt;811&lt;/RecNum&gt;&lt;DisplayText&gt;&lt;style face="superscript"&gt;105&lt;/style&gt;&lt;/DisplayText&gt;&lt;record&gt;&lt;rec-number&gt;811&lt;/rec-number&gt;&lt;foreign-keys&gt;&lt;key app="EN" db-id="50wxdpzd9vd5r7e9t5b595djrfpttrxw9avp"&gt;811&lt;/key&gt;&lt;/foreign-keys&gt;&lt;ref-type name="Journal Article"&gt;17&lt;/ref-type&gt;&lt;contributors&gt;&lt;authors&gt;&lt;author&gt;Schiewer, Matthew J.&lt;/author&gt;&lt;author&gt;Knudsen, Karen E.&lt;/author&gt;&lt;/authors&gt;&lt;/contributors&gt;&lt;titles&gt;&lt;title&gt;Transcriptional Roles of PARP1 in Cancer&lt;/title&gt;&lt;secondary-title&gt;Molecular Cancer Research&lt;/secondary-title&gt;&lt;/titles&gt;&lt;pages&gt;1069-1080&lt;/pages&gt;&lt;volume&gt;12&lt;/volume&gt;&lt;number&gt;8&lt;/number&gt;&lt;dates&gt;&lt;year&gt;2014&lt;/year&gt;&lt;pub-dates&gt;&lt;date&gt;August 1, 2014&lt;/date&gt;&lt;/pub-dates&gt;&lt;/dates&gt;&lt;urls&gt;&lt;related-urls&gt;&lt;url&gt;http://mcr.aacrjournals.org/content/12/8/1069.abstract&lt;/url&gt;&lt;/related-urls&gt;&lt;/urls&gt;&lt;electronic-resource-num&gt;10.1158/1541-7786.mcr-13-0672&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105</w:t>
        </w:r>
        <w:r w:rsidR="00F77861" w:rsidRPr="00244551">
          <w:rPr>
            <w:rStyle w:val="Hyperlink"/>
            <w:szCs w:val="24"/>
          </w:rPr>
          <w:fldChar w:fldCharType="end"/>
        </w:r>
      </w:hyperlink>
      <w:r w:rsidRPr="007A3223">
        <w:rPr>
          <w:szCs w:val="24"/>
        </w:rPr>
        <w:t xml:space="preserve"> Thus, PARPi plays a role in the treatment of mCRPC where options become limited over time. </w:t>
      </w:r>
    </w:p>
    <w:p w14:paraId="7FFED987" w14:textId="7387ED64" w:rsidR="00BB1B7B" w:rsidRPr="007A3223" w:rsidRDefault="00BB1B7B" w:rsidP="002F3363">
      <w:pPr>
        <w:spacing w:after="0"/>
        <w:rPr>
          <w:szCs w:val="24"/>
        </w:rPr>
      </w:pPr>
      <w:r w:rsidRPr="007A3223">
        <w:rPr>
          <w:szCs w:val="24"/>
        </w:rPr>
        <w:t xml:space="preserve">     Next generation sequencing (NGS) has identified recurrent mutations and genomic alterations in mCRPC that are clinically actionable.  An international consortium of 8 medical center clinical sites conducted prospective whole-exome and trascriptome sequencing of bone or soft tissue tumor biopsies in 150 patients with mCRPC.</w:t>
      </w:r>
      <w:hyperlink w:anchor="_ENREF_104" w:tooltip="Robinson, 2015 #797" w:history="1">
        <w:r w:rsidR="00F77861" w:rsidRPr="00244551">
          <w:rPr>
            <w:rStyle w:val="Hyperlink"/>
            <w:szCs w:val="24"/>
          </w:rPr>
          <w:fldChar w:fldCharType="begin">
            <w:fldData xml:space="preserve">PEVuZE5vdGU+PENpdGU+PEF1dGhvcj5Sb2JpbnNvbjwvQXV0aG9yPjxZZWFyPjIwMTU8L1llYXI+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</w:fldData>
          </w:fldChar>
        </w:r>
        <w:r w:rsidR="00F77861" w:rsidRPr="00244551">
          <w:rPr>
            <w:rStyle w:val="Hyperlink"/>
            <w:szCs w:val="24"/>
          </w:rPr>
          <w:instrText xml:space="preserve"> ADDIN EN.CITE </w:instrText>
        </w:r>
        <w:r w:rsidR="00F77861" w:rsidRPr="00D005A1">
          <w:rPr>
            <w:rStyle w:val="Hyperlink"/>
            <w:szCs w:val="24"/>
          </w:rPr>
          <w:fldChar w:fldCharType="begin">
            <w:fldData xml:space="preserve">PEVuZE5vdGU+PENpdGU+PEF1dGhvcj5Sb2JpbnNvbjwvQXV0aG9yPjxZZWFyPjIwMTU8L1llYXI+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</w:fldData>
          </w:fldChar>
        </w:r>
        <w:r w:rsidR="00F77861" w:rsidRPr="00244551">
          <w:rPr>
            <w:rStyle w:val="Hyperlink"/>
            <w:szCs w:val="24"/>
          </w:rPr>
          <w:instrText xml:space="preserve"> ADDIN EN.CITE.DATA </w:instrText>
        </w:r>
        <w:r w:rsidR="00F77861" w:rsidRPr="00D005A1">
          <w:rPr>
            <w:rStyle w:val="Hyperlink"/>
            <w:szCs w:val="24"/>
          </w:rPr>
        </w:r>
        <w:r w:rsidR="00F77861" w:rsidRPr="00D005A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104</w:t>
        </w:r>
        <w:r w:rsidR="00F77861" w:rsidRPr="00244551">
          <w:rPr>
            <w:rStyle w:val="Hyperlink"/>
            <w:szCs w:val="24"/>
          </w:rPr>
          <w:fldChar w:fldCharType="end"/>
        </w:r>
      </w:hyperlink>
      <w:r w:rsidRPr="007A3223">
        <w:rPr>
          <w:szCs w:val="24"/>
        </w:rPr>
        <w:t xml:space="preserve"> Biallel</w:t>
      </w:r>
      <w:r w:rsidRPr="00F33908">
        <w:rPr>
          <w:szCs w:val="24"/>
        </w:rPr>
        <w:t xml:space="preserve">ic inactivations of </w:t>
      </w:r>
      <w:r w:rsidRPr="007A3223">
        <w:rPr>
          <w:i/>
          <w:szCs w:val="24"/>
        </w:rPr>
        <w:t>BRCA2</w:t>
      </w:r>
      <w:r w:rsidRPr="007A3223">
        <w:rPr>
          <w:szCs w:val="24"/>
        </w:rPr>
        <w:t xml:space="preserve">, </w:t>
      </w:r>
      <w:r w:rsidRPr="007A3223">
        <w:rPr>
          <w:i/>
          <w:szCs w:val="24"/>
        </w:rPr>
        <w:t>BRCA1</w:t>
      </w:r>
      <w:r w:rsidRPr="007A3223">
        <w:rPr>
          <w:szCs w:val="24"/>
        </w:rPr>
        <w:t xml:space="preserve">, or </w:t>
      </w:r>
      <w:r w:rsidRPr="007A3223">
        <w:rPr>
          <w:i/>
          <w:szCs w:val="24"/>
        </w:rPr>
        <w:t>ATM</w:t>
      </w:r>
      <w:r w:rsidRPr="007A3223">
        <w:rPr>
          <w:szCs w:val="24"/>
        </w:rPr>
        <w:t xml:space="preserve"> were observed in 19.3% of patients, a much higher frequency in mCRPC when compared to primary prostate cancers. Of note, 19 of 150 cases (12.7%) had loss of </w:t>
      </w:r>
      <w:r w:rsidRPr="007A3223">
        <w:rPr>
          <w:i/>
          <w:szCs w:val="24"/>
        </w:rPr>
        <w:t>BRCA2</w:t>
      </w:r>
      <w:r w:rsidRPr="007A3223">
        <w:rPr>
          <w:szCs w:val="24"/>
        </w:rPr>
        <w:t xml:space="preserve"> (90% with biallelic loss). A total of 8 affected individuals were found to have pathogenic germline </w:t>
      </w:r>
      <w:r w:rsidRPr="007A3223">
        <w:rPr>
          <w:i/>
          <w:szCs w:val="24"/>
        </w:rPr>
        <w:t>BRCA2</w:t>
      </w:r>
      <w:r w:rsidRPr="007A3223">
        <w:rPr>
          <w:szCs w:val="24"/>
        </w:rPr>
        <w:t xml:space="preserve"> mutations. Mutations in DNA damage response factors </w:t>
      </w:r>
      <w:r w:rsidRPr="007A3223">
        <w:rPr>
          <w:i/>
          <w:szCs w:val="24"/>
        </w:rPr>
        <w:t>BRCA2</w:t>
      </w:r>
      <w:r w:rsidRPr="007A3223">
        <w:rPr>
          <w:szCs w:val="24"/>
        </w:rPr>
        <w:t xml:space="preserve"> and </w:t>
      </w:r>
      <w:r w:rsidRPr="007A3223">
        <w:rPr>
          <w:i/>
          <w:szCs w:val="24"/>
        </w:rPr>
        <w:t>BRCA1</w:t>
      </w:r>
      <w:r w:rsidRPr="007A3223">
        <w:rPr>
          <w:szCs w:val="24"/>
        </w:rPr>
        <w:t xml:space="preserve">, and </w:t>
      </w:r>
      <w:r w:rsidRPr="007A3223">
        <w:rPr>
          <w:i/>
          <w:szCs w:val="24"/>
        </w:rPr>
        <w:t>ATM</w:t>
      </w:r>
      <w:r w:rsidRPr="007A3223">
        <w:rPr>
          <w:szCs w:val="24"/>
        </w:rPr>
        <w:t xml:space="preserve"> mutations may sensitize tumor cells to PARPi.</w:t>
      </w:r>
      <w:hyperlink w:anchor="_ENREF_107" w:tooltip="Gilardini Montani, 2013 #809" w:history="1">
        <w:r w:rsidR="00F77861" w:rsidRPr="00244551">
          <w:rPr>
            <w:rStyle w:val="Hyperlink"/>
            <w:szCs w:val="24"/>
          </w:rPr>
          <w:fldChar w:fldCharType="begin"/>
        </w:r>
        <w:r w:rsidR="00F77861" w:rsidRPr="00244551">
          <w:rPr>
            <w:rStyle w:val="Hyperlink"/>
            <w:szCs w:val="24"/>
          </w:rPr>
          <w:instrText xml:space="preserve"> ADDIN EN.CITE &lt;EndNote&gt;&lt;Cite&gt;&lt;Author&gt;Gilardini Montani&lt;/Author&gt;&lt;Year&gt;2013&lt;/Year&gt;&lt;RecNum&gt;809&lt;/RecNum&gt;&lt;DisplayText&gt;&lt;style face="superscript"&gt;107&lt;/style&gt;&lt;/DisplayText&gt;&lt;record&gt;&lt;rec-number&gt;809&lt;/rec-number&gt;&lt;foreign-keys&gt;&lt;key app="EN" db-id="50wxdpzd9vd5r7e9t5b595djrfpttrxw9avp"&gt;809&lt;/key&gt;&lt;/foreign-keys&gt;&lt;ref-type name="Journal Article"&gt;17&lt;/ref-type&gt;&lt;contributors&gt;&lt;authors&gt;&lt;author&gt;Gilardini Montani, Maria&lt;/author&gt;&lt;author&gt;Prodosmo, Andrea&lt;/author&gt;&lt;author&gt;Stagni, Venturina&lt;/author&gt;&lt;author&gt;Merli, Dania&lt;/author&gt;&lt;author&gt;Monteonofrio, Laura&lt;/author&gt;&lt;author&gt;Gatti, Veronica&lt;/author&gt;&lt;author&gt;Gentileschi, Maria&lt;/author&gt;&lt;author&gt;Barila, Daniela&lt;/author&gt;&lt;author&gt;Soddu, Silvia&lt;/author&gt;&lt;/authors&gt;&lt;/contributors&gt;&lt;titles&gt;&lt;title&gt;ATM-depletion in breast cancer cells confers sensitivity to PARP inhibition&lt;/title&gt;&lt;secondary-title&gt;Journal of Experimental &amp;amp; Clinical Cancer Research&lt;/secondary-title&gt;&lt;/titles&gt;&lt;pages&gt;95&lt;/pages&gt;&lt;volume&gt;32&lt;/volume&gt;&lt;number&gt;1&lt;/number&gt;&lt;dates&gt;&lt;year&gt;2013&lt;/year&gt;&lt;/dates&gt;&lt;isbn&gt;1756-9966&lt;/isbn&gt;&lt;accession-num&gt;doi:10.1186/1756-9966-32-95&lt;/accession-num&gt;&lt;urls&gt;&lt;related-urls&gt;&lt;url&gt;http://www.jeccr.com/content/32/1/95&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107</w:t>
        </w:r>
        <w:r w:rsidR="00F77861" w:rsidRPr="00244551">
          <w:rPr>
            <w:rStyle w:val="Hyperlink"/>
            <w:szCs w:val="24"/>
          </w:rPr>
          <w:fldChar w:fldCharType="end"/>
        </w:r>
      </w:hyperlink>
      <w:r w:rsidRPr="007A3223">
        <w:rPr>
          <w:szCs w:val="24"/>
        </w:rPr>
        <w:t xml:space="preserve"> The 29/150 patients (19.3%) with aberrations in </w:t>
      </w:r>
      <w:r w:rsidRPr="00F33908">
        <w:rPr>
          <w:i/>
          <w:szCs w:val="24"/>
        </w:rPr>
        <w:t>BRCA2, BRCA1</w:t>
      </w:r>
      <w:r w:rsidRPr="007A3223">
        <w:rPr>
          <w:szCs w:val="24"/>
        </w:rPr>
        <w:t xml:space="preserve">, or </w:t>
      </w:r>
      <w:r w:rsidRPr="007A3223">
        <w:rPr>
          <w:i/>
          <w:szCs w:val="24"/>
        </w:rPr>
        <w:t>ATM</w:t>
      </w:r>
      <w:r w:rsidRPr="007A3223">
        <w:rPr>
          <w:szCs w:val="24"/>
        </w:rPr>
        <w:t xml:space="preserve"> would therefore be predicted to benefit from treatment with PARPi.  NGS has also identified genomic aberrations causing DNA repair defects in the TOPARP study, a phase II trial of olaparib in mCRPC.</w:t>
      </w:r>
      <w:hyperlink w:anchor="_ENREF_108" w:tooltip="Guo, 2012 #799" w:history="1">
        <w:r w:rsidR="00F77861" w:rsidRPr="00244551">
          <w:rPr>
            <w:rStyle w:val="Hyperlink"/>
            <w:szCs w:val="24"/>
          </w:rPr>
          <w:fldChar w:fldCharType="begin"/>
        </w:r>
        <w:r w:rsidR="00F77861" w:rsidRPr="00244551">
          <w:rPr>
            <w:rStyle w:val="Hyperlink"/>
            <w:szCs w:val="24"/>
          </w:rPr>
          <w:instrText xml:space="preserve"> ADDIN EN.CITE &lt;EndNote&gt;&lt;Cite&gt;&lt;RecNum&gt;799&lt;/RecNum&gt;&lt;DisplayText&gt;&lt;style face="superscript"&gt;108&lt;/style&gt;&lt;/DisplayText&gt;&lt;record&gt;&lt;rec-number&gt;799&lt;/rec-number&gt;&lt;foreign-keys&gt;&lt;key app="EN" db-id="fd5pzdff0z5dt7er5swxsd2m2te2fd9saae5" timestamp="1505850535"&gt;799&lt;/key&gt;&lt;/foreign-keys&gt;&lt;ref-type name="Journal Article"&gt;17&lt;/ref-type&gt;&lt;contributors&gt;&lt;authors&gt;&lt;author&gt;Guo, R.&lt;/author&gt;&lt;author&gt;Wang, Y.&lt;/author&gt;&lt;author&gt;Yan, J.&lt;/author&gt;&lt;author&gt;Yan, H.&lt;/author&gt;&lt;/authors&gt;&lt;/contributors&gt;&lt;auth-address&gt;Laboratory of Synthetic Study on TCM Diagnostic Information, Shanghai University of Traditional Chinese Medicine, Shanghai 201203, China.&lt;/auth-address&gt;&lt;titles&gt;&lt;title&gt;Recurrence quantification analysis on pulse morphological changes in patients with coronary heart disease&lt;/title&gt;&lt;secondary-title&gt;J Tradit Chin Med&lt;/secondary-title&gt;&lt;/titles&gt;&lt;periodical&gt;&lt;full-title&gt;J Tradit Chin Med&lt;/full-title&gt;&lt;/periodical&gt;&lt;pages&gt;571-7&lt;/pages&gt;&lt;volume&gt;32&lt;/volume&gt;&lt;number&gt;4&lt;/number&gt;&lt;edition&gt;2013/02/23&lt;/edition&gt;&lt;keywords&gt;&lt;keyword&gt;Coronary Disease/diagnosis/*physiopathology&lt;/keyword&gt;&lt;keyword&gt;Diagnosis, Differential&lt;/keyword&gt;&lt;keyword&gt;Female&lt;/keyword&gt;&lt;keyword&gt;*Heart Rate&lt;/keyword&gt;&lt;keyword&gt;Humans&lt;/keyword&gt;&lt;keyword&gt;Male&lt;/keyword&gt;&lt;keyword&gt;Medicine, Chinese Traditional&lt;/keyword&gt;&lt;keyword&gt;Middle Aged&lt;/keyword&gt;&lt;keyword&gt;Nonlinear Dynamics&lt;/keyword&gt;&lt;keyword&gt;Recurrence&lt;/keyword&gt;&lt;/keywords&gt;&lt;dates&gt;&lt;year&gt;2012&lt;/year&gt;&lt;pub-dates&gt;&lt;date&gt;Dec&lt;/date&gt;&lt;/pub-dates&gt;&lt;/dates&gt;&lt;isbn&gt;0255-2922 (Print)&amp;#xD;0255-2922 (Linking)&lt;/isbn&gt;&lt;accession-num&gt;23427391&lt;/accession-num&gt;&lt;urls&gt;&lt;related-urls&gt;&lt;url&gt;https://www.ncbi.nlm.nih.gov/pubmed/23427391&lt;/url&gt;&lt;/related-urls&gt;&lt;/urls&gt;&lt;/record&gt;&lt;/Cite&gt;&lt;/EndNote&gt;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108</w:t>
        </w:r>
        <w:r w:rsidR="00F77861" w:rsidRPr="00244551">
          <w:rPr>
            <w:rStyle w:val="Hyperlink"/>
            <w:szCs w:val="24"/>
          </w:rPr>
          <w:fldChar w:fldCharType="end"/>
        </w:r>
      </w:hyperlink>
      <w:r w:rsidRPr="007A3223">
        <w:rPr>
          <w:szCs w:val="24"/>
        </w:rPr>
        <w:t xml:space="preserve"> </w:t>
      </w:r>
      <w:r w:rsidRPr="00F33908">
        <w:rPr>
          <w:szCs w:val="24"/>
        </w:rPr>
        <w:t>The first stage of the TOPARP-A clinical trial was presented at 2015 AACR. Fifty patient</w:t>
      </w:r>
      <w:r w:rsidRPr="007A3223">
        <w:rPr>
          <w:szCs w:val="24"/>
        </w:rPr>
        <w:t>s with mCRPC were enrolled and treated with olaparib monotherapy.</w:t>
      </w:r>
      <w:hyperlink w:anchor="_ENREF_109" w:tooltip="Mateo J, April 2015 #801" w:history="1">
        <w:r w:rsidR="00F77861" w:rsidRPr="00244551">
          <w:rPr>
            <w:rStyle w:val="Hyperlink"/>
            <w:szCs w:val="24"/>
          </w:rPr>
          <w:fldChar w:fldCharType="begin"/>
        </w:r>
        <w:r w:rsidR="00F77861" w:rsidRPr="00244551">
          <w:rPr>
            <w:rStyle w:val="Hyperlink"/>
            <w:szCs w:val="24"/>
          </w:rPr>
          <w:instrText xml:space="preserve"> ADDIN EN.CITE &lt;EndNote&gt;&lt;Cite&gt;&lt;Author&gt;Mateo J&lt;/Author&gt;&lt;Year&gt;April 2015&lt;/Year&gt;&lt;RecNum&gt;801&lt;/RecNum&gt;&lt;DisplayText&gt;&lt;style face="superscript"&gt;109&lt;/style&gt;&lt;/DisplayText&gt;&lt;record&gt;&lt;rec-number&gt;801&lt;/rec-number&gt;&lt;foreign-keys&gt;&lt;key app="EN" db-id="50wxdpzd9vd5r7e9t5b595djrfpttrxw9avp"&gt;801&lt;/key&gt;&lt;/foreign-keys&gt;&lt;ref-type name="Web Page"&gt;12&lt;/ref-type&gt;&lt;contributors&gt;&lt;authors&gt;&lt;author&gt;Mateo J, Sandhu S, Miranda S, et al&lt;/author&gt;&lt;/authors&gt;&lt;/contributors&gt;&lt;titles&gt;&lt;title&gt;DNA repair defects and antitumor activity with PARP inhibition: TOPARP, a phase II trial of olaparib in metastatic castration resistant prostate cancer &lt;/title&gt;&lt;/titles&gt;&lt;pages&gt;Abstract CT322&lt;/pages&gt;&lt;dates&gt;&lt;year&gt;April 2015&lt;/year&gt;&lt;/dates&gt;&lt;pub-location&gt;Presented at the Annual AACR meeting. Philadelphia PA&amp;#xD;&lt;/pub-location&gt;&lt;urls&gt;&lt;related-urls&gt;&lt;url&gt;http://www.abstractsonline.com/Plan/ViewAbstract.aspx?sKey=d60a28c6-91a3-4a37-a419-d79f96801b30&amp;amp;cKey=f119b58a-3f6f-4c22-93ef-a25da5df64a0&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109</w:t>
        </w:r>
        <w:r w:rsidR="00F77861" w:rsidRPr="00244551">
          <w:rPr>
            <w:rStyle w:val="Hyperlink"/>
            <w:szCs w:val="24"/>
          </w:rPr>
          <w:fldChar w:fldCharType="end"/>
        </w:r>
      </w:hyperlink>
      <w:r w:rsidRPr="007A3223">
        <w:rPr>
          <w:szCs w:val="24"/>
        </w:rPr>
        <w:t xml:space="preserve"> All patients had been treated previously with docetaxel, 48 patients (96%) had been previously treated with abiraterone, and 20 patients (58%) with cabazitax</w:t>
      </w:r>
      <w:r w:rsidRPr="00F33908">
        <w:rPr>
          <w:szCs w:val="24"/>
        </w:rPr>
        <w:t>el.</w:t>
      </w:r>
      <w:r w:rsidRPr="007A3223">
        <w:rPr>
          <w:szCs w:val="24"/>
        </w:rPr>
        <w:t xml:space="preserve">  Among 49 evaluable patients, 16 had a response to olaparib, 6 had radiologic responses as assessed by RECSITv1.1 criteria, 11 patients had a greater than 50% decrease in prostate-specific antigen (PSA) levels.</w:t>
      </w:r>
      <w:hyperlink w:anchor="_ENREF_110" w:tooltip=", 2015 #810" w:history="1">
        <w:r w:rsidR="00F77861" w:rsidRPr="00244551">
          <w:rPr>
            <w:rStyle w:val="Hyperlink"/>
            <w:szCs w:val="24"/>
          </w:rPr>
          <w:fldChar w:fldCharType="begin"/>
        </w:r>
        <w:r w:rsidR="00F77861" w:rsidRPr="00244551">
          <w:rPr>
            <w:rStyle w:val="Hyperlink"/>
            <w:szCs w:val="24"/>
          </w:rPr>
          <w:instrText xml:space="preserve"> ADDIN EN.CITE &lt;EndNote&gt;&lt;Cite&gt;&lt;Year&gt;2015&lt;/Year&gt;&lt;RecNum&gt;810&lt;/RecNum&gt;&lt;DisplayText&gt;&lt;style face="superscript"&gt;110&lt;/style&gt;&lt;/DisplayText&gt;&lt;record&gt;&lt;rec-number&gt;810&lt;/rec-number&gt;&lt;foreign-keys&gt;&lt;key app="EN" db-id="50wxdpzd9vd5r7e9t5b595djrfpttrxw9avp"&gt;810&lt;/key&gt;&lt;/foreign-keys&gt;&lt;ref-type name="Web Page"&gt;12&lt;/ref-type&gt;&lt;contributors&gt;&lt;/contributors&gt;&lt;titles&gt;&lt;title&gt;AACR 2015: Subgroup of Men With Metastatic Prostate Cancer Respond to Olaparib Treatment &lt;/title&gt;&lt;/titles&gt;&lt;dates&gt;&lt;year&gt;2015&lt;/year&gt;&lt;/dates&gt;&lt;publisher&gt;The ASCO Post&lt;/publisher&gt;&lt;urls&gt;&lt;related-urls&gt;&lt;url&gt;http://www.ascopost.com/ViewNews.aspx?nid=26597&lt;/url&gt;&lt;/related-urls&gt;&lt;/urls&gt;&lt;/record&gt;&lt;/Cite&gt;&lt;Cite&gt;&lt;Year&gt;2015&lt;/Year&gt;&lt;RecNum&gt;810&lt;/RecNum&gt;&lt;record&gt;&lt;rec-number&gt;810&lt;/rec-number&gt;&lt;foreign-keys&gt;&lt;key app="EN" db-id="50wxdpzd9vd5r7e9t5b595djrfpttrxw9avp"&gt;810&lt;/key&gt;&lt;/foreign-keys&gt;&lt;ref-type name="Web Page"&gt;12&lt;/ref-type&gt;&lt;contributors&gt;&lt;/contributors&gt;&lt;titles&gt;&lt;title&gt;AACR 2015: Subgroup of Men With Metastatic Prostate Cancer Respond to Olaparib Treatment &lt;/title&gt;&lt;/titles&gt;&lt;dates&gt;&lt;year&gt;2015&lt;/year&gt;&lt;/dates&gt;&lt;publisher&gt;The ASCO Post&lt;/publisher&gt;&lt;urls&gt;&lt;related-urls&gt;&lt;url&gt;http://www.ascopost.com/ViewNews.aspx?nid=26597&lt;/url&gt;&lt;/related-urls&gt;&lt;/urls&gt;&lt;/record&gt;&lt;/Cite&gt;&lt;/EndNote&gt;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110</w:t>
        </w:r>
        <w:r w:rsidR="00F77861" w:rsidRPr="00244551">
          <w:rPr>
            <w:rStyle w:val="Hyperlink"/>
            <w:szCs w:val="24"/>
          </w:rPr>
          <w:fldChar w:fldCharType="end"/>
        </w:r>
      </w:hyperlink>
      <w:r w:rsidRPr="007A3223">
        <w:rPr>
          <w:szCs w:val="24"/>
        </w:rPr>
        <w:t xml:space="preserve"> </w:t>
      </w:r>
      <w:r w:rsidRPr="00F33908">
        <w:rPr>
          <w:szCs w:val="24"/>
        </w:rPr>
        <w:t>In 30.6% of patients (15/49), NGS revealed homozygous deletions and/or d</w:t>
      </w:r>
      <w:r w:rsidRPr="007A3223">
        <w:rPr>
          <w:szCs w:val="24"/>
        </w:rPr>
        <w:t xml:space="preserve">eleterious mutations in DNA repair genes, with the majority in </w:t>
      </w:r>
      <w:r w:rsidRPr="007A3223">
        <w:rPr>
          <w:i/>
          <w:szCs w:val="24"/>
        </w:rPr>
        <w:t>BRCA2</w:t>
      </w:r>
      <w:r w:rsidRPr="007A3223">
        <w:rPr>
          <w:szCs w:val="24"/>
        </w:rPr>
        <w:t xml:space="preserve"> and </w:t>
      </w:r>
      <w:r w:rsidRPr="007A3223">
        <w:rPr>
          <w:i/>
          <w:szCs w:val="24"/>
        </w:rPr>
        <w:t>ATM</w:t>
      </w:r>
      <w:r w:rsidRPr="007A3223">
        <w:rPr>
          <w:szCs w:val="24"/>
        </w:rPr>
        <w:t xml:space="preserve">.  In the 7 patients with </w:t>
      </w:r>
      <w:r w:rsidRPr="007A3223">
        <w:rPr>
          <w:i/>
          <w:szCs w:val="24"/>
        </w:rPr>
        <w:t>BRCA2</w:t>
      </w:r>
      <w:r w:rsidRPr="007A3223">
        <w:rPr>
          <w:szCs w:val="24"/>
        </w:rPr>
        <w:t xml:space="preserve"> loss, 4/7 (57%) were somatic aberrations and 3/7 (43%) were germline.  This trial indicates PARPi has antitumor activity in mCRPC.</w:t>
      </w:r>
      <w:hyperlink w:anchor="_ENREF_110" w:tooltip=", 2015 #810" w:history="1">
        <w:r w:rsidR="00F77861" w:rsidRPr="00244551">
          <w:rPr>
            <w:rStyle w:val="Hyperlink"/>
            <w:szCs w:val="24"/>
          </w:rPr>
          <w:fldChar w:fldCharType="begin"/>
        </w:r>
        <w:r w:rsidR="00F77861" w:rsidRPr="00244551">
          <w:rPr>
            <w:rStyle w:val="Hyperlink"/>
            <w:szCs w:val="24"/>
          </w:rPr>
          <w:instrText xml:space="preserve"> ADDIN EN.CITE &lt;EndNote&gt;&lt;Cite&gt;&lt;Year&gt;2015&lt;/Year&gt;&lt;RecNum&gt;810&lt;/RecNum&gt;&lt;DisplayText&gt;&lt;style face="superscript"&gt;110&lt;/style&gt;&lt;/DisplayText&gt;&lt;record&gt;&lt;rec-number&gt;810&lt;/rec-number&gt;&lt;foreign-keys&gt;&lt;key app="EN" db-id="50wxdpzd9vd5r7e9t5b595djrfpttrxw9avp"&gt;810&lt;/key&gt;&lt;/foreign-keys&gt;&lt;ref-type name="Web Page"&gt;12&lt;/ref-type&gt;&lt;contributors&gt;&lt;/contributors&gt;&lt;titles&gt;&lt;title&gt;AACR 2015: Subgroup of Men With Metastatic Prostate Cancer Respond to Olaparib Treatment &lt;/title&gt;&lt;/titles&gt;&lt;dates&gt;&lt;year&gt;2015&lt;/year&gt;&lt;/dates&gt;&lt;publisher&gt;The ASCO Post&lt;/publisher&gt;&lt;urls&gt;&lt;related-urls&gt;&lt;url&gt;http://www.ascopost.com/ViewNews.aspx?nid=26597&lt;/url&gt;&lt;/related-urls&gt;&lt;/urls&gt;&lt;/record&gt;&lt;/Cite&gt;&lt;/EndNote&gt;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110</w:t>
        </w:r>
        <w:r w:rsidR="00F77861" w:rsidRPr="00244551">
          <w:rPr>
            <w:rStyle w:val="Hyperlink"/>
            <w:szCs w:val="24"/>
          </w:rPr>
          <w:fldChar w:fldCharType="end"/>
        </w:r>
      </w:hyperlink>
      <w:r w:rsidRPr="007A3223">
        <w:rPr>
          <w:szCs w:val="24"/>
        </w:rPr>
        <w:t xml:space="preserve">  </w:t>
      </w:r>
      <w:r w:rsidRPr="00F33908">
        <w:rPr>
          <w:szCs w:val="24"/>
        </w:rPr>
        <w:t>Targeting genetic defects in DNA repair genes in mCRPC offer possibilities for treat</w:t>
      </w:r>
      <w:r w:rsidRPr="007A3223">
        <w:rPr>
          <w:szCs w:val="24"/>
        </w:rPr>
        <w:t xml:space="preserve">ment options in heavily pre-treated patients. </w:t>
      </w:r>
    </w:p>
    <w:p w14:paraId="6EEC10C4" w14:textId="46DE0F5B" w:rsidR="00BB1B7B" w:rsidRPr="007A3223" w:rsidRDefault="00BB1B7B" w:rsidP="002F3363">
      <w:pPr>
        <w:spacing w:after="0"/>
        <w:rPr>
          <w:szCs w:val="24"/>
        </w:rPr>
      </w:pPr>
      <w:r w:rsidRPr="007A3223">
        <w:rPr>
          <w:szCs w:val="24"/>
        </w:rPr>
        <w:lastRenderedPageBreak/>
        <w:t xml:space="preserve">     T cell based immunotherapy has been utilized in mCRPC for many years.  Therapeutic vaccines such as PROSTVAC-VF</w:t>
      </w:r>
      <w:hyperlink w:anchor="_ENREF_111" w:tooltip="Gulley, 2010 #814" w:history="1">
        <w:r w:rsidR="00F77861" w:rsidRPr="00244551">
          <w:rPr>
            <w:rStyle w:val="Hyperlink"/>
            <w:szCs w:val="24"/>
          </w:rPr>
          <w:fldChar w:fldCharType="begin"/>
        </w:r>
        <w:r w:rsidR="00F77861" w:rsidRPr="00244551">
          <w:rPr>
            <w:rStyle w:val="Hyperlink"/>
            <w:szCs w:val="24"/>
          </w:rPr>
          <w:instrText xml:space="preserve"> ADDIN EN.CITE &lt;EndNote&gt;&lt;Cite&gt;&lt;Author&gt;Gulley&lt;/Author&gt;&lt;Year&gt;2010&lt;/Year&gt;&lt;RecNum&gt;814&lt;/RecNum&gt;&lt;DisplayText&gt;&lt;style face="superscript"&gt;111&lt;/style&gt;&lt;/DisplayText&gt;&lt;record&gt;&lt;rec-number&gt;814&lt;/rec-number&gt;&lt;foreign-keys&gt;&lt;key app="EN" db-id="50wxdpzd9vd5r7e9t5b595djrfpttrxw9avp"&gt;814&lt;/key&gt;&lt;/foreign-keys&gt;&lt;ref-type name="Journal Article"&gt;17&lt;/ref-type&gt;&lt;contributors&gt;&lt;authors&gt;&lt;author&gt;Gulley, JamesL&lt;/author&gt;&lt;author&gt;Arlen, PhilipM&lt;/author&gt;&lt;author&gt;Madan, RaviA&lt;/author&gt;&lt;author&gt;Tsang, Kwong-Yok&lt;/author&gt;&lt;author&gt;Pazdur, MaryP&lt;/author&gt;&lt;author&gt;Skarupa, Lisa&lt;/author&gt;&lt;author&gt;Jones, JacquinL&lt;/author&gt;&lt;author&gt;Poole, DianeJ&lt;/author&gt;&lt;author&gt;Higgins, JackP&lt;/author&gt;&lt;author&gt;Hodge, JamesW&lt;/author&gt;&lt;author&gt;Cereda, Vittore&lt;/author&gt;&lt;author&gt;Vergati, Matteo&lt;/author&gt;&lt;author&gt;Steinberg, SethM&lt;/author&gt;&lt;author&gt;Halabi, Susan&lt;/author&gt;&lt;author&gt;Jones, Elizabeth&lt;/author&gt;&lt;author&gt;Chen, Clara&lt;/author&gt;&lt;author&gt;Parnes, Howard&lt;/author&gt;&lt;author&gt;Wright, JohnJ&lt;/author&gt;&lt;author&gt;Dahut, WilliamL&lt;/author&gt;&lt;author&gt;Schlom, Jeffrey&lt;/author&gt;&lt;/authors&gt;&lt;/contributors&gt;&lt;titles&gt;&lt;title&gt;Immunologic and prognostic factors associated with overall survival employing a poxviral-based PSA vaccine in metastatic castrate-resistant prostate cancer&lt;/title&gt;&lt;secondary-title&gt;Cancer Immunology, Immunotherapy&lt;/secondary-title&gt;&lt;alt-title&gt;Cancer Immunol Immunother&lt;/alt-title&gt;&lt;/titles&gt;&lt;pages&gt;663-674&lt;/pages&gt;&lt;volume&gt;59&lt;/volume&gt;&lt;number&gt;5&lt;/number&gt;&lt;keywords&gt;&lt;keyword&gt;Cancer vaccine&lt;/keyword&gt;&lt;keyword&gt;Immunotherapy&lt;/keyword&gt;&lt;keyword&gt;Prostate cancer&lt;/keyword&gt;&lt;keyword&gt;Overall survival&lt;/keyword&gt;&lt;keyword&gt;PSA–TRICOM&lt;/keyword&gt;&lt;keyword&gt;PROSTVAC&lt;/keyword&gt;&lt;/keywords&gt;&lt;dates&gt;&lt;year&gt;2010&lt;/year&gt;&lt;pub-dates&gt;&lt;date&gt;2010/05/01&lt;/date&gt;&lt;/pub-dates&gt;&lt;/dates&gt;&lt;publisher&gt;Springer-Verlag&lt;/publisher&gt;&lt;isbn&gt;0340-7004&lt;/isbn&gt;&lt;urls&gt;&lt;related-urls&gt;&lt;url&gt;http://dx.doi.org/10.1007/s00262-009-0782-8&lt;/url&gt;&lt;/related-urls&gt;&lt;/urls&gt;&lt;electronic-resource-num&gt;10.1007/s00262-009-0782-8&lt;/electronic-resource-num&gt;&lt;language&gt;English&lt;/language&gt;&lt;/record&gt;&lt;/Cite&gt;&lt;/EndNote&gt;</w:instrText>
        </w:r>
        <w:r w:rsidR="00F77861" w:rsidRPr="00244551">
          <w:rPr>
            <w:rStyle w:val="Hyperlink"/>
            <w:szCs w:val="24"/>
          </w:rPr>
          <w:fldChar w:fldCharType="separate"/>
        </w:r>
        <w:r w:rsidR="00F77861" w:rsidRPr="00244551">
          <w:rPr>
            <w:rStyle w:val="Hyperlink"/>
            <w:noProof/>
            <w:szCs w:val="24"/>
            <w:vertAlign w:val="superscript"/>
          </w:rPr>
          <w:t>111</w:t>
        </w:r>
        <w:r w:rsidR="00F77861" w:rsidRPr="00244551">
          <w:rPr>
            <w:rStyle w:val="Hyperlink"/>
            <w:szCs w:val="24"/>
          </w:rPr>
          <w:fldChar w:fldCharType="end"/>
        </w:r>
      </w:hyperlink>
      <w:r w:rsidRPr="007A3223">
        <w:rPr>
          <w:szCs w:val="24"/>
        </w:rPr>
        <w:t xml:space="preserve"> and sipuleucel-T</w:t>
      </w:r>
      <w:hyperlink w:anchor="_ENREF_112" w:tooltip="Kantoff, 2010 #815" w:history="1">
        <w:r w:rsidR="00F77861" w:rsidRPr="00244551">
          <w:rPr>
            <w:rStyle w:val="Hyperlink"/>
            <w:szCs w:val="24"/>
          </w:rPr>
          <w:fldChar w:fldCharType="begin"/>
        </w:r>
        <w:r w:rsidR="00F77861" w:rsidRPr="00244551">
          <w:rPr>
            <w:rStyle w:val="Hyperlink"/>
            <w:szCs w:val="24"/>
          </w:rPr>
          <w:instrText xml:space="preserve"> ADDIN EN.CITE &lt;EndNote&gt;&lt;Cite&gt;&lt;Author&gt;Kantoff&lt;/Author&gt;&lt;Year&gt;2010&lt;/Year&gt;&lt;RecNum&gt;815&lt;/RecNum&gt;&lt;DisplayText&gt;&lt;style face="superscript"&gt;112&lt;/style&gt;&lt;/DisplayText&gt;&lt;record&gt;&lt;rec-number&gt;815&lt;/rec-number&gt;&lt;foreign-keys&gt;&lt;key app="EN" db-id="50wxdpzd9vd5r7e9t5b595djrfpttrxw9avp"&gt;815&lt;/key&gt;&lt;/foreign-keys&gt;&lt;ref-type name="Journal Article"&gt;17&lt;/ref-type&gt;&lt;contributors&gt;&lt;authors&gt;&lt;author&gt;Kantoff, Philip W.&lt;/author&gt;&lt;author&gt;Higano, Celestia S.&lt;/author&gt;&lt;author&gt;Shore, Neal D.&lt;/author&gt;&lt;author&gt;Berger, E. Roy&lt;/author&gt;&lt;author&gt;Small, Eric J.&lt;/author&gt;&lt;author&gt;Penson, David F.&lt;/author&gt;&lt;author&gt;Redfern, Charles H.&lt;/author&gt;&lt;author&gt;Ferrari, Anna C.&lt;/author&gt;&lt;author&gt;Dreicer, Robert&lt;/author&gt;&lt;author&gt;Sims, Robert B.&lt;/author&gt;&lt;author&gt;Xu, Yi&lt;/author&gt;&lt;author&gt;Frohlich, Mark W.&lt;/author&gt;&lt;author&gt;Schellhammer, Paul F.&lt;/author&gt;&lt;/authors&gt;&lt;/contributors&gt;&lt;titles&gt;&lt;title&gt;Sipuleucel-T Immunotherapy for Castration-Resistant Prostate Cancer&lt;/title&gt;&lt;secondary-title&gt;New England Journal of Medicine&lt;/secondary-title&gt;&lt;/titles&gt;&lt;pages&gt;411-422&lt;/pages&gt;&lt;volume&gt;363&lt;/volume&gt;&lt;number&gt;5&lt;/number&gt;&lt;dates&gt;&lt;year&gt;2010&lt;/year&gt;&lt;/dates&gt;&lt;accession-num&gt;20818862&lt;/accession-num&gt;&lt;urls&gt;&lt;related-urls&gt;&lt;url&gt;http://www.nejm.org/doi/full/10.1056/NEJMoa1001294&lt;/url&gt;&lt;/related-urls&gt;&lt;/urls&gt;&lt;electronic-resource-num&gt;doi:10.1056/NEJMoa1001294&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112</w:t>
        </w:r>
        <w:r w:rsidR="00F77861" w:rsidRPr="00244551">
          <w:rPr>
            <w:rStyle w:val="Hyperlink"/>
            <w:szCs w:val="24"/>
          </w:rPr>
          <w:fldChar w:fldCharType="end"/>
        </w:r>
      </w:hyperlink>
      <w:r w:rsidRPr="007A3223">
        <w:rPr>
          <w:szCs w:val="24"/>
        </w:rPr>
        <w:t xml:space="preserve"> have shown promise in mCRPC, but new th</w:t>
      </w:r>
      <w:r w:rsidRPr="00F33908">
        <w:rPr>
          <w:szCs w:val="24"/>
        </w:rPr>
        <w:t>erapeutic approaches in men with mCRPC are needed. Overexpression o</w:t>
      </w:r>
      <w:r w:rsidRPr="007A3223">
        <w:rPr>
          <w:szCs w:val="24"/>
        </w:rPr>
        <w:t>f PD-L1 has been described in CRPC.</w:t>
      </w:r>
      <w:hyperlink w:anchor="_ENREF_113" w:tooltip="Barach, 2011 #816" w:history="1">
        <w:r w:rsidR="00F77861" w:rsidRPr="00244551">
          <w:rPr>
            <w:rStyle w:val="Hyperlink"/>
            <w:szCs w:val="24"/>
          </w:rPr>
          <w:fldChar w:fldCharType="begin"/>
        </w:r>
        <w:r w:rsidR="00F77861" w:rsidRPr="00244551">
          <w:rPr>
            <w:rStyle w:val="Hyperlink"/>
            <w:szCs w:val="24"/>
          </w:rPr>
          <w:instrText xml:space="preserve"> ADDIN EN.CITE &lt;EndNote&gt;&lt;Cite&gt;&lt;Author&gt;Barach&lt;/Author&gt;&lt;Year&gt;2011&lt;/Year&gt;&lt;RecNum&gt;816&lt;/RecNum&gt;&lt;DisplayText&gt;&lt;style face="superscript"&gt;113&lt;/style&gt;&lt;/DisplayText&gt;&lt;record&gt;&lt;rec-number&gt;816&lt;/rec-number&gt;&lt;foreign-keys&gt;&lt;key app="EN" db-id="50wxdpzd9vd5r7e9t5b595djrfpttrxw9avp"&gt;816&lt;/key&gt;&lt;/foreign-keys&gt;&lt;ref-type name="Journal Article"&gt;17&lt;/ref-type&gt;&lt;contributors&gt;&lt;authors&gt;&lt;author&gt;Barach, Yael S.&lt;/author&gt;&lt;author&gt;Lee, Jun Sik&lt;/author&gt;&lt;author&gt;Zang, Xingxing&lt;/author&gt;&lt;/authors&gt;&lt;/contributors&gt;&lt;titles&gt;&lt;title&gt;T cell coinhibition in prostate cancer: new immune evasion pathways and emerging therapeutics&lt;/title&gt;&lt;secondary-title&gt;Trends in Molecular Medicine&lt;/secondary-title&gt;&lt;/titles&gt;&lt;pages&gt;47-55&lt;/pages&gt;&lt;volume&gt;17&lt;/volume&gt;&lt;number&gt;1&lt;/number&gt;&lt;dates&gt;&lt;year&gt;2011&lt;/year&gt;&lt;/dates&gt;&lt;isbn&gt;1471-4914&lt;/isbn&gt;&lt;urls&gt;&lt;related-urls&gt;&lt;url&gt;http://www.sciencedirect.com/science/article/pii/S1471491410001462&lt;/url&gt;&lt;/related-urls&gt;&lt;/urls&gt;&lt;electronic-resource-num&gt;http://dx.doi.org/10.1016/j.molmed.2010.09.006&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113</w:t>
        </w:r>
        <w:r w:rsidR="00F77861" w:rsidRPr="00244551">
          <w:rPr>
            <w:rStyle w:val="Hyperlink"/>
            <w:szCs w:val="24"/>
          </w:rPr>
          <w:fldChar w:fldCharType="end"/>
        </w:r>
      </w:hyperlink>
      <w:r w:rsidRPr="007A3223">
        <w:rPr>
          <w:szCs w:val="24"/>
        </w:rPr>
        <w:t xml:space="preserve"> PD-L1 is expressed mainly on tumor cells making it a target for blockade.  PDL-1 binds</w:t>
      </w:r>
      <w:r w:rsidRPr="00F33908">
        <w:rPr>
          <w:szCs w:val="24"/>
        </w:rPr>
        <w:t xml:space="preserve"> PD-1, expressed m</w:t>
      </w:r>
      <w:r w:rsidRPr="007A3223">
        <w:rPr>
          <w:szCs w:val="24"/>
        </w:rPr>
        <w:t>ainly on T cells, causing T cell suppression and reducing anti-tumor immunity.  Blocking this interaction may reverse T cell suppression, allowing for T cell mediated killing of tumor cells.  Although PD-L1 has not been found to be highly expressed in prostate tumor samples, both PD-L1 and PD-1 have been found in the prostate cancer microenvironment and appear to play a role in prostate cancer.</w:t>
      </w:r>
      <w:hyperlink w:anchor="_ENREF_113" w:tooltip="Barach, 2011 #816" w:history="1">
        <w:r w:rsidR="00F77861" w:rsidRPr="00244551">
          <w:rPr>
            <w:rStyle w:val="Hyperlink"/>
            <w:szCs w:val="24"/>
          </w:rPr>
          <w:fldChar w:fldCharType="begin"/>
        </w:r>
        <w:r w:rsidR="00F77861" w:rsidRPr="00244551">
          <w:rPr>
            <w:rStyle w:val="Hyperlink"/>
            <w:szCs w:val="24"/>
          </w:rPr>
          <w:instrText xml:space="preserve"> ADDIN EN.CITE &lt;EndNote&gt;&lt;Cite&gt;&lt;Author&gt;Barach&lt;/Author&gt;&lt;Year&gt;2011&lt;/Year&gt;&lt;RecNum&gt;816&lt;/RecNum&gt;&lt;DisplayText&gt;&lt;style face="superscript"&gt;113&lt;/style&gt;&lt;/DisplayText&gt;&lt;record&gt;&lt;rec-number&gt;816&lt;/rec-number&gt;&lt;foreign-keys&gt;&lt;key app="EN" db-id="50wxdpzd9vd5r7e9t5b595djrfpttrxw9avp"&gt;816&lt;/key&gt;&lt;/foreign-keys&gt;&lt;ref-type name="Journal Article"&gt;17&lt;/ref-type&gt;&lt;contributors&gt;&lt;authors&gt;&lt;author&gt;Barach, Yael S.&lt;/author&gt;&lt;author&gt;Lee, Jun Sik&lt;/author&gt;&lt;author&gt;Zang, Xingxing&lt;/author&gt;&lt;/authors&gt;&lt;/contributors&gt;&lt;titles&gt;&lt;title&gt;T cell coinhibition in prostate cancer: new immune evasion pathways and emerging therapeutics&lt;/title&gt;&lt;secondary-title&gt;Trends in Molecular Medicine&lt;/secondary-title&gt;&lt;/titles&gt;&lt;pages&gt;47-55&lt;/pages&gt;&lt;volume&gt;17&lt;/volume&gt;&lt;number&gt;1&lt;/number&gt;&lt;dates&gt;&lt;year&gt;2011&lt;/year&gt;&lt;/dates&gt;&lt;isbn&gt;1471-4914&lt;/isbn&gt;&lt;urls&gt;&lt;related-urls&gt;&lt;url&gt;http://www.sciencedirect.com/science/article/pii/S1471491410001462&lt;/url&gt;&lt;/related-urls&gt;&lt;/urls&gt;&lt;electronic-resource-num&gt;http://dx.doi.org/10.1016/j.molmed.2010.09.006&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113</w:t>
        </w:r>
        <w:r w:rsidR="00F77861" w:rsidRPr="00244551">
          <w:rPr>
            <w:rStyle w:val="Hyperlink"/>
            <w:szCs w:val="24"/>
          </w:rPr>
          <w:fldChar w:fldCharType="end"/>
        </w:r>
      </w:hyperlink>
      <w:r w:rsidRPr="007A3223">
        <w:rPr>
          <w:szCs w:val="24"/>
        </w:rPr>
        <w:t xml:space="preserve">  PD-1 is upregulated on lymphocyte clusters around prostate cance</w:t>
      </w:r>
      <w:r w:rsidRPr="00F33908">
        <w:rPr>
          <w:szCs w:val="24"/>
        </w:rPr>
        <w:t>r lesions.</w:t>
      </w:r>
      <w:hyperlink w:anchor="_ENREF_114" w:tooltip="Ebelt, 2009 #818" w:history="1">
        <w:r w:rsidR="00F77861" w:rsidRPr="00244551">
          <w:rPr>
            <w:rStyle w:val="Hyperlink"/>
            <w:szCs w:val="24"/>
          </w:rPr>
          <w:fldChar w:fldCharType="begin"/>
        </w:r>
        <w:r w:rsidR="00F77861" w:rsidRPr="00244551">
          <w:rPr>
            <w:rStyle w:val="Hyperlink"/>
            <w:szCs w:val="24"/>
          </w:rPr>
          <w:instrText xml:space="preserve"> ADDIN EN.CITE &lt;EndNote&gt;&lt;Cite&gt;&lt;Author&gt;Ebelt&lt;/Author&gt;&lt;Year&gt;2009&lt;/Year&gt;&lt;RecNum&gt;818&lt;/RecNum&gt;&lt;DisplayText&gt;&lt;style face="superscript"&gt;114&lt;/style&gt;&lt;/DisplayText&gt;&lt;record&gt;&lt;rec-number&gt;818&lt;/rec-number&gt;&lt;foreign-keys&gt;&lt;key app="EN" db-id="50wxdpzd9vd5r7e9t5b595djrfpttrxw9avp"&gt;818&lt;/key&gt;&lt;/foreign-keys&gt;&lt;ref-type name="Journal Article"&gt;17&lt;/ref-type&gt;&lt;contributors&gt;&lt;authors&gt;&lt;author&gt;Ebelt, Kathleen&lt;/author&gt;&lt;author&gt;Babaryka, Gregor&lt;/author&gt;&lt;author&gt;Frankenberger, Bernhard&lt;/author&gt;&lt;author&gt;Stief, Christian G.&lt;/author&gt;&lt;author&gt;Eisenmenger, Wolfgang&lt;/author&gt;&lt;author&gt;Kirchner, Thomas&lt;/author&gt;&lt;author&gt;Schendel, Dolores J.&lt;/author&gt;&lt;author&gt;Noessner, Elfriede&lt;/author&gt;&lt;/authors&gt;&lt;/contributors&gt;&lt;titles&gt;&lt;title&gt;Prostate cancer lesions are surrounded by FOXP3+, PD-1+ and B7-H1+ lymphocyte clusters&lt;/title&gt;&lt;secondary-title&gt;European Journal of Cancer&lt;/secondary-title&gt;&lt;/titles&gt;&lt;pages&gt;1664-1672&lt;/pages&gt;&lt;volume&gt;45&lt;/volume&gt;&lt;number&gt;9&lt;/number&gt;&lt;keywords&gt;&lt;keyword&gt;Tumour-infiltrating lymphocytes&lt;/keyword&gt;&lt;keyword&gt;FOXP3&lt;/keyword&gt;&lt;keyword&gt;Tregs&lt;/keyword&gt;&lt;keyword&gt;PD-1&lt;/keyword&gt;&lt;keyword&gt;B7-H1&lt;/keyword&gt;&lt;keyword&gt;Exhausted lymphocytes&lt;/keyword&gt;&lt;/keywords&gt;&lt;dates&gt;&lt;year&gt;2009&lt;/year&gt;&lt;/dates&gt;&lt;isbn&gt;0959-8049&lt;/isbn&gt;&lt;urls&gt;&lt;related-urls&gt;&lt;url&gt;http://www.sciencedirect.com/science/article/pii/S0959804909001178&lt;/url&gt;&lt;/related-urls&gt;&lt;/urls&gt;&lt;electronic-resource-num&gt;http://dx.doi.org/10.1016/j.ejca.2009.02.015&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114</w:t>
        </w:r>
        <w:r w:rsidR="00F77861" w:rsidRPr="00244551">
          <w:rPr>
            <w:rStyle w:val="Hyperlink"/>
            <w:szCs w:val="24"/>
          </w:rPr>
          <w:fldChar w:fldCharType="end"/>
        </w:r>
      </w:hyperlink>
      <w:r w:rsidRPr="007A3223">
        <w:rPr>
          <w:szCs w:val="24"/>
        </w:rPr>
        <w:t xml:space="preserve"> Bishop </w:t>
      </w:r>
      <w:r w:rsidRPr="00F33908">
        <w:rPr>
          <w:i/>
          <w:szCs w:val="24"/>
        </w:rPr>
        <w:t>et al</w:t>
      </w:r>
      <w:r w:rsidRPr="007A3223">
        <w:rPr>
          <w:szCs w:val="24"/>
        </w:rPr>
        <w:t>. investigated whether PD-L1/2, PD-1, and CTLA-4 were upregulated in enzalutamide resistant patients and in a pre-clinical model of enzalutamide resistance.</w:t>
      </w:r>
      <w:hyperlink w:anchor="_ENREF_115" w:tooltip="Bishop, 2014 #819" w:history="1">
        <w:r w:rsidR="00F77861" w:rsidRPr="00244551">
          <w:rPr>
            <w:rStyle w:val="Hyperlink"/>
            <w:szCs w:val="24"/>
          </w:rPr>
          <w:fldChar w:fldCharType="begin"/>
        </w:r>
        <w:r w:rsidR="00F77861" w:rsidRPr="00244551">
          <w:rPr>
            <w:rStyle w:val="Hyperlink"/>
            <w:szCs w:val="24"/>
          </w:rPr>
          <w:instrText xml:space="preserve"> ADDIN EN.CITE &lt;EndNote&gt;&lt;Cite&gt;&lt;Author&gt;Bishop&lt;/Author&gt;&lt;Year&gt;2014&lt;/Year&gt;&lt;RecNum&gt;819&lt;/RecNum&gt;&lt;DisplayText&gt;&lt;style face="superscript"&gt;115&lt;/style&gt;&lt;/DisplayText&gt;&lt;record&gt;&lt;rec-number&gt;819&lt;/rec-number&gt;&lt;foreign-keys&gt;&lt;key app="EN" db-id="50wxdpzd9vd5r7e9t5b595djrfpttrxw9avp"&gt;819&lt;/key&gt;&lt;/foreign-keys&gt;&lt;ref-type name="Book"&gt;6&lt;/ref-type&gt;&lt;contributors&gt;&lt;authors&gt;&lt;author&gt;Bishop, Jennifer L.&lt;/author&gt;&lt;author&gt;Sio, Alexander&lt;/author&gt;&lt;author&gt;Angeles, Arkhjamil&lt;/author&gt;&lt;author&gt;Roberts, Morgan E.&lt;/author&gt;&lt;author&gt;Azad, Arun A.&lt;/author&gt;&lt;author&gt;Chi, Kim N.&lt;/author&gt;&lt;author&gt;Zoubeidi, Amina&lt;/author&gt;&lt;/authors&gt;&lt;/contributors&gt;&lt;titles&gt;&lt;title&gt;PD-L1 is highly expressed in Enzalutamide resistant prostate cancer&lt;/title&gt;&lt;secondary-title&gt;2014&lt;/secondary-title&gt;&lt;short-title&gt;PD-L1 is highly expressed in Enzalutamide resistant prostate cancer&lt;/short-title&gt;&lt;/titles&gt;&lt;dates&gt;&lt;year&gt;2014&lt;/year&gt;&lt;/dates&gt;&lt;isbn&gt;1949-2553|escape}&lt;/isbn&gt;&lt;urls&gt;&lt;related-urls&gt;&lt;url&gt;http://www.impactjournals.com/oncotarget/index.php?journal=oncotarget&amp;amp;amp;page=article&amp;amp;amp;op=view&amp;amp;amp;path%5B%5D=2703&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115</w:t>
        </w:r>
        <w:r w:rsidR="00F77861" w:rsidRPr="00244551">
          <w:rPr>
            <w:rStyle w:val="Hyperlink"/>
            <w:szCs w:val="24"/>
          </w:rPr>
          <w:fldChar w:fldCharType="end"/>
        </w:r>
      </w:hyperlink>
      <w:r w:rsidRPr="007A3223">
        <w:rPr>
          <w:szCs w:val="24"/>
        </w:rPr>
        <w:t xml:space="preserve"> Enzalutamide res</w:t>
      </w:r>
      <w:r w:rsidRPr="00F33908">
        <w:rPr>
          <w:szCs w:val="24"/>
        </w:rPr>
        <w:t>istance was associated with high frequency of PD-1 and PD-L1 i</w:t>
      </w:r>
      <w:r w:rsidRPr="007A3223">
        <w:rPr>
          <w:szCs w:val="24"/>
        </w:rPr>
        <w:t>n tumor and in circulating immune cells.  PD-L1/2 and PD-1 were assessed by flow cytometry on DCs and T cells from a small cohort of men with mCRPC who were enzalutamide naïve or men classified as progressing or responding to enzalutamide.</w:t>
      </w:r>
      <w:hyperlink w:anchor="_ENREF_115" w:tooltip="Bishop, 2014 #819" w:history="1">
        <w:r w:rsidR="00F77861" w:rsidRPr="00244551">
          <w:rPr>
            <w:rStyle w:val="Hyperlink"/>
            <w:szCs w:val="24"/>
          </w:rPr>
          <w:fldChar w:fldCharType="begin"/>
        </w:r>
        <w:r w:rsidR="00F77861" w:rsidRPr="00244551">
          <w:rPr>
            <w:rStyle w:val="Hyperlink"/>
            <w:szCs w:val="24"/>
          </w:rPr>
          <w:instrText xml:space="preserve"> ADDIN EN.CITE &lt;EndNote&gt;&lt;Cite&gt;&lt;Author&gt;Bishop&lt;/Author&gt;&lt;Year&gt;2014&lt;/Year&gt;&lt;RecNum&gt;819&lt;/RecNum&gt;&lt;DisplayText&gt;&lt;style face="superscript"&gt;115&lt;/style&gt;&lt;/DisplayText&gt;&lt;record&gt;&lt;rec-number&gt;819&lt;/rec-number&gt;&lt;foreign-keys&gt;&lt;key app="EN" db-id="50wxdpzd9vd5r7e9t5b595djrfpttrxw9avp"&gt;819&lt;/key&gt;&lt;/foreign-keys&gt;&lt;ref-type name="Book"&gt;6&lt;/ref-type&gt;&lt;contributors&gt;&lt;authors&gt;&lt;author&gt;Bishop, Jennifer L.&lt;/author&gt;&lt;author&gt;Sio, Alexander&lt;/author&gt;&lt;author&gt;Angeles, Arkhjamil&lt;/author&gt;&lt;author&gt;Roberts, Morgan E.&lt;/author&gt;&lt;author&gt;Azad, Arun A.&lt;/author&gt;&lt;author&gt;Chi, Kim N.&lt;/author&gt;&lt;author&gt;Zoubeidi, Amina&lt;/author&gt;&lt;/authors&gt;&lt;/contributors&gt;&lt;titles&gt;&lt;title&gt;PD-L1 is highly expressed in Enzalutamide resistant prostate cancer&lt;/title&gt;&lt;secondary-title&gt;2014&lt;/secondary-title&gt;&lt;short-title&gt;PD-L1 is highly expressed in Enzalutamide resistant prostate cancer&lt;/short-title&gt;&lt;/titles&gt;&lt;dates&gt;&lt;year&gt;2014&lt;/year&gt;&lt;/dates&gt;&lt;isbn&gt;1949-2553|escape}&lt;/isbn&gt;&lt;urls&gt;&lt;related-urls&gt;&lt;url&gt;http://www.impactjournals.com/oncotarget/index.php?journal=oncotarget&amp;amp;amp;page=article&amp;amp;amp;op=view&amp;amp;amp;path%5B%5D=2703&lt;/url&gt;&lt;/related-urls&gt;&lt;/urls&gt;&lt;/record&gt;&lt;/Cite&gt;&lt;/EndNote&gt;</w:instrText>
        </w:r>
        <w:r w:rsidR="00F77861" w:rsidRPr="00244551">
          <w:rPr>
            <w:rStyle w:val="Hyperlink"/>
            <w:szCs w:val="24"/>
          </w:rPr>
          <w:fldChar w:fldCharType="separate"/>
        </w:r>
        <w:r w:rsidR="00F77861" w:rsidRPr="00244551">
          <w:rPr>
            <w:rStyle w:val="Hyperlink"/>
            <w:noProof/>
            <w:szCs w:val="24"/>
            <w:vertAlign w:val="superscript"/>
          </w:rPr>
          <w:t>115</w:t>
        </w:r>
        <w:r w:rsidR="00F77861" w:rsidRPr="00244551">
          <w:rPr>
            <w:rStyle w:val="Hyperlink"/>
            <w:szCs w:val="24"/>
          </w:rPr>
          <w:fldChar w:fldCharType="end"/>
        </w:r>
      </w:hyperlink>
      <w:r w:rsidRPr="007A3223">
        <w:rPr>
          <w:szCs w:val="24"/>
        </w:rPr>
        <w:t xml:space="preserve">  There was an increased frequency of PD-L1/2 (DCs) in men progressing on enz</w:t>
      </w:r>
      <w:r w:rsidRPr="00F33908">
        <w:rPr>
          <w:szCs w:val="24"/>
        </w:rPr>
        <w:t xml:space="preserve">alutamide compared to naïve patients (p=0.0037) or responding </w:t>
      </w:r>
      <w:r w:rsidRPr="007A3223">
        <w:rPr>
          <w:szCs w:val="24"/>
        </w:rPr>
        <w:t xml:space="preserve">patients (p=0.0060). PD-L1 expression on tumor cells may be a mechanism of enzalutamide resistance in mCRPC.  In a pre-clinical model, enzalutamide resistant xenografts could cause increases in PDL1/2 dendritic cells in tumor bearing mice blood.  Results from this study of a small cohort of patients suggest that patients with enzalutamide resistant prostate cancer have targetable expression of the PD-L1 pathway.  Thus, disruption of the PD-1/PD-L1 interaction would be a rational strategy for immunotherapy in patients with mCRPC. </w:t>
      </w:r>
    </w:p>
    <w:p w14:paraId="4644868C" w14:textId="42DB41F4" w:rsidR="009842F4" w:rsidRPr="007A3223" w:rsidRDefault="00BB1B7B" w:rsidP="002F3363">
      <w:pPr>
        <w:spacing w:after="0"/>
        <w:rPr>
          <w:szCs w:val="24"/>
        </w:rPr>
      </w:pPr>
      <w:r w:rsidRPr="007A3223">
        <w:rPr>
          <w:szCs w:val="24"/>
        </w:rPr>
        <w:t xml:space="preserve">     The rationale for combination of PARP</w:t>
      </w:r>
      <w:r w:rsidR="0077729D" w:rsidRPr="007A3223">
        <w:rPr>
          <w:szCs w:val="24"/>
        </w:rPr>
        <w:t>i</w:t>
      </w:r>
      <w:r w:rsidRPr="007A3223">
        <w:rPr>
          <w:szCs w:val="24"/>
        </w:rPr>
        <w:t xml:space="preserve"> and </w:t>
      </w:r>
      <w:r w:rsidR="0077729D" w:rsidRPr="007A3223">
        <w:rPr>
          <w:szCs w:val="24"/>
        </w:rPr>
        <w:t xml:space="preserve">immune </w:t>
      </w:r>
      <w:r w:rsidRPr="007A3223">
        <w:rPr>
          <w:szCs w:val="24"/>
        </w:rPr>
        <w:t>checkpoint inhibition is based upon the complementary mechanisms of action of the two therapies.  Exploiting the synergy in the treatment of prostate cancer is of therapeutic potential.  PARPi plays a role in immune modulation and can potentially complement the anti-tumor activity of an immune checkpoint inhibitor. PARP-1 has been reported to play a role in immune and inflammatory responses independent of DNA damage.</w:t>
      </w:r>
      <w:hyperlink w:anchor="_ENREF_116" w:tooltip="Sambucci, 2013 #823" w:history="1">
        <w:r w:rsidR="00F77861" w:rsidRPr="00244551">
          <w:rPr>
            <w:rStyle w:val="Hyperlink"/>
            <w:szCs w:val="24"/>
          </w:rPr>
          <w:fldChar w:fldCharType="begin"/>
        </w:r>
        <w:r w:rsidR="00F77861" w:rsidRPr="00244551">
          <w:rPr>
            <w:rStyle w:val="Hyperlink"/>
            <w:szCs w:val="24"/>
          </w:rPr>
          <w:instrText xml:space="preserve"> ADDIN EN.CITE &lt;EndNote&gt;&lt;Cite&gt;&lt;Author&gt;Sambucci&lt;/Author&gt;&lt;Year&gt;2013&lt;/Year&gt;&lt;RecNum&gt;823&lt;/RecNum&gt;&lt;DisplayText&gt;&lt;style face="superscript"&gt;116&lt;/style&gt;&lt;/DisplayText&gt;&lt;record&gt;&lt;rec-number&gt;823&lt;/rec-number&gt;&lt;foreign-keys&gt;&lt;key app="EN" db-id="50wxdpzd9vd5r7e9t5b595djrfpttrxw9avp"&gt;823&lt;/key&gt;&lt;/foreign-keys&gt;&lt;ref-type name="Journal Article"&gt;17&lt;/ref-type&gt;&lt;contributors&gt;&lt;authors&gt;&lt;author&gt;Sambucci, M.&lt;/author&gt;&lt;author&gt;Laudisi, F.&lt;/author&gt;&lt;author&gt;Novelli, F.&lt;/author&gt;&lt;author&gt;Bennici, E.&lt;/author&gt;&lt;author&gt;Rosado, M. M.&lt;/author&gt;&lt;author&gt;Pioli, C.&lt;/author&gt;&lt;/authors&gt;&lt;/contributors&gt;&lt;titles&gt;&lt;title&gt;Effects of PARP-1 Deficiency on Th1 and Th2 Cell Differentiation&lt;/title&gt;&lt;secondary-title&gt;The Scientific World Journal&lt;/secondary-title&gt;&lt;/titles&gt;&lt;pages&gt;8&lt;/pages&gt;&lt;volume&gt;2013&lt;/volume&gt;&lt;dates&gt;&lt;year&gt;2013&lt;/year&gt;&lt;/dates&gt;&lt;urls&gt;&lt;related-urls&gt;&lt;url&gt;http://dx.doi.org/10.1155/2013/375024&lt;/url&gt;&lt;/related-urls&gt;&lt;/urls&gt;&lt;electronic-resource-num&gt;10.1155/2013/375024&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116</w:t>
        </w:r>
        <w:r w:rsidR="00F77861" w:rsidRPr="00244551">
          <w:rPr>
            <w:rStyle w:val="Hyperlink"/>
            <w:szCs w:val="24"/>
          </w:rPr>
          <w:fldChar w:fldCharType="end"/>
        </w:r>
      </w:hyperlink>
      <w:r w:rsidRPr="007A3223">
        <w:rPr>
          <w:szCs w:val="24"/>
        </w:rPr>
        <w:t xml:space="preserve"> PARP expr</w:t>
      </w:r>
      <w:r w:rsidRPr="00F33908">
        <w:rPr>
          <w:szCs w:val="24"/>
        </w:rPr>
        <w:t>ession is involved in T</w:t>
      </w:r>
      <w:r w:rsidR="0077729D" w:rsidRPr="007A3223">
        <w:rPr>
          <w:szCs w:val="24"/>
        </w:rPr>
        <w:t xml:space="preserve"> </w:t>
      </w:r>
      <w:r w:rsidRPr="007A3223">
        <w:rPr>
          <w:szCs w:val="24"/>
        </w:rPr>
        <w:t>cell development and function.</w:t>
      </w:r>
      <w:hyperlink w:anchor="_ENREF_117" w:tooltip="Rosado, 2013 #820" w:history="1">
        <w:r w:rsidR="00F77861" w:rsidRPr="00244551">
          <w:rPr>
            <w:rStyle w:val="Hyperlink"/>
            <w:szCs w:val="24"/>
          </w:rPr>
          <w:fldChar w:fldCharType="begin"/>
        </w:r>
        <w:r w:rsidR="00F77861" w:rsidRPr="00244551">
          <w:rPr>
            <w:rStyle w:val="Hyperlink"/>
            <w:szCs w:val="24"/>
          </w:rPr>
          <w:instrText xml:space="preserve"> ADDIN EN.CITE &lt;EndNote&gt;&lt;Cite&gt;&lt;Author&gt;Rosado&lt;/Author&gt;&lt;Year&gt;2013&lt;/Year&gt;&lt;RecNum&gt;820&lt;/RecNum&gt;&lt;DisplayText&gt;&lt;style face="superscript"&gt;117&lt;/style&gt;&lt;/DisplayText&gt;&lt;record&gt;&lt;rec-number&gt;820&lt;/rec-number&gt;&lt;foreign-keys&gt;&lt;key app="EN" db-id="50wxdpzd9vd5r7e9t5b595djrfpttrxw9avp"&gt;820&lt;/key&gt;&lt;/foreign-keys&gt;&lt;ref-type name="Journal Article"&gt;17&lt;/ref-type&gt;&lt;contributors&gt;&lt;authors&gt;&lt;author&gt;Rosado, Maria Manuela&lt;/author&gt;&lt;author&gt;Bennici, Elisabetta&lt;/author&gt;&lt;author&gt;Novelli, Flavia&lt;/author&gt;&lt;author&gt;Pioli, Claudio&lt;/author&gt;&lt;/authors&gt;&lt;/contributors&gt;&lt;titles&gt;&lt;title&gt;Beyond DNA repair, the immunological role of PARP-1 and its siblings&lt;/title&gt;&lt;secondary-title&gt;Immunology&lt;/secondary-title&gt;&lt;/titles&gt;&lt;pages&gt;428-437&lt;/pages&gt;&lt;volume&gt;139&lt;/volume&gt;&lt;number&gt;4&lt;/number&gt;&lt;keywords&gt;&lt;keyword&gt;autoimmunity&lt;/keyword&gt;&lt;keyword&gt;immunotherapeutics&lt;/keyword&gt;&lt;keyword&gt;inflammation&lt;/keyword&gt;&lt;/keywords&gt;&lt;dates&gt;&lt;year&gt;2013&lt;/year&gt;&lt;/dates&gt;&lt;isbn&gt;1365-2567&lt;/isbn&gt;&lt;urls&gt;&lt;related-urls&gt;&lt;url&gt;http://dx.doi.org/10.1111/imm.12099&lt;/url&gt;&lt;/related-urls&gt;&lt;/urls&gt;&lt;electronic-resource-num&gt;10.1111/imm.12099&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117</w:t>
        </w:r>
        <w:r w:rsidR="00F77861" w:rsidRPr="00244551">
          <w:rPr>
            <w:rStyle w:val="Hyperlink"/>
            <w:szCs w:val="24"/>
          </w:rPr>
          <w:fldChar w:fldCharType="end"/>
        </w:r>
      </w:hyperlink>
      <w:r w:rsidRPr="007A3223">
        <w:rPr>
          <w:szCs w:val="24"/>
        </w:rPr>
        <w:t xml:space="preserve">  PARP1 has been implicate</w:t>
      </w:r>
      <w:r w:rsidRPr="00F33908">
        <w:rPr>
          <w:szCs w:val="24"/>
        </w:rPr>
        <w:t>d in the gene transcription in different types of immune cells</w:t>
      </w:r>
      <w:r w:rsidRPr="007A3223">
        <w:rPr>
          <w:szCs w:val="24"/>
        </w:rPr>
        <w:t xml:space="preserve"> and PARP deficiency has effects on regulatory T cell differentiation.</w:t>
      </w:r>
      <w:hyperlink w:anchor="_ENREF_118" w:tooltip="Nasta, 2010 #822" w:history="1">
        <w:r w:rsidR="00F77861" w:rsidRPr="00244551">
          <w:rPr>
            <w:rStyle w:val="Hyperlink"/>
            <w:szCs w:val="24"/>
          </w:rPr>
          <w:fldChar w:fldCharType="begin"/>
        </w:r>
        <w:r w:rsidR="00F77861" w:rsidRPr="00244551">
          <w:rPr>
            <w:rStyle w:val="Hyperlink"/>
            <w:szCs w:val="24"/>
          </w:rPr>
          <w:instrText xml:space="preserve"> ADDIN EN.CITE &lt;EndNote&gt;&lt;Cite&gt;&lt;Author&gt;Nasta&lt;/Author&gt;&lt;Year&gt;2010&lt;/Year&gt;&lt;RecNum&gt;822&lt;/RecNum&gt;&lt;DisplayText&gt;&lt;style face="superscript"&gt;118&lt;/style&gt;&lt;/DisplayText&gt;&lt;record&gt;&lt;rec-number&gt;822&lt;/rec-number&gt;&lt;foreign-keys&gt;&lt;key app="EN" db-id="50wxdpzd9vd5r7e9t5b595djrfpttrxw9avp"&gt;822&lt;/key&gt;&lt;/foreign-keys&gt;&lt;ref-type name="Journal Article"&gt;17&lt;/ref-type&gt;&lt;contributors&gt;&lt;authors&gt;&lt;author&gt;Nasta, Francesca&lt;/author&gt;&lt;author&gt;Laudisi, Federica&lt;/author&gt;&lt;author&gt;Sambucci, Manolo&lt;/author&gt;&lt;author&gt;Rosado, Maria M.&lt;/author&gt;&lt;author&gt;Pioli, Claudio&lt;/author&gt;&lt;/authors&gt;&lt;/contributors&gt;&lt;titles&gt;&lt;title&gt;Increased Foxp3+ Regulatory T Cells in Poly(ADP-Ribose) Polymerase-1 Deficiency&lt;/title&gt;&lt;secondary-title&gt;The Journal of Immunology&lt;/secondary-title&gt;&lt;/titles&gt;&lt;pages&gt;3470-3477&lt;/pages&gt;&lt;volume&gt;184&lt;/volume&gt;&lt;number&gt;7&lt;/number&gt;&lt;dates&gt;&lt;year&gt;2010&lt;/year&gt;&lt;pub-dates&gt;&lt;date&gt;April 1, 2010&lt;/date&gt;&lt;/pub-dates&gt;&lt;/dates&gt;&lt;urls&gt;&lt;related-urls&gt;&lt;url&gt;http://www.jimmunol.org/content/184/7/3470.abstract&lt;/url&gt;&lt;/related-urls&gt;&lt;/urls&gt;&lt;electronic-resource-num&gt;10.4049/jimmunol.0901568&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118</w:t>
        </w:r>
        <w:r w:rsidR="00F77861" w:rsidRPr="00244551">
          <w:rPr>
            <w:rStyle w:val="Hyperlink"/>
            <w:szCs w:val="24"/>
          </w:rPr>
          <w:fldChar w:fldCharType="end"/>
        </w:r>
      </w:hyperlink>
      <w:r w:rsidRPr="007A3223">
        <w:rPr>
          <w:szCs w:val="24"/>
        </w:rPr>
        <w:t xml:space="preserve">  In PARP-1 knock-out mice,</w:t>
      </w:r>
      <w:r w:rsidRPr="00F33908">
        <w:rPr>
          <w:szCs w:val="24"/>
        </w:rPr>
        <w:t xml:space="preserve"> regulatory T cells are increased in the thymus and peripheral</w:t>
      </w:r>
      <w:r w:rsidRPr="007A3223">
        <w:rPr>
          <w:szCs w:val="24"/>
        </w:rPr>
        <w:t xml:space="preserve"> lymphatic organs.</w:t>
      </w:r>
      <w:hyperlink w:anchor="_ENREF_116" w:tooltip="Sambucci, 2013 #823" w:history="1">
        <w:r w:rsidR="00F77861" w:rsidRPr="00244551">
          <w:rPr>
            <w:rStyle w:val="Hyperlink"/>
            <w:szCs w:val="24"/>
          </w:rPr>
          <w:fldChar w:fldCharType="begin"/>
        </w:r>
        <w:r w:rsidR="00F77861" w:rsidRPr="00244551">
          <w:rPr>
            <w:rStyle w:val="Hyperlink"/>
            <w:szCs w:val="24"/>
          </w:rPr>
          <w:instrText xml:space="preserve"> ADDIN EN.CITE &lt;EndNote&gt;&lt;Cite&gt;&lt;Author&gt;Sambucci&lt;/Author&gt;&lt;Year&gt;2013&lt;/Year&gt;&lt;RecNum&gt;823&lt;/RecNum&gt;&lt;DisplayText&gt;&lt;style face="superscript"&gt;116&lt;/style&gt;&lt;/DisplayText&gt;&lt;record&gt;&lt;rec-number&gt;823&lt;/rec-number&gt;&lt;foreign-keys&gt;&lt;key app="EN" db-id="50wxdpzd9vd5r7e9t5b595djrfpttrxw9avp"&gt;823&lt;/key&gt;&lt;/foreign-keys&gt;&lt;ref-type name="Journal Article"&gt;17&lt;/ref-type&gt;&lt;contributors&gt;&lt;authors&gt;&lt;author&gt;Sambucci, M.&lt;/author&gt;&lt;author&gt;Laudisi, F.&lt;/author&gt;&lt;author&gt;Novelli, F.&lt;/author&gt;&lt;author&gt;Bennici, E.&lt;/author&gt;&lt;author&gt;Rosado, M. M.&lt;/author&gt;&lt;author&gt;Pioli, C.&lt;/author&gt;&lt;/authors&gt;&lt;/contributors&gt;&lt;titles&gt;&lt;title&gt;Effects of PARP-1 Deficiency on Th1 and Th2 Cell Differentiation&lt;/title&gt;&lt;secondary-title&gt;The Scientific World Journal&lt;/secondary-title&gt;&lt;/titles&gt;&lt;pages&gt;8&lt;/pages&gt;&lt;volume&gt;2013&lt;/volume&gt;&lt;dates&gt;&lt;year&gt;2013&lt;/year&gt;&lt;/dates&gt;&lt;urls&gt;&lt;related-urls&gt;&lt;url&gt;http://dx.doi.org/10.1155/2013/375024&lt;/url&gt;&lt;/related-urls&gt;&lt;/urls&gt;&lt;electronic-resource-num&gt;10.1155/2013/375024&lt;/electronic-resource-num&gt;&lt;/record&gt;&lt;/Cite&gt;&lt;/EndNote&gt;</w:instrText>
        </w:r>
        <w:r w:rsidR="00F77861" w:rsidRPr="00244551">
          <w:rPr>
            <w:rStyle w:val="Hyperlink"/>
            <w:szCs w:val="24"/>
          </w:rPr>
          <w:fldChar w:fldCharType="separate"/>
        </w:r>
        <w:r w:rsidR="00F77861" w:rsidRPr="00244551">
          <w:rPr>
            <w:rStyle w:val="Hyperlink"/>
            <w:noProof/>
            <w:szCs w:val="24"/>
            <w:vertAlign w:val="superscript"/>
          </w:rPr>
          <w:t>116</w:t>
        </w:r>
        <w:r w:rsidR="00F77861" w:rsidRPr="00244551">
          <w:rPr>
            <w:rStyle w:val="Hyperlink"/>
            <w:szCs w:val="24"/>
          </w:rPr>
          <w:fldChar w:fldCharType="end"/>
        </w:r>
      </w:hyperlink>
      <w:r w:rsidRPr="007A3223">
        <w:rPr>
          <w:szCs w:val="24"/>
        </w:rPr>
        <w:t xml:space="preserve">  PARPi</w:t>
      </w:r>
      <w:r w:rsidRPr="00F33908">
        <w:rPr>
          <w:szCs w:val="24"/>
        </w:rPr>
        <w:t xml:space="preserve"> may render tumor cells more amenable to T cell mediated immune attack. Thus, there is rational for clinical evaluation of the combination of olaparib and a PD-LI inh</w:t>
      </w:r>
      <w:r w:rsidRPr="007A3223">
        <w:rPr>
          <w:szCs w:val="24"/>
        </w:rPr>
        <w:t xml:space="preserve">ibitor in mCRPC. </w:t>
      </w:r>
    </w:p>
    <w:p w14:paraId="1538B45A" w14:textId="5138065A" w:rsidR="00250696" w:rsidRPr="007A3223" w:rsidRDefault="00250696" w:rsidP="002F3363">
      <w:pPr>
        <w:spacing w:after="0"/>
        <w:rPr>
          <w:szCs w:val="24"/>
        </w:rPr>
      </w:pPr>
    </w:p>
    <w:p w14:paraId="6D589431" w14:textId="39702B75" w:rsidR="00250696" w:rsidRPr="007A3223" w:rsidRDefault="00250696" w:rsidP="00541C93">
      <w:pPr>
        <w:pStyle w:val="Heading4"/>
      </w:pPr>
      <w:r w:rsidRPr="007A3223">
        <w:t>Preliminary data from mCRPC cohort</w:t>
      </w:r>
    </w:p>
    <w:p w14:paraId="12FA35B4" w14:textId="77777777" w:rsidR="00250696" w:rsidRPr="007A3223" w:rsidRDefault="00250696" w:rsidP="002F3363">
      <w:pPr>
        <w:spacing w:after="0"/>
        <w:rPr>
          <w:szCs w:val="24"/>
        </w:rPr>
      </w:pPr>
    </w:p>
    <w:p w14:paraId="6CEF61A4" w14:textId="1F3FF069" w:rsidR="009842F4" w:rsidRPr="007A3223" w:rsidRDefault="00D35C39" w:rsidP="002F3363">
      <w:pPr>
        <w:spacing w:after="0"/>
        <w:rPr>
          <w:szCs w:val="24"/>
        </w:rPr>
      </w:pPr>
      <w:r w:rsidRPr="007A3223">
        <w:rPr>
          <w:szCs w:val="24"/>
        </w:rPr>
        <w:t xml:space="preserve">As of July 2017, </w:t>
      </w:r>
      <w:r w:rsidR="002615E7" w:rsidRPr="007A3223">
        <w:rPr>
          <w:szCs w:val="24"/>
        </w:rPr>
        <w:t>our p</w:t>
      </w:r>
      <w:r w:rsidR="00250696" w:rsidRPr="007A3223">
        <w:rPr>
          <w:szCs w:val="24"/>
        </w:rPr>
        <w:t xml:space="preserve">reliminary data shows the combination of durvalumab plus olaparib is well tolerated with activity in an unselected population.  Expanding this cohort will enable us to further evaluate mechanism of action of the combination, obtain additional correlative data and assess potential biomarkers of response, and obtain additional response data.  To date, 22 patients have enrolled onto the clinical trial.  Of those, 19 patients have been on-study &gt; 2 months.  Of the 19 patients, median age is 65 years old (range 45-79 years old).  The median </w:t>
      </w:r>
      <w:r w:rsidR="00250696" w:rsidRPr="007A3223">
        <w:rPr>
          <w:szCs w:val="24"/>
        </w:rPr>
        <w:lastRenderedPageBreak/>
        <w:t>PSA is 79.67 ng/mL (3.93-2356 ng/mL).  Twelve patients have a Gleason score of &gt;8.  Seven patients have bone only disease and 12 patients have bone and soft tissue/visceral disease.  Grade 3/4 adverse events include anemia 3/19 (16%), lymphopenia 2/19 (10%), thrombocytopenia, leukopenia, neutropenia, urinary tract infection, hypertension, lung infection, nausea, vomiting, fatigue, tenosynovitis, hearing impairment, syncope, oral mucositis, muscle weakness, muscle cramps, hyperglycemia (diabetes), and colitis [1/19 each (5%)]. No patients have discontinued treatment secondary to toxicities.  Eight of 19 patients (42%) on-study &gt; 2 months have PSA declines &gt; 50%. (Figure 1) Six month PFS is 86.7% (95% CI: 56.4-96.5%); 9 month PFS is 57.8% (95% CI: 8.5-88.5%).  Median PFS has not been reached.</w:t>
      </w:r>
    </w:p>
    <w:p w14:paraId="390DA9FA" w14:textId="77777777" w:rsidR="000475AA" w:rsidRPr="007A3223" w:rsidRDefault="000475AA" w:rsidP="00541C93">
      <w:pPr>
        <w:pStyle w:val="Heading4"/>
      </w:pPr>
      <w:r w:rsidRPr="007A3223">
        <w:t xml:space="preserve">Triple negative breast cancer </w:t>
      </w:r>
    </w:p>
    <w:p w14:paraId="5C3EB8E1" w14:textId="0B015890" w:rsidR="000475AA" w:rsidRPr="00F33908" w:rsidRDefault="000475AA" w:rsidP="000475AA">
      <w:pPr>
        <w:tabs>
          <w:tab w:val="left" w:pos="180"/>
        </w:tabs>
        <w:spacing w:after="0"/>
      </w:pPr>
      <w:r w:rsidRPr="007A3223">
        <w:t xml:space="preserve">     Triple-negative breast cancer (TNBC) accounts for 10-20% of all breast cancers, and is defined by the absence of estrogen and progesterone receptors (ER, PR) and the absence of HER2 amplification</w:t>
      </w:r>
      <w:hyperlink w:anchor="_ENREF_119" w:tooltip="Brenton, 2005 #432" w:history="1">
        <w:r w:rsidR="00F77861" w:rsidRPr="00244551">
          <w:rPr>
            <w:rStyle w:val="Hyperlink"/>
          </w:rPr>
          <w:fldChar w:fldCharType="begin"/>
        </w:r>
        <w:r w:rsidR="00F77861" w:rsidRPr="00244551">
          <w:rPr>
            <w:rStyle w:val="Hyperlink"/>
          </w:rPr>
          <w:instrText xml:space="preserve"> ADDIN EN.CITE &lt;EndNote&gt;&lt;Cite&gt;&lt;Author&gt;Brenton&lt;/Author&gt;&lt;Year&gt;2005&lt;/Year&gt;&lt;RecNum&gt;432&lt;/RecNum&gt;&lt;DisplayText&gt;&lt;style face="superscript"&gt;119&lt;/style&gt;&lt;/DisplayText&gt;&lt;record&gt;&lt;rec-number&gt;432&lt;/rec-number&gt;&lt;foreign-keys&gt;&lt;key app="EN" db-id="prx2xsr2l00v0kefx0kprex8f990pe2fpr05" timestamp="1441831114"&gt;432&lt;/key&gt;&lt;/foreign-keys&gt;&lt;ref-type name="Journal Article"&gt;17&lt;/ref-type&gt;&lt;contributors&gt;&lt;authors&gt;&lt;author&gt;Brenton, J. D.&lt;/author&gt;&lt;author&gt;Carey, L. A.&lt;/author&gt;&lt;author&gt;Ahmed, A. A.&lt;/author&gt;&lt;author&gt;Caldas, C.&lt;/author&gt;&lt;/authors&gt;&lt;/contributors&gt;&lt;titles&gt;&lt;title&gt;Molecular classification and molecular forecasting of breast cancer: Ready for clinical application?&lt;/title&gt;&lt;secondary-title&gt;Journal of Clinical Oncology&lt;/secondary-title&gt;&lt;/titles&gt;&lt;periodical&gt;&lt;full-title&gt;Journal of Clinical Oncology&lt;/full-title&gt;&lt;/periodical&gt;&lt;pages&gt;7350-7360&lt;/pages&gt;&lt;volume&gt;23&lt;/volume&gt;&lt;number&gt;29&lt;/number&gt;&lt;dates&gt;&lt;year&gt;2005&lt;/year&gt;&lt;pub-dates&gt;&lt;date&gt;Oct&lt;/date&gt;&lt;/pub-dates&gt;&lt;/dates&gt;&lt;isbn&gt;0732-183X&lt;/isbn&gt;&lt;accession-num&gt;WOS:000232546200012&lt;/accession-num&gt;&lt;urls&gt;&lt;related-urls&gt;&lt;url&gt;&amp;lt;Go to ISI&amp;gt;://WOS:000232546200012&lt;/url&gt;&lt;/related-urls&gt;&lt;/urls&gt;&lt;electronic-resource-num&gt;10.1200/jco.2005.03.3845&lt;/electronic-resource-num&gt;&lt;/record&gt;&lt;/Cite&gt;&lt;/EndNote&gt;</w:instrText>
        </w:r>
        <w:r w:rsidR="00F77861" w:rsidRPr="00244551">
          <w:rPr>
            <w:rStyle w:val="Hyperlink"/>
          </w:rPr>
          <w:fldChar w:fldCharType="separate"/>
        </w:r>
        <w:r w:rsidR="00F77861" w:rsidRPr="00244551">
          <w:rPr>
            <w:rStyle w:val="Hyperlink"/>
            <w:noProof/>
            <w:vertAlign w:val="superscript"/>
          </w:rPr>
          <w:t>119</w:t>
        </w:r>
        <w:r w:rsidR="00F77861" w:rsidRPr="00244551">
          <w:rPr>
            <w:rStyle w:val="Hyperlink"/>
          </w:rPr>
          <w:fldChar w:fldCharType="end"/>
        </w:r>
      </w:hyperlink>
      <w:r w:rsidRPr="007A3223">
        <w:t xml:space="preserve">. </w:t>
      </w:r>
      <w:r w:rsidRPr="00F33908">
        <w:t>Thus, patients with TNBC do not benefit from known targeted therapies to ER or HER2</w:t>
      </w:r>
      <w:hyperlink w:anchor="_ENREF_120" w:tooltip="Bauer, 2007 #1" w:history="1">
        <w:r w:rsidR="00F77861" w:rsidRPr="00244551">
          <w:rPr>
            <w:rStyle w:val="Hyperlink"/>
          </w:rPr>
          <w:fldChar w:fldCharType="begin">
            <w:fldData xml:space="preserve">PEVuZE5vdGU+PENpdGU+PEF1dGhvcj5CYXVlcjwvQXV0aG9yPjxZZWFyPjIwMDc8L1llYXI+PFJl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</w:fldData>
          </w:fldChar>
        </w:r>
        <w:r w:rsidR="00F77861" w:rsidRPr="00244551">
          <w:rPr>
            <w:rStyle w:val="Hyperlink"/>
          </w:rPr>
          <w:instrText xml:space="preserve"> ADDIN EN.CITE </w:instrText>
        </w:r>
        <w:r w:rsidR="00F77861" w:rsidRPr="00383431">
          <w:rPr>
            <w:rStyle w:val="Hyperlink"/>
          </w:rPr>
          <w:fldChar w:fldCharType="begin">
            <w:fldData xml:space="preserve">PEVuZE5vdGU+PENpdGU+PEF1dGhvcj5CYXVlcjwvQXV0aG9yPjxZZWFyPjIwMDc8L1llYXI+PFJl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</w:fldData>
          </w:fldChar>
        </w:r>
        <w:r w:rsidR="00F77861" w:rsidRPr="00244551">
          <w:rPr>
            <w:rStyle w:val="Hyperlink"/>
          </w:rPr>
          <w:instrText xml:space="preserve"> ADDIN EN.CITE.DATA </w:instrText>
        </w:r>
        <w:r w:rsidR="00F77861" w:rsidRPr="00383431">
          <w:rPr>
            <w:rStyle w:val="Hyperlink"/>
          </w:rPr>
        </w:r>
        <w:r w:rsidR="00F77861" w:rsidRPr="0038343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120</w:t>
        </w:r>
        <w:r w:rsidR="00F77861" w:rsidRPr="00244551">
          <w:rPr>
            <w:rStyle w:val="Hyperlink"/>
          </w:rPr>
          <w:fldChar w:fldCharType="end"/>
        </w:r>
      </w:hyperlink>
      <w:r w:rsidRPr="007A3223">
        <w:t>. Standard therapy for TNBC is chemotherapy and, in metastatic patients, ORRs ar</w:t>
      </w:r>
      <w:r w:rsidRPr="00F33908">
        <w:t>e around 30-35%, with median PFS 4.5-6 months, and median OS around 12 months</w:t>
      </w:r>
      <w:hyperlink w:anchor="_ENREF_121" w:tooltip="Tutt, 2015 #2" w:history="1">
        <w:r w:rsidR="00F77861" w:rsidRPr="00244551">
          <w:rPr>
            <w:rStyle w:val="Hyperlink"/>
          </w:rPr>
          <w:fldChar w:fldCharType="begin">
            <w:fldData xml:space="preserve">PEVuZE5vdGU+PENpdGU+PEF1dGhvcj5UdXR0PC9BdXRob3I+PFllYXI+MjAxNTwvWWVhcj48UmVj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</w:fldData>
          </w:fldChar>
        </w:r>
        <w:r w:rsidR="00F77861" w:rsidRPr="00244551">
          <w:rPr>
            <w:rStyle w:val="Hyperlink"/>
          </w:rPr>
          <w:instrText xml:space="preserve"> ADDIN EN.CITE </w:instrText>
        </w:r>
        <w:r w:rsidR="00F77861" w:rsidRPr="00383431">
          <w:rPr>
            <w:rStyle w:val="Hyperlink"/>
          </w:rPr>
          <w:fldChar w:fldCharType="begin">
            <w:fldData xml:space="preserve">PEVuZE5vdGU+PENpdGU+PEF1dGhvcj5UdXR0PC9BdXRob3I+PFllYXI+MjAxNTwvWWVhcj48UmVj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</w:fldData>
          </w:fldChar>
        </w:r>
        <w:r w:rsidR="00F77861" w:rsidRPr="00244551">
          <w:rPr>
            <w:rStyle w:val="Hyperlink"/>
          </w:rPr>
          <w:instrText xml:space="preserve"> ADDIN EN.CITE.DATA </w:instrText>
        </w:r>
        <w:r w:rsidR="00F77861" w:rsidRPr="00383431">
          <w:rPr>
            <w:rStyle w:val="Hyperlink"/>
          </w:rPr>
        </w:r>
        <w:r w:rsidR="00F77861" w:rsidRPr="0038343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121</w:t>
        </w:r>
        <w:r w:rsidR="00F77861" w:rsidRPr="00244551">
          <w:rPr>
            <w:rStyle w:val="Hyperlink"/>
          </w:rPr>
          <w:fldChar w:fldCharType="end"/>
        </w:r>
      </w:hyperlink>
      <w:r w:rsidRPr="007A3223">
        <w:t xml:space="preserve">.  Clearly, new approaches to the treatment of TNBC are needed to improve outcomes.  </w:t>
      </w:r>
    </w:p>
    <w:p w14:paraId="6D478081" w14:textId="00527924" w:rsidR="000475AA" w:rsidRPr="007A3223" w:rsidRDefault="000475AA" w:rsidP="000475AA">
      <w:pPr>
        <w:tabs>
          <w:tab w:val="left" w:pos="180"/>
        </w:tabs>
        <w:spacing w:after="0"/>
      </w:pPr>
      <w:r w:rsidRPr="007A3223">
        <w:t xml:space="preserve">     Two recently reported phase I trials with immune checkpoint inhibitors in TNBC demonstrated promising activity in subsets of heavily pretreated patients. Pembrolizumab resulted in an ORR of 25.8% in 27 patients with advanced TNBC</w:t>
      </w:r>
      <w:hyperlink w:anchor="_ENREF_122" w:tooltip="Nanda, 2015 #6" w:history="1">
        <w:r w:rsidR="00F77861" w:rsidRPr="00244551">
          <w:rPr>
            <w:rStyle w:val="Hyperlink"/>
          </w:rPr>
          <w:fldChar w:fldCharType="begin"/>
        </w:r>
        <w:r w:rsidR="00F77861" w:rsidRPr="00244551">
          <w:rPr>
            <w:rStyle w:val="Hyperlink"/>
          </w:rPr>
          <w:instrText xml:space="preserve"> ADDIN EN.CITE &lt;EndNote&gt;&lt;Cite&gt;&lt;Author&gt;Nanda&lt;/Author&gt;&lt;Year&gt;2015&lt;/Year&gt;&lt;RecNum&gt;6&lt;/RecNum&gt;&lt;DisplayText&gt;&lt;style face="superscript"&gt;122&lt;/style&gt;&lt;/DisplayText&gt;&lt;record&gt;&lt;rec-number&gt;6&lt;/rec-number&gt;&lt;foreign-keys&gt;&lt;key app="EN" db-id="prx2xsr2l00v0kefx0kprex8f990pe2fpr05" timestamp="1441829517"&gt;6&lt;/key&gt;&lt;/foreign-keys&gt;&lt;ref-type name="Journal Article"&gt;17&lt;/ref-type&gt;&lt;contributors&gt;&lt;authors&gt;&lt;author&gt;Nanda, R.&lt;/author&gt;&lt;author&gt;Chow, L. Q.&lt;/author&gt;&lt;author&gt;Dees, E. C.&lt;/author&gt;&lt;author&gt;Berger, R.&lt;/author&gt;&lt;author&gt;Gupta, S.&lt;/author&gt;&lt;author&gt;Geva, R.&lt;/author&gt;&lt;author&gt;Pusztai, L.&lt;/author&gt;&lt;author&gt;Dolled-Filhart, M.&lt;/author&gt;&lt;author&gt;Emancipator, K.&lt;/author&gt;&lt;author&gt;Gonzalez, E. J.&lt;/author&gt;&lt;author&gt;Houp, J.&lt;/author&gt;&lt;author&gt;Pathiraja, K.&lt;/author&gt;&lt;author&gt;Karantza, V.&lt;/author&gt;&lt;author&gt;Iannone, R.&lt;/author&gt;&lt;author&gt;Gause, C. K.&lt;/author&gt;&lt;author&gt;Cheng, J. D.&lt;/author&gt;&lt;author&gt;Buisseret, L.&lt;/author&gt;&lt;/authors&gt;&lt;/contributors&gt;&lt;titles&gt;&lt;title&gt;A phase Ib study of pembrolizumab (MK-3475) in patients with advanced triple-negative breast cancer&lt;/title&gt;&lt;secondary-title&gt;Cancer Research&lt;/secondary-title&gt;&lt;/titles&gt;&lt;periodical&gt;&lt;full-title&gt;Cancer Research&lt;/full-title&gt;&lt;/periodical&gt;&lt;volume&gt;75&lt;/volume&gt;&lt;number&gt;9&lt;/number&gt;&lt;dates&gt;&lt;year&gt;2015&lt;/year&gt;&lt;pub-dates&gt;&lt;date&gt;May&lt;/date&gt;&lt;/pub-dates&gt;&lt;/dates&gt;&lt;isbn&gt;0008-5472&lt;/isbn&gt;&lt;accession-num&gt;WOS:000356730200010&lt;/accession-num&gt;&lt;urls&gt;&lt;related-urls&gt;&lt;url&gt;&amp;lt;Go to ISI&amp;gt;://WOS:000356730200010&lt;/url&gt;&lt;/related-urls&gt;&lt;/urls&gt;&lt;electronic-resource-num&gt;10.1158/1538-7445.sabcs14-s1-09&lt;/electronic-resource-num&gt;&lt;/record&gt;&lt;/Cite&gt;&lt;/EndNote&gt;</w:instrText>
        </w:r>
        <w:r w:rsidR="00F77861" w:rsidRPr="00244551">
          <w:rPr>
            <w:rStyle w:val="Hyperlink"/>
          </w:rPr>
          <w:fldChar w:fldCharType="separate"/>
        </w:r>
        <w:r w:rsidR="00F77861" w:rsidRPr="00244551">
          <w:rPr>
            <w:rStyle w:val="Hyperlink"/>
            <w:noProof/>
            <w:vertAlign w:val="superscript"/>
          </w:rPr>
          <w:t>122</w:t>
        </w:r>
        <w:r w:rsidR="00F77861" w:rsidRPr="00244551">
          <w:rPr>
            <w:rStyle w:val="Hyperlink"/>
          </w:rPr>
          <w:fldChar w:fldCharType="end"/>
        </w:r>
      </w:hyperlink>
      <w:r w:rsidRPr="007A3223">
        <w:t>. In another phase I trial with 21 TNBC patients, t</w:t>
      </w:r>
      <w:r w:rsidRPr="00F33908">
        <w:t xml:space="preserve">he </w:t>
      </w:r>
      <w:r w:rsidRPr="007A3223">
        <w:rPr>
          <w:iCs/>
        </w:rPr>
        <w:t>PD</w:t>
      </w:r>
      <w:r w:rsidRPr="007A3223">
        <w:t>-</w:t>
      </w:r>
      <w:r w:rsidRPr="007A3223">
        <w:rPr>
          <w:iCs/>
        </w:rPr>
        <w:t>L1</w:t>
      </w:r>
      <w:r w:rsidRPr="007A3223">
        <w:t xml:space="preserve"> inhibitor, </w:t>
      </w:r>
      <w:r w:rsidRPr="007A3223">
        <w:rPr>
          <w:iCs/>
        </w:rPr>
        <w:t>MPDL3280A (atezolizumab)</w:t>
      </w:r>
      <w:r w:rsidRPr="007A3223">
        <w:t xml:space="preserve"> demonstrated an ORR of 19%</w:t>
      </w:r>
      <w:hyperlink w:anchor="_ENREF_123" w:tooltip="Emens, 2015 #7" w:history="1">
        <w:r w:rsidR="00F77861" w:rsidRPr="00244551">
          <w:rPr>
            <w:rStyle w:val="Hyperlink"/>
          </w:rPr>
          <w:fldChar w:fldCharType="begin"/>
        </w:r>
        <w:r w:rsidR="00F77861" w:rsidRPr="00244551">
          <w:rPr>
            <w:rStyle w:val="Hyperlink"/>
          </w:rPr>
          <w:instrText xml:space="preserve"> ADDIN EN.CITE &lt;EndNote&gt;&lt;Cite&gt;&lt;Author&gt;Emens&lt;/Author&gt;&lt;Year&gt;2015&lt;/Year&gt;&lt;RecNum&gt;7&lt;/RecNum&gt;&lt;DisplayText&gt;&lt;style face="superscript"&gt;123&lt;/style&gt;&lt;/DisplayText&gt;&lt;record&gt;&lt;rec-number&gt;7&lt;/rec-number&gt;&lt;foreign-keys&gt;&lt;key app="EN" db-id="prx2xsr2l00v0kefx0kprex8f990pe2fpr05" timestamp="1441829517"&gt;7&lt;/key&gt;&lt;/foreign-keys&gt;&lt;ref-type name="Journal Article"&gt;17&lt;/ref-type&gt;&lt;contributors&gt;&lt;authors&gt;&lt;author&gt;Emens, L. A.&lt;/author&gt;&lt;author&gt;Braiteh, F. S.&lt;/author&gt;&lt;author&gt;Cassier, P.&lt;/author&gt;&lt;author&gt;DeLord, J. P.&lt;/author&gt;&lt;author&gt;Eder, J. P.&lt;/author&gt;&lt;author&gt;Shen, X. D.&lt;/author&gt;&lt;author&gt;Xiao, Y. Y.&lt;/author&gt;&lt;author&gt;Wang, Y.&lt;/author&gt;&lt;author&gt;Hegde, P. S.&lt;/author&gt;&lt;author&gt;Chen, D. S.&lt;/author&gt;&lt;author&gt;Krop, I.&lt;/author&gt;&lt;/authors&gt;&lt;/contributors&gt;&lt;titles&gt;&lt;title&gt;Inhibition of PD-L1 by MPDL3280A leads to clinical activity in patients with metastatic triple-negative breast cancer&lt;/title&gt;&lt;secondary-title&gt;Cancer Research&lt;/secondary-title&gt;&lt;/titles&gt;&lt;periodical&gt;&lt;full-title&gt;Cancer Research&lt;/full-title&gt;&lt;/periodical&gt;&lt;volume&gt;75&lt;/volume&gt;&lt;number&gt;9&lt;/number&gt;&lt;dates&gt;&lt;year&gt;2015&lt;/year&gt;&lt;pub-dates&gt;&lt;date&gt;May&lt;/date&gt;&lt;/pub-dates&gt;&lt;/dates&gt;&lt;isbn&gt;0008-5472&lt;/isbn&gt;&lt;accession-num&gt;WOS:000356730200144&lt;/accession-num&gt;&lt;urls&gt;&lt;related-urls&gt;&lt;url&gt;&amp;lt;Go to ISI&amp;gt;://WOS:000356730200144&lt;/url&gt;&lt;/related-urls&gt;&lt;/urls&gt;&lt;electronic-resource-num&gt;10.1158/1538-7445.sabcs14-pd1-6&lt;/electronic-resource-num&gt;&lt;/record&gt;&lt;/Cite&gt;&lt;/EndNote&gt;</w:instrText>
        </w:r>
        <w:r w:rsidR="00F77861" w:rsidRPr="00244551">
          <w:rPr>
            <w:rStyle w:val="Hyperlink"/>
          </w:rPr>
          <w:fldChar w:fldCharType="separate"/>
        </w:r>
        <w:r w:rsidR="00F77861" w:rsidRPr="00244551">
          <w:rPr>
            <w:rStyle w:val="Hyperlink"/>
            <w:noProof/>
            <w:vertAlign w:val="superscript"/>
          </w:rPr>
          <w:t>123</w:t>
        </w:r>
        <w:r w:rsidR="00F77861" w:rsidRPr="00244551">
          <w:rPr>
            <w:rStyle w:val="Hyperlink"/>
          </w:rPr>
          <w:fldChar w:fldCharType="end"/>
        </w:r>
      </w:hyperlink>
      <w:r w:rsidRPr="007A3223">
        <w:t xml:space="preserve">. </w:t>
      </w:r>
      <w:r w:rsidRPr="00F33908">
        <w:rPr>
          <w:rFonts w:hint="eastAsia"/>
        </w:rPr>
        <w:t xml:space="preserve">In addition, 85% </w:t>
      </w:r>
      <w:r w:rsidRPr="007A3223">
        <w:t xml:space="preserve">of patients received </w:t>
      </w:r>
      <w:r w:rsidRPr="007A3223">
        <w:rPr>
          <w:rFonts w:hint="eastAsia"/>
        </w:rPr>
        <w:t>≥</w:t>
      </w:r>
      <w:r w:rsidRPr="007A3223">
        <w:t>4 prior systemic regimens, including taxanes (82%), anthracyclines (78%), carboplatin (41%), and cisplatin (15%). All patients in both trials had tumors expressing PD-L1 by IHC</w:t>
      </w:r>
      <w:r w:rsidRPr="00585A7F">
        <w:fldChar w:fldCharType="begin">
          <w:fldData xml:space="preserve">PEVuZE5vdGU+PENpdGU+PEF1dGhvcj5FbWVuczwvQXV0aG9yPjxZZWFyPjIwMTU8L1llYXI+PFJl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</w:fldData>
        </w:fldChar>
      </w:r>
      <w:r w:rsidR="00800327" w:rsidRPr="007A3223">
        <w:instrText xml:space="preserve"> ADDIN EN.CITE </w:instrText>
      </w:r>
      <w:r w:rsidR="00800327" w:rsidRPr="00383431">
        <w:fldChar w:fldCharType="begin">
          <w:fldData xml:space="preserve">PEVuZE5vdGU+PENpdGU+PEF1dGhvcj5FbWVuczwvQXV0aG9yPjxZZWFyPjIwMTU8L1llYXI+PFJl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</w:fldData>
        </w:fldChar>
      </w:r>
      <w:r w:rsidR="00800327" w:rsidRPr="007A3223">
        <w:instrText xml:space="preserve"> ADDIN EN.CITE.DATA </w:instrText>
      </w:r>
      <w:r w:rsidR="00800327" w:rsidRPr="00383431">
        <w:fldChar w:fldCharType="end"/>
      </w:r>
      <w:r w:rsidRPr="00585A7F">
        <w:fldChar w:fldCharType="separate"/>
      </w:r>
      <w:hyperlink w:anchor="_ENREF_122" w:tooltip="Nanda, 2015 #6" w:history="1">
        <w:r w:rsidR="00F77861" w:rsidRPr="00244551">
          <w:rPr>
            <w:rStyle w:val="Hyperlink"/>
            <w:noProof/>
            <w:vertAlign w:val="superscript"/>
          </w:rPr>
          <w:t>122</w:t>
        </w:r>
      </w:hyperlink>
      <w:r w:rsidR="00800327" w:rsidRPr="00F33908">
        <w:rPr>
          <w:noProof/>
          <w:vertAlign w:val="superscript"/>
        </w:rPr>
        <w:t>,</w:t>
      </w:r>
      <w:hyperlink w:anchor="_ENREF_123" w:tooltip="Emens, 2015 #7" w:history="1">
        <w:r w:rsidR="00F77861" w:rsidRPr="00244551">
          <w:rPr>
            <w:rStyle w:val="Hyperlink"/>
            <w:noProof/>
            <w:vertAlign w:val="superscript"/>
          </w:rPr>
          <w:t>123</w:t>
        </w:r>
      </w:hyperlink>
      <w:r w:rsidRPr="00585A7F">
        <w:fldChar w:fldCharType="end"/>
      </w:r>
      <w:r w:rsidR="006B1453" w:rsidRPr="007A3223">
        <w:t>,</w:t>
      </w:r>
      <w:r w:rsidRPr="00F33908">
        <w:t xml:space="preserve"> </w:t>
      </w:r>
      <w:r w:rsidRPr="007A3223">
        <w:t>although tumor PD-L1 IHC expression had not been proven to be the sole determinant of which tumors respond to PD-1/PD-L1 directed inhibition</w:t>
      </w:r>
      <w:hyperlink w:anchor="_ENREF_124" w:tooltip="Patel, 2015 #8" w:history="1">
        <w:r w:rsidR="00F77861" w:rsidRPr="00244551">
          <w:rPr>
            <w:rStyle w:val="Hyperlink"/>
          </w:rPr>
          <w:fldChar w:fldCharType="begin"/>
        </w:r>
        <w:r w:rsidR="00F77861" w:rsidRPr="00244551">
          <w:rPr>
            <w:rStyle w:val="Hyperlink"/>
          </w:rPr>
          <w:instrText xml:space="preserve"> ADDIN EN.CITE &lt;EndNote&gt;&lt;Cite&gt;&lt;Author&gt;Patel&lt;/Author&gt;&lt;Year&gt;2015&lt;/Year&gt;&lt;RecNum&gt;8&lt;/RecNum&gt;&lt;DisplayText&gt;&lt;style face="superscript"&gt;124&lt;/style&gt;&lt;/DisplayText&gt;&lt;record&gt;&lt;rec-number&gt;8&lt;/rec-number&gt;&lt;foreign-keys&gt;&lt;key app="EN" db-id="prx2xsr2l00v0kefx0kprex8f990pe2fpr05" timestamp="1441829517"&gt;8&lt;/key&gt;&lt;/foreign-keys&gt;&lt;ref-type name="Journal Article"&gt;17&lt;/ref-type&gt;&lt;contributors&gt;&lt;authors&gt;&lt;author&gt;Patel, Sandip Pravin&lt;/author&gt;&lt;author&gt;Kurzrock, Razelle&lt;/author&gt;&lt;/authors&gt;&lt;/contributors&gt;&lt;titles&gt;&lt;title&gt;PD-L1 Expression as a Predictive Biomarker in Cancer Immunotherapy&lt;/title&gt;&lt;secondary-title&gt;Molecular Cancer Therapeutics&lt;/secondary-title&gt;&lt;/titles&gt;&lt;periodical&gt;&lt;full-title&gt;Molecular Cancer Therapeutics&lt;/full-title&gt;&lt;/periodical&gt;&lt;pages&gt;847-856&lt;/pages&gt;&lt;volume&gt;14&lt;/volume&gt;&lt;number&gt;4&lt;/number&gt;&lt;dates&gt;&lt;year&gt;2015&lt;/year&gt;&lt;pub-dates&gt;&lt;date&gt;Apr&lt;/date&gt;&lt;/pub-dates&gt;&lt;/dates&gt;&lt;isbn&gt;1535-7163&lt;/isbn&gt;&lt;accession-num&gt;WOS:000358052500001&lt;/accession-num&gt;&lt;urls&gt;&lt;related-urls&gt;&lt;url&gt;&amp;lt;Go to ISI&amp;gt;://WOS:000358052500001&lt;/url&gt;&lt;/related-urls&gt;&lt;/urls&gt;&lt;electronic-resource-num&gt;10.1158/1535-7163.mct-14-0983&lt;/electronic-resource-num&gt;&lt;/record&gt;&lt;/Cite&gt;&lt;/EndNote&gt;</w:instrText>
        </w:r>
        <w:r w:rsidR="00F77861" w:rsidRPr="00244551">
          <w:rPr>
            <w:rStyle w:val="Hyperlink"/>
          </w:rPr>
          <w:fldChar w:fldCharType="separate"/>
        </w:r>
        <w:r w:rsidR="00F77861" w:rsidRPr="00244551">
          <w:rPr>
            <w:rStyle w:val="Hyperlink"/>
            <w:noProof/>
            <w:vertAlign w:val="superscript"/>
          </w:rPr>
          <w:t>124</w:t>
        </w:r>
        <w:r w:rsidR="00F77861" w:rsidRPr="00244551">
          <w:rPr>
            <w:rStyle w:val="Hyperlink"/>
          </w:rPr>
          <w:fldChar w:fldCharType="end"/>
        </w:r>
      </w:hyperlink>
      <w:r w:rsidRPr="007A3223">
        <w:t>. Those RRs seen with sing</w:t>
      </w:r>
      <w:r w:rsidRPr="00F33908">
        <w:t>le-agent treatments, though low, are encouraging considering the high-risk disease and heavily pretreated population of the studies.  Combinations of therapy with immune checkpoint inhibitors are thus necessary to</w:t>
      </w:r>
      <w:r w:rsidRPr="007A3223">
        <w:t xml:space="preserve"> increase the number of patients who benefit from these therapies.</w:t>
      </w:r>
    </w:p>
    <w:p w14:paraId="6B19BCDD" w14:textId="11E261A0" w:rsidR="000475AA" w:rsidRPr="007A3223" w:rsidRDefault="000475AA" w:rsidP="000475AA">
      <w:pPr>
        <w:spacing w:after="0"/>
        <w:rPr>
          <w:szCs w:val="24"/>
        </w:rPr>
      </w:pPr>
      <w:r w:rsidRPr="007A3223">
        <w:t xml:space="preserve">     TNBCs frequently have alterations in DNA damage-response and repair mechanisms. Approximately 22% of TNBC patients carried germline mutations to a DNA repair gene including </w:t>
      </w:r>
      <w:r w:rsidRPr="007A3223">
        <w:rPr>
          <w:i/>
        </w:rPr>
        <w:t xml:space="preserve">BRCA1 </w:t>
      </w:r>
      <w:r w:rsidRPr="007A3223">
        <w:t xml:space="preserve">or </w:t>
      </w:r>
      <w:r w:rsidRPr="007A3223">
        <w:rPr>
          <w:i/>
        </w:rPr>
        <w:t>BRCA2</w:t>
      </w:r>
      <w:r w:rsidRPr="007A3223">
        <w:t xml:space="preserve"> and, less frequently, </w:t>
      </w:r>
      <w:r w:rsidRPr="007A3223">
        <w:rPr>
          <w:i/>
        </w:rPr>
        <w:t>NBM, CHEK2, FANCM, PALB2</w:t>
      </w:r>
      <w:r w:rsidRPr="007A3223">
        <w:t xml:space="preserve"> and </w:t>
      </w:r>
      <w:r w:rsidRPr="007A3223">
        <w:rPr>
          <w:i/>
        </w:rPr>
        <w:t>ATM</w:t>
      </w:r>
      <w:r w:rsidRPr="007A3223">
        <w:t xml:space="preserve"> </w:t>
      </w:r>
      <w:hyperlink w:anchor="_ENREF_125" w:tooltip="Domagala, 2015 #9" w:history="1">
        <w:r w:rsidR="00F77861" w:rsidRPr="00244551">
          <w:rPr>
            <w:rStyle w:val="Hyperlink"/>
          </w:rPr>
          <w:fldChar w:fldCharType="begin">
            <w:fldData xml:space="preserve">PEVuZE5vdGU+PENpdGU+PEF1dGhvcj5Eb21hZ2FsYTwvQXV0aG9yPjxZZWFyPjIwMTU8L1llYXI+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PC9mdWxsLXRpdGxlPjwvcGVyaW9kaWNhbD48cGFnZXM+MTUxNzItMTUxNzc8L3BhZ2VzPjx2b2x1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</w:fldData>
          </w:fldChar>
        </w:r>
        <w:r w:rsidR="00F77861" w:rsidRPr="00244551">
          <w:rPr>
            <w:rStyle w:val="Hyperlink"/>
          </w:rPr>
          <w:instrText xml:space="preserve"> ADDIN EN.CITE </w:instrText>
        </w:r>
        <w:r w:rsidR="00F77861" w:rsidRPr="00383431">
          <w:rPr>
            <w:rStyle w:val="Hyperlink"/>
          </w:rPr>
          <w:fldChar w:fldCharType="begin">
            <w:fldData xml:space="preserve">PEVuZE5vdGU+PENpdGU+PEF1dGhvcj5Eb21hZ2FsYTwvQXV0aG9yPjxZZWFyPjIwMTU8L1llYXI+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PC9mdWxsLXRpdGxlPjwvcGVyaW9kaWNhbD48cGFnZXM+MTUxNzItMTUxNzc8L3BhZ2VzPjx2b2x1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</w:fldData>
          </w:fldChar>
        </w:r>
        <w:r w:rsidR="00F77861" w:rsidRPr="00244551">
          <w:rPr>
            <w:rStyle w:val="Hyperlink"/>
          </w:rPr>
          <w:instrText xml:space="preserve"> ADDIN EN.CITE.DATA </w:instrText>
        </w:r>
        <w:r w:rsidR="00F77861" w:rsidRPr="00383431">
          <w:rPr>
            <w:rStyle w:val="Hyperlink"/>
          </w:rPr>
        </w:r>
        <w:r w:rsidR="00F77861" w:rsidRPr="0038343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125-128</w:t>
        </w:r>
        <w:r w:rsidR="00F77861" w:rsidRPr="00244551">
          <w:rPr>
            <w:rStyle w:val="Hyperlink"/>
          </w:rPr>
          <w:fldChar w:fldCharType="end"/>
        </w:r>
      </w:hyperlink>
      <w:r w:rsidRPr="007A3223">
        <w:t>. Somatic mutations in DNA repair pathways are also frequent</w:t>
      </w:r>
      <w:hyperlink w:anchor="_ENREF_129" w:tooltip="Watkins, 2015 #13" w:history="1">
        <w:r w:rsidR="00F77861" w:rsidRPr="00244551">
          <w:rPr>
            <w:rStyle w:val="Hyperlink"/>
          </w:rPr>
          <w:fldChar w:fldCharType="begin">
            <w:fldData xml:space="preserve">PEVuZE5vdGU+PENpdGU+PEF1dGhvcj5XYXRraW5zPC9BdXRob3I+PFllYXI+MjAxNTwvWWVhcj48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</w:fldData>
          </w:fldChar>
        </w:r>
        <w:r w:rsidR="00F77861" w:rsidRPr="00244551">
          <w:rPr>
            <w:rStyle w:val="Hyperlink"/>
          </w:rPr>
          <w:instrText xml:space="preserve"> ADDIN EN.CITE </w:instrText>
        </w:r>
        <w:r w:rsidR="00F77861" w:rsidRPr="00383431">
          <w:rPr>
            <w:rStyle w:val="Hyperlink"/>
          </w:rPr>
          <w:fldChar w:fldCharType="begin">
            <w:fldData xml:space="preserve">PEVuZE5vdGU+PENpdGU+PEF1dGhvcj5XYXRraW5zPC9BdXRob3I+PFllYXI+MjAxNTwvWWVhcj48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</w:fldData>
          </w:fldChar>
        </w:r>
        <w:r w:rsidR="00F77861" w:rsidRPr="00244551">
          <w:rPr>
            <w:rStyle w:val="Hyperlink"/>
          </w:rPr>
          <w:instrText xml:space="preserve"> ADDIN EN.CITE.DATA </w:instrText>
        </w:r>
        <w:r w:rsidR="00F77861" w:rsidRPr="00383431">
          <w:rPr>
            <w:rStyle w:val="Hyperlink"/>
          </w:rPr>
        </w:r>
        <w:r w:rsidR="00F77861" w:rsidRPr="0038343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129</w:t>
        </w:r>
        <w:r w:rsidR="00F77861" w:rsidRPr="00244551">
          <w:rPr>
            <w:rStyle w:val="Hyperlink"/>
          </w:rPr>
          <w:fldChar w:fldCharType="end"/>
        </w:r>
      </w:hyperlink>
      <w:r w:rsidRPr="007A3223">
        <w:t>. In addition, epigenetic factors mediate the loss of BRCA1 or BRCA2 expression</w:t>
      </w:r>
      <w:hyperlink w:anchor="_ENREF_130" w:tooltip="Zhu, 2015 #14" w:history="1">
        <w:r w:rsidR="00F77861" w:rsidRPr="00244551">
          <w:rPr>
            <w:rStyle w:val="Hyperlink"/>
          </w:rPr>
          <w:fldChar w:fldCharType="begin">
            <w:fldData xml:space="preserve">PEVuZE5vdGU+PENpdGU+PEF1dGhvcj5aaHU8L0F1dGhvcj48WWVhcj4yMDE1PC9ZZWFyPjxSZWNO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</w:fldData>
          </w:fldChar>
        </w:r>
        <w:r w:rsidR="00F77861" w:rsidRPr="00244551">
          <w:rPr>
            <w:rStyle w:val="Hyperlink"/>
          </w:rPr>
          <w:instrText xml:space="preserve"> ADDIN EN.CITE </w:instrText>
        </w:r>
        <w:r w:rsidR="00F77861" w:rsidRPr="00383431">
          <w:rPr>
            <w:rStyle w:val="Hyperlink"/>
          </w:rPr>
          <w:fldChar w:fldCharType="begin">
            <w:fldData xml:space="preserve">PEVuZE5vdGU+PENpdGU+PEF1dGhvcj5aaHU8L0F1dGhvcj48WWVhcj4yMDE1PC9ZZWFyPjxSZWNO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</w:fldData>
          </w:fldChar>
        </w:r>
        <w:r w:rsidR="00F77861" w:rsidRPr="00244551">
          <w:rPr>
            <w:rStyle w:val="Hyperlink"/>
          </w:rPr>
          <w:instrText xml:space="preserve"> ADDIN EN.CITE.DATA </w:instrText>
        </w:r>
        <w:r w:rsidR="00F77861" w:rsidRPr="00383431">
          <w:rPr>
            <w:rStyle w:val="Hyperlink"/>
          </w:rPr>
        </w:r>
        <w:r w:rsidR="00F77861" w:rsidRPr="00383431">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130-132</w:t>
        </w:r>
        <w:r w:rsidR="00F77861" w:rsidRPr="00244551">
          <w:rPr>
            <w:rStyle w:val="Hyperlink"/>
          </w:rPr>
          <w:fldChar w:fldCharType="end"/>
        </w:r>
      </w:hyperlink>
      <w:r w:rsidRPr="007A3223">
        <w:t>, and that of other DNA repair proteins</w:t>
      </w:r>
      <w:r w:rsidRPr="00585A7F">
        <w:fldChar w:fldCharType="begin">
          <w:fldData xml:space="preserve">PEVuZE5vdGU+PENpdGU+PEF1dGhvcj5SaWJlaXJvPC9BdXRob3I+PFllYXI+MjAxMzwvWWVhcj48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</w:fldData>
        </w:fldChar>
      </w:r>
      <w:r w:rsidR="00800327" w:rsidRPr="007A3223">
        <w:instrText xml:space="preserve"> ADDIN EN.CITE </w:instrText>
      </w:r>
      <w:r w:rsidR="00800327" w:rsidRPr="00383431">
        <w:fldChar w:fldCharType="begin">
          <w:fldData xml:space="preserve">PEVuZE5vdGU+PENpdGU+PEF1dGhvcj5SaWJlaXJvPC9BdXRob3I+PFllYXI+MjAxMzwvWWVhcj48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</w:fldData>
        </w:fldChar>
      </w:r>
      <w:r w:rsidR="00800327" w:rsidRPr="007A3223">
        <w:instrText xml:space="preserve"> ADDIN EN.CITE.DATA </w:instrText>
      </w:r>
      <w:r w:rsidR="00800327" w:rsidRPr="00383431">
        <w:fldChar w:fldCharType="end"/>
      </w:r>
      <w:r w:rsidRPr="00585A7F">
        <w:fldChar w:fldCharType="separate"/>
      </w:r>
      <w:hyperlink w:anchor="_ENREF_133" w:tooltip="Ribeiro, 2013 #17" w:history="1">
        <w:r w:rsidR="00F77861" w:rsidRPr="00244551">
          <w:rPr>
            <w:rStyle w:val="Hyperlink"/>
            <w:noProof/>
            <w:vertAlign w:val="superscript"/>
          </w:rPr>
          <w:t>133</w:t>
        </w:r>
      </w:hyperlink>
      <w:r w:rsidR="00800327" w:rsidRPr="00F33908">
        <w:rPr>
          <w:noProof/>
          <w:vertAlign w:val="superscript"/>
        </w:rPr>
        <w:t>,</w:t>
      </w:r>
      <w:hyperlink w:anchor="_ENREF_134" w:tooltip="Fumagalli, 2012 #18" w:history="1">
        <w:r w:rsidR="00F77861" w:rsidRPr="00244551">
          <w:rPr>
            <w:rStyle w:val="Hyperlink"/>
            <w:noProof/>
            <w:vertAlign w:val="superscript"/>
          </w:rPr>
          <w:t>134</w:t>
        </w:r>
      </w:hyperlink>
      <w:r w:rsidRPr="00585A7F">
        <w:fldChar w:fldCharType="end"/>
      </w:r>
      <w:r w:rsidRPr="007A3223">
        <w:t xml:space="preserve"> in TNBC. Loss of BRCA 1 and 2 has been demonstrated to sensitize tumors to PARPi</w:t>
      </w:r>
      <w:r w:rsidRPr="00585A7F">
        <w:fldChar w:fldCharType="begin">
          <w:fldData xml:space="preserve">PEVuZE5vdGU+PENpdGU+PEF1dGhvcj5NY0NhYmU8L0F1dGhvcj48WWVhcj4yMDA2PC9ZZWFyPjxS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</w:fldData>
        </w:fldChar>
      </w:r>
      <w:r w:rsidR="00800327" w:rsidRPr="007A3223">
        <w:instrText xml:space="preserve"> ADDIN EN.CITE </w:instrText>
      </w:r>
      <w:r w:rsidR="00800327" w:rsidRPr="00383431">
        <w:fldChar w:fldCharType="begin">
          <w:fldData xml:space="preserve">PEVuZE5vdGU+PENpdGU+PEF1dGhvcj5NY0NhYmU8L0F1dGhvcj48WWVhcj4yMDA2PC9ZZWFyPjxS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</w:fldData>
        </w:fldChar>
      </w:r>
      <w:r w:rsidR="00800327" w:rsidRPr="007A3223">
        <w:instrText xml:space="preserve"> ADDIN EN.CITE.DATA </w:instrText>
      </w:r>
      <w:r w:rsidR="00800327" w:rsidRPr="00383431">
        <w:fldChar w:fldCharType="end"/>
      </w:r>
      <w:r w:rsidRPr="00585A7F">
        <w:fldChar w:fldCharType="separate"/>
      </w:r>
      <w:hyperlink w:anchor="_ENREF_135" w:tooltip="McCabe, 2006 #19" w:history="1">
        <w:r w:rsidR="00F77861" w:rsidRPr="00244551">
          <w:rPr>
            <w:rStyle w:val="Hyperlink"/>
            <w:noProof/>
            <w:vertAlign w:val="superscript"/>
          </w:rPr>
          <w:t>135</w:t>
        </w:r>
      </w:hyperlink>
      <w:r w:rsidR="00800327" w:rsidRPr="00F33908">
        <w:rPr>
          <w:noProof/>
          <w:vertAlign w:val="superscript"/>
        </w:rPr>
        <w:t>,</w:t>
      </w:r>
      <w:hyperlink w:anchor="_ENREF_136" w:tooltip="Fong, 2009 #20" w:history="1">
        <w:r w:rsidR="00F77861" w:rsidRPr="00244551">
          <w:rPr>
            <w:rStyle w:val="Hyperlink"/>
            <w:noProof/>
            <w:vertAlign w:val="superscript"/>
          </w:rPr>
          <w:t>136</w:t>
        </w:r>
      </w:hyperlink>
      <w:r w:rsidRPr="00585A7F">
        <w:fldChar w:fldCharType="end"/>
      </w:r>
      <w:r w:rsidRPr="007A3223">
        <w:t>. PARPi have been clinically investigated in TNBC either monotherapy or in combination with chemotherapy. Dose-dependent response has been obse</w:t>
      </w:r>
      <w:r w:rsidRPr="00F33908">
        <w:t>rved in gBRCAm associated TNBC patients; a RR was higher with 400 mg olaparib capsule monotherapy compared to 100 mg olaparib capsule monotherapy (54% vs. 25%)</w:t>
      </w:r>
      <w:hyperlink w:anchor="_ENREF_137" w:tooltip="Tutt, 2010 #21" w:history="1">
        <w:r w:rsidR="00F77861" w:rsidRPr="00244551">
          <w:rPr>
            <w:rStyle w:val="Hyperlink"/>
          </w:rPr>
          <w:fldChar w:fldCharType="begin"/>
        </w:r>
        <w:r w:rsidR="00F77861" w:rsidRPr="00244551">
          <w:rPr>
            <w:rStyle w:val="Hyperlink"/>
          </w:rPr>
          <w:instrText xml:space="preserve"> ADDIN EN.CITE &lt;EndNote&gt;&lt;Cite&gt;&lt;Author&gt;Tutt&lt;/Author&gt;&lt;Year&gt;2010&lt;/Year&gt;&lt;RecNum&gt;21&lt;/RecNum&gt;&lt;DisplayText&gt;&lt;style face="superscript"&gt;137&lt;/style&gt;&lt;/DisplayText&gt;&lt;record&gt;&lt;rec-number&gt;21&lt;/rec-number&gt;&lt;foreign-keys&gt;&lt;key app="EN" db-id="prx2xsr2l00v0kefx0kprex8f990pe2fpr05" timestamp="1441829517"&gt;21&lt;/key&gt;&lt;/foreign-keys&gt;&lt;ref-type name="Journal Article"&gt;17&lt;/ref-type&gt;&lt;contributors&gt;&lt;authors&gt;&lt;author&gt;Tutt, Andrew&lt;/author&gt;&lt;author&gt;Robson, Mark&lt;/author&gt;&lt;author&gt;Garber, Judy E.&lt;/author&gt;&lt;author&gt;Domchek, Susan M.&lt;/author&gt;&lt;author&gt;Audeh, M. William&lt;/author&gt;&lt;author&gt;Weitzel, Jeffrey N.&lt;/author&gt;&lt;author&gt;Friedlander, Michael&lt;/author&gt;&lt;author&gt;Arun, Banu&lt;/author&gt;&lt;author&gt;Loman, Niklas&lt;/author&gt;&lt;author&gt;Schmutzler, Rita K.&lt;/author&gt;&lt;author&gt;Wardley, Andrew&lt;/author&gt;&lt;author&gt;Mitchell, Gillian&lt;/author&gt;&lt;author&gt;Earl, Helena&lt;/author&gt;&lt;author&gt;Wickens, Mark&lt;/author&gt;&lt;author&gt;Carmichael, James&lt;/author&gt;&lt;/authors&gt;&lt;/contributors&gt;&lt;titles&gt;&lt;title&gt;Oral poly(ADP-ribose) polymerase inhibitor olaparib in patients with BRCA1 or BRCA2 mutations and advanced breast cancer: a proof-of-concept trial&lt;/title&gt;&lt;secondary-title&gt;Lancet&lt;/secondary-title&gt;&lt;/titles&gt;&lt;periodical&gt;&lt;full-title&gt;Lancet&lt;/full-title&gt;&lt;/periodical&gt;&lt;pages&gt;235-244&lt;/pages&gt;&lt;volume&gt;376&lt;/volume&gt;&lt;number&gt;9737&lt;/number&gt;&lt;dates&gt;&lt;year&gt;2010&lt;/year&gt;&lt;pub-dates&gt;&lt;date&gt;Jul 24&lt;/date&gt;&lt;/pub-dates&gt;&lt;/dates&gt;&lt;isbn&gt;0140-6736&lt;/isbn&gt;&lt;accession-num&gt;WOS:000280457200032&lt;/accession-num&gt;&lt;urls&gt;&lt;related-urls&gt;&lt;url&gt;&amp;lt;Go to ISI&amp;gt;://WOS:000280457200032&lt;/url&gt;&lt;/related-urls&gt;&lt;/urls&gt;&lt;electronic-resource-num&gt;10.1016/s0140-6736(10)60892-6&lt;/electronic-resource-num&gt;&lt;/record&gt;&lt;/Cite&gt;&lt;/EndNote&gt;</w:instrText>
        </w:r>
        <w:r w:rsidR="00F77861" w:rsidRPr="00244551">
          <w:rPr>
            <w:rStyle w:val="Hyperlink"/>
          </w:rPr>
          <w:fldChar w:fldCharType="separate"/>
        </w:r>
        <w:r w:rsidR="00F77861" w:rsidRPr="00244551">
          <w:rPr>
            <w:rStyle w:val="Hyperlink"/>
            <w:noProof/>
            <w:vertAlign w:val="superscript"/>
          </w:rPr>
          <w:t>137</w:t>
        </w:r>
        <w:r w:rsidR="00F77861" w:rsidRPr="00244551">
          <w:rPr>
            <w:rStyle w:val="Hyperlink"/>
          </w:rPr>
          <w:fldChar w:fldCharType="end"/>
        </w:r>
      </w:hyperlink>
      <w:r w:rsidRPr="007A3223">
        <w:t>. Olaparib in</w:t>
      </w:r>
      <w:r w:rsidRPr="00F33908">
        <w:t xml:space="preserve"> combination with paclitaxel has demonstrated an ORR of 37% in TNBC patients, not selected for gBRCA</w:t>
      </w:r>
      <w:r w:rsidRPr="007A3223">
        <w:t>m</w:t>
      </w:r>
      <w:hyperlink w:anchor="_ENREF_138" w:tooltip="Dent, 2013 #22" w:history="1">
        <w:r w:rsidR="00F77861" w:rsidRPr="00244551">
          <w:rPr>
            <w:rStyle w:val="Hyperlink"/>
          </w:rPr>
          <w:fldChar w:fldCharType="begin"/>
        </w:r>
        <w:r w:rsidR="00F77861" w:rsidRPr="00244551">
          <w:rPr>
            <w:rStyle w:val="Hyperlink"/>
          </w:rPr>
          <w:instrText xml:space="preserve"> ADDIN EN.CITE &lt;EndNote&gt;&lt;Cite&gt;&lt;Author&gt;Dent&lt;/Author&gt;&lt;Year&gt;2013&lt;/Year&gt;&lt;RecNum&gt;22&lt;/RecNum&gt;&lt;DisplayText&gt;&lt;style face="superscript"&gt;138&lt;/style&gt;&lt;/DisplayText&gt;&lt;record&gt;&lt;rec-number&gt;22&lt;/rec-number&gt;&lt;foreign-keys&gt;&lt;key app="EN" db-id="prx2xsr2l00v0kefx0kprex8f990pe2fpr05" timestamp="1441829517"&gt;22&lt;/key&gt;&lt;/foreign-keys&gt;&lt;ref-type name="Journal Article"&gt;17&lt;/ref-type&gt;&lt;contributors&gt;&lt;authors&gt;&lt;author&gt;Dent, Rebecca A.&lt;/author&gt;&lt;author&gt;Lindeman, Geoffrey J.&lt;/author&gt;&lt;author&gt;Clemons, Mark&lt;/author&gt;&lt;author&gt;Wildiers, Hans&lt;/author&gt;&lt;author&gt;Chan, Arlene&lt;/author&gt;&lt;author&gt;McCarthy, Nicole J.&lt;/author&gt;&lt;author&gt;Singer, Christian F.&lt;/author&gt;&lt;author&gt;Lowe, Elizabeth S.&lt;/author&gt;&lt;author&gt;Watkins, Claire L.&lt;/author&gt;&lt;author&gt;Carmichael, James&lt;/author&gt;&lt;/authors&gt;&lt;/contributors&gt;&lt;titles&gt;&lt;title&gt;Phase I trial of the oral PARP inhibitor olaparib in combination with paclitaxel for first-or second-line treatment of patients with metastatic triple-negative breast cancer&lt;/title&gt;&lt;secondary-title&gt;Breast Cancer Research&lt;/secondary-title&gt;&lt;/titles&gt;&lt;periodical&gt;&lt;full-title&gt;Breast Cancer Research&lt;/full-title&gt;&lt;/periodical&gt;&lt;volume&gt;15&lt;/volume&gt;&lt;number&gt;5&lt;/number&gt;&lt;dates&gt;&lt;year&gt;2013&lt;/year&gt;&lt;pub-dates&gt;&lt;date&gt;2013&lt;/date&gt;&lt;/pub-dates&gt;&lt;/dates&gt;&lt;isbn&gt;1465-542X&lt;/isbn&gt;&lt;accession-num&gt;WOS:000329763800016&lt;/accession-num&gt;&lt;urls&gt;&lt;related-urls&gt;&lt;url&gt;&amp;lt;Go to ISI&amp;gt;://WOS:000329763800016&lt;/url&gt;&lt;/related-urls&gt;&lt;/urls&gt;&lt;custom7&gt;R88&lt;/custom7&gt;&lt;electronic-resource-num&gt;10.1186/bcr3484&lt;/electronic-resource-num&gt;&lt;/record&gt;&lt;/Cite&gt;&lt;/EndNote&gt;</w:instrText>
        </w:r>
        <w:r w:rsidR="00F77861" w:rsidRPr="00244551">
          <w:rPr>
            <w:rStyle w:val="Hyperlink"/>
          </w:rPr>
          <w:fldChar w:fldCharType="separate"/>
        </w:r>
        <w:r w:rsidR="00F77861" w:rsidRPr="00244551">
          <w:rPr>
            <w:rStyle w:val="Hyperlink"/>
            <w:noProof/>
            <w:vertAlign w:val="superscript"/>
          </w:rPr>
          <w:t>138</w:t>
        </w:r>
        <w:r w:rsidR="00F77861" w:rsidRPr="00244551">
          <w:rPr>
            <w:rStyle w:val="Hyperlink"/>
          </w:rPr>
          <w:fldChar w:fldCharType="end"/>
        </w:r>
      </w:hyperlink>
      <w:r w:rsidRPr="007A3223">
        <w:t>. This included one C</w:t>
      </w:r>
      <w:r w:rsidRPr="00F33908">
        <w:t>R in a patient with BRCAwt. It has been known that RRs to PARPi are lower in TNBC patients without gBRCAm</w:t>
      </w:r>
      <w:hyperlink w:anchor="_ENREF_139" w:tooltip="Gelmon, 2011 #433" w:history="1">
        <w:r w:rsidR="00F77861" w:rsidRPr="00244551">
          <w:rPr>
            <w:rStyle w:val="Hyperlink"/>
          </w:rPr>
          <w:fldChar w:fldCharType="begin"/>
        </w:r>
        <w:r w:rsidR="00F77861" w:rsidRPr="00244551">
          <w:rPr>
            <w:rStyle w:val="Hyperlink"/>
          </w:rPr>
          <w:instrText xml:space="preserve"> ADDIN EN.CITE &lt;EndNote&gt;&lt;Cite&gt;&lt;Author&gt;Gelmon&lt;/Author&gt;&lt;Year&gt;2011&lt;/Year&gt;&lt;RecNum&gt;433&lt;/RecNum&gt;&lt;DisplayText&gt;&lt;style face="superscript"&gt;139&lt;/style&gt;&lt;/DisplayText&gt;&lt;record&gt;&lt;rec-number&gt;433&lt;/rec-number&gt;&lt;foreign-keys&gt;&lt;key app="EN" db-id="prx2xsr2l00v0kefx0kprex8f990pe2fpr05" timestamp="1441898275"&gt;433&lt;/key&gt;&lt;/foreign-keys&gt;&lt;ref-type name="Journal Article"&gt;17&lt;/ref-type&gt;&lt;contributors&gt;&lt;authors&gt;&lt;author&gt;Gelmon, Karen A.&lt;/author&gt;&lt;author&gt;Tischkowitz, Marc&lt;/author&gt;&lt;author&gt;Mackay, Helen&lt;/author&gt;&lt;author&gt;Swenerton, Kenneth&lt;/author&gt;&lt;author&gt;Robidoux, Andre&lt;/author&gt;&lt;author&gt;Tonkin, Katia&lt;/author&gt;&lt;author&gt;Hirte, Hal&lt;/author&gt;&lt;author&gt;Huntsman, David&lt;/author&gt;&lt;author&gt;Clemons, Mark&lt;/author&gt;&lt;author&gt;Gilks, Blake&lt;/author&gt;&lt;author&gt;Yerushalmi, Rinat&lt;/author&gt;&lt;author&gt;Macpherson, Euan&lt;/author&gt;&lt;author&gt;Carmichael, James&lt;/author&gt;&lt;author&gt;Oza, Amit&lt;/author&gt;&lt;/authors&gt;&lt;/contributors&gt;&lt;titles&gt;&lt;title&gt;Olaparib in patients with recurrent high-grade serous or poorly differentiated ovarian carcinoma or triple-negative breast cancer: a phase 2, multicentre, open-label, non-randomised study&lt;/title&gt;&lt;secondary-title&gt;Lancet Oncology&lt;/secondary-title&gt;&lt;/titles&gt;&lt;periodical&gt;&lt;full-title&gt;Lancet Oncology&lt;/full-title&gt;&lt;/periodical&gt;&lt;pages&gt;852-861&lt;/pages&gt;&lt;volume&gt;12&lt;/volume&gt;&lt;number&gt;9&lt;/number&gt;&lt;dates&gt;&lt;year&gt;2011&lt;/year&gt;&lt;pub-dates&gt;&lt;date&gt;Sep&lt;/date&gt;&lt;/pub-dates&gt;&lt;/dates&gt;&lt;isbn&gt;1470-2045&lt;/isbn&gt;&lt;accession-num&gt;WOS:000294293500016&lt;/accession-num&gt;&lt;urls&gt;&lt;related-urls&gt;&lt;url&gt;&amp;lt;Go to ISI&amp;gt;://WOS:000294293500016&lt;/url&gt;&lt;/related-urls&gt;&lt;/urls&gt;&lt;electronic-resource-num&gt;10.1016/s1470-2045(11)70214-5&lt;/electronic-resource-num&gt;&lt;/record&gt;&lt;/Cite&gt;&lt;/EndNote&gt;</w:instrText>
        </w:r>
        <w:r w:rsidR="00F77861" w:rsidRPr="00244551">
          <w:rPr>
            <w:rStyle w:val="Hyperlink"/>
          </w:rPr>
          <w:fldChar w:fldCharType="separate"/>
        </w:r>
        <w:r w:rsidR="00F77861" w:rsidRPr="00244551">
          <w:rPr>
            <w:rStyle w:val="Hyperlink"/>
            <w:noProof/>
            <w:vertAlign w:val="superscript"/>
          </w:rPr>
          <w:t>139</w:t>
        </w:r>
        <w:r w:rsidR="00F77861" w:rsidRPr="00244551">
          <w:rPr>
            <w:rStyle w:val="Hyperlink"/>
          </w:rPr>
          <w:fldChar w:fldCharType="end"/>
        </w:r>
      </w:hyperlink>
      <w:r w:rsidRPr="007A3223">
        <w:t>. In studies from our group (08-C-0092), the combin</w:t>
      </w:r>
      <w:r w:rsidRPr="00F33908">
        <w:t>ation of olaparib with carboplatin showed an 87.5% ORR (7/8) and a disease control rate of 100% (8/8) in recurrent or metastatic breast cancer patients with</w:t>
      </w:r>
      <w:r w:rsidRPr="007A3223">
        <w:t xml:space="preserve"> gBRCAm, including one CR and 3 PRs in four patients with TNBC </w:t>
      </w:r>
      <w:hyperlink w:anchor="_ENREF_140" w:tooltip="Lee, 2014 #434" w:history="1">
        <w:r w:rsidR="00F77861" w:rsidRPr="00244551">
          <w:rPr>
            <w:rStyle w:val="Hyperlink"/>
          </w:rPr>
          <w:fldChar w:fldCharType="begin"/>
        </w:r>
        <w:r w:rsidR="00F77861" w:rsidRPr="00244551">
          <w:rPr>
            <w:rStyle w:val="Hyperlink"/>
          </w:rPr>
          <w:instrText xml:space="preserve"> ADDIN EN.CITE &lt;EndNote&gt;&lt;Cite&gt;&lt;Author&gt;Lee&lt;/Author&gt;&lt;Year&gt;2014&lt;/Year&gt;&lt;RecNum&gt;434&lt;/RecNum&gt;&lt;DisplayText&gt;&lt;style face="superscript"&gt;140&lt;/style&gt;&lt;/DisplayText&gt;&lt;record&gt;&lt;rec-number&gt;434&lt;/rec-number&gt;&lt;foreign-keys&gt;&lt;key app="EN" db-id="prx2xsr2l00v0kefx0kprex8f990pe2fpr05" timestamp="1441902581"&gt;434&lt;/key&gt;&lt;/foreign-keys&gt;&lt;ref-type name="Journal Article"&gt;17&lt;/ref-type&gt;&lt;contributors&gt;&lt;authors&gt;&lt;author&gt;Lee, Jung-Min&lt;/author&gt;&lt;author&gt;Hays, John L.&lt;/author&gt;&lt;author&gt;Annunziata, Christina M.&lt;/author&gt;&lt;author&gt;Noonan, Anne M.&lt;/author&gt;&lt;author&gt;Minasian, Lori&lt;/author&gt;&lt;author&gt;Zujewski, Jo Anne&lt;/author&gt;&lt;author&gt;Yu, Minshu&lt;/author&gt;&lt;author&gt;Gordon, Nicolas&lt;/author&gt;&lt;author&gt;Ji, Jiuping&lt;/author&gt;&lt;author&gt;Sissung, Tristan M.&lt;/author&gt;&lt;author&gt;Figg, William D.&lt;/author&gt;&lt;author&gt;Azad, Nilofer&lt;/author&gt;&lt;author&gt;Wood, Bradford J.&lt;/author&gt;&lt;author&gt;Doroshow, James&lt;/author&gt;&lt;author&gt;Kohn, Elise C.&lt;/author&gt;&lt;/authors&gt;&lt;/contributors&gt;&lt;titles&gt;&lt;title&gt;Phase I/Ib Study of Olaparib and Carboplatin in BRCA1 or BRCA2 Mutation-Associated Breast or Ovarian Cancer With Biomarker Analyses&lt;/title&gt;&lt;secondary-title&gt;Jnci-Journal of the National Cancer Institute&lt;/secondary-title&gt;&lt;/titles&gt;&lt;periodical&gt;&lt;full-title&gt;Jnci-Journal of the National Cancer Institute&lt;/full-title&gt;&lt;/periodical&gt;&lt;volume&gt;106&lt;/volume&gt;&lt;number&gt;6&lt;/number&gt;&lt;dates&gt;&lt;year&gt;2014&lt;/year&gt;&lt;pub-dates&gt;&lt;date&gt;Jun&lt;/date&gt;&lt;/pub-dates&gt;&lt;/dates&gt;&lt;isbn&gt;0027-8874&lt;/isbn&gt;&lt;accession-num&gt;WOS:000341636800004&lt;/accession-num&gt;&lt;urls&gt;&lt;related-urls&gt;&lt;url&gt;&amp;lt;Go to ISI&amp;gt;://WOS:000341636800004&lt;/url&gt;&lt;/related-urls&gt;&lt;/urls&gt;&lt;custom7&gt;dju089&lt;/custom7&gt;&lt;electronic-resource-num&gt;10.1093/jnci/dju089&lt;/electronic-resource-num&gt;&lt;/record&gt;&lt;/Cite&gt;&lt;/EndNote&gt;</w:instrText>
        </w:r>
        <w:r w:rsidR="00F77861" w:rsidRPr="00244551">
          <w:rPr>
            <w:rStyle w:val="Hyperlink"/>
          </w:rPr>
          <w:fldChar w:fldCharType="separate"/>
        </w:r>
        <w:r w:rsidR="00F77861" w:rsidRPr="00244551">
          <w:rPr>
            <w:rStyle w:val="Hyperlink"/>
            <w:noProof/>
            <w:vertAlign w:val="superscript"/>
          </w:rPr>
          <w:t>140</w:t>
        </w:r>
        <w:r w:rsidR="00F77861" w:rsidRPr="00244551">
          <w:rPr>
            <w:rStyle w:val="Hyperlink"/>
          </w:rPr>
          <w:fldChar w:fldCharType="end"/>
        </w:r>
      </w:hyperlink>
      <w:r w:rsidRPr="007A3223">
        <w:t xml:space="preserve">.  TNBC patients without gBRCAm treated on the </w:t>
      </w:r>
      <w:r w:rsidRPr="007A3223">
        <w:lastRenderedPageBreak/>
        <w:t>same studies</w:t>
      </w:r>
      <w:r w:rsidRPr="00F33908">
        <w:t xml:space="preserve"> had a ORR of 19% (5/27) and a disease control rate </w:t>
      </w:r>
      <w:r w:rsidRPr="007A3223">
        <w:t>of 48% (1</w:t>
      </w:r>
      <w:r w:rsidR="00355ED3" w:rsidRPr="007A3223">
        <w:t>3</w:t>
      </w:r>
      <w:r w:rsidRPr="007A3223">
        <w:t>/2</w:t>
      </w:r>
      <w:r w:rsidR="00355ED3" w:rsidRPr="007A3223">
        <w:t>7</w:t>
      </w:r>
      <w:r w:rsidRPr="007A3223">
        <w:t xml:space="preserve">; Lee </w:t>
      </w:r>
      <w:r w:rsidRPr="007A3223">
        <w:rPr>
          <w:i/>
        </w:rPr>
        <w:t>et al</w:t>
      </w:r>
      <w:r w:rsidRPr="007A3223">
        <w:t>, manuscript in preparation). Overall PARPi have clinical activity in subsets of TNBC patients with both gBRCAm and BRCAwt although the RRs in TNBC with BRCAwt are considerably lower. Optimal benefit from PARPi in TNBC, especially those with BRCAwt, will require combination therapy.</w:t>
      </w:r>
      <w:r w:rsidRPr="007A3223">
        <w:rPr>
          <w:szCs w:val="24"/>
        </w:rPr>
        <w:t xml:space="preserve"> Thus, disruption of the PD-1/PD-L1 interaction is a rational strategy for combination therapy with olaparib in patients with TNBC. </w:t>
      </w:r>
    </w:p>
    <w:p w14:paraId="556F489E" w14:textId="77777777" w:rsidR="000475AA" w:rsidRPr="00383431" w:rsidRDefault="000475AA" w:rsidP="000475AA">
      <w:pPr>
        <w:spacing w:after="0"/>
        <w:rPr>
          <w:i/>
          <w:color w:val="262626"/>
          <w:szCs w:val="24"/>
        </w:rPr>
      </w:pPr>
    </w:p>
    <w:p w14:paraId="2941C99D" w14:textId="77777777" w:rsidR="0077729D" w:rsidRPr="00F33908" w:rsidRDefault="005339C7" w:rsidP="00541C93">
      <w:pPr>
        <w:pStyle w:val="Heading4"/>
      </w:pPr>
      <w:r w:rsidRPr="007A3223">
        <w:t xml:space="preserve">Colorectal cancer </w:t>
      </w:r>
    </w:p>
    <w:p w14:paraId="5BE05B4F" w14:textId="567082D1" w:rsidR="0077729D" w:rsidRPr="007A3223" w:rsidRDefault="0077729D" w:rsidP="002F3363">
      <w:pPr>
        <w:tabs>
          <w:tab w:val="left" w:pos="180"/>
        </w:tabs>
        <w:spacing w:after="0"/>
        <w:rPr>
          <w:szCs w:val="24"/>
        </w:rPr>
      </w:pPr>
      <w:r w:rsidRPr="007A3223">
        <w:rPr>
          <w:szCs w:val="24"/>
        </w:rPr>
        <w:t>The immune system seems to play a role in both the occurrence and the progression of colorectal cancer (CRC). In early, surgically resectable cases, elevated numbers of intratumoral cytotoxic and memory T cells have been shown to correlate with an aggressive phenotype reflected by tumor microinvasive status</w:t>
      </w:r>
      <w:r w:rsidRPr="00585A7F">
        <w:rPr>
          <w:szCs w:val="24"/>
        </w:rPr>
        <w:fldChar w:fldCharType="begin">
          <w:fldData xml:space="preserve">PEVuZE5vdGU+PENpdGU+PEF1dGhvcj5NbGVjbmlrPC9BdXRob3I+PFllYXI+MjAxMTwvWWVhcj48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b2xvZ3k8L2FiYnItMT48L2FsdC1wZXJpb2RpY2FsPjxwYWdlcz42MTAtODwvcGFnZXM+PHZvbHVt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b2xvZ3k8L2FiYnItMT48L2FsdC1wZXJpb2RpY2FsPjxwYWdlcz41OTQ0LTUxPC9wYWdlcz48dm9s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</w:fldData>
        </w:fldChar>
      </w:r>
      <w:r w:rsidR="00800327" w:rsidRPr="007A3223">
        <w:rPr>
          <w:szCs w:val="24"/>
        </w:rPr>
        <w:instrText xml:space="preserve"> ADDIN EN.CITE </w:instrText>
      </w:r>
      <w:r w:rsidR="00800327" w:rsidRPr="00383431">
        <w:rPr>
          <w:szCs w:val="24"/>
        </w:rPr>
        <w:fldChar w:fldCharType="begin">
          <w:fldData xml:space="preserve">PEVuZE5vdGU+PENpdGU+PEF1dGhvcj5NbGVjbmlrPC9BdXRob3I+PFllYXI+MjAxMTwvWWVhcj48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b2xvZ3k8L2FiYnItMT48L2FsdC1wZXJpb2RpY2FsPjxwYWdlcz42MTAtODwvcGFnZXM+PHZvbHVt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b2xvZ3k8L2FiYnItMT48L2FsdC1wZXJpb2RpY2FsPjxwYWdlcz41OTQ0LTUxPC9wYWdlcz48dm9s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</w:fldData>
        </w:fldChar>
      </w:r>
      <w:r w:rsidR="00800327" w:rsidRPr="007A3223">
        <w:rPr>
          <w:szCs w:val="24"/>
        </w:rPr>
        <w:instrText xml:space="preserve"> ADDIN EN.CITE.DATA </w:instrText>
      </w:r>
      <w:r w:rsidR="00800327" w:rsidRPr="00383431">
        <w:rPr>
          <w:szCs w:val="24"/>
        </w:rPr>
      </w:r>
      <w:r w:rsidR="00800327" w:rsidRPr="00383431">
        <w:rPr>
          <w:szCs w:val="24"/>
        </w:rPr>
        <w:fldChar w:fldCharType="end"/>
      </w:r>
      <w:r w:rsidRPr="00585A7F">
        <w:rPr>
          <w:szCs w:val="24"/>
        </w:rPr>
      </w:r>
      <w:r w:rsidRPr="00585A7F">
        <w:rPr>
          <w:szCs w:val="24"/>
        </w:rPr>
        <w:fldChar w:fldCharType="separate"/>
      </w:r>
      <w:hyperlink w:anchor="_ENREF_141" w:tooltip="Mlecnik, 2011 #3" w:history="1">
        <w:r w:rsidR="00F77861" w:rsidRPr="00244551">
          <w:rPr>
            <w:rStyle w:val="Hyperlink"/>
            <w:noProof/>
            <w:szCs w:val="24"/>
            <w:vertAlign w:val="superscript"/>
          </w:rPr>
          <w:t>141</w:t>
        </w:r>
      </w:hyperlink>
      <w:r w:rsidR="00800327" w:rsidRPr="00F33908">
        <w:rPr>
          <w:noProof/>
          <w:szCs w:val="24"/>
          <w:vertAlign w:val="superscript"/>
        </w:rPr>
        <w:t>,</w:t>
      </w:r>
      <w:hyperlink w:anchor="_ENREF_142" w:tooltip="Pages, 2009 #4" w:history="1">
        <w:r w:rsidR="00F77861" w:rsidRPr="00244551">
          <w:rPr>
            <w:rStyle w:val="Hyperlink"/>
            <w:noProof/>
            <w:szCs w:val="24"/>
            <w:vertAlign w:val="superscript"/>
          </w:rPr>
          <w:t>142</w:t>
        </w:r>
      </w:hyperlink>
      <w:r w:rsidRPr="00585A7F">
        <w:rPr>
          <w:szCs w:val="24"/>
        </w:rPr>
        <w:fldChar w:fldCharType="end"/>
      </w:r>
      <w:r w:rsidRPr="007A3223">
        <w:rPr>
          <w:szCs w:val="24"/>
        </w:rPr>
        <w:t>. In advanced disease</w:t>
      </w:r>
      <w:r w:rsidRPr="00F33908">
        <w:rPr>
          <w:szCs w:val="24"/>
        </w:rPr>
        <w:t>,</w:t>
      </w:r>
      <w:r w:rsidRPr="007A3223">
        <w:rPr>
          <w:szCs w:val="24"/>
        </w:rPr>
        <w:t xml:space="preserve"> however CRC appears to be less immunogenic, as evidenced by the lack of infiltrating lymphocytes with advancing T stage.   </w:t>
      </w:r>
    </w:p>
    <w:p w14:paraId="491BC648" w14:textId="790FE722" w:rsidR="0077729D" w:rsidRPr="00F33908" w:rsidRDefault="0077729D" w:rsidP="002F3363">
      <w:pPr>
        <w:tabs>
          <w:tab w:val="left" w:pos="180"/>
        </w:tabs>
        <w:spacing w:after="0"/>
        <w:rPr>
          <w:szCs w:val="24"/>
        </w:rPr>
      </w:pPr>
      <w:r w:rsidRPr="007A3223">
        <w:rPr>
          <w:szCs w:val="24"/>
        </w:rPr>
        <w:t xml:space="preserve">     VEGF exhibits proangiogenic properties but also has a key role in the induction and maintenance of an immunosuppressive microenvironment, which is one of the explanations for the ineffectiveness of immune checkpoint inhibitors in CRC (with the exception of MSI-hi tumors). VEGF has been shown to inhibit of dendritic cell maturation, result in</w:t>
      </w:r>
      <w:r w:rsidR="005339C7" w:rsidRPr="007A3223">
        <w:rPr>
          <w:szCs w:val="24"/>
        </w:rPr>
        <w:t xml:space="preserve"> the accumulation of MDSC and T</w:t>
      </w:r>
      <w:r w:rsidRPr="007A3223">
        <w:rPr>
          <w:szCs w:val="24"/>
        </w:rPr>
        <w:t>regs</w:t>
      </w:r>
      <w:r w:rsidRPr="00585A7F">
        <w:rPr>
          <w:szCs w:val="24"/>
        </w:rPr>
        <w:fldChar w:fldCharType="begin">
          <w:fldData xml:space="preserve">PEVuZE5vdGU+PENpdGU+PEF1dGhvcj5HYWJyaWxvdmljaDwvQXV0aG9yPjxZZWFyPjIwMDQ8L1ll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PC9hYmJyLTE+PC9hbHQtcGVyaW9kaWNhbD48cGFnZXM+MTA5Ni0xMDM8L3BhZ2VzPjx2b2x1bWU+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</w:fldData>
        </w:fldChar>
      </w:r>
      <w:r w:rsidR="00800327" w:rsidRPr="007A3223">
        <w:rPr>
          <w:szCs w:val="24"/>
        </w:rPr>
        <w:instrText xml:space="preserve"> ADDIN EN.CITE </w:instrText>
      </w:r>
      <w:r w:rsidR="00800327" w:rsidRPr="00383431">
        <w:rPr>
          <w:szCs w:val="24"/>
        </w:rPr>
        <w:fldChar w:fldCharType="begin">
          <w:fldData xml:space="preserve">PEVuZE5vdGU+PENpdGU+PEF1dGhvcj5HYWJyaWxvdmljaDwvQXV0aG9yPjxZZWFyPjIwMDQ8L1ll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PC9hYmJyLTE+PC9hbHQtcGVyaW9kaWNhbD48cGFnZXM+MTA5Ni0xMDM8L3BhZ2VzPjx2b2x1bWU+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</w:fldData>
        </w:fldChar>
      </w:r>
      <w:r w:rsidR="00800327" w:rsidRPr="007A3223">
        <w:rPr>
          <w:szCs w:val="24"/>
        </w:rPr>
        <w:instrText xml:space="preserve"> ADDIN EN.CITE.DATA </w:instrText>
      </w:r>
      <w:r w:rsidR="00800327" w:rsidRPr="00383431">
        <w:rPr>
          <w:szCs w:val="24"/>
        </w:rPr>
      </w:r>
      <w:r w:rsidR="00800327" w:rsidRPr="00383431">
        <w:rPr>
          <w:szCs w:val="24"/>
        </w:rPr>
        <w:fldChar w:fldCharType="end"/>
      </w:r>
      <w:r w:rsidRPr="00585A7F">
        <w:rPr>
          <w:szCs w:val="24"/>
        </w:rPr>
      </w:r>
      <w:r w:rsidRPr="00585A7F">
        <w:rPr>
          <w:szCs w:val="24"/>
        </w:rPr>
        <w:fldChar w:fldCharType="separate"/>
      </w:r>
      <w:hyperlink w:anchor="_ENREF_143" w:tooltip="Gabrilovich, 2004 #2220" w:history="1">
        <w:r w:rsidR="00F77861" w:rsidRPr="00244551">
          <w:rPr>
            <w:rStyle w:val="Hyperlink"/>
            <w:noProof/>
            <w:szCs w:val="24"/>
            <w:vertAlign w:val="superscript"/>
          </w:rPr>
          <w:t>143</w:t>
        </w:r>
      </w:hyperlink>
      <w:r w:rsidR="00800327" w:rsidRPr="00F33908">
        <w:rPr>
          <w:noProof/>
          <w:szCs w:val="24"/>
          <w:vertAlign w:val="superscript"/>
        </w:rPr>
        <w:t>,</w:t>
      </w:r>
      <w:hyperlink w:anchor="_ENREF_144" w:tooltip="Gabrilovich, 1996 #1" w:history="1">
        <w:r w:rsidR="00F77861" w:rsidRPr="00244551">
          <w:rPr>
            <w:rStyle w:val="Hyperlink"/>
            <w:noProof/>
            <w:szCs w:val="24"/>
            <w:vertAlign w:val="superscript"/>
          </w:rPr>
          <w:t>144</w:t>
        </w:r>
      </w:hyperlink>
      <w:r w:rsidRPr="00585A7F">
        <w:rPr>
          <w:szCs w:val="24"/>
        </w:rPr>
        <w:fldChar w:fldCharType="end"/>
      </w:r>
      <w:r w:rsidR="00800327" w:rsidRPr="007A3223">
        <w:rPr>
          <w:szCs w:val="24"/>
        </w:rPr>
        <w:t>.</w:t>
      </w:r>
      <w:r w:rsidRPr="00F33908">
        <w:rPr>
          <w:szCs w:val="24"/>
        </w:rPr>
        <w:t xml:space="preserve"> </w:t>
      </w:r>
      <w:r w:rsidRPr="007A3223">
        <w:rPr>
          <w:szCs w:val="24"/>
        </w:rPr>
        <w:t>In addition, VEGF-A modulates expression of PD1 on CD8</w:t>
      </w:r>
      <w:r w:rsidRPr="007A3223">
        <w:rPr>
          <w:szCs w:val="24"/>
          <w:vertAlign w:val="superscript"/>
        </w:rPr>
        <w:t>+</w:t>
      </w:r>
      <w:r w:rsidRPr="007A3223">
        <w:rPr>
          <w:szCs w:val="24"/>
        </w:rPr>
        <w:t xml:space="preserve"> T cells in colorectal cancer-bearing mice</w:t>
      </w:r>
      <w:hyperlink w:anchor="_ENREF_145" w:tooltip="Voron, 2015 #7" w:history="1">
        <w:r w:rsidR="00F77861" w:rsidRPr="00244551">
          <w:rPr>
            <w:rStyle w:val="Hyperlink"/>
            <w:szCs w:val="24"/>
          </w:rPr>
          <w:fldChar w:fldCharType="begin">
            <w:fldData xml:space="preserve">PEVuZE5vdGU+PENpdGU+PEF1dGhvcj5Wb3JvbjwvQXV0aG9yPjxZZWFyPjIwMTU8L1llYXI+PFJl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ci0xPjwvYWx0LXBlcmlvZGljYWw+PHBhZ2VzPjEzOS00ODwvcGFnZXM+PHZvbHVtZT4yMTI8L3Zv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PEVuZE5vdGU+PENpdGU+PEF1dGhvcj5Wb3JvbjwvQXV0aG9yPjxZZWFyPjIwMTU8L1llYXI+PFJl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ci0xPjwvYWx0LXBlcmlvZGljYWw+PHBhZ2VzPjEzOS00ODwvcGFnZXM+PHZvbHVtZT4yMTI8L3Zv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145</w:t>
        </w:r>
        <w:r w:rsidR="00F77861" w:rsidRPr="00244551">
          <w:rPr>
            <w:rStyle w:val="Hyperlink"/>
            <w:szCs w:val="24"/>
          </w:rPr>
          <w:fldChar w:fldCharType="end"/>
        </w:r>
      </w:hyperlink>
      <w:r w:rsidRPr="007A3223">
        <w:rPr>
          <w:szCs w:val="24"/>
        </w:rPr>
        <w:t>.</w:t>
      </w:r>
      <w:r w:rsidRPr="00F33908">
        <w:rPr>
          <w:i/>
          <w:u w:val="single"/>
        </w:rPr>
        <w:t xml:space="preserve"> </w:t>
      </w:r>
      <w:r w:rsidRPr="007A3223">
        <w:rPr>
          <w:szCs w:val="24"/>
        </w:rPr>
        <w:t xml:space="preserve">Terme </w:t>
      </w:r>
      <w:r w:rsidRPr="007A3223">
        <w:rPr>
          <w:i/>
          <w:szCs w:val="24"/>
        </w:rPr>
        <w:t>et al</w:t>
      </w:r>
      <w:r w:rsidRPr="007A3223">
        <w:rPr>
          <w:szCs w:val="24"/>
        </w:rPr>
        <w:t xml:space="preserve">. showed that VEGF-A could directly </w:t>
      </w:r>
      <w:r w:rsidR="005339C7" w:rsidRPr="007A3223">
        <w:rPr>
          <w:szCs w:val="24"/>
        </w:rPr>
        <w:t>induce T</w:t>
      </w:r>
      <w:r w:rsidRPr="007A3223">
        <w:rPr>
          <w:szCs w:val="24"/>
        </w:rPr>
        <w:t>reg cell proliferation in a VEGFR2-dependent manner in CRC mo</w:t>
      </w:r>
      <w:r w:rsidR="005339C7" w:rsidRPr="007A3223">
        <w:rPr>
          <w:szCs w:val="24"/>
        </w:rPr>
        <w:t xml:space="preserve">del (CT26) and in the blood of </w:t>
      </w:r>
      <w:r w:rsidRPr="007A3223">
        <w:rPr>
          <w:szCs w:val="24"/>
        </w:rPr>
        <w:t>metastatic CRC patients</w:t>
      </w:r>
      <w:hyperlink w:anchor="_ENREF_37" w:tooltip="Terme, 2013 #36" w:history="1">
        <w:r w:rsidR="00F77861" w:rsidRPr="00244551">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PEVuZE5vdGU+PENpdGU+PEF1dGhvcj5UZXJtZTwvQXV0aG9yPjxZZWFyPjIwMTM8L1llYXI+PFJl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37</w:t>
        </w:r>
        <w:r w:rsidR="00F77861" w:rsidRPr="00244551">
          <w:rPr>
            <w:rStyle w:val="Hyperlink"/>
            <w:szCs w:val="24"/>
          </w:rPr>
          <w:fldChar w:fldCharType="end"/>
        </w:r>
      </w:hyperlink>
      <w:r w:rsidRPr="007A3223">
        <w:rPr>
          <w:szCs w:val="24"/>
        </w:rPr>
        <w:t xml:space="preserve">. Treatment with bevacizumab inhibited Treg accumulation. </w:t>
      </w:r>
    </w:p>
    <w:p w14:paraId="4992972A" w14:textId="4941ECFD" w:rsidR="0077729D" w:rsidRPr="007A3223" w:rsidRDefault="0077729D" w:rsidP="002F3363">
      <w:pPr>
        <w:tabs>
          <w:tab w:val="left" w:pos="180"/>
        </w:tabs>
        <w:spacing w:after="0"/>
        <w:rPr>
          <w:i/>
          <w:u w:val="single"/>
        </w:rPr>
      </w:pPr>
      <w:r w:rsidRPr="007A3223">
        <w:rPr>
          <w:szCs w:val="24"/>
        </w:rPr>
        <w:t xml:space="preserve">     Anti-VEGF agents play a prominent role in the management of CRC, suggesting the importance of the VEGF pathway. Cediranib has been shown to be comparable to bevacizumab when combined with chemotherapy in patients with previously treated CRC</w:t>
      </w:r>
      <w:hyperlink w:anchor="_ENREF_146" w:tooltip="Cunningham, 2013 #9" w:history="1">
        <w:r w:rsidR="00F77861" w:rsidRPr="00244551">
          <w:rPr>
            <w:rStyle w:val="Hyperlink"/>
            <w:szCs w:val="24"/>
          </w:rPr>
          <w:fldChar w:fldCharType="begin">
            <w:fldData xml:space="preserve">PEVuZE5vdGU+PENpdGU+PEF1dGhvcj5DdW5uaW5naGFtPC9BdXRob3I+PFllYXI+MjAxMzwvWWVh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aW9kaWNhbD48cGFnZXM+NDkzLTUwMjwvcGFnZXM+PHZvbHVtZT4xMDg8L3ZvbHVtZT48bnVtYmVy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PEVuZE5vdGU+PENpdGU+PEF1dGhvcj5DdW5uaW5naGFtPC9BdXRob3I+PFllYXI+MjAxMzwvWWVh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aW9kaWNhbD48cGFnZXM+NDkzLTUwMjwvcGFnZXM+PHZvbHVtZT4xMDg8L3ZvbHVtZT48bnVtYmVy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146</w:t>
        </w:r>
        <w:r w:rsidR="00F77861" w:rsidRPr="00244551">
          <w:rPr>
            <w:rStyle w:val="Hyperlink"/>
            <w:szCs w:val="24"/>
          </w:rPr>
          <w:fldChar w:fldCharType="end"/>
        </w:r>
      </w:hyperlink>
      <w:r w:rsidRPr="007A3223">
        <w:rPr>
          <w:szCs w:val="24"/>
        </w:rPr>
        <w:t xml:space="preserve">. </w:t>
      </w:r>
      <w:r w:rsidRPr="00F33908">
        <w:rPr>
          <w:szCs w:val="24"/>
        </w:rPr>
        <w:t xml:space="preserve">Therefore, </w:t>
      </w:r>
      <w:r w:rsidRPr="007A3223">
        <w:rPr>
          <w:szCs w:val="24"/>
        </w:rPr>
        <w:t xml:space="preserve">disruption of the VEGF/VEGFR pathway would be a </w:t>
      </w:r>
      <w:r w:rsidR="008D7967" w:rsidRPr="007A3223">
        <w:rPr>
          <w:szCs w:val="24"/>
        </w:rPr>
        <w:t>promising approach</w:t>
      </w:r>
      <w:r w:rsidRPr="007A3223">
        <w:rPr>
          <w:szCs w:val="24"/>
        </w:rPr>
        <w:t xml:space="preserve"> for immunotherapy</w:t>
      </w:r>
      <w:r w:rsidR="008D7967" w:rsidRPr="007A3223">
        <w:rPr>
          <w:szCs w:val="24"/>
        </w:rPr>
        <w:t xml:space="preserve"> </w:t>
      </w:r>
      <w:r w:rsidR="008356D2" w:rsidRPr="007A3223">
        <w:rPr>
          <w:szCs w:val="24"/>
        </w:rPr>
        <w:t>combination</w:t>
      </w:r>
      <w:r w:rsidRPr="007A3223">
        <w:rPr>
          <w:szCs w:val="24"/>
        </w:rPr>
        <w:t xml:space="preserve"> in patients with </w:t>
      </w:r>
      <w:r w:rsidR="008D7967" w:rsidRPr="007A3223">
        <w:rPr>
          <w:szCs w:val="24"/>
        </w:rPr>
        <w:t>advanced or recurrent CR</w:t>
      </w:r>
      <w:r w:rsidRPr="007A3223">
        <w:rPr>
          <w:szCs w:val="24"/>
        </w:rPr>
        <w:t xml:space="preserve">C. </w:t>
      </w:r>
    </w:p>
    <w:p w14:paraId="17BE0C63" w14:textId="77777777" w:rsidR="00A65096" w:rsidRPr="007A3223" w:rsidRDefault="00A65096" w:rsidP="002F3363">
      <w:pPr>
        <w:spacing w:after="0"/>
        <w:rPr>
          <w:szCs w:val="24"/>
          <w:lang w:eastAsia="ko-KR"/>
        </w:rPr>
      </w:pPr>
    </w:p>
    <w:p w14:paraId="70EDFB8B" w14:textId="746F7591" w:rsidR="00D726FA" w:rsidRPr="007A3223" w:rsidRDefault="00DE34BF" w:rsidP="002F3363">
      <w:pPr>
        <w:spacing w:after="0"/>
        <w:rPr>
          <w:szCs w:val="24"/>
          <w:lang w:eastAsia="ko-KR"/>
        </w:rPr>
      </w:pPr>
      <w:r w:rsidRPr="007A3223">
        <w:rPr>
          <w:szCs w:val="24"/>
          <w:lang w:eastAsia="ko-KR"/>
        </w:rPr>
        <w:t xml:space="preserve">Collectively, </w:t>
      </w:r>
      <w:r w:rsidR="00445935" w:rsidRPr="007A3223">
        <w:rPr>
          <w:szCs w:val="24"/>
          <w:lang w:eastAsia="ko-KR"/>
        </w:rPr>
        <w:t>w</w:t>
      </w:r>
      <w:r w:rsidRPr="007A3223">
        <w:rPr>
          <w:szCs w:val="24"/>
          <w:lang w:eastAsia="ko-KR"/>
        </w:rPr>
        <w:t xml:space="preserve">e hypothesize that PARPi </w:t>
      </w:r>
      <w:r w:rsidR="00025FC2" w:rsidRPr="007A3223">
        <w:rPr>
          <w:szCs w:val="24"/>
          <w:lang w:eastAsia="ko-KR"/>
        </w:rPr>
        <w:t>and/</w:t>
      </w:r>
      <w:r w:rsidRPr="007A3223">
        <w:rPr>
          <w:szCs w:val="24"/>
          <w:lang w:eastAsia="ko-KR"/>
        </w:rPr>
        <w:t xml:space="preserve">or VEGF/VEGFR pathway inhibition will enhance the newly observed anti-tumor activity of immune checkpoint inhibition </w:t>
      </w:r>
      <w:r w:rsidRPr="007A3223">
        <w:rPr>
          <w:rFonts w:eastAsia="Times New Roman"/>
          <w:szCs w:val="24"/>
        </w:rPr>
        <w:t>in</w:t>
      </w:r>
      <w:r w:rsidRPr="007A3223">
        <w:rPr>
          <w:szCs w:val="24"/>
          <w:lang w:eastAsia="ko-KR"/>
        </w:rPr>
        <w:t xml:space="preserve"> subsets of ovarian, non-small cell lung, </w:t>
      </w:r>
      <w:r w:rsidR="00445935" w:rsidRPr="007A3223">
        <w:rPr>
          <w:szCs w:val="24"/>
          <w:lang w:eastAsia="ko-KR"/>
        </w:rPr>
        <w:t xml:space="preserve">small cell lung, </w:t>
      </w:r>
      <w:r w:rsidRPr="007A3223">
        <w:rPr>
          <w:szCs w:val="24"/>
          <w:lang w:eastAsia="ko-KR"/>
        </w:rPr>
        <w:t>prostate</w:t>
      </w:r>
      <w:r w:rsidR="00445935" w:rsidRPr="007A3223">
        <w:rPr>
          <w:szCs w:val="24"/>
          <w:lang w:eastAsia="ko-KR"/>
        </w:rPr>
        <w:t>,</w:t>
      </w:r>
      <w:r w:rsidRPr="007A3223">
        <w:rPr>
          <w:szCs w:val="24"/>
          <w:lang w:eastAsia="ko-KR"/>
        </w:rPr>
        <w:t xml:space="preserve"> </w:t>
      </w:r>
      <w:r w:rsidR="00445935" w:rsidRPr="007A3223">
        <w:rPr>
          <w:szCs w:val="24"/>
          <w:lang w:eastAsia="ko-KR"/>
        </w:rPr>
        <w:t xml:space="preserve">triple negative breast, and colorectal </w:t>
      </w:r>
      <w:r w:rsidRPr="007A3223">
        <w:rPr>
          <w:szCs w:val="24"/>
          <w:lang w:eastAsia="ko-KR"/>
        </w:rPr>
        <w:t xml:space="preserve">cancer patients. </w:t>
      </w:r>
      <w:r w:rsidR="005339C7" w:rsidRPr="007A3223">
        <w:rPr>
          <w:szCs w:val="24"/>
          <w:lang w:eastAsia="ko-KR"/>
        </w:rPr>
        <w:t xml:space="preserve">We believe that it is </w:t>
      </w:r>
      <w:r w:rsidR="005339C7" w:rsidRPr="007A3223">
        <w:rPr>
          <w:szCs w:val="24"/>
        </w:rPr>
        <w:t>reasonable and necessary to prospectively elucidate the activity of the two doublets (</w:t>
      </w:r>
      <w:r w:rsidR="005339C7" w:rsidRPr="007A3223">
        <w:rPr>
          <w:szCs w:val="24"/>
          <w:lang w:eastAsia="ko-KR"/>
        </w:rPr>
        <w:t>a PD-L1 inhibitor</w:t>
      </w:r>
      <w:r w:rsidR="005339C7" w:rsidRPr="007A3223">
        <w:rPr>
          <w:szCs w:val="24"/>
        </w:rPr>
        <w:t xml:space="preserve">/olaparib </w:t>
      </w:r>
      <w:r w:rsidR="00354F68" w:rsidRPr="007A3223">
        <w:rPr>
          <w:szCs w:val="24"/>
        </w:rPr>
        <w:t>or</w:t>
      </w:r>
      <w:r w:rsidR="005339C7" w:rsidRPr="007A3223">
        <w:rPr>
          <w:szCs w:val="24"/>
        </w:rPr>
        <w:t xml:space="preserve"> </w:t>
      </w:r>
      <w:r w:rsidR="005339C7" w:rsidRPr="007A3223">
        <w:rPr>
          <w:szCs w:val="24"/>
          <w:lang w:eastAsia="ko-KR"/>
        </w:rPr>
        <w:t>a PD-L1 inhibitor</w:t>
      </w:r>
      <w:r w:rsidR="005339C7" w:rsidRPr="007A3223">
        <w:rPr>
          <w:szCs w:val="24"/>
        </w:rPr>
        <w:t xml:space="preserve">/cediranib) in </w:t>
      </w:r>
      <w:r w:rsidR="00354F68" w:rsidRPr="007A3223">
        <w:rPr>
          <w:szCs w:val="24"/>
        </w:rPr>
        <w:t>these diseases</w:t>
      </w:r>
      <w:r w:rsidR="005339C7" w:rsidRPr="007A3223">
        <w:rPr>
          <w:szCs w:val="24"/>
        </w:rPr>
        <w:t xml:space="preserve">. </w:t>
      </w:r>
      <w:r w:rsidR="005339C7" w:rsidRPr="007A3223">
        <w:rPr>
          <w:rFonts w:eastAsia="Times New Roman"/>
          <w:szCs w:val="24"/>
        </w:rPr>
        <w:t xml:space="preserve">The </w:t>
      </w:r>
      <w:r w:rsidR="005339C7" w:rsidRPr="007A3223">
        <w:rPr>
          <w:szCs w:val="24"/>
          <w:lang w:eastAsia="ko-KR"/>
        </w:rPr>
        <w:t xml:space="preserve">data used with the two doublets will be the foundation of a randomized study of the </w:t>
      </w:r>
      <w:r w:rsidR="00354F68" w:rsidRPr="007A3223">
        <w:rPr>
          <w:szCs w:val="24"/>
          <w:lang w:eastAsia="ko-KR"/>
        </w:rPr>
        <w:t>doublets or the triplet therapy</w:t>
      </w:r>
      <w:r w:rsidR="005339C7" w:rsidRPr="007A3223">
        <w:rPr>
          <w:szCs w:val="24"/>
          <w:lang w:eastAsia="ko-KR"/>
        </w:rPr>
        <w:t xml:space="preserve"> in this patient population.  </w:t>
      </w:r>
    </w:p>
    <w:p w14:paraId="74D7EB92" w14:textId="77777777" w:rsidR="00BB1B7B" w:rsidRPr="007A3223" w:rsidRDefault="00BB1B7B" w:rsidP="00EA69AB">
      <w:pPr>
        <w:spacing w:after="0"/>
      </w:pPr>
    </w:p>
    <w:p w14:paraId="1A75256B" w14:textId="710316F2" w:rsidR="00C90E85" w:rsidRPr="007A3223" w:rsidRDefault="00380080" w:rsidP="00F35E82">
      <w:pPr>
        <w:rPr>
          <w:i/>
        </w:rPr>
      </w:pPr>
      <w:r>
        <w:t>D</w:t>
      </w:r>
      <w:r w:rsidR="00505D3A" w:rsidRPr="007A3223">
        <w:t>urvalumab</w:t>
      </w:r>
      <w:r w:rsidR="00CB1EE9" w:rsidRPr="007A3223">
        <w:t>, an anti-</w:t>
      </w:r>
      <w:r w:rsidR="007A6E6D" w:rsidRPr="007A3223">
        <w:t xml:space="preserve">PD-L1 inhibitor </w:t>
      </w:r>
      <w:r w:rsidR="00465F8E" w:rsidRPr="007A3223">
        <w:t>(</w:t>
      </w:r>
      <w:r w:rsidR="007A6E6D" w:rsidRPr="007A3223">
        <w:t>Data source: 201</w:t>
      </w:r>
      <w:r w:rsidR="00505D3A" w:rsidRPr="007A3223">
        <w:t>5</w:t>
      </w:r>
      <w:r w:rsidR="007A6E6D" w:rsidRPr="007A3223">
        <w:t xml:space="preserve"> Investigator’s Brochure [IB]</w:t>
      </w:r>
      <w:r w:rsidR="00C5578D" w:rsidRPr="007A3223">
        <w:t xml:space="preserve"> v</w:t>
      </w:r>
      <w:r w:rsidR="00505D3A" w:rsidRPr="007A3223">
        <w:t>8</w:t>
      </w:r>
      <w:r w:rsidR="00C5578D" w:rsidRPr="007A3223">
        <w:t>.0, 201</w:t>
      </w:r>
      <w:r w:rsidR="00505D3A" w:rsidRPr="007A3223">
        <w:t>5</w:t>
      </w:r>
      <w:r w:rsidR="00465F8E" w:rsidRPr="007A3223">
        <w:t>)</w:t>
      </w:r>
    </w:p>
    <w:p w14:paraId="1B294A92" w14:textId="77777777" w:rsidR="00465F8E" w:rsidRPr="007A3223" w:rsidRDefault="00465F8E" w:rsidP="00EA69AB">
      <w:pPr>
        <w:spacing w:after="0"/>
      </w:pPr>
    </w:p>
    <w:p w14:paraId="1A1E8E92" w14:textId="77777777" w:rsidR="00C955BC" w:rsidRPr="007A3223" w:rsidRDefault="00C955BC" w:rsidP="00541C93">
      <w:pPr>
        <w:pStyle w:val="Heading4"/>
      </w:pPr>
      <w:r w:rsidRPr="007A3223">
        <w:t>Preclinical studies</w:t>
      </w:r>
    </w:p>
    <w:p w14:paraId="21502E1D" w14:textId="396B82A1" w:rsidR="001411D9" w:rsidRPr="007A3223" w:rsidRDefault="00E212D4" w:rsidP="00034A4B">
      <w:pPr>
        <w:spacing w:after="0"/>
        <w:ind w:firstLine="360"/>
        <w:rPr>
          <w:bCs/>
          <w:szCs w:val="24"/>
        </w:rPr>
      </w:pPr>
      <w:r w:rsidRPr="00E212D4">
        <w:rPr>
          <w:bCs/>
          <w:szCs w:val="24"/>
        </w:rPr>
        <w:lastRenderedPageBreak/>
        <w:t>Durvalumab</w:t>
      </w:r>
      <w:r w:rsidR="00833495" w:rsidRPr="007A3223">
        <w:rPr>
          <w:bCs/>
          <w:szCs w:val="24"/>
        </w:rPr>
        <w:t xml:space="preserve"> is a human </w:t>
      </w:r>
      <w:r w:rsidR="00833495" w:rsidRPr="007A3223">
        <w:rPr>
          <w:szCs w:val="24"/>
        </w:rPr>
        <w:t>IgG1</w:t>
      </w:r>
      <w:r w:rsidR="00833495" w:rsidRPr="007A3223">
        <w:rPr>
          <w:color w:val="000000"/>
          <w:szCs w:val="24"/>
        </w:rPr>
        <w:t xml:space="preserve">κ </w:t>
      </w:r>
      <w:r w:rsidR="00833495" w:rsidRPr="007A3223">
        <w:rPr>
          <w:bCs/>
          <w:szCs w:val="24"/>
        </w:rPr>
        <w:t>monoclonal antibody that selectively binds human PD-L1 with high affinity and high specificity</w:t>
      </w:r>
      <w:r w:rsidR="00D21AAA" w:rsidRPr="007A3223">
        <w:rPr>
          <w:bCs/>
          <w:szCs w:val="24"/>
        </w:rPr>
        <w:t xml:space="preserve">. </w:t>
      </w:r>
      <w:r w:rsidR="001548FB" w:rsidRPr="007A3223">
        <w:rPr>
          <w:bCs/>
          <w:szCs w:val="24"/>
        </w:rPr>
        <w:t xml:space="preserve">Drug </w:t>
      </w:r>
      <w:r w:rsidR="001548FB" w:rsidRPr="007A3223">
        <w:rPr>
          <w:szCs w:val="24"/>
        </w:rPr>
        <w:t>binding</w:t>
      </w:r>
      <w:r w:rsidR="00833495" w:rsidRPr="007A3223">
        <w:rPr>
          <w:bCs/>
          <w:szCs w:val="24"/>
        </w:rPr>
        <w:t xml:space="preserve"> </w:t>
      </w:r>
      <w:r w:rsidR="001548FB" w:rsidRPr="007A3223">
        <w:rPr>
          <w:bCs/>
          <w:szCs w:val="24"/>
        </w:rPr>
        <w:t xml:space="preserve">to </w:t>
      </w:r>
      <w:r w:rsidR="00833495" w:rsidRPr="007A3223">
        <w:rPr>
          <w:bCs/>
          <w:szCs w:val="24"/>
        </w:rPr>
        <w:t xml:space="preserve">PD-L1 prevents </w:t>
      </w:r>
      <w:r w:rsidR="001548FB" w:rsidRPr="007A3223">
        <w:rPr>
          <w:bCs/>
          <w:szCs w:val="24"/>
        </w:rPr>
        <w:t xml:space="preserve">the ligand from </w:t>
      </w:r>
      <w:r w:rsidR="00833495" w:rsidRPr="007A3223">
        <w:rPr>
          <w:bCs/>
          <w:szCs w:val="24"/>
        </w:rPr>
        <w:t xml:space="preserve">binding to PD-1 and CD80, a T cell activation ligand on B cells or monocytes. </w:t>
      </w:r>
      <w:r w:rsidRPr="00E212D4">
        <w:rPr>
          <w:bCs/>
          <w:szCs w:val="24"/>
        </w:rPr>
        <w:t>Durvalumab</w:t>
      </w:r>
      <w:r w:rsidR="00833495" w:rsidRPr="007A3223">
        <w:rPr>
          <w:bCs/>
          <w:szCs w:val="24"/>
        </w:rPr>
        <w:t xml:space="preserve"> also </w:t>
      </w:r>
      <w:r w:rsidR="00833495" w:rsidRPr="007A3223">
        <w:rPr>
          <w:szCs w:val="24"/>
        </w:rPr>
        <w:t xml:space="preserve">contains a mutation engineered within </w:t>
      </w:r>
      <w:r w:rsidR="00950183" w:rsidRPr="007A3223">
        <w:rPr>
          <w:szCs w:val="24"/>
        </w:rPr>
        <w:t>the constant domain of the Ig</w:t>
      </w:r>
      <w:r w:rsidR="00833495" w:rsidRPr="007A3223">
        <w:rPr>
          <w:szCs w:val="24"/>
        </w:rPr>
        <w:t xml:space="preserve"> G1 heavy chain that reduces binding to complement protein C1q and the fragment gamma </w:t>
      </w:r>
      <w:r w:rsidR="00833495" w:rsidRPr="007A3223">
        <w:rPr>
          <w:bCs/>
          <w:szCs w:val="24"/>
        </w:rPr>
        <w:t>Fcγ receptor</w:t>
      </w:r>
      <w:r w:rsidR="00950183" w:rsidRPr="007A3223">
        <w:rPr>
          <w:bCs/>
          <w:szCs w:val="24"/>
        </w:rPr>
        <w:t xml:space="preserve">. </w:t>
      </w:r>
      <w:r w:rsidR="00833495" w:rsidRPr="007A3223">
        <w:rPr>
          <w:bCs/>
          <w:szCs w:val="24"/>
        </w:rPr>
        <w:t xml:space="preserve">This mutation is critical for eliminating off-target complement-mediated cytotoxicity and antibody-dependent cell-mediated cytotoxicity (ADCC). </w:t>
      </w:r>
    </w:p>
    <w:p w14:paraId="1C05D56B" w14:textId="7EF8D458" w:rsidR="005B173F" w:rsidRPr="007A3223" w:rsidRDefault="00833495" w:rsidP="00C955BC">
      <w:pPr>
        <w:spacing w:after="0"/>
        <w:ind w:firstLine="360"/>
      </w:pPr>
      <w:r w:rsidRPr="007A3223">
        <w:rPr>
          <w:bCs/>
          <w:i/>
          <w:szCs w:val="24"/>
        </w:rPr>
        <w:t xml:space="preserve">In vitro </w:t>
      </w:r>
      <w:r w:rsidRPr="007A3223">
        <w:rPr>
          <w:bCs/>
          <w:szCs w:val="24"/>
        </w:rPr>
        <w:t xml:space="preserve">studies demonstrated that </w:t>
      </w:r>
      <w:r w:rsidR="006B6C38" w:rsidRPr="006B6C38">
        <w:rPr>
          <w:bCs/>
          <w:szCs w:val="24"/>
        </w:rPr>
        <w:t>Durvalumab</w:t>
      </w:r>
      <w:r w:rsidRPr="007A3223">
        <w:rPr>
          <w:bCs/>
          <w:szCs w:val="24"/>
        </w:rPr>
        <w:t xml:space="preserve"> blocked PD-L1</w:t>
      </w:r>
      <w:r w:rsidRPr="007A3223">
        <w:rPr>
          <w:bCs/>
          <w:i/>
          <w:szCs w:val="24"/>
        </w:rPr>
        <w:t xml:space="preserve">, </w:t>
      </w:r>
      <w:r w:rsidRPr="007A3223">
        <w:rPr>
          <w:bCs/>
          <w:szCs w:val="24"/>
        </w:rPr>
        <w:t>thereby preventing</w:t>
      </w:r>
      <w:r w:rsidRPr="007A3223">
        <w:rPr>
          <w:bCs/>
          <w:i/>
          <w:szCs w:val="24"/>
        </w:rPr>
        <w:t xml:space="preserve"> </w:t>
      </w:r>
      <w:r w:rsidRPr="007A3223">
        <w:rPr>
          <w:bCs/>
          <w:szCs w:val="24"/>
        </w:rPr>
        <w:t xml:space="preserve">PD-L1-mediated suppression of human T cell activation. The effect of </w:t>
      </w:r>
      <w:r w:rsidR="006B6C38" w:rsidRPr="006B6C38">
        <w:rPr>
          <w:bCs/>
          <w:szCs w:val="24"/>
        </w:rPr>
        <w:t>Durvalumab</w:t>
      </w:r>
      <w:r w:rsidRPr="007A3223">
        <w:rPr>
          <w:bCs/>
          <w:szCs w:val="24"/>
        </w:rPr>
        <w:t xml:space="preserve"> on the growth of human tumor cell lines in sets of 6 nonobese diabetic (NOD)/severe combined immunodeficient (SCID) mice were studied. NOD/SCID mice were engrafted subcutaneously </w:t>
      </w:r>
      <w:r w:rsidR="007A6E6D" w:rsidRPr="007A3223">
        <w:rPr>
          <w:bCs/>
          <w:szCs w:val="24"/>
        </w:rPr>
        <w:t xml:space="preserve">on day 1 with human pancreatic adenocarcinoma (HPAC) tumor cell lines alone or mixed with alloreactive human CD4+ and CD8+ T cell lines. </w:t>
      </w:r>
      <w:r w:rsidR="003B4BCC" w:rsidRPr="003B4BCC">
        <w:rPr>
          <w:bCs/>
          <w:szCs w:val="24"/>
        </w:rPr>
        <w:t>Durvalumab</w:t>
      </w:r>
      <w:r w:rsidR="007A6E6D" w:rsidRPr="007A3223">
        <w:rPr>
          <w:bCs/>
          <w:szCs w:val="24"/>
        </w:rPr>
        <w:t xml:space="preserve"> and mutant IgG isotype control antibody (CAT254) were administered intra-peritoneally to animals inoculated with HPAC and human T cells, 1 hour after the implantation and on days 3, 5, 8, and 10. Tumor growth is shown in </w:t>
      </w:r>
      <w:r w:rsidR="00307B04" w:rsidRPr="00F33908">
        <w:rPr>
          <w:b/>
          <w:color w:val="0000FF"/>
        </w:rPr>
        <w:fldChar w:fldCharType="begin"/>
      </w:r>
      <w:r w:rsidR="00307B04" w:rsidRPr="007A3223">
        <w:rPr>
          <w:b/>
          <w:color w:val="0000FF"/>
        </w:rPr>
        <w:instrText xml:space="preserve"> REF _Ref405294161 \h  \* MERGEFORMAT </w:instrText>
      </w:r>
      <w:r w:rsidR="00307B04" w:rsidRPr="00F33908">
        <w:rPr>
          <w:b/>
          <w:color w:val="0000FF"/>
        </w:rPr>
      </w:r>
      <w:r w:rsidR="00307B04" w:rsidRPr="00F33908">
        <w:rPr>
          <w:b/>
          <w:color w:val="0000FF"/>
        </w:rPr>
        <w:fldChar w:fldCharType="separate"/>
      </w:r>
      <w:r w:rsidR="00E47ACA" w:rsidRPr="00E47ACA">
        <w:rPr>
          <w:b/>
          <w:color w:val="0000FF"/>
        </w:rPr>
        <w:t xml:space="preserve">Figure </w:t>
      </w:r>
      <w:r w:rsidR="00E47ACA" w:rsidRPr="00E47ACA">
        <w:rPr>
          <w:b/>
          <w:noProof/>
          <w:color w:val="0000FF"/>
        </w:rPr>
        <w:t>5</w:t>
      </w:r>
      <w:r w:rsidR="00307B04" w:rsidRPr="00F33908">
        <w:rPr>
          <w:b/>
          <w:color w:val="0000FF"/>
        </w:rPr>
        <w:fldChar w:fldCharType="end"/>
      </w:r>
      <w:r w:rsidR="007A6E6D" w:rsidRPr="007A3223">
        <w:rPr>
          <w:bCs/>
          <w:szCs w:val="24"/>
        </w:rPr>
        <w:t>, with a significant inhibition of HPAC growth in a dose-dep</w:t>
      </w:r>
      <w:r w:rsidR="007A6E6D" w:rsidRPr="00F33908">
        <w:rPr>
          <w:bCs/>
          <w:szCs w:val="24"/>
        </w:rPr>
        <w:t xml:space="preserve">endent fashion, up to 74% compared to CAT254. </w:t>
      </w:r>
    </w:p>
    <w:tbl>
      <w:tblPr>
        <w:tblW w:w="0" w:type="auto"/>
        <w:tblLook w:val="04A0" w:firstRow="1" w:lastRow="0" w:firstColumn="1" w:lastColumn="0" w:noHBand="0" w:noVBand="1"/>
      </w:tblPr>
      <w:tblGrid>
        <w:gridCol w:w="4577"/>
        <w:gridCol w:w="4783"/>
      </w:tblGrid>
      <w:tr w:rsidR="005B173F" w:rsidRPr="007A3223" w14:paraId="69AD566B" w14:textId="77777777" w:rsidTr="004A4EEA">
        <w:tc>
          <w:tcPr>
            <w:tcW w:w="4608" w:type="dxa"/>
            <w:shd w:val="clear" w:color="auto" w:fill="auto"/>
          </w:tcPr>
          <w:p w14:paraId="26D93D45" w14:textId="77777777" w:rsidR="005B173F" w:rsidRPr="007A3223" w:rsidRDefault="00877D1F" w:rsidP="00AC750A">
            <w:pPr>
              <w:spacing w:after="0"/>
              <w:rPr>
                <w:bCs/>
                <w:szCs w:val="24"/>
              </w:rPr>
            </w:pPr>
            <w:r w:rsidRPr="007A3223">
              <w:rPr>
                <w:noProof/>
                <w:szCs w:val="24"/>
                <w:lang w:eastAsia="ko-KR"/>
              </w:rPr>
              <w:drawing>
                <wp:inline distT="0" distB="0" distL="0" distR="0" wp14:anchorId="5EC85AC0" wp14:editId="474E5110">
                  <wp:extent cx="2438400" cy="2039166"/>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039166"/>
                          </a:xfrm>
                          <a:prstGeom prst="rect">
                            <a:avLst/>
                          </a:prstGeom>
                          <a:noFill/>
                          <a:ln>
                            <a:noFill/>
                          </a:ln>
                        </pic:spPr>
                      </pic:pic>
                    </a:graphicData>
                  </a:graphic>
                </wp:inline>
              </w:drawing>
            </w:r>
          </w:p>
        </w:tc>
        <w:tc>
          <w:tcPr>
            <w:tcW w:w="4968" w:type="dxa"/>
            <w:shd w:val="clear" w:color="auto" w:fill="auto"/>
          </w:tcPr>
          <w:p w14:paraId="771039E8" w14:textId="2AF71E38" w:rsidR="005B173F" w:rsidRPr="007A3223" w:rsidRDefault="00D8274C" w:rsidP="00D8274C">
            <w:pPr>
              <w:pStyle w:val="Caption"/>
              <w:rPr>
                <w:b w:val="0"/>
                <w:bCs w:val="0"/>
                <w:sz w:val="22"/>
              </w:rPr>
            </w:pPr>
            <w:bookmarkStart w:id="42" w:name="_Ref405294161"/>
            <w:bookmarkStart w:id="43" w:name="_Ref398821046"/>
            <w:r w:rsidRPr="00F33908">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5</w:t>
            </w:r>
            <w:r w:rsidR="00F82420" w:rsidRPr="00F33908">
              <w:rPr>
                <w:noProof/>
              </w:rPr>
              <w:fldChar w:fldCharType="end"/>
            </w:r>
            <w:bookmarkEnd w:id="42"/>
            <w:r w:rsidRPr="007A3223">
              <w:t xml:space="preserve">. </w:t>
            </w:r>
            <w:bookmarkEnd w:id="43"/>
            <w:r w:rsidR="005B173F" w:rsidRPr="00F33908">
              <w:rPr>
                <w:b w:val="0"/>
                <w:bCs w:val="0"/>
                <w:sz w:val="22"/>
                <w:u w:val="single"/>
              </w:rPr>
              <w:t xml:space="preserve">Effect of </w:t>
            </w:r>
            <w:r w:rsidR="003B4BCC" w:rsidRPr="003B4BCC">
              <w:rPr>
                <w:b w:val="0"/>
                <w:bCs w:val="0"/>
                <w:sz w:val="22"/>
                <w:u w:val="single"/>
                <w:lang w:val="en-US"/>
              </w:rPr>
              <w:t>Durvalumab</w:t>
            </w:r>
            <w:r w:rsidR="005B173F" w:rsidRPr="00F33908">
              <w:rPr>
                <w:b w:val="0"/>
                <w:bCs w:val="0"/>
                <w:sz w:val="22"/>
                <w:u w:val="single"/>
              </w:rPr>
              <w:t xml:space="preserve"> on the growth of human pancreatic adenocarcinoma tumor cells in a mouse </w:t>
            </w:r>
            <w:r w:rsidR="005B173F" w:rsidRPr="007A3223">
              <w:rPr>
                <w:b w:val="0"/>
                <w:bCs w:val="0"/>
                <w:sz w:val="22"/>
                <w:u w:val="single"/>
              </w:rPr>
              <w:t>model containing human T cells</w:t>
            </w:r>
          </w:p>
          <w:p w14:paraId="448A822D" w14:textId="77777777" w:rsidR="00441ADC" w:rsidRPr="007A3223" w:rsidRDefault="00441ADC" w:rsidP="00AC750A">
            <w:pPr>
              <w:widowControl w:val="0"/>
              <w:autoSpaceDE w:val="0"/>
              <w:autoSpaceDN w:val="0"/>
              <w:adjustRightInd w:val="0"/>
              <w:spacing w:after="0"/>
              <w:rPr>
                <w:bCs/>
                <w:szCs w:val="24"/>
              </w:rPr>
            </w:pPr>
          </w:p>
          <w:p w14:paraId="10B0CCCC" w14:textId="77777777" w:rsidR="005B173F" w:rsidRPr="007A3223" w:rsidRDefault="005B173F" w:rsidP="00AC750A">
            <w:pPr>
              <w:widowControl w:val="0"/>
              <w:autoSpaceDE w:val="0"/>
              <w:autoSpaceDN w:val="0"/>
              <w:adjustRightInd w:val="0"/>
              <w:spacing w:after="0"/>
              <w:rPr>
                <w:bCs/>
                <w:sz w:val="20"/>
                <w:szCs w:val="20"/>
              </w:rPr>
            </w:pPr>
            <w:r w:rsidRPr="007A3223">
              <w:rPr>
                <w:bCs/>
                <w:sz w:val="20"/>
                <w:szCs w:val="20"/>
              </w:rPr>
              <w:t>#: Tumor growth inhibition &gt; 50%, p&lt;0.05, compared to the isotype-control group</w:t>
            </w:r>
            <w:r w:rsidR="00691921" w:rsidRPr="007A3223">
              <w:rPr>
                <w:bCs/>
                <w:sz w:val="20"/>
                <w:szCs w:val="20"/>
              </w:rPr>
              <w:t>.</w:t>
            </w:r>
            <w:r w:rsidRPr="007A3223">
              <w:rPr>
                <w:bCs/>
                <w:sz w:val="20"/>
                <w:szCs w:val="20"/>
              </w:rPr>
              <w:t xml:space="preserve">  </w:t>
            </w:r>
          </w:p>
        </w:tc>
      </w:tr>
    </w:tbl>
    <w:p w14:paraId="39D93C6F" w14:textId="1A0BAD3F" w:rsidR="0025061D" w:rsidRPr="00F33908" w:rsidRDefault="007A6E6D" w:rsidP="00AC750A">
      <w:pPr>
        <w:spacing w:after="0"/>
        <w:ind w:firstLine="360"/>
        <w:rPr>
          <w:bCs/>
          <w:szCs w:val="24"/>
        </w:rPr>
      </w:pPr>
      <w:r w:rsidRPr="007A3223">
        <w:rPr>
          <w:bCs/>
          <w:szCs w:val="24"/>
        </w:rPr>
        <w:t>An anti-mouse PD-L1 antibody demonstrated improved survival in the syngeneic CT26 colorectal tumor model when given as monotherapy, and further, resulted in complete tumor regression in &gt;50% of treated mice when given in combination with oxaliplatin. Responsive mice remained tumor-free for 3</w:t>
      </w:r>
      <w:r w:rsidR="00A57EAA" w:rsidRPr="007A3223">
        <w:rPr>
          <w:bCs/>
          <w:szCs w:val="24"/>
        </w:rPr>
        <w:t xml:space="preserve"> </w:t>
      </w:r>
      <w:r w:rsidRPr="007A3223">
        <w:rPr>
          <w:bCs/>
          <w:szCs w:val="24"/>
        </w:rPr>
        <w:t>months post-study (</w:t>
      </w:r>
      <w:r w:rsidR="00307B04" w:rsidRPr="00F33908">
        <w:fldChar w:fldCharType="begin"/>
      </w:r>
      <w:r w:rsidR="00307B04" w:rsidRPr="007A3223">
        <w:instrText xml:space="preserve"> REF _Ref405294265 \h  \* MERGEFORMAT </w:instrText>
      </w:r>
      <w:r w:rsidR="00307B04" w:rsidRPr="00F33908">
        <w:fldChar w:fldCharType="separate"/>
      </w:r>
      <w:r w:rsidR="00E47ACA" w:rsidRPr="00E47ACA">
        <w:rPr>
          <w:b/>
          <w:color w:val="0000FF"/>
        </w:rPr>
        <w:t>Figure 6</w:t>
      </w:r>
      <w:r w:rsidR="00307B04" w:rsidRPr="00F33908">
        <w:fldChar w:fldCharType="end"/>
      </w:r>
      <w:r w:rsidRPr="007A3223">
        <w:rPr>
          <w:bCs/>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224"/>
      </w:tblGrid>
      <w:tr w:rsidR="00D8274C" w:rsidRPr="007A3223" w14:paraId="4CF883D0" w14:textId="77777777" w:rsidTr="00D8274C">
        <w:tc>
          <w:tcPr>
            <w:tcW w:w="4788" w:type="dxa"/>
          </w:tcPr>
          <w:p w14:paraId="5DF047F0" w14:textId="77777777" w:rsidR="00D8274C" w:rsidRPr="007A3223" w:rsidRDefault="00D8274C" w:rsidP="00AC750A">
            <w:pPr>
              <w:spacing w:after="0"/>
              <w:rPr>
                <w:bCs/>
                <w:szCs w:val="24"/>
              </w:rPr>
            </w:pPr>
            <w:r w:rsidRPr="007A3223">
              <w:rPr>
                <w:noProof/>
                <w:szCs w:val="24"/>
                <w:lang w:eastAsia="ko-KR"/>
              </w:rPr>
              <w:drawing>
                <wp:inline distT="0" distB="0" distL="0" distR="0" wp14:anchorId="2288C06F" wp14:editId="734B3232">
                  <wp:extent cx="3121269" cy="1803400"/>
                  <wp:effectExtent l="0" t="0" r="317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bright="-8000" contrast="30000"/>
                            <a:extLst>
                              <a:ext uri="{28A0092B-C50C-407E-A947-70E740481C1C}">
                                <a14:useLocalDpi xmlns:a14="http://schemas.microsoft.com/office/drawing/2010/main" val="0"/>
                              </a:ext>
                            </a:extLst>
                          </a:blip>
                          <a:srcRect/>
                          <a:stretch>
                            <a:fillRect/>
                          </a:stretch>
                        </pic:blipFill>
                        <pic:spPr bwMode="auto">
                          <a:xfrm>
                            <a:off x="0" y="0"/>
                            <a:ext cx="3122468" cy="1804093"/>
                          </a:xfrm>
                          <a:prstGeom prst="rect">
                            <a:avLst/>
                          </a:prstGeom>
                          <a:noFill/>
                          <a:ln>
                            <a:noFill/>
                          </a:ln>
                        </pic:spPr>
                      </pic:pic>
                    </a:graphicData>
                  </a:graphic>
                </wp:inline>
              </w:drawing>
            </w:r>
          </w:p>
        </w:tc>
        <w:tc>
          <w:tcPr>
            <w:tcW w:w="4788" w:type="dxa"/>
          </w:tcPr>
          <w:p w14:paraId="6604A551" w14:textId="3D86C984" w:rsidR="00D8274C" w:rsidRPr="007A3223" w:rsidRDefault="00D8274C" w:rsidP="00D8274C">
            <w:pPr>
              <w:pStyle w:val="Caption"/>
              <w:rPr>
                <w:bCs w:val="0"/>
                <w:szCs w:val="24"/>
              </w:rPr>
            </w:pPr>
            <w:bookmarkStart w:id="44" w:name="_Ref405294265"/>
            <w:r w:rsidRPr="00F33908">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6</w:t>
            </w:r>
            <w:r w:rsidR="00F82420" w:rsidRPr="00F33908">
              <w:rPr>
                <w:noProof/>
              </w:rPr>
              <w:fldChar w:fldCharType="end"/>
            </w:r>
            <w:bookmarkEnd w:id="44"/>
            <w:r w:rsidRPr="007A3223">
              <w:t xml:space="preserve">. </w:t>
            </w:r>
            <w:r w:rsidRPr="00F33908">
              <w:rPr>
                <w:b w:val="0"/>
                <w:bCs w:val="0"/>
                <w:u w:val="single"/>
              </w:rPr>
              <w:t>Augmented survival by the combination of anti-mouse PD-L1 antibody</w:t>
            </w:r>
            <w:r w:rsidR="00886D49" w:rsidRPr="007A3223">
              <w:rPr>
                <w:b w:val="0"/>
                <w:bCs w:val="0"/>
                <w:u w:val="single"/>
              </w:rPr>
              <w:t xml:space="preserve"> (anti-B7-H1)</w:t>
            </w:r>
            <w:r w:rsidRPr="007A3223">
              <w:rPr>
                <w:b w:val="0"/>
                <w:bCs w:val="0"/>
                <w:u w:val="single"/>
              </w:rPr>
              <w:t xml:space="preserve"> and oxaliplatin compared to single agent in CT26 colorectal </w:t>
            </w:r>
            <w:r w:rsidRPr="007A3223">
              <w:rPr>
                <w:b w:val="0"/>
                <w:bCs w:val="0"/>
                <w:i/>
                <w:u w:val="single"/>
              </w:rPr>
              <w:t>in vivo</w:t>
            </w:r>
            <w:r w:rsidRPr="007A3223">
              <w:rPr>
                <w:b w:val="0"/>
                <w:bCs w:val="0"/>
                <w:u w:val="single"/>
              </w:rPr>
              <w:t xml:space="preserve"> model</w:t>
            </w:r>
          </w:p>
          <w:p w14:paraId="5B46FA2D" w14:textId="77777777" w:rsidR="00D8274C" w:rsidRPr="007A3223" w:rsidRDefault="00D8274C" w:rsidP="00D8274C">
            <w:pPr>
              <w:keepNext/>
              <w:spacing w:after="0"/>
              <w:rPr>
                <w:bCs/>
                <w:szCs w:val="24"/>
              </w:rPr>
            </w:pPr>
          </w:p>
        </w:tc>
      </w:tr>
    </w:tbl>
    <w:p w14:paraId="74E598E1" w14:textId="77777777" w:rsidR="00BB2845" w:rsidRPr="007A3223" w:rsidRDefault="00BB2845" w:rsidP="00AC750A">
      <w:pPr>
        <w:spacing w:after="0"/>
        <w:ind w:firstLine="360"/>
        <w:rPr>
          <w:b/>
          <w:szCs w:val="24"/>
        </w:rPr>
      </w:pPr>
      <w:r w:rsidRPr="007A3223">
        <w:rPr>
          <w:b/>
          <w:szCs w:val="24"/>
        </w:rPr>
        <w:lastRenderedPageBreak/>
        <w:t xml:space="preserve"> </w:t>
      </w:r>
    </w:p>
    <w:p w14:paraId="2726D32C" w14:textId="5625BBE9" w:rsidR="00B00D2A" w:rsidRPr="007A3223" w:rsidRDefault="007A6E6D" w:rsidP="00541C93">
      <w:pPr>
        <w:pStyle w:val="Heading4"/>
      </w:pPr>
      <w:r w:rsidRPr="007A3223">
        <w:t xml:space="preserve">Clinical Studies with </w:t>
      </w:r>
      <w:r w:rsidR="003B4BCC">
        <w:rPr>
          <w:lang w:val="en-US"/>
        </w:rPr>
        <w:t>D</w:t>
      </w:r>
      <w:r w:rsidR="003C0C47" w:rsidRPr="007A3223">
        <w:t>urvalumab</w:t>
      </w:r>
    </w:p>
    <w:p w14:paraId="177FF3F6" w14:textId="19D73D52" w:rsidR="007A6E6D" w:rsidRPr="007A3223" w:rsidRDefault="00D51487" w:rsidP="006757C7">
      <w:pPr>
        <w:spacing w:after="0"/>
        <w:ind w:firstLine="274"/>
        <w:rPr>
          <w:sz w:val="23"/>
          <w:szCs w:val="23"/>
        </w:rPr>
      </w:pPr>
      <w:r>
        <w:rPr>
          <w:bCs/>
          <w:szCs w:val="24"/>
        </w:rPr>
        <w:t>D</w:t>
      </w:r>
      <w:r w:rsidR="003C0C47" w:rsidRPr="007A3223">
        <w:rPr>
          <w:bCs/>
          <w:szCs w:val="24"/>
        </w:rPr>
        <w:t xml:space="preserve">urvalumab </w:t>
      </w:r>
      <w:r w:rsidR="007A6E6D" w:rsidRPr="007A3223">
        <w:rPr>
          <w:bCs/>
          <w:szCs w:val="24"/>
        </w:rPr>
        <w:t xml:space="preserve">has been </w:t>
      </w:r>
      <w:r w:rsidR="007A6E6D" w:rsidRPr="007A3223">
        <w:rPr>
          <w:rFonts w:eastAsia="Times New Roman"/>
          <w:szCs w:val="24"/>
        </w:rPr>
        <w:t>administered</w:t>
      </w:r>
      <w:r w:rsidR="007A6E6D" w:rsidRPr="007A3223">
        <w:rPr>
          <w:bCs/>
          <w:szCs w:val="24"/>
        </w:rPr>
        <w:t xml:space="preserve"> </w:t>
      </w:r>
      <w:r w:rsidR="00B00D2A" w:rsidRPr="007A3223">
        <w:rPr>
          <w:bCs/>
          <w:szCs w:val="24"/>
        </w:rPr>
        <w:t xml:space="preserve">as monotherapy or in combination </w:t>
      </w:r>
      <w:r w:rsidR="007A6E6D" w:rsidRPr="007A3223">
        <w:rPr>
          <w:bCs/>
          <w:szCs w:val="24"/>
        </w:rPr>
        <w:t xml:space="preserve">to </w:t>
      </w:r>
      <w:r w:rsidR="00B00D2A" w:rsidRPr="007A3223">
        <w:rPr>
          <w:bCs/>
          <w:szCs w:val="24"/>
        </w:rPr>
        <w:t xml:space="preserve">a total of </w:t>
      </w:r>
      <w:r w:rsidR="003C0C47" w:rsidRPr="007A3223">
        <w:rPr>
          <w:bCs/>
          <w:szCs w:val="24"/>
        </w:rPr>
        <w:t>1</w:t>
      </w:r>
      <w:r w:rsidR="0037007B" w:rsidRPr="007A3223">
        <w:rPr>
          <w:bCs/>
          <w:szCs w:val="24"/>
        </w:rPr>
        <w:t>,</w:t>
      </w:r>
      <w:r w:rsidR="003C0C47" w:rsidRPr="007A3223">
        <w:rPr>
          <w:bCs/>
          <w:szCs w:val="24"/>
        </w:rPr>
        <w:t>883</w:t>
      </w:r>
      <w:r w:rsidR="00B00D2A" w:rsidRPr="007A3223">
        <w:rPr>
          <w:bCs/>
          <w:szCs w:val="24"/>
        </w:rPr>
        <w:t xml:space="preserve"> </w:t>
      </w:r>
      <w:r w:rsidR="007A6E6D" w:rsidRPr="007A3223">
        <w:rPr>
          <w:bCs/>
          <w:szCs w:val="24"/>
        </w:rPr>
        <w:t xml:space="preserve">patients in </w:t>
      </w:r>
      <w:r w:rsidR="0037007B" w:rsidRPr="007A3223">
        <w:rPr>
          <w:bCs/>
          <w:szCs w:val="24"/>
        </w:rPr>
        <w:t>3</w:t>
      </w:r>
      <w:r w:rsidR="00B00D2A" w:rsidRPr="007A3223">
        <w:rPr>
          <w:bCs/>
          <w:szCs w:val="24"/>
        </w:rPr>
        <w:t>0</w:t>
      </w:r>
      <w:r w:rsidR="007A6E6D" w:rsidRPr="007A3223">
        <w:rPr>
          <w:bCs/>
          <w:szCs w:val="24"/>
        </w:rPr>
        <w:t xml:space="preserve"> clinical studies as of </w:t>
      </w:r>
      <w:r w:rsidR="00B00D2A" w:rsidRPr="007A3223">
        <w:rPr>
          <w:bCs/>
          <w:szCs w:val="24"/>
        </w:rPr>
        <w:t>July 1</w:t>
      </w:r>
      <w:r w:rsidR="0037007B" w:rsidRPr="007A3223">
        <w:rPr>
          <w:bCs/>
          <w:szCs w:val="24"/>
        </w:rPr>
        <w:t>2</w:t>
      </w:r>
      <w:r w:rsidR="00B00D2A" w:rsidRPr="007A3223">
        <w:rPr>
          <w:bCs/>
          <w:szCs w:val="24"/>
        </w:rPr>
        <w:t>, 201</w:t>
      </w:r>
      <w:r w:rsidR="0037007B" w:rsidRPr="007A3223">
        <w:rPr>
          <w:bCs/>
          <w:szCs w:val="24"/>
        </w:rPr>
        <w:t>5</w:t>
      </w:r>
      <w:r w:rsidR="007A6E6D" w:rsidRPr="007A3223">
        <w:rPr>
          <w:bCs/>
          <w:szCs w:val="24"/>
        </w:rPr>
        <w:t xml:space="preserve">. </w:t>
      </w:r>
      <w:r w:rsidR="0037007B" w:rsidRPr="007A3223">
        <w:rPr>
          <w:bCs/>
          <w:szCs w:val="24"/>
        </w:rPr>
        <w:t xml:space="preserve"> Of the 1,883 subjects, 1,279 received </w:t>
      </w:r>
      <w:r w:rsidRPr="00D51487">
        <w:rPr>
          <w:bCs/>
          <w:szCs w:val="24"/>
        </w:rPr>
        <w:t>Durvalumab</w:t>
      </w:r>
      <w:r w:rsidR="0037007B" w:rsidRPr="007A3223">
        <w:rPr>
          <w:bCs/>
          <w:szCs w:val="24"/>
        </w:rPr>
        <w:t xml:space="preserve"> monotherapy (</w:t>
      </w:r>
      <w:r w:rsidR="00800A5E" w:rsidRPr="00F33908">
        <w:rPr>
          <w:b/>
          <w:bCs/>
          <w:color w:val="0000FF"/>
          <w:szCs w:val="24"/>
        </w:rPr>
        <w:fldChar w:fldCharType="begin"/>
      </w:r>
      <w:r w:rsidR="00800A5E" w:rsidRPr="007A3223">
        <w:rPr>
          <w:b/>
          <w:bCs/>
          <w:color w:val="0000FF"/>
          <w:szCs w:val="24"/>
        </w:rPr>
        <w:instrText xml:space="preserve"> REF _Ref405291805 \h  \* MERGEFORMAT </w:instrText>
      </w:r>
      <w:r w:rsidR="00800A5E" w:rsidRPr="00F33908">
        <w:rPr>
          <w:b/>
          <w:bCs/>
          <w:color w:val="0000FF"/>
          <w:szCs w:val="24"/>
        </w:rPr>
      </w:r>
      <w:r w:rsidR="00800A5E" w:rsidRPr="00F33908">
        <w:rPr>
          <w:b/>
          <w:bCs/>
          <w:color w:val="0000FF"/>
          <w:szCs w:val="24"/>
        </w:rPr>
        <w:fldChar w:fldCharType="separate"/>
      </w:r>
      <w:r w:rsidR="00E47ACA" w:rsidRPr="00E47ACA">
        <w:rPr>
          <w:b/>
          <w:color w:val="0000FF"/>
        </w:rPr>
        <w:t xml:space="preserve">Table </w:t>
      </w:r>
      <w:r w:rsidR="00E47ACA" w:rsidRPr="00E47ACA">
        <w:rPr>
          <w:b/>
          <w:noProof/>
          <w:color w:val="0000FF"/>
        </w:rPr>
        <w:t>1</w:t>
      </w:r>
      <w:r w:rsidR="00800A5E" w:rsidRPr="00F33908">
        <w:rPr>
          <w:b/>
          <w:bCs/>
          <w:color w:val="0000FF"/>
          <w:szCs w:val="24"/>
        </w:rPr>
        <w:fldChar w:fldCharType="end"/>
      </w:r>
      <w:r w:rsidR="0037007B" w:rsidRPr="007A3223">
        <w:rPr>
          <w:bCs/>
          <w:szCs w:val="24"/>
        </w:rPr>
        <w:t xml:space="preserve">), 440 received </w:t>
      </w:r>
      <w:r w:rsidRPr="00D51487">
        <w:rPr>
          <w:bCs/>
          <w:szCs w:val="24"/>
        </w:rPr>
        <w:t>Durvalumab</w:t>
      </w:r>
      <w:r w:rsidR="0037007B" w:rsidRPr="007A3223">
        <w:rPr>
          <w:bCs/>
          <w:szCs w:val="24"/>
        </w:rPr>
        <w:t xml:space="preserve"> in combination wi</w:t>
      </w:r>
      <w:r w:rsidR="0037007B" w:rsidRPr="00F33908">
        <w:rPr>
          <w:bCs/>
          <w:szCs w:val="24"/>
        </w:rPr>
        <w:t>th tremelimumab or other anticancer agen</w:t>
      </w:r>
      <w:r w:rsidR="0037007B" w:rsidRPr="007A3223">
        <w:rPr>
          <w:bCs/>
          <w:szCs w:val="24"/>
        </w:rPr>
        <w:t>ts, 14 received other agents (1 gefitinib, 13 MEDI6383), and 150 have been treated with blinded investigational product. (</w:t>
      </w:r>
      <w:r w:rsidR="00800A5E" w:rsidRPr="00F33908">
        <w:rPr>
          <w:b/>
          <w:bCs/>
          <w:color w:val="0000FF"/>
          <w:szCs w:val="24"/>
        </w:rPr>
        <w:fldChar w:fldCharType="begin"/>
      </w:r>
      <w:r w:rsidR="00800A5E" w:rsidRPr="007A3223">
        <w:rPr>
          <w:b/>
          <w:bCs/>
          <w:color w:val="0000FF"/>
          <w:szCs w:val="24"/>
        </w:rPr>
        <w:instrText xml:space="preserve"> REF _Ref405291862 \h </w:instrText>
      </w:r>
      <w:r w:rsidR="00516055" w:rsidRPr="007A3223">
        <w:rPr>
          <w:b/>
          <w:bCs/>
          <w:color w:val="0000FF"/>
          <w:szCs w:val="24"/>
        </w:rPr>
        <w:instrText xml:space="preserve"> \* MERGEFORMAT </w:instrText>
      </w:r>
      <w:r w:rsidR="00800A5E" w:rsidRPr="00F33908">
        <w:rPr>
          <w:b/>
          <w:bCs/>
          <w:color w:val="0000FF"/>
          <w:szCs w:val="24"/>
        </w:rPr>
      </w:r>
      <w:r w:rsidR="00800A5E" w:rsidRPr="00F33908">
        <w:rPr>
          <w:b/>
          <w:bCs/>
          <w:color w:val="0000FF"/>
          <w:szCs w:val="24"/>
        </w:rPr>
        <w:fldChar w:fldCharType="separate"/>
      </w:r>
      <w:r w:rsidR="00E47ACA" w:rsidRPr="00E47ACA">
        <w:rPr>
          <w:b/>
          <w:color w:val="0000FF"/>
        </w:rPr>
        <w:t xml:space="preserve">Table </w:t>
      </w:r>
      <w:r w:rsidR="00E47ACA" w:rsidRPr="00E47ACA">
        <w:rPr>
          <w:b/>
          <w:noProof/>
          <w:color w:val="0000FF"/>
        </w:rPr>
        <w:t>2</w:t>
      </w:r>
      <w:r w:rsidR="00800A5E" w:rsidRPr="00F33908">
        <w:rPr>
          <w:b/>
          <w:bCs/>
          <w:color w:val="0000FF"/>
          <w:szCs w:val="24"/>
        </w:rPr>
        <w:fldChar w:fldCharType="end"/>
      </w:r>
      <w:r w:rsidR="0037007B" w:rsidRPr="007A3223">
        <w:rPr>
          <w:bCs/>
          <w:szCs w:val="24"/>
        </w:rPr>
        <w:t>). No studies have been completed or terminat</w:t>
      </w:r>
      <w:r w:rsidR="0037007B" w:rsidRPr="00F33908">
        <w:rPr>
          <w:bCs/>
          <w:szCs w:val="24"/>
        </w:rPr>
        <w:t>ed prematurely due to toxicity. See the 2015 investigator’s brochure (IB) for the comprehensive list of the studies.</w:t>
      </w:r>
    </w:p>
    <w:p w14:paraId="22BEE7F4" w14:textId="77777777" w:rsidR="00B00D2A" w:rsidRPr="007A3223" w:rsidRDefault="00B00D2A" w:rsidP="006757C7">
      <w:pPr>
        <w:spacing w:after="0" w:line="22" w:lineRule="atLeast"/>
        <w:ind w:firstLine="274"/>
        <w:rPr>
          <w:bCs/>
          <w:szCs w:val="24"/>
        </w:rPr>
      </w:pPr>
    </w:p>
    <w:p w14:paraId="10D54F57" w14:textId="715823F0" w:rsidR="00B1127A" w:rsidRPr="007A3223" w:rsidRDefault="00B1127A" w:rsidP="00B1127A">
      <w:pPr>
        <w:pStyle w:val="Caption"/>
      </w:pPr>
      <w:bookmarkStart w:id="45" w:name="_Ref405291805"/>
      <w:bookmarkStart w:id="46" w:name="_Toc82444435"/>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w:t>
      </w:r>
      <w:r w:rsidR="00F82420" w:rsidRPr="00F33908">
        <w:rPr>
          <w:noProof/>
        </w:rPr>
        <w:fldChar w:fldCharType="end"/>
      </w:r>
      <w:bookmarkEnd w:id="45"/>
      <w:r w:rsidRPr="007A3223">
        <w:rPr>
          <w:szCs w:val="24"/>
          <w:u w:val="single"/>
        </w:rPr>
        <w:t xml:space="preserve">. </w:t>
      </w:r>
      <w:r w:rsidR="00DB5D82" w:rsidRPr="00DB5D82">
        <w:rPr>
          <w:bCs w:val="0"/>
          <w:szCs w:val="24"/>
          <w:u w:val="single"/>
          <w:lang w:val="en-US"/>
        </w:rPr>
        <w:t>Durvalumab</w:t>
      </w:r>
      <w:r w:rsidRPr="00F33908">
        <w:rPr>
          <w:bCs w:val="0"/>
          <w:szCs w:val="24"/>
          <w:u w:val="single"/>
        </w:rPr>
        <w:t xml:space="preserve"> Monotherapy </w:t>
      </w:r>
      <w:r w:rsidR="00D057A3" w:rsidRPr="007A3223">
        <w:rPr>
          <w:bCs w:val="0"/>
          <w:szCs w:val="24"/>
          <w:u w:val="single"/>
          <w:lang w:val="en-US"/>
        </w:rPr>
        <w:t xml:space="preserve">Clinical Studies </w:t>
      </w:r>
      <w:r w:rsidRPr="007A3223">
        <w:rPr>
          <w:bCs w:val="0"/>
          <w:szCs w:val="24"/>
          <w:u w:val="single"/>
        </w:rPr>
        <w:t>(201</w:t>
      </w:r>
      <w:r w:rsidR="00D057A3" w:rsidRPr="007A3223">
        <w:rPr>
          <w:bCs w:val="0"/>
          <w:szCs w:val="24"/>
          <w:u w:val="single"/>
          <w:lang w:val="en-US"/>
        </w:rPr>
        <w:t>5</w:t>
      </w:r>
      <w:r w:rsidRPr="007A3223">
        <w:rPr>
          <w:bCs w:val="0"/>
          <w:szCs w:val="24"/>
          <w:u w:val="single"/>
        </w:rPr>
        <w:t xml:space="preserve"> IB</w:t>
      </w:r>
      <w:r w:rsidR="002F2BD0" w:rsidRPr="007A3223">
        <w:rPr>
          <w:bCs w:val="0"/>
          <w:szCs w:val="24"/>
          <w:u w:val="single"/>
        </w:rPr>
        <w:t>)</w:t>
      </w:r>
      <w:bookmarkEnd w:id="46"/>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3024"/>
        <w:gridCol w:w="1992"/>
        <w:gridCol w:w="1725"/>
      </w:tblGrid>
      <w:tr w:rsidR="00A83A4A" w:rsidRPr="007A3223" w14:paraId="417AFD9F" w14:textId="77777777" w:rsidTr="00833495">
        <w:trPr>
          <w:cantSplit/>
          <w:tblHeader/>
        </w:trPr>
        <w:tc>
          <w:tcPr>
            <w:tcW w:w="1305" w:type="pct"/>
          </w:tcPr>
          <w:p w14:paraId="62516BF5" w14:textId="77777777" w:rsidR="007A6E6D" w:rsidRPr="007A3223" w:rsidRDefault="007A6E6D" w:rsidP="00973F41">
            <w:pPr>
              <w:keepNext/>
              <w:spacing w:line="22" w:lineRule="atLeast"/>
              <w:jc w:val="center"/>
              <w:rPr>
                <w:b/>
                <w:bCs/>
                <w:sz w:val="22"/>
              </w:rPr>
            </w:pPr>
            <w:r w:rsidRPr="007A3223">
              <w:rPr>
                <w:b/>
                <w:bCs/>
                <w:sz w:val="22"/>
              </w:rPr>
              <w:t>Study</w:t>
            </w:r>
          </w:p>
        </w:tc>
        <w:tc>
          <w:tcPr>
            <w:tcW w:w="1652" w:type="pct"/>
          </w:tcPr>
          <w:p w14:paraId="68A78E69" w14:textId="77777777" w:rsidR="007A6E6D" w:rsidRPr="007A3223" w:rsidRDefault="007A6E6D" w:rsidP="00973F41">
            <w:pPr>
              <w:keepNext/>
              <w:spacing w:line="22" w:lineRule="atLeast"/>
              <w:jc w:val="center"/>
              <w:rPr>
                <w:b/>
                <w:bCs/>
                <w:sz w:val="22"/>
              </w:rPr>
            </w:pPr>
            <w:r w:rsidRPr="007A3223">
              <w:rPr>
                <w:b/>
                <w:bCs/>
                <w:sz w:val="22"/>
              </w:rPr>
              <w:t>Patients</w:t>
            </w:r>
          </w:p>
        </w:tc>
        <w:tc>
          <w:tcPr>
            <w:tcW w:w="1094" w:type="pct"/>
          </w:tcPr>
          <w:p w14:paraId="7F0F4E5F" w14:textId="77777777" w:rsidR="007A6E6D" w:rsidRPr="007A3223" w:rsidRDefault="007A6E6D" w:rsidP="00973F41">
            <w:pPr>
              <w:keepNext/>
              <w:spacing w:line="22" w:lineRule="atLeast"/>
              <w:jc w:val="center"/>
              <w:rPr>
                <w:b/>
                <w:bCs/>
                <w:sz w:val="22"/>
              </w:rPr>
            </w:pPr>
            <w:r w:rsidRPr="007A3223">
              <w:rPr>
                <w:b/>
                <w:bCs/>
                <w:sz w:val="22"/>
              </w:rPr>
              <w:t>Dose</w:t>
            </w:r>
          </w:p>
        </w:tc>
        <w:tc>
          <w:tcPr>
            <w:tcW w:w="949" w:type="pct"/>
          </w:tcPr>
          <w:p w14:paraId="093E98DD" w14:textId="77777777" w:rsidR="007A6E6D" w:rsidRPr="007A3223" w:rsidRDefault="007A6E6D" w:rsidP="00973F41">
            <w:pPr>
              <w:keepNext/>
              <w:spacing w:line="22" w:lineRule="atLeast"/>
              <w:jc w:val="center"/>
              <w:rPr>
                <w:b/>
                <w:bCs/>
                <w:sz w:val="22"/>
              </w:rPr>
            </w:pPr>
            <w:r w:rsidRPr="007A3223">
              <w:rPr>
                <w:b/>
                <w:bCs/>
                <w:sz w:val="22"/>
              </w:rPr>
              <w:t xml:space="preserve">Number of patients </w:t>
            </w:r>
            <w:r w:rsidR="00F04E1A" w:rsidRPr="007A3223">
              <w:rPr>
                <w:b/>
                <w:bCs/>
                <w:sz w:val="22"/>
              </w:rPr>
              <w:t xml:space="preserve">treated </w:t>
            </w:r>
            <w:r w:rsidRPr="007A3223">
              <w:rPr>
                <w:b/>
                <w:bCs/>
                <w:sz w:val="22"/>
              </w:rPr>
              <w:t xml:space="preserve">as of </w:t>
            </w:r>
            <w:r w:rsidR="0059103D" w:rsidRPr="007A3223">
              <w:rPr>
                <w:b/>
                <w:bCs/>
                <w:sz w:val="22"/>
              </w:rPr>
              <w:t>May</w:t>
            </w:r>
            <w:r w:rsidRPr="007A3223">
              <w:rPr>
                <w:b/>
                <w:bCs/>
                <w:sz w:val="22"/>
              </w:rPr>
              <w:t xml:space="preserve"> 201</w:t>
            </w:r>
            <w:r w:rsidR="0059103D" w:rsidRPr="007A3223">
              <w:rPr>
                <w:b/>
                <w:bCs/>
                <w:sz w:val="22"/>
              </w:rPr>
              <w:t>5</w:t>
            </w:r>
          </w:p>
        </w:tc>
      </w:tr>
      <w:tr w:rsidR="00A83A4A" w:rsidRPr="007A3223" w14:paraId="1BE15867" w14:textId="77777777" w:rsidTr="00833495">
        <w:trPr>
          <w:cantSplit/>
        </w:trPr>
        <w:tc>
          <w:tcPr>
            <w:tcW w:w="1305" w:type="pct"/>
            <w:shd w:val="clear" w:color="auto" w:fill="auto"/>
          </w:tcPr>
          <w:p w14:paraId="2660A477" w14:textId="69846B3F" w:rsidR="007A6E6D" w:rsidRPr="007A3223" w:rsidRDefault="00F04E1A" w:rsidP="0065178F">
            <w:pPr>
              <w:spacing w:line="22" w:lineRule="atLeast"/>
              <w:jc w:val="center"/>
              <w:rPr>
                <w:bCs/>
                <w:sz w:val="22"/>
              </w:rPr>
            </w:pPr>
            <w:r w:rsidRPr="007A3223">
              <w:rPr>
                <w:bCs/>
                <w:sz w:val="22"/>
              </w:rPr>
              <w:t xml:space="preserve">Phase 1/2 Dose Escalation and Dose Expansion in Subjects with Advanced Solid Tumors: </w:t>
            </w:r>
            <w:r w:rsidR="002135A1" w:rsidRPr="002135A1">
              <w:rPr>
                <w:bCs/>
                <w:sz w:val="22"/>
              </w:rPr>
              <w:t>Durvalumab</w:t>
            </w:r>
            <w:r w:rsidRPr="007A3223">
              <w:rPr>
                <w:bCs/>
                <w:sz w:val="22"/>
              </w:rPr>
              <w:t xml:space="preserve"> monotherapy</w:t>
            </w:r>
          </w:p>
        </w:tc>
        <w:tc>
          <w:tcPr>
            <w:tcW w:w="1652" w:type="pct"/>
            <w:shd w:val="clear" w:color="auto" w:fill="auto"/>
          </w:tcPr>
          <w:p w14:paraId="64922BB1" w14:textId="77777777" w:rsidR="00557548" w:rsidRPr="007A3223" w:rsidRDefault="00557548" w:rsidP="00557548">
            <w:pPr>
              <w:spacing w:line="22" w:lineRule="atLeast"/>
              <w:jc w:val="center"/>
              <w:rPr>
                <w:sz w:val="22"/>
              </w:rPr>
            </w:pPr>
            <w:r w:rsidRPr="007A3223">
              <w:rPr>
                <w:sz w:val="22"/>
              </w:rPr>
              <w:t>Advanced solid tumors;</w:t>
            </w:r>
          </w:p>
          <w:p w14:paraId="56A3038F" w14:textId="77777777" w:rsidR="007A6E6D" w:rsidRPr="007A3223" w:rsidRDefault="00557548" w:rsidP="00557548">
            <w:pPr>
              <w:spacing w:line="22" w:lineRule="atLeast"/>
              <w:jc w:val="center"/>
              <w:rPr>
                <w:bCs/>
                <w:sz w:val="22"/>
              </w:rPr>
            </w:pPr>
            <w:r w:rsidRPr="007A3223">
              <w:rPr>
                <w:sz w:val="22"/>
              </w:rPr>
              <w:t>Multi-arm expansion</w:t>
            </w:r>
            <w:r w:rsidR="005F5E15" w:rsidRPr="007A3223">
              <w:rPr>
                <w:sz w:val="22"/>
              </w:rPr>
              <w:t xml:space="preserve"> </w:t>
            </w:r>
            <w:r w:rsidR="007470BA" w:rsidRPr="007A3223">
              <w:rPr>
                <w:sz w:val="22"/>
              </w:rPr>
              <w:t>cohorts</w:t>
            </w:r>
            <w:r w:rsidRPr="007A3223">
              <w:rPr>
                <w:sz w:val="22"/>
              </w:rPr>
              <w:t>:</w:t>
            </w:r>
            <w:r w:rsidR="007470BA" w:rsidRPr="007A3223">
              <w:rPr>
                <w:sz w:val="22"/>
              </w:rPr>
              <w:t xml:space="preserve"> </w:t>
            </w:r>
            <w:r w:rsidR="00F04E1A" w:rsidRPr="007A3223">
              <w:rPr>
                <w:sz w:val="22"/>
              </w:rPr>
              <w:t xml:space="preserve">Triple-negative breast cancer, </w:t>
            </w:r>
            <w:r w:rsidR="00F04E1A" w:rsidRPr="007A3223">
              <w:rPr>
                <w:bCs/>
                <w:sz w:val="22"/>
              </w:rPr>
              <w:t xml:space="preserve">Nonsquamous NSCLC, </w:t>
            </w:r>
            <w:r w:rsidR="00F04E1A" w:rsidRPr="007A3223">
              <w:rPr>
                <w:sz w:val="22"/>
              </w:rPr>
              <w:t>squamous NSCLC, hepatocellular carcinoma, pancreatic adenocarcinoma, gastroesophageal cancer, advanced cutaneous melanoma, uveal melanoma, squamous cell cancer of the head and neck, and other</w:t>
            </w:r>
          </w:p>
        </w:tc>
        <w:tc>
          <w:tcPr>
            <w:tcW w:w="1094" w:type="pct"/>
            <w:shd w:val="clear" w:color="auto" w:fill="auto"/>
          </w:tcPr>
          <w:p w14:paraId="46CC721F" w14:textId="77777777" w:rsidR="00F41618" w:rsidRPr="007A3223" w:rsidRDefault="00F04E1A" w:rsidP="00FB66BA">
            <w:pPr>
              <w:pStyle w:val="ListParagraph"/>
              <w:numPr>
                <w:ilvl w:val="1"/>
                <w:numId w:val="16"/>
              </w:numPr>
              <w:spacing w:line="22" w:lineRule="atLeast"/>
              <w:jc w:val="center"/>
              <w:rPr>
                <w:sz w:val="22"/>
                <w:szCs w:val="22"/>
              </w:rPr>
            </w:pPr>
            <w:r w:rsidRPr="007A3223">
              <w:rPr>
                <w:sz w:val="22"/>
                <w:szCs w:val="22"/>
              </w:rPr>
              <w:t>mg/kg Q2W</w:t>
            </w:r>
          </w:p>
          <w:p w14:paraId="2C42DBB1" w14:textId="77777777" w:rsidR="00F04E1A" w:rsidRPr="007A3223" w:rsidRDefault="00F04E1A" w:rsidP="00FB66BA">
            <w:pPr>
              <w:pStyle w:val="ListParagraph"/>
              <w:numPr>
                <w:ilvl w:val="1"/>
                <w:numId w:val="25"/>
              </w:numPr>
              <w:spacing w:line="22" w:lineRule="atLeast"/>
              <w:ind w:left="522"/>
              <w:rPr>
                <w:sz w:val="22"/>
                <w:szCs w:val="22"/>
              </w:rPr>
            </w:pPr>
            <w:r w:rsidRPr="007A3223">
              <w:rPr>
                <w:sz w:val="22"/>
                <w:szCs w:val="22"/>
              </w:rPr>
              <w:t>mg/kg Q2W</w:t>
            </w:r>
          </w:p>
          <w:p w14:paraId="1BF2D345" w14:textId="77777777" w:rsidR="00F04E1A" w:rsidRPr="007A3223" w:rsidRDefault="003D2AD0" w:rsidP="003D2AD0">
            <w:pPr>
              <w:pStyle w:val="ListParagraph"/>
              <w:spacing w:line="22" w:lineRule="atLeast"/>
              <w:ind w:left="360"/>
              <w:rPr>
                <w:sz w:val="22"/>
                <w:szCs w:val="22"/>
              </w:rPr>
            </w:pPr>
            <w:r w:rsidRPr="007A3223">
              <w:rPr>
                <w:sz w:val="22"/>
                <w:szCs w:val="22"/>
              </w:rPr>
              <w:t xml:space="preserve">1 </w:t>
            </w:r>
            <w:r w:rsidR="00F04E1A" w:rsidRPr="007A3223">
              <w:rPr>
                <w:sz w:val="22"/>
                <w:szCs w:val="22"/>
              </w:rPr>
              <w:t>mg/kg Q2W</w:t>
            </w:r>
          </w:p>
          <w:p w14:paraId="4D9FB9DC" w14:textId="77777777" w:rsidR="00F04E1A" w:rsidRPr="007A3223" w:rsidRDefault="003D2AD0" w:rsidP="0065178F">
            <w:pPr>
              <w:spacing w:line="22" w:lineRule="atLeast"/>
              <w:jc w:val="center"/>
              <w:rPr>
                <w:sz w:val="22"/>
              </w:rPr>
            </w:pPr>
            <w:r w:rsidRPr="007A3223">
              <w:rPr>
                <w:sz w:val="22"/>
              </w:rPr>
              <w:t>3</w:t>
            </w:r>
            <w:r w:rsidR="00F04E1A" w:rsidRPr="007A3223">
              <w:rPr>
                <w:sz w:val="22"/>
              </w:rPr>
              <w:t xml:space="preserve"> mg/kg Q2W</w:t>
            </w:r>
          </w:p>
          <w:p w14:paraId="03AA04D1" w14:textId="77777777" w:rsidR="00F04E1A" w:rsidRPr="007A3223" w:rsidRDefault="003D2AD0" w:rsidP="0065178F">
            <w:pPr>
              <w:spacing w:line="22" w:lineRule="atLeast"/>
              <w:jc w:val="center"/>
              <w:rPr>
                <w:sz w:val="22"/>
              </w:rPr>
            </w:pPr>
            <w:r w:rsidRPr="007A3223">
              <w:rPr>
                <w:sz w:val="22"/>
              </w:rPr>
              <w:t xml:space="preserve">10 </w:t>
            </w:r>
            <w:r w:rsidR="00F04E1A" w:rsidRPr="007A3223">
              <w:rPr>
                <w:sz w:val="22"/>
              </w:rPr>
              <w:t>mg/kg Q2W</w:t>
            </w:r>
          </w:p>
          <w:p w14:paraId="2C877BE0" w14:textId="77777777" w:rsidR="00F04E1A" w:rsidRPr="007A3223" w:rsidRDefault="003D2AD0" w:rsidP="0065178F">
            <w:pPr>
              <w:spacing w:line="22" w:lineRule="atLeast"/>
              <w:jc w:val="center"/>
              <w:rPr>
                <w:sz w:val="22"/>
              </w:rPr>
            </w:pPr>
            <w:r w:rsidRPr="007A3223">
              <w:rPr>
                <w:sz w:val="22"/>
              </w:rPr>
              <w:t>15</w:t>
            </w:r>
            <w:r w:rsidR="00F04E1A" w:rsidRPr="007A3223">
              <w:rPr>
                <w:sz w:val="22"/>
              </w:rPr>
              <w:t xml:space="preserve"> mg/kg Q3W</w:t>
            </w:r>
          </w:p>
          <w:p w14:paraId="64A811D2" w14:textId="77777777" w:rsidR="000E193E" w:rsidRPr="007A3223" w:rsidRDefault="000E193E" w:rsidP="0065178F">
            <w:pPr>
              <w:spacing w:line="22" w:lineRule="atLeast"/>
              <w:jc w:val="center"/>
              <w:rPr>
                <w:sz w:val="22"/>
              </w:rPr>
            </w:pPr>
            <w:r w:rsidRPr="007A3223">
              <w:rPr>
                <w:sz w:val="22"/>
              </w:rPr>
              <w:t>20 mg/kg Q4W</w:t>
            </w:r>
          </w:p>
          <w:p w14:paraId="1EC09024" w14:textId="77777777" w:rsidR="00F04E1A" w:rsidRPr="007A3223" w:rsidRDefault="00F04E1A" w:rsidP="0065178F">
            <w:pPr>
              <w:pStyle w:val="ListParagraph"/>
              <w:spacing w:line="22" w:lineRule="atLeast"/>
              <w:ind w:left="360"/>
              <w:jc w:val="center"/>
              <w:rPr>
                <w:sz w:val="22"/>
                <w:szCs w:val="22"/>
              </w:rPr>
            </w:pPr>
          </w:p>
          <w:p w14:paraId="5C66694D" w14:textId="77777777" w:rsidR="00F04E1A" w:rsidRPr="007A3223" w:rsidRDefault="00F04E1A" w:rsidP="0065178F">
            <w:pPr>
              <w:pStyle w:val="ListParagraph"/>
              <w:spacing w:line="22" w:lineRule="atLeast"/>
              <w:ind w:left="360"/>
              <w:jc w:val="center"/>
              <w:rPr>
                <w:sz w:val="22"/>
                <w:szCs w:val="22"/>
              </w:rPr>
            </w:pPr>
          </w:p>
          <w:p w14:paraId="5FE29FF7" w14:textId="77777777" w:rsidR="007A6E6D" w:rsidRPr="007A3223" w:rsidRDefault="007A6E6D" w:rsidP="0065178F">
            <w:pPr>
              <w:spacing w:line="22" w:lineRule="atLeast"/>
              <w:jc w:val="center"/>
              <w:rPr>
                <w:bCs/>
                <w:sz w:val="22"/>
              </w:rPr>
            </w:pPr>
          </w:p>
        </w:tc>
        <w:tc>
          <w:tcPr>
            <w:tcW w:w="949" w:type="pct"/>
            <w:shd w:val="clear" w:color="auto" w:fill="auto"/>
          </w:tcPr>
          <w:p w14:paraId="141F9D47" w14:textId="77777777" w:rsidR="007A6E6D" w:rsidRPr="007A3223" w:rsidRDefault="0059103D" w:rsidP="0065178F">
            <w:pPr>
              <w:spacing w:line="22" w:lineRule="atLeast"/>
              <w:jc w:val="center"/>
              <w:rPr>
                <w:bCs/>
                <w:sz w:val="22"/>
              </w:rPr>
            </w:pPr>
            <w:r w:rsidRPr="007A3223">
              <w:rPr>
                <w:bCs/>
                <w:sz w:val="22"/>
              </w:rPr>
              <w:t>750</w:t>
            </w:r>
          </w:p>
        </w:tc>
      </w:tr>
      <w:tr w:rsidR="00A83A4A" w:rsidRPr="007A3223" w14:paraId="0C762A8C" w14:textId="77777777" w:rsidTr="00833495">
        <w:trPr>
          <w:cantSplit/>
        </w:trPr>
        <w:tc>
          <w:tcPr>
            <w:tcW w:w="1305" w:type="pct"/>
            <w:shd w:val="clear" w:color="auto" w:fill="auto"/>
          </w:tcPr>
          <w:p w14:paraId="2F093652" w14:textId="18133FAF" w:rsidR="00F04E1A" w:rsidRPr="007A3223" w:rsidRDefault="00A1209C" w:rsidP="0065178F">
            <w:pPr>
              <w:spacing w:line="22" w:lineRule="atLeast"/>
              <w:jc w:val="center"/>
              <w:rPr>
                <w:bCs/>
                <w:sz w:val="22"/>
              </w:rPr>
            </w:pPr>
            <w:r w:rsidRPr="007A3223">
              <w:rPr>
                <w:bCs/>
                <w:sz w:val="22"/>
              </w:rPr>
              <w:t>Phase 1 Dose E</w:t>
            </w:r>
            <w:r w:rsidR="000707FA" w:rsidRPr="007A3223">
              <w:rPr>
                <w:bCs/>
                <w:sz w:val="22"/>
              </w:rPr>
              <w:t xml:space="preserve">scalation and Dose Expansion: </w:t>
            </w:r>
            <w:r w:rsidR="002135A1" w:rsidRPr="002135A1">
              <w:rPr>
                <w:bCs/>
                <w:sz w:val="22"/>
              </w:rPr>
              <w:t>Durvalumab</w:t>
            </w:r>
            <w:r w:rsidR="000707FA" w:rsidRPr="007A3223">
              <w:rPr>
                <w:bCs/>
                <w:sz w:val="22"/>
              </w:rPr>
              <w:t xml:space="preserve"> monotherapy</w:t>
            </w:r>
          </w:p>
        </w:tc>
        <w:tc>
          <w:tcPr>
            <w:tcW w:w="1652" w:type="pct"/>
            <w:shd w:val="clear" w:color="auto" w:fill="auto"/>
          </w:tcPr>
          <w:p w14:paraId="0F75A589" w14:textId="77777777" w:rsidR="00F04E1A" w:rsidRPr="007A3223" w:rsidRDefault="00C955BC" w:rsidP="00C955BC">
            <w:pPr>
              <w:spacing w:line="22" w:lineRule="atLeast"/>
              <w:jc w:val="center"/>
              <w:rPr>
                <w:bCs/>
                <w:sz w:val="22"/>
              </w:rPr>
            </w:pPr>
            <w:r w:rsidRPr="007A3223">
              <w:rPr>
                <w:bCs/>
                <w:sz w:val="22"/>
              </w:rPr>
              <w:t>Japanese patients</w:t>
            </w:r>
            <w:r w:rsidR="000707FA" w:rsidRPr="007A3223">
              <w:rPr>
                <w:bCs/>
                <w:sz w:val="22"/>
              </w:rPr>
              <w:t xml:space="preserve"> with Advanced Solid Tumors</w:t>
            </w:r>
          </w:p>
        </w:tc>
        <w:tc>
          <w:tcPr>
            <w:tcW w:w="1094" w:type="pct"/>
            <w:shd w:val="clear" w:color="auto" w:fill="auto"/>
          </w:tcPr>
          <w:p w14:paraId="2F5C1FA9" w14:textId="77777777" w:rsidR="00A1209C" w:rsidRPr="007A3223" w:rsidRDefault="00A1209C" w:rsidP="0065178F">
            <w:pPr>
              <w:spacing w:line="22" w:lineRule="atLeast"/>
              <w:jc w:val="center"/>
              <w:rPr>
                <w:sz w:val="22"/>
              </w:rPr>
            </w:pPr>
            <w:r w:rsidRPr="007A3223">
              <w:rPr>
                <w:sz w:val="22"/>
              </w:rPr>
              <w:t>1 mg/kg Q2W</w:t>
            </w:r>
          </w:p>
          <w:p w14:paraId="7C375448" w14:textId="77777777" w:rsidR="00A1209C" w:rsidRPr="007A3223" w:rsidRDefault="00A1209C" w:rsidP="0065178F">
            <w:pPr>
              <w:spacing w:line="22" w:lineRule="atLeast"/>
              <w:jc w:val="center"/>
              <w:rPr>
                <w:sz w:val="22"/>
              </w:rPr>
            </w:pPr>
            <w:r w:rsidRPr="007A3223">
              <w:rPr>
                <w:sz w:val="22"/>
              </w:rPr>
              <w:t>3 mg/kg Q2W</w:t>
            </w:r>
          </w:p>
          <w:p w14:paraId="71A94FB4" w14:textId="77777777" w:rsidR="00A1209C" w:rsidRPr="007A3223" w:rsidRDefault="00A1209C" w:rsidP="0065178F">
            <w:pPr>
              <w:spacing w:line="22" w:lineRule="atLeast"/>
              <w:jc w:val="center"/>
              <w:rPr>
                <w:sz w:val="22"/>
              </w:rPr>
            </w:pPr>
            <w:r w:rsidRPr="007A3223">
              <w:rPr>
                <w:sz w:val="22"/>
              </w:rPr>
              <w:t>10 mg/kg Q2W</w:t>
            </w:r>
          </w:p>
          <w:p w14:paraId="0763AED8" w14:textId="77777777" w:rsidR="00F04E1A" w:rsidRPr="007A3223" w:rsidRDefault="00A1209C" w:rsidP="0065178F">
            <w:pPr>
              <w:spacing w:line="22" w:lineRule="atLeast"/>
              <w:jc w:val="center"/>
              <w:rPr>
                <w:sz w:val="22"/>
              </w:rPr>
            </w:pPr>
            <w:r w:rsidRPr="007A3223">
              <w:rPr>
                <w:sz w:val="22"/>
              </w:rPr>
              <w:t>15 mg/kg Q3W</w:t>
            </w:r>
          </w:p>
          <w:p w14:paraId="16375117" w14:textId="77777777" w:rsidR="000E193E" w:rsidRPr="007A3223" w:rsidRDefault="000E193E" w:rsidP="0065178F">
            <w:pPr>
              <w:spacing w:line="22" w:lineRule="atLeast"/>
              <w:jc w:val="center"/>
              <w:rPr>
                <w:bCs/>
                <w:sz w:val="22"/>
              </w:rPr>
            </w:pPr>
            <w:r w:rsidRPr="007A3223">
              <w:rPr>
                <w:bCs/>
                <w:sz w:val="22"/>
              </w:rPr>
              <w:t>20 mg/kg Q4W</w:t>
            </w:r>
          </w:p>
        </w:tc>
        <w:tc>
          <w:tcPr>
            <w:tcW w:w="949" w:type="pct"/>
            <w:shd w:val="clear" w:color="auto" w:fill="auto"/>
          </w:tcPr>
          <w:p w14:paraId="632E90CE" w14:textId="77777777" w:rsidR="00F04E1A" w:rsidRPr="007A3223" w:rsidRDefault="000E193E" w:rsidP="0065178F">
            <w:pPr>
              <w:spacing w:line="22" w:lineRule="atLeast"/>
              <w:jc w:val="center"/>
              <w:rPr>
                <w:bCs/>
                <w:sz w:val="22"/>
              </w:rPr>
            </w:pPr>
            <w:r w:rsidRPr="007A3223">
              <w:rPr>
                <w:sz w:val="22"/>
              </w:rPr>
              <w:t>70</w:t>
            </w:r>
          </w:p>
        </w:tc>
      </w:tr>
      <w:tr w:rsidR="00A83A4A" w:rsidRPr="007A3223" w14:paraId="78EAB6F4" w14:textId="77777777" w:rsidTr="00833495">
        <w:trPr>
          <w:cantSplit/>
        </w:trPr>
        <w:tc>
          <w:tcPr>
            <w:tcW w:w="1305" w:type="pct"/>
            <w:shd w:val="clear" w:color="auto" w:fill="auto"/>
          </w:tcPr>
          <w:p w14:paraId="2C4AEC11" w14:textId="357ED05A" w:rsidR="00F04E1A" w:rsidRPr="007A3223" w:rsidRDefault="000707FA" w:rsidP="0065178F">
            <w:pPr>
              <w:spacing w:line="22" w:lineRule="atLeast"/>
              <w:jc w:val="center"/>
              <w:rPr>
                <w:bCs/>
                <w:sz w:val="22"/>
              </w:rPr>
            </w:pPr>
            <w:r w:rsidRPr="007A3223">
              <w:rPr>
                <w:bCs/>
                <w:sz w:val="22"/>
              </w:rPr>
              <w:t>Phase 1 Dose Escalation and Dose Expansion</w:t>
            </w:r>
            <w:r w:rsidR="009A40EF" w:rsidRPr="007A3223">
              <w:rPr>
                <w:bCs/>
                <w:sz w:val="22"/>
              </w:rPr>
              <w:t xml:space="preserve">: </w:t>
            </w:r>
            <w:r w:rsidR="002135A1" w:rsidRPr="002135A1">
              <w:rPr>
                <w:bCs/>
                <w:sz w:val="22"/>
              </w:rPr>
              <w:t>Durvalumab</w:t>
            </w:r>
            <w:r w:rsidR="009A40EF" w:rsidRPr="007A3223">
              <w:rPr>
                <w:bCs/>
                <w:sz w:val="22"/>
              </w:rPr>
              <w:t>Monotherapy</w:t>
            </w:r>
          </w:p>
        </w:tc>
        <w:tc>
          <w:tcPr>
            <w:tcW w:w="1652" w:type="pct"/>
            <w:shd w:val="clear" w:color="auto" w:fill="auto"/>
          </w:tcPr>
          <w:p w14:paraId="514F0C49" w14:textId="77777777" w:rsidR="00F04E1A" w:rsidRPr="007A3223" w:rsidRDefault="009A40EF" w:rsidP="00C955BC">
            <w:pPr>
              <w:spacing w:line="22" w:lineRule="atLeast"/>
              <w:jc w:val="center"/>
              <w:rPr>
                <w:bCs/>
                <w:sz w:val="22"/>
              </w:rPr>
            </w:pPr>
            <w:r w:rsidRPr="007A3223">
              <w:rPr>
                <w:bCs/>
                <w:sz w:val="22"/>
              </w:rPr>
              <w:t xml:space="preserve">Myelodysplastic Syndrome </w:t>
            </w:r>
          </w:p>
        </w:tc>
        <w:tc>
          <w:tcPr>
            <w:tcW w:w="1094" w:type="pct"/>
            <w:shd w:val="clear" w:color="auto" w:fill="auto"/>
          </w:tcPr>
          <w:p w14:paraId="60972AA1" w14:textId="77777777" w:rsidR="009A40EF" w:rsidRPr="007A3223" w:rsidRDefault="009A40EF" w:rsidP="0065178F">
            <w:pPr>
              <w:spacing w:line="22" w:lineRule="atLeast"/>
              <w:jc w:val="center"/>
              <w:rPr>
                <w:sz w:val="22"/>
              </w:rPr>
            </w:pPr>
            <w:r w:rsidRPr="007A3223">
              <w:rPr>
                <w:sz w:val="22"/>
              </w:rPr>
              <w:t>10 mg/kg Q2W</w:t>
            </w:r>
          </w:p>
          <w:p w14:paraId="224B41B9" w14:textId="77777777" w:rsidR="00F04E1A" w:rsidRPr="007A3223" w:rsidRDefault="00F04E1A" w:rsidP="0065178F">
            <w:pPr>
              <w:spacing w:line="22" w:lineRule="atLeast"/>
              <w:jc w:val="center"/>
              <w:rPr>
                <w:bCs/>
                <w:sz w:val="22"/>
              </w:rPr>
            </w:pPr>
          </w:p>
        </w:tc>
        <w:tc>
          <w:tcPr>
            <w:tcW w:w="949" w:type="pct"/>
            <w:shd w:val="clear" w:color="auto" w:fill="auto"/>
          </w:tcPr>
          <w:p w14:paraId="3C252AE0" w14:textId="77777777" w:rsidR="00F04E1A" w:rsidRPr="007A3223" w:rsidRDefault="00F52CDD" w:rsidP="0065178F">
            <w:pPr>
              <w:spacing w:line="22" w:lineRule="atLeast"/>
              <w:jc w:val="center"/>
              <w:rPr>
                <w:bCs/>
                <w:sz w:val="22"/>
              </w:rPr>
            </w:pPr>
            <w:r w:rsidRPr="007A3223">
              <w:rPr>
                <w:bCs/>
                <w:sz w:val="22"/>
              </w:rPr>
              <w:t>3</w:t>
            </w:r>
            <w:r w:rsidR="009A40EF" w:rsidRPr="007A3223">
              <w:rPr>
                <w:bCs/>
                <w:sz w:val="22"/>
              </w:rPr>
              <w:t>2</w:t>
            </w:r>
          </w:p>
        </w:tc>
      </w:tr>
      <w:tr w:rsidR="00A83A4A" w:rsidRPr="007A3223" w14:paraId="3C13CDE2" w14:textId="77777777" w:rsidTr="00833495">
        <w:trPr>
          <w:cantSplit/>
        </w:trPr>
        <w:tc>
          <w:tcPr>
            <w:tcW w:w="1305" w:type="pct"/>
          </w:tcPr>
          <w:p w14:paraId="5F7997D7" w14:textId="77777777" w:rsidR="00EF6DA2" w:rsidRPr="007A3223" w:rsidRDefault="009A40EF" w:rsidP="00EF6DA2">
            <w:pPr>
              <w:spacing w:line="22" w:lineRule="atLeast"/>
              <w:jc w:val="center"/>
              <w:rPr>
                <w:bCs/>
                <w:sz w:val="22"/>
              </w:rPr>
            </w:pPr>
            <w:r w:rsidRPr="007A3223">
              <w:rPr>
                <w:bCs/>
                <w:sz w:val="22"/>
              </w:rPr>
              <w:t>ATLANTIC</w:t>
            </w:r>
            <w:r w:rsidR="0062215F" w:rsidRPr="007A3223">
              <w:rPr>
                <w:bCs/>
                <w:sz w:val="22"/>
                <w:vertAlign w:val="superscript"/>
              </w:rPr>
              <w:t>a</w:t>
            </w:r>
            <w:r w:rsidR="00EF6DA2" w:rsidRPr="007A3223">
              <w:rPr>
                <w:bCs/>
                <w:sz w:val="22"/>
              </w:rPr>
              <w:t xml:space="preserve"> </w:t>
            </w:r>
            <w:r w:rsidRPr="007A3223">
              <w:rPr>
                <w:bCs/>
                <w:sz w:val="22"/>
              </w:rPr>
              <w:t xml:space="preserve">Phase 2 </w:t>
            </w:r>
          </w:p>
          <w:p w14:paraId="56C2EDD8" w14:textId="5D0BD3E0" w:rsidR="00F04E1A" w:rsidRPr="007A3223" w:rsidRDefault="009A40EF" w:rsidP="00EF6DA2">
            <w:pPr>
              <w:spacing w:line="22" w:lineRule="atLeast"/>
              <w:jc w:val="center"/>
              <w:rPr>
                <w:bCs/>
                <w:sz w:val="22"/>
              </w:rPr>
            </w:pPr>
            <w:r w:rsidRPr="007A3223">
              <w:rPr>
                <w:bCs/>
                <w:sz w:val="22"/>
              </w:rPr>
              <w:t xml:space="preserve">Open Label: </w:t>
            </w:r>
            <w:r w:rsidR="002135A1" w:rsidRPr="002135A1">
              <w:rPr>
                <w:bCs/>
                <w:sz w:val="22"/>
              </w:rPr>
              <w:t>Durvalumab</w:t>
            </w:r>
            <w:r w:rsidRPr="007A3223">
              <w:rPr>
                <w:bCs/>
                <w:sz w:val="22"/>
              </w:rPr>
              <w:t xml:space="preserve"> Monotherapy</w:t>
            </w:r>
          </w:p>
        </w:tc>
        <w:tc>
          <w:tcPr>
            <w:tcW w:w="1652" w:type="pct"/>
          </w:tcPr>
          <w:p w14:paraId="0F2B500A" w14:textId="77777777" w:rsidR="00F04E1A" w:rsidRPr="007A3223" w:rsidRDefault="009A40EF" w:rsidP="0065178F">
            <w:pPr>
              <w:spacing w:line="22" w:lineRule="atLeast"/>
              <w:jc w:val="center"/>
              <w:rPr>
                <w:bCs/>
                <w:sz w:val="22"/>
              </w:rPr>
            </w:pPr>
            <w:r w:rsidRPr="007A3223">
              <w:rPr>
                <w:bCs/>
                <w:sz w:val="22"/>
              </w:rPr>
              <w:t>NSCLC</w:t>
            </w:r>
          </w:p>
          <w:p w14:paraId="0BAA3793" w14:textId="77777777" w:rsidR="00EF6DA2" w:rsidRPr="007A3223" w:rsidRDefault="00EF6DA2" w:rsidP="0065178F">
            <w:pPr>
              <w:spacing w:line="22" w:lineRule="atLeast"/>
              <w:jc w:val="center"/>
              <w:rPr>
                <w:bCs/>
                <w:sz w:val="22"/>
              </w:rPr>
            </w:pPr>
          </w:p>
        </w:tc>
        <w:tc>
          <w:tcPr>
            <w:tcW w:w="1094" w:type="pct"/>
          </w:tcPr>
          <w:p w14:paraId="1C22AEC3" w14:textId="77777777" w:rsidR="009A40EF" w:rsidRPr="007A3223" w:rsidRDefault="009A40EF" w:rsidP="0065178F">
            <w:pPr>
              <w:spacing w:line="22" w:lineRule="atLeast"/>
              <w:jc w:val="center"/>
              <w:rPr>
                <w:sz w:val="22"/>
              </w:rPr>
            </w:pPr>
            <w:r w:rsidRPr="007A3223">
              <w:rPr>
                <w:sz w:val="22"/>
              </w:rPr>
              <w:t>10 mg/kg Q2W</w:t>
            </w:r>
          </w:p>
          <w:p w14:paraId="799736B1" w14:textId="77777777" w:rsidR="00F04E1A" w:rsidRPr="007A3223" w:rsidRDefault="00F04E1A" w:rsidP="0065178F">
            <w:pPr>
              <w:spacing w:line="22" w:lineRule="atLeast"/>
              <w:jc w:val="center"/>
              <w:rPr>
                <w:bCs/>
                <w:sz w:val="22"/>
              </w:rPr>
            </w:pPr>
          </w:p>
        </w:tc>
        <w:tc>
          <w:tcPr>
            <w:tcW w:w="949" w:type="pct"/>
          </w:tcPr>
          <w:p w14:paraId="391A2BEC" w14:textId="77777777" w:rsidR="00F04E1A" w:rsidRPr="007A3223" w:rsidRDefault="00F52CDD" w:rsidP="0065178F">
            <w:pPr>
              <w:spacing w:line="22" w:lineRule="atLeast"/>
              <w:jc w:val="center"/>
              <w:rPr>
                <w:bCs/>
                <w:sz w:val="22"/>
              </w:rPr>
            </w:pPr>
            <w:r w:rsidRPr="007A3223">
              <w:rPr>
                <w:bCs/>
                <w:sz w:val="22"/>
              </w:rPr>
              <w:t>303</w:t>
            </w:r>
          </w:p>
        </w:tc>
      </w:tr>
      <w:tr w:rsidR="00A83A4A" w:rsidRPr="007A3223" w14:paraId="01125AB0" w14:textId="77777777" w:rsidTr="00833495">
        <w:trPr>
          <w:cantSplit/>
        </w:trPr>
        <w:tc>
          <w:tcPr>
            <w:tcW w:w="1305" w:type="pct"/>
          </w:tcPr>
          <w:p w14:paraId="5ECE2613" w14:textId="29CC27A5" w:rsidR="00F04E1A" w:rsidRPr="007A3223" w:rsidRDefault="00F52CDD" w:rsidP="00EF6DA2">
            <w:pPr>
              <w:spacing w:line="22" w:lineRule="atLeast"/>
              <w:jc w:val="center"/>
              <w:rPr>
                <w:bCs/>
                <w:sz w:val="22"/>
              </w:rPr>
            </w:pPr>
            <w:r w:rsidRPr="007A3223">
              <w:rPr>
                <w:bCs/>
                <w:sz w:val="22"/>
              </w:rPr>
              <w:lastRenderedPageBreak/>
              <w:t xml:space="preserve">HWAK </w:t>
            </w:r>
            <w:r w:rsidR="003924EB" w:rsidRPr="007A3223">
              <w:rPr>
                <w:bCs/>
                <w:sz w:val="22"/>
              </w:rPr>
              <w:t xml:space="preserve">Phase 2 </w:t>
            </w:r>
            <w:r w:rsidR="002135A1" w:rsidRPr="002135A1">
              <w:rPr>
                <w:bCs/>
                <w:sz w:val="22"/>
              </w:rPr>
              <w:t>Durvalumab</w:t>
            </w:r>
            <w:r w:rsidR="003924EB" w:rsidRPr="007A3223">
              <w:rPr>
                <w:bCs/>
                <w:sz w:val="22"/>
              </w:rPr>
              <w:t xml:space="preserve"> Monotherapy</w:t>
            </w:r>
          </w:p>
        </w:tc>
        <w:tc>
          <w:tcPr>
            <w:tcW w:w="1652" w:type="pct"/>
          </w:tcPr>
          <w:p w14:paraId="259791FA" w14:textId="77777777" w:rsidR="00EF6DA2" w:rsidRPr="007A3223" w:rsidRDefault="00B42859" w:rsidP="0065178F">
            <w:pPr>
              <w:spacing w:line="22" w:lineRule="atLeast"/>
              <w:jc w:val="center"/>
              <w:rPr>
                <w:bCs/>
                <w:sz w:val="22"/>
              </w:rPr>
            </w:pPr>
            <w:r w:rsidRPr="007A3223">
              <w:rPr>
                <w:bCs/>
                <w:sz w:val="22"/>
              </w:rPr>
              <w:t>Recurrent or metastatic PD-L1 positive squamous cell cancer of the head and neck</w:t>
            </w:r>
            <w:r w:rsidRPr="007A3223" w:rsidDel="00B42859">
              <w:rPr>
                <w:bCs/>
                <w:sz w:val="22"/>
              </w:rPr>
              <w:t xml:space="preserve"> </w:t>
            </w:r>
          </w:p>
        </w:tc>
        <w:tc>
          <w:tcPr>
            <w:tcW w:w="1094" w:type="pct"/>
          </w:tcPr>
          <w:p w14:paraId="42C7ECF3" w14:textId="77777777" w:rsidR="003924EB" w:rsidRPr="007A3223" w:rsidRDefault="003924EB" w:rsidP="003924EB">
            <w:pPr>
              <w:spacing w:line="22" w:lineRule="atLeast"/>
              <w:jc w:val="center"/>
              <w:rPr>
                <w:sz w:val="22"/>
              </w:rPr>
            </w:pPr>
            <w:r w:rsidRPr="007A3223">
              <w:rPr>
                <w:sz w:val="22"/>
              </w:rPr>
              <w:t>10 mg/kg Q2W</w:t>
            </w:r>
          </w:p>
          <w:p w14:paraId="0ADA0AE9" w14:textId="77777777" w:rsidR="00F04E1A" w:rsidRPr="007A3223" w:rsidRDefault="00F04E1A" w:rsidP="0065178F">
            <w:pPr>
              <w:spacing w:line="22" w:lineRule="atLeast"/>
              <w:jc w:val="center"/>
              <w:rPr>
                <w:bCs/>
                <w:sz w:val="22"/>
              </w:rPr>
            </w:pPr>
          </w:p>
        </w:tc>
        <w:tc>
          <w:tcPr>
            <w:tcW w:w="949" w:type="pct"/>
          </w:tcPr>
          <w:p w14:paraId="69E13DF2" w14:textId="77777777" w:rsidR="00F04E1A" w:rsidRPr="007A3223" w:rsidRDefault="00615E43" w:rsidP="0065178F">
            <w:pPr>
              <w:spacing w:line="22" w:lineRule="atLeast"/>
              <w:jc w:val="center"/>
              <w:rPr>
                <w:bCs/>
                <w:sz w:val="22"/>
              </w:rPr>
            </w:pPr>
            <w:r w:rsidRPr="007A3223">
              <w:rPr>
                <w:bCs/>
                <w:sz w:val="22"/>
              </w:rPr>
              <w:t>8</w:t>
            </w:r>
          </w:p>
        </w:tc>
      </w:tr>
      <w:tr w:rsidR="00A83A4A" w:rsidRPr="007A3223" w14:paraId="2EBCC306" w14:textId="77777777" w:rsidTr="00833495">
        <w:trPr>
          <w:cantSplit/>
        </w:trPr>
        <w:tc>
          <w:tcPr>
            <w:tcW w:w="1305" w:type="pct"/>
          </w:tcPr>
          <w:p w14:paraId="382DC963" w14:textId="1819B4AB" w:rsidR="003924EB" w:rsidRPr="007A3223" w:rsidRDefault="00DD1E09" w:rsidP="00964E36">
            <w:pPr>
              <w:spacing w:line="22" w:lineRule="atLeast"/>
              <w:jc w:val="center"/>
              <w:rPr>
                <w:bCs/>
                <w:sz w:val="22"/>
              </w:rPr>
            </w:pPr>
            <w:r w:rsidRPr="007A3223">
              <w:rPr>
                <w:bCs/>
                <w:sz w:val="22"/>
              </w:rPr>
              <w:t>PACIFIC</w:t>
            </w:r>
            <w:r w:rsidR="00901C81" w:rsidRPr="007A3223">
              <w:rPr>
                <w:bCs/>
                <w:sz w:val="22"/>
                <w:vertAlign w:val="superscript"/>
              </w:rPr>
              <w:t>b</w:t>
            </w:r>
            <w:r w:rsidRPr="007A3223">
              <w:rPr>
                <w:bCs/>
                <w:sz w:val="22"/>
                <w:vertAlign w:val="superscript"/>
              </w:rPr>
              <w:t xml:space="preserve"> </w:t>
            </w:r>
            <w:r w:rsidR="003924EB" w:rsidRPr="007A3223">
              <w:rPr>
                <w:bCs/>
                <w:sz w:val="22"/>
              </w:rPr>
              <w:t xml:space="preserve">Phase 3 Randomized: </w:t>
            </w:r>
            <w:r w:rsidR="002135A1" w:rsidRPr="002135A1">
              <w:rPr>
                <w:bCs/>
                <w:sz w:val="22"/>
              </w:rPr>
              <w:t>Durvalumab</w:t>
            </w:r>
            <w:r w:rsidR="003924EB" w:rsidRPr="007A3223">
              <w:rPr>
                <w:bCs/>
                <w:sz w:val="22"/>
              </w:rPr>
              <w:t xml:space="preserve"> monotherapy</w:t>
            </w:r>
          </w:p>
          <w:p w14:paraId="4F939E53" w14:textId="77777777" w:rsidR="003924EB" w:rsidRPr="007A3223" w:rsidRDefault="003924EB" w:rsidP="00EF6DA2">
            <w:pPr>
              <w:spacing w:line="22" w:lineRule="atLeast"/>
              <w:jc w:val="center"/>
              <w:rPr>
                <w:bCs/>
                <w:sz w:val="22"/>
              </w:rPr>
            </w:pPr>
          </w:p>
        </w:tc>
        <w:tc>
          <w:tcPr>
            <w:tcW w:w="1652" w:type="pct"/>
          </w:tcPr>
          <w:p w14:paraId="6D2DC6C4" w14:textId="77777777" w:rsidR="003924EB" w:rsidRPr="007A3223" w:rsidRDefault="003924EB" w:rsidP="0065178F">
            <w:pPr>
              <w:spacing w:line="22" w:lineRule="atLeast"/>
              <w:jc w:val="center"/>
              <w:rPr>
                <w:bCs/>
                <w:sz w:val="22"/>
              </w:rPr>
            </w:pPr>
            <w:r w:rsidRPr="007A3223">
              <w:rPr>
                <w:bCs/>
                <w:sz w:val="22"/>
              </w:rPr>
              <w:t>Advanced stage refractory squamous cell carcinoma of the lung</w:t>
            </w:r>
          </w:p>
        </w:tc>
        <w:tc>
          <w:tcPr>
            <w:tcW w:w="1094" w:type="pct"/>
          </w:tcPr>
          <w:p w14:paraId="102F4DA2" w14:textId="77777777" w:rsidR="003924EB" w:rsidRPr="007A3223" w:rsidRDefault="003924EB" w:rsidP="00964E36">
            <w:pPr>
              <w:spacing w:line="22" w:lineRule="atLeast"/>
              <w:jc w:val="center"/>
              <w:rPr>
                <w:sz w:val="22"/>
              </w:rPr>
            </w:pPr>
            <w:r w:rsidRPr="007A3223">
              <w:rPr>
                <w:sz w:val="22"/>
              </w:rPr>
              <w:t>10 mg/kg Q2W</w:t>
            </w:r>
          </w:p>
          <w:p w14:paraId="01C20038" w14:textId="77777777" w:rsidR="003924EB" w:rsidRPr="007A3223" w:rsidRDefault="003924EB" w:rsidP="0065178F">
            <w:pPr>
              <w:spacing w:line="22" w:lineRule="atLeast"/>
              <w:jc w:val="center"/>
              <w:rPr>
                <w:sz w:val="22"/>
              </w:rPr>
            </w:pPr>
          </w:p>
        </w:tc>
        <w:tc>
          <w:tcPr>
            <w:tcW w:w="949" w:type="pct"/>
          </w:tcPr>
          <w:p w14:paraId="0A8F18F2" w14:textId="77777777" w:rsidR="003924EB" w:rsidRPr="007A3223" w:rsidRDefault="00DD1E09" w:rsidP="0065178F">
            <w:pPr>
              <w:spacing w:line="22" w:lineRule="atLeast"/>
              <w:jc w:val="center"/>
              <w:rPr>
                <w:bCs/>
                <w:sz w:val="22"/>
              </w:rPr>
            </w:pPr>
            <w:r w:rsidRPr="007A3223">
              <w:rPr>
                <w:bCs/>
                <w:sz w:val="22"/>
              </w:rPr>
              <w:t>115</w:t>
            </w:r>
          </w:p>
        </w:tc>
      </w:tr>
    </w:tbl>
    <w:p w14:paraId="1A92961D" w14:textId="77777777" w:rsidR="0065178F" w:rsidRPr="007A3223" w:rsidRDefault="0065178F" w:rsidP="0065178F">
      <w:pPr>
        <w:widowControl w:val="0"/>
        <w:autoSpaceDE w:val="0"/>
        <w:autoSpaceDN w:val="0"/>
        <w:adjustRightInd w:val="0"/>
        <w:spacing w:after="0"/>
        <w:rPr>
          <w:color w:val="000000"/>
          <w:sz w:val="20"/>
          <w:szCs w:val="20"/>
        </w:rPr>
      </w:pPr>
      <w:r w:rsidRPr="007A3223">
        <w:rPr>
          <w:color w:val="000000"/>
          <w:sz w:val="20"/>
          <w:szCs w:val="20"/>
        </w:rPr>
        <w:t xml:space="preserve">NSCLC = non-small cell lung cancer; Q2W = every 2 weeks; Q3W = every 3 weeks. </w:t>
      </w:r>
    </w:p>
    <w:p w14:paraId="04959212" w14:textId="77777777" w:rsidR="005F5E15" w:rsidRPr="007A3223" w:rsidRDefault="0062215F" w:rsidP="00885A60">
      <w:pPr>
        <w:pStyle w:val="Caption"/>
        <w:rPr>
          <w:b w:val="0"/>
          <w:bCs w:val="0"/>
          <w:sz w:val="20"/>
        </w:rPr>
      </w:pPr>
      <w:r w:rsidRPr="007A3223">
        <w:rPr>
          <w:sz w:val="20"/>
          <w:vertAlign w:val="superscript"/>
        </w:rPr>
        <w:t>a</w:t>
      </w:r>
      <w:r w:rsidRPr="007A3223">
        <w:rPr>
          <w:bCs w:val="0"/>
          <w:sz w:val="20"/>
        </w:rPr>
        <w:t xml:space="preserve"> </w:t>
      </w:r>
      <w:r w:rsidRPr="007A3223">
        <w:rPr>
          <w:b w:val="0"/>
          <w:bCs w:val="0"/>
          <w:sz w:val="20"/>
        </w:rPr>
        <w:t>ATLANTIC</w:t>
      </w:r>
      <w:r w:rsidR="0025061D" w:rsidRPr="007A3223">
        <w:rPr>
          <w:b w:val="0"/>
          <w:bCs w:val="0"/>
          <w:sz w:val="20"/>
        </w:rPr>
        <w:t xml:space="preserve"> study</w:t>
      </w:r>
      <w:r w:rsidR="005149FC" w:rsidRPr="007A3223">
        <w:rPr>
          <w:b w:val="0"/>
          <w:bCs w:val="0"/>
          <w:sz w:val="20"/>
        </w:rPr>
        <w:t xml:space="preserve">: </w:t>
      </w:r>
      <w:r w:rsidR="005149FC" w:rsidRPr="007A3223">
        <w:rPr>
          <w:b w:val="0"/>
          <w:sz w:val="20"/>
        </w:rPr>
        <w:t>A Global Study to Assess the Effects of MEDI4736 in Patients with Locally Advanced or Metastatic Non Small Cell Lung Cancer</w:t>
      </w:r>
    </w:p>
    <w:p w14:paraId="791168DB" w14:textId="77777777" w:rsidR="00966EA8" w:rsidRPr="007A3223" w:rsidRDefault="00BA31D0" w:rsidP="005149FC">
      <w:pPr>
        <w:rPr>
          <w:bCs/>
          <w:sz w:val="20"/>
          <w:szCs w:val="20"/>
        </w:rPr>
      </w:pPr>
      <w:r w:rsidRPr="007A3223">
        <w:rPr>
          <w:bCs/>
          <w:sz w:val="20"/>
          <w:szCs w:val="20"/>
          <w:vertAlign w:val="superscript"/>
        </w:rPr>
        <w:t>b</w:t>
      </w:r>
      <w:r w:rsidR="0062215F" w:rsidRPr="007A3223">
        <w:rPr>
          <w:bCs/>
          <w:sz w:val="20"/>
          <w:szCs w:val="20"/>
        </w:rPr>
        <w:t>PACIFIC</w:t>
      </w:r>
      <w:r w:rsidR="0025061D" w:rsidRPr="007A3223">
        <w:rPr>
          <w:bCs/>
          <w:sz w:val="20"/>
          <w:szCs w:val="20"/>
        </w:rPr>
        <w:t xml:space="preserve"> study</w:t>
      </w:r>
      <w:r w:rsidR="005149FC" w:rsidRPr="007A3223">
        <w:rPr>
          <w:bCs/>
          <w:sz w:val="20"/>
          <w:szCs w:val="20"/>
        </w:rPr>
        <w:t>: A Global Study to Assess the Effects of MEDI4736 Following Concurrent Chemoradiation in Patients with Stage III Unresectable Non-Small Cell Lung Cancer</w:t>
      </w:r>
    </w:p>
    <w:p w14:paraId="2BF0977A" w14:textId="77777777" w:rsidR="00CD60C4" w:rsidRPr="007A3223" w:rsidRDefault="00CD60C4" w:rsidP="005149FC">
      <w:pPr>
        <w:rPr>
          <w:sz w:val="20"/>
          <w:szCs w:val="20"/>
        </w:rPr>
      </w:pPr>
    </w:p>
    <w:p w14:paraId="47EFF391" w14:textId="2D34C1CA" w:rsidR="00B1127A" w:rsidRPr="007A3223" w:rsidRDefault="00B1127A" w:rsidP="00C100B8">
      <w:pPr>
        <w:keepNext/>
      </w:pPr>
      <w:bookmarkStart w:id="47" w:name="_Ref405291862"/>
      <w:bookmarkStart w:id="48" w:name="_Toc82444436"/>
      <w:r w:rsidRPr="007A3223">
        <w:rPr>
          <w:b/>
        </w:rPr>
        <w:t xml:space="preserve">Table </w:t>
      </w:r>
      <w:r w:rsidR="002457B0" w:rsidRPr="00F33908">
        <w:rPr>
          <w:b/>
        </w:rPr>
        <w:fldChar w:fldCharType="begin"/>
      </w:r>
      <w:r w:rsidR="008055BE" w:rsidRPr="007A3223">
        <w:rPr>
          <w:b/>
        </w:rPr>
        <w:instrText xml:space="preserve"> SEQ Table \* ARABIC </w:instrText>
      </w:r>
      <w:r w:rsidR="002457B0" w:rsidRPr="00F33908">
        <w:rPr>
          <w:b/>
        </w:rPr>
        <w:fldChar w:fldCharType="separate"/>
      </w:r>
      <w:r w:rsidR="00E47ACA">
        <w:rPr>
          <w:b/>
          <w:noProof/>
        </w:rPr>
        <w:t>2</w:t>
      </w:r>
      <w:r w:rsidR="002457B0" w:rsidRPr="00F33908">
        <w:rPr>
          <w:b/>
        </w:rPr>
        <w:fldChar w:fldCharType="end"/>
      </w:r>
      <w:bookmarkEnd w:id="47"/>
      <w:r w:rsidRPr="007A3223">
        <w:rPr>
          <w:b/>
          <w:szCs w:val="24"/>
          <w:u w:val="single"/>
        </w:rPr>
        <w:t xml:space="preserve">. </w:t>
      </w:r>
      <w:r w:rsidR="0071085E">
        <w:rPr>
          <w:b/>
          <w:szCs w:val="24"/>
          <w:u w:val="single"/>
        </w:rPr>
        <w:t>Durvalumab</w:t>
      </w:r>
      <w:r w:rsidRPr="007A3223">
        <w:rPr>
          <w:b/>
          <w:szCs w:val="24"/>
          <w:u w:val="single"/>
        </w:rPr>
        <w:t xml:space="preserve"> Combination Therapy</w:t>
      </w:r>
      <w:r w:rsidR="002424C6" w:rsidRPr="00F33908">
        <w:rPr>
          <w:b/>
          <w:szCs w:val="24"/>
          <w:u w:val="single"/>
        </w:rPr>
        <w:t xml:space="preserve"> Clinical Studies</w:t>
      </w:r>
      <w:r w:rsidRPr="007A3223">
        <w:rPr>
          <w:b/>
          <w:szCs w:val="24"/>
          <w:u w:val="single"/>
        </w:rPr>
        <w:t xml:space="preserve"> (201</w:t>
      </w:r>
      <w:r w:rsidR="002424C6" w:rsidRPr="007A3223">
        <w:rPr>
          <w:b/>
          <w:szCs w:val="24"/>
          <w:u w:val="single"/>
        </w:rPr>
        <w:t>5</w:t>
      </w:r>
      <w:r w:rsidRPr="007A3223">
        <w:rPr>
          <w:b/>
          <w:szCs w:val="24"/>
          <w:u w:val="single"/>
        </w:rPr>
        <w:t xml:space="preserve"> IB)</w:t>
      </w:r>
      <w:r w:rsidR="002424C6" w:rsidRPr="007A3223">
        <w:rPr>
          <w:b/>
          <w:szCs w:val="24"/>
          <w:u w:val="single"/>
        </w:rPr>
        <w:t>*</w:t>
      </w:r>
      <w:bookmarkEnd w:id="4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2856"/>
        <w:gridCol w:w="2176"/>
        <w:gridCol w:w="1732"/>
      </w:tblGrid>
      <w:tr w:rsidR="001E02F5" w:rsidRPr="007A3223" w14:paraId="7C2FFBEF" w14:textId="77777777" w:rsidTr="00CD60C4">
        <w:trPr>
          <w:cantSplit/>
          <w:trHeight w:val="1034"/>
          <w:tblHeader/>
        </w:trPr>
        <w:tc>
          <w:tcPr>
            <w:tcW w:w="1341" w:type="pct"/>
          </w:tcPr>
          <w:p w14:paraId="5B5FF01E" w14:textId="77777777" w:rsidR="00CC4F2D" w:rsidRPr="007A3223" w:rsidRDefault="00CC4F2D" w:rsidP="00885A60">
            <w:pPr>
              <w:keepNext/>
              <w:spacing w:line="22" w:lineRule="atLeast"/>
              <w:jc w:val="center"/>
              <w:rPr>
                <w:b/>
                <w:bCs/>
                <w:sz w:val="22"/>
              </w:rPr>
            </w:pPr>
            <w:r w:rsidRPr="007A3223">
              <w:rPr>
                <w:b/>
                <w:bCs/>
                <w:sz w:val="22"/>
              </w:rPr>
              <w:t>Study</w:t>
            </w:r>
          </w:p>
        </w:tc>
        <w:tc>
          <w:tcPr>
            <w:tcW w:w="1545" w:type="pct"/>
          </w:tcPr>
          <w:p w14:paraId="0A8BA510" w14:textId="77777777" w:rsidR="00CC4F2D" w:rsidRPr="007A3223" w:rsidRDefault="00CC4F2D" w:rsidP="00885A60">
            <w:pPr>
              <w:keepNext/>
              <w:spacing w:line="22" w:lineRule="atLeast"/>
              <w:jc w:val="center"/>
              <w:rPr>
                <w:b/>
                <w:bCs/>
                <w:sz w:val="22"/>
              </w:rPr>
            </w:pPr>
            <w:r w:rsidRPr="007A3223">
              <w:rPr>
                <w:b/>
                <w:bCs/>
                <w:sz w:val="22"/>
              </w:rPr>
              <w:t>Patients</w:t>
            </w:r>
          </w:p>
        </w:tc>
        <w:tc>
          <w:tcPr>
            <w:tcW w:w="1177" w:type="pct"/>
          </w:tcPr>
          <w:p w14:paraId="2A481B73" w14:textId="77777777" w:rsidR="00CC4F2D" w:rsidRPr="007A3223" w:rsidRDefault="00CC4F2D" w:rsidP="00885A60">
            <w:pPr>
              <w:keepNext/>
              <w:spacing w:line="22" w:lineRule="atLeast"/>
              <w:jc w:val="center"/>
              <w:rPr>
                <w:b/>
                <w:bCs/>
                <w:sz w:val="22"/>
              </w:rPr>
            </w:pPr>
            <w:r w:rsidRPr="007A3223">
              <w:rPr>
                <w:b/>
                <w:bCs/>
                <w:sz w:val="22"/>
              </w:rPr>
              <w:t>Dose</w:t>
            </w:r>
          </w:p>
        </w:tc>
        <w:tc>
          <w:tcPr>
            <w:tcW w:w="937" w:type="pct"/>
          </w:tcPr>
          <w:p w14:paraId="2B51CCF1" w14:textId="77777777" w:rsidR="00CC4F2D" w:rsidRPr="007A3223" w:rsidRDefault="00CC4F2D" w:rsidP="00885A60">
            <w:pPr>
              <w:keepNext/>
              <w:spacing w:line="22" w:lineRule="atLeast"/>
              <w:jc w:val="center"/>
              <w:rPr>
                <w:b/>
                <w:bCs/>
                <w:sz w:val="22"/>
              </w:rPr>
            </w:pPr>
            <w:r w:rsidRPr="007A3223">
              <w:rPr>
                <w:b/>
                <w:bCs/>
                <w:sz w:val="22"/>
              </w:rPr>
              <w:t xml:space="preserve">Number of patients treated as of </w:t>
            </w:r>
            <w:r w:rsidR="006C786A" w:rsidRPr="007A3223">
              <w:rPr>
                <w:b/>
                <w:bCs/>
                <w:sz w:val="22"/>
              </w:rPr>
              <w:t>May</w:t>
            </w:r>
            <w:r w:rsidRPr="007A3223">
              <w:rPr>
                <w:b/>
                <w:bCs/>
                <w:sz w:val="22"/>
              </w:rPr>
              <w:t xml:space="preserve"> 201</w:t>
            </w:r>
            <w:r w:rsidR="006C786A" w:rsidRPr="007A3223">
              <w:rPr>
                <w:b/>
                <w:bCs/>
                <w:sz w:val="22"/>
              </w:rPr>
              <w:t>5</w:t>
            </w:r>
          </w:p>
        </w:tc>
      </w:tr>
      <w:tr w:rsidR="001E02F5" w:rsidRPr="007A3223" w14:paraId="27336FF4" w14:textId="77777777" w:rsidTr="00EA25D7">
        <w:trPr>
          <w:cantSplit/>
          <w:trHeight w:val="3950"/>
        </w:trPr>
        <w:tc>
          <w:tcPr>
            <w:tcW w:w="1341" w:type="pct"/>
          </w:tcPr>
          <w:p w14:paraId="57E0FD7A" w14:textId="01BF5181" w:rsidR="00CC4F2D" w:rsidRPr="007A3223" w:rsidRDefault="00860F53" w:rsidP="00885A60">
            <w:pPr>
              <w:spacing w:line="22" w:lineRule="atLeast"/>
              <w:jc w:val="center"/>
              <w:rPr>
                <w:bCs/>
                <w:sz w:val="22"/>
              </w:rPr>
            </w:pPr>
            <w:r>
              <w:rPr>
                <w:bCs/>
                <w:sz w:val="22"/>
              </w:rPr>
              <w:t>Durvalumab</w:t>
            </w:r>
            <w:r w:rsidR="00CC4F2D" w:rsidRPr="007A3223">
              <w:rPr>
                <w:bCs/>
                <w:sz w:val="22"/>
              </w:rPr>
              <w:t xml:space="preserve"> + Dabrafenib (B-raf inhibitor) and/or Trametinib (MEK1/2 inhibitor): </w:t>
            </w:r>
            <w:r>
              <w:rPr>
                <w:bCs/>
                <w:sz w:val="22"/>
              </w:rPr>
              <w:t>Durvalumab</w:t>
            </w:r>
            <w:r w:rsidR="00CC4F2D" w:rsidRPr="007A3223">
              <w:rPr>
                <w:bCs/>
                <w:sz w:val="22"/>
              </w:rPr>
              <w:t xml:space="preserve"> Combination Therapy</w:t>
            </w:r>
          </w:p>
        </w:tc>
        <w:tc>
          <w:tcPr>
            <w:tcW w:w="1545" w:type="pct"/>
          </w:tcPr>
          <w:p w14:paraId="6D6922AF" w14:textId="77777777" w:rsidR="00CC4F2D" w:rsidRPr="007A3223" w:rsidRDefault="00CC4F2D" w:rsidP="00885A60">
            <w:pPr>
              <w:spacing w:line="22" w:lineRule="atLeast"/>
              <w:jc w:val="center"/>
              <w:rPr>
                <w:bCs/>
                <w:sz w:val="22"/>
              </w:rPr>
            </w:pPr>
            <w:r w:rsidRPr="007A3223">
              <w:rPr>
                <w:bCs/>
                <w:sz w:val="22"/>
              </w:rPr>
              <w:t>Metastatic Melanoma</w:t>
            </w:r>
          </w:p>
        </w:tc>
        <w:tc>
          <w:tcPr>
            <w:tcW w:w="1177" w:type="pct"/>
          </w:tcPr>
          <w:p w14:paraId="75648CF5" w14:textId="23A66827" w:rsidR="00CC4F2D" w:rsidRPr="007A3223" w:rsidRDefault="00CC4F2D" w:rsidP="00885A60">
            <w:pPr>
              <w:spacing w:line="22" w:lineRule="atLeast"/>
              <w:jc w:val="center"/>
              <w:rPr>
                <w:sz w:val="22"/>
              </w:rPr>
            </w:pPr>
            <w:r w:rsidRPr="007A3223">
              <w:rPr>
                <w:sz w:val="22"/>
              </w:rPr>
              <w:t xml:space="preserve">3 mg/kg </w:t>
            </w:r>
            <w:r w:rsidR="00DE3B5D">
              <w:rPr>
                <w:sz w:val="22"/>
              </w:rPr>
              <w:t>Durvalumab</w:t>
            </w:r>
            <w:r w:rsidRPr="007A3223">
              <w:rPr>
                <w:sz w:val="22"/>
              </w:rPr>
              <w:t xml:space="preserve"> Q2W + 150 mg dabrafenib + 2 mg trametinib</w:t>
            </w:r>
          </w:p>
          <w:p w14:paraId="2D8076BC" w14:textId="41F6730B" w:rsidR="00CC4F2D" w:rsidRPr="007A3223" w:rsidRDefault="00CC4F2D" w:rsidP="00885A60">
            <w:pPr>
              <w:spacing w:line="22" w:lineRule="atLeast"/>
              <w:jc w:val="center"/>
              <w:rPr>
                <w:sz w:val="22"/>
              </w:rPr>
            </w:pPr>
            <w:r w:rsidRPr="007A3223">
              <w:rPr>
                <w:sz w:val="22"/>
              </w:rPr>
              <w:t xml:space="preserve">10 mg/kg </w:t>
            </w:r>
            <w:r w:rsidR="00DE3B5D">
              <w:rPr>
                <w:sz w:val="22"/>
              </w:rPr>
              <w:t>Durvalumab</w:t>
            </w:r>
            <w:r w:rsidRPr="007A3223">
              <w:rPr>
                <w:sz w:val="22"/>
              </w:rPr>
              <w:t xml:space="preserve"> Q2W + 150 mg dabrafenib + 2 mg trametinib</w:t>
            </w:r>
          </w:p>
          <w:p w14:paraId="3457DB25" w14:textId="26A8336E" w:rsidR="00CC4F2D" w:rsidRPr="007A3223" w:rsidRDefault="00CC4F2D" w:rsidP="00885A60">
            <w:pPr>
              <w:spacing w:line="22" w:lineRule="atLeast"/>
              <w:jc w:val="center"/>
              <w:rPr>
                <w:sz w:val="22"/>
              </w:rPr>
            </w:pPr>
            <w:r w:rsidRPr="007A3223">
              <w:rPr>
                <w:sz w:val="22"/>
              </w:rPr>
              <w:t xml:space="preserve">concomitant 10 mg/kg </w:t>
            </w:r>
            <w:r w:rsidR="00DE3B5D">
              <w:rPr>
                <w:sz w:val="22"/>
              </w:rPr>
              <w:t>Durvalumab</w:t>
            </w:r>
            <w:r w:rsidRPr="007A3223">
              <w:rPr>
                <w:sz w:val="22"/>
              </w:rPr>
              <w:t xml:space="preserve"> Q2W and 2 mg trametinib)</w:t>
            </w:r>
          </w:p>
          <w:p w14:paraId="297EF3E8" w14:textId="1DC9D2E9" w:rsidR="00CC4F2D" w:rsidRPr="007A3223" w:rsidRDefault="00CC4F2D" w:rsidP="00C955BC">
            <w:pPr>
              <w:spacing w:line="22" w:lineRule="atLeast"/>
              <w:jc w:val="center"/>
              <w:rPr>
                <w:bCs/>
                <w:sz w:val="22"/>
              </w:rPr>
            </w:pPr>
            <w:r w:rsidRPr="007A3223">
              <w:rPr>
                <w:sz w:val="22"/>
              </w:rPr>
              <w:t xml:space="preserve">sequential 10 mg/kg </w:t>
            </w:r>
            <w:r w:rsidR="00DE3B5D">
              <w:rPr>
                <w:sz w:val="22"/>
              </w:rPr>
              <w:t>Durvalumab</w:t>
            </w:r>
            <w:r w:rsidRPr="007A3223">
              <w:rPr>
                <w:sz w:val="22"/>
              </w:rPr>
              <w:t xml:space="preserve"> Q2W and 2 mg trametinib</w:t>
            </w:r>
          </w:p>
        </w:tc>
        <w:tc>
          <w:tcPr>
            <w:tcW w:w="937" w:type="pct"/>
          </w:tcPr>
          <w:p w14:paraId="065FE07B" w14:textId="77777777" w:rsidR="00CC4F2D" w:rsidRPr="007A3223" w:rsidRDefault="000179B0" w:rsidP="00885A60">
            <w:pPr>
              <w:spacing w:line="22" w:lineRule="atLeast"/>
              <w:jc w:val="center"/>
              <w:rPr>
                <w:bCs/>
                <w:sz w:val="22"/>
              </w:rPr>
            </w:pPr>
            <w:r w:rsidRPr="007A3223">
              <w:rPr>
                <w:bCs/>
                <w:sz w:val="22"/>
              </w:rPr>
              <w:t>65</w:t>
            </w:r>
          </w:p>
        </w:tc>
      </w:tr>
      <w:tr w:rsidR="001E02F5" w:rsidRPr="007A3223" w14:paraId="33219D27" w14:textId="77777777" w:rsidTr="0066648E">
        <w:trPr>
          <w:cantSplit/>
        </w:trPr>
        <w:tc>
          <w:tcPr>
            <w:tcW w:w="1341" w:type="pct"/>
          </w:tcPr>
          <w:p w14:paraId="7B5AAFFD" w14:textId="62AD0737" w:rsidR="00CC4F2D" w:rsidRPr="007A3223" w:rsidRDefault="00CC4F2D" w:rsidP="00885A60">
            <w:pPr>
              <w:spacing w:line="22" w:lineRule="atLeast"/>
              <w:jc w:val="center"/>
              <w:rPr>
                <w:bCs/>
                <w:sz w:val="22"/>
              </w:rPr>
            </w:pPr>
            <w:r w:rsidRPr="007A3223">
              <w:rPr>
                <w:bCs/>
                <w:sz w:val="22"/>
              </w:rPr>
              <w:lastRenderedPageBreak/>
              <w:t xml:space="preserve">Phase Ib: </w:t>
            </w:r>
            <w:r w:rsidR="008E51AD">
              <w:rPr>
                <w:bCs/>
                <w:sz w:val="22"/>
              </w:rPr>
              <w:t>Durvalumab</w:t>
            </w:r>
            <w:r w:rsidR="00833495" w:rsidRPr="007A3223">
              <w:rPr>
                <w:bCs/>
                <w:sz w:val="22"/>
              </w:rPr>
              <w:t xml:space="preserve"> + Tremelimumab</w:t>
            </w:r>
            <w:r w:rsidRPr="007A3223">
              <w:rPr>
                <w:bCs/>
                <w:sz w:val="22"/>
              </w:rPr>
              <w:t xml:space="preserve"> Combination Therapy</w:t>
            </w:r>
            <w:r w:rsidRPr="007A3223" w:rsidDel="009A6A45">
              <w:rPr>
                <w:bCs/>
                <w:sz w:val="22"/>
              </w:rPr>
              <w:t xml:space="preserve"> </w:t>
            </w:r>
          </w:p>
        </w:tc>
        <w:tc>
          <w:tcPr>
            <w:tcW w:w="1545" w:type="pct"/>
          </w:tcPr>
          <w:p w14:paraId="611E80A2" w14:textId="77777777" w:rsidR="00CC4F2D" w:rsidRPr="007A3223" w:rsidRDefault="00CC4F2D" w:rsidP="00885A60">
            <w:pPr>
              <w:widowControl w:val="0"/>
              <w:autoSpaceDE w:val="0"/>
              <w:autoSpaceDN w:val="0"/>
              <w:adjustRightInd w:val="0"/>
              <w:spacing w:after="0"/>
              <w:jc w:val="center"/>
              <w:rPr>
                <w:color w:val="000000"/>
                <w:sz w:val="22"/>
              </w:rPr>
            </w:pPr>
            <w:r w:rsidRPr="007A3223">
              <w:rPr>
                <w:color w:val="000000"/>
                <w:sz w:val="22"/>
              </w:rPr>
              <w:t>NSCLC</w:t>
            </w:r>
          </w:p>
          <w:p w14:paraId="6A39AD47" w14:textId="77777777" w:rsidR="00CC4F2D" w:rsidRPr="007A3223" w:rsidRDefault="00CC4F2D" w:rsidP="00885A60">
            <w:pPr>
              <w:spacing w:line="22" w:lineRule="atLeast"/>
              <w:jc w:val="center"/>
              <w:rPr>
                <w:bCs/>
                <w:sz w:val="22"/>
              </w:rPr>
            </w:pPr>
          </w:p>
        </w:tc>
        <w:tc>
          <w:tcPr>
            <w:tcW w:w="1177" w:type="pct"/>
          </w:tcPr>
          <w:p w14:paraId="41B9623F" w14:textId="053C58D8" w:rsidR="00CC4F2D" w:rsidRPr="007A3223" w:rsidRDefault="00DE3B5D" w:rsidP="00885A60">
            <w:pPr>
              <w:widowControl w:val="0"/>
              <w:autoSpaceDE w:val="0"/>
              <w:autoSpaceDN w:val="0"/>
              <w:adjustRightInd w:val="0"/>
              <w:spacing w:after="0"/>
              <w:jc w:val="center"/>
              <w:rPr>
                <w:color w:val="000000"/>
                <w:sz w:val="22"/>
              </w:rPr>
            </w:pPr>
            <w:r>
              <w:rPr>
                <w:color w:val="000000"/>
                <w:sz w:val="22"/>
              </w:rPr>
              <w:t>Durvalumab</w:t>
            </w:r>
            <w:r w:rsidR="00CC4F2D" w:rsidRPr="007A3223">
              <w:rPr>
                <w:color w:val="000000"/>
                <w:sz w:val="22"/>
              </w:rPr>
              <w:t xml:space="preserve"> </w:t>
            </w:r>
            <w:r w:rsidR="00EF6454" w:rsidRPr="007A3223">
              <w:rPr>
                <w:color w:val="000000"/>
                <w:sz w:val="22"/>
              </w:rPr>
              <w:t xml:space="preserve">10 mg/kg </w:t>
            </w:r>
            <w:r w:rsidR="00CC4F2D" w:rsidRPr="007A3223">
              <w:rPr>
                <w:color w:val="000000"/>
                <w:sz w:val="22"/>
              </w:rPr>
              <w:t xml:space="preserve">Q2W or </w:t>
            </w:r>
            <w:r>
              <w:rPr>
                <w:color w:val="000000"/>
                <w:sz w:val="22"/>
              </w:rPr>
              <w:t>Durvalumab</w:t>
            </w:r>
            <w:r w:rsidR="00CC4F2D" w:rsidRPr="007A3223">
              <w:rPr>
                <w:color w:val="000000"/>
                <w:sz w:val="22"/>
              </w:rPr>
              <w:t xml:space="preserve"> </w:t>
            </w:r>
            <w:r w:rsidR="00EF6454" w:rsidRPr="007A3223">
              <w:rPr>
                <w:color w:val="000000"/>
                <w:sz w:val="22"/>
              </w:rPr>
              <w:t xml:space="preserve">20 mg/kg </w:t>
            </w:r>
            <w:r w:rsidR="00CC4F2D" w:rsidRPr="007A3223">
              <w:rPr>
                <w:color w:val="000000"/>
                <w:sz w:val="22"/>
              </w:rPr>
              <w:t xml:space="preserve">Q4W </w:t>
            </w:r>
          </w:p>
          <w:p w14:paraId="7FFAE279" w14:textId="77777777" w:rsidR="00CC4F2D" w:rsidRPr="007A3223" w:rsidRDefault="00CC4F2D" w:rsidP="00885A60">
            <w:pPr>
              <w:widowControl w:val="0"/>
              <w:autoSpaceDE w:val="0"/>
              <w:autoSpaceDN w:val="0"/>
              <w:adjustRightInd w:val="0"/>
              <w:spacing w:after="0"/>
              <w:jc w:val="center"/>
              <w:rPr>
                <w:color w:val="000000"/>
                <w:sz w:val="22"/>
              </w:rPr>
            </w:pPr>
            <w:r w:rsidRPr="007A3223">
              <w:rPr>
                <w:color w:val="000000"/>
                <w:sz w:val="22"/>
              </w:rPr>
              <w:t xml:space="preserve">+ </w:t>
            </w:r>
          </w:p>
          <w:p w14:paraId="56CF491F" w14:textId="77777777" w:rsidR="00CC4F2D" w:rsidRPr="007A3223" w:rsidRDefault="00CC4F2D" w:rsidP="00C955BC">
            <w:pPr>
              <w:widowControl w:val="0"/>
              <w:autoSpaceDE w:val="0"/>
              <w:autoSpaceDN w:val="0"/>
              <w:adjustRightInd w:val="0"/>
              <w:spacing w:after="0"/>
              <w:jc w:val="center"/>
              <w:rPr>
                <w:color w:val="000000"/>
                <w:sz w:val="22"/>
              </w:rPr>
            </w:pPr>
            <w:r w:rsidRPr="007A3223">
              <w:rPr>
                <w:color w:val="000000"/>
                <w:sz w:val="22"/>
              </w:rPr>
              <w:t>tremelimumab Q4W</w:t>
            </w:r>
          </w:p>
        </w:tc>
        <w:tc>
          <w:tcPr>
            <w:tcW w:w="937" w:type="pct"/>
          </w:tcPr>
          <w:p w14:paraId="69350C31" w14:textId="77777777" w:rsidR="00CC4F2D" w:rsidRPr="007A3223" w:rsidRDefault="00CC4F2D" w:rsidP="00885A60">
            <w:pPr>
              <w:spacing w:line="22" w:lineRule="atLeast"/>
              <w:jc w:val="center"/>
              <w:rPr>
                <w:bCs/>
                <w:sz w:val="22"/>
              </w:rPr>
            </w:pPr>
            <w:r w:rsidRPr="007A3223">
              <w:rPr>
                <w:bCs/>
                <w:sz w:val="22"/>
              </w:rPr>
              <w:t>1</w:t>
            </w:r>
            <w:r w:rsidR="00F53E8A" w:rsidRPr="007A3223">
              <w:rPr>
                <w:bCs/>
                <w:sz w:val="22"/>
              </w:rPr>
              <w:t>02</w:t>
            </w:r>
          </w:p>
        </w:tc>
      </w:tr>
      <w:tr w:rsidR="001E02F5" w:rsidRPr="007A3223" w14:paraId="2E133AF1" w14:textId="77777777" w:rsidTr="0066648E">
        <w:trPr>
          <w:cantSplit/>
        </w:trPr>
        <w:tc>
          <w:tcPr>
            <w:tcW w:w="1341" w:type="pct"/>
          </w:tcPr>
          <w:p w14:paraId="2B96A37B" w14:textId="7729005A" w:rsidR="00CC4F2D" w:rsidRPr="007A3223" w:rsidDel="009A6A45" w:rsidRDefault="00CC4F2D" w:rsidP="00885A60">
            <w:pPr>
              <w:spacing w:line="22" w:lineRule="atLeast"/>
              <w:jc w:val="center"/>
              <w:rPr>
                <w:bCs/>
                <w:sz w:val="22"/>
              </w:rPr>
            </w:pPr>
            <w:r w:rsidRPr="007A3223">
              <w:rPr>
                <w:bCs/>
                <w:sz w:val="22"/>
              </w:rPr>
              <w:t xml:space="preserve">Phase I: </w:t>
            </w:r>
            <w:r w:rsidR="008E51AD">
              <w:rPr>
                <w:bCs/>
                <w:sz w:val="22"/>
              </w:rPr>
              <w:t>Durvalumab</w:t>
            </w:r>
            <w:r w:rsidR="00833495" w:rsidRPr="007A3223">
              <w:rPr>
                <w:bCs/>
                <w:sz w:val="22"/>
              </w:rPr>
              <w:t>+gefitinib</w:t>
            </w:r>
            <w:r w:rsidRPr="007A3223">
              <w:rPr>
                <w:bCs/>
                <w:sz w:val="22"/>
              </w:rPr>
              <w:t xml:space="preserve"> Combination Therapy</w:t>
            </w:r>
          </w:p>
        </w:tc>
        <w:tc>
          <w:tcPr>
            <w:tcW w:w="1545" w:type="pct"/>
          </w:tcPr>
          <w:p w14:paraId="4D0A7602" w14:textId="77777777" w:rsidR="00CC4F2D" w:rsidRPr="007A3223" w:rsidRDefault="00CC4F2D" w:rsidP="00885A60">
            <w:pPr>
              <w:widowControl w:val="0"/>
              <w:autoSpaceDE w:val="0"/>
              <w:autoSpaceDN w:val="0"/>
              <w:adjustRightInd w:val="0"/>
              <w:spacing w:after="0"/>
              <w:jc w:val="center"/>
              <w:rPr>
                <w:color w:val="000000"/>
                <w:sz w:val="22"/>
              </w:rPr>
            </w:pPr>
            <w:r w:rsidRPr="007A3223">
              <w:rPr>
                <w:color w:val="000000"/>
                <w:sz w:val="22"/>
              </w:rPr>
              <w:t>NSCLC</w:t>
            </w:r>
          </w:p>
          <w:p w14:paraId="255DF9C7" w14:textId="77777777" w:rsidR="00CC4F2D" w:rsidRPr="007A3223" w:rsidRDefault="00CC4F2D" w:rsidP="00885A60">
            <w:pPr>
              <w:spacing w:line="22" w:lineRule="atLeast"/>
              <w:jc w:val="center"/>
              <w:rPr>
                <w:bCs/>
                <w:sz w:val="22"/>
              </w:rPr>
            </w:pPr>
          </w:p>
        </w:tc>
        <w:tc>
          <w:tcPr>
            <w:tcW w:w="1177" w:type="pct"/>
          </w:tcPr>
          <w:p w14:paraId="214412F9" w14:textId="7AFF6B23" w:rsidR="00CC4F2D" w:rsidRPr="007A3223" w:rsidRDefault="00DE3B5D" w:rsidP="00885A60">
            <w:pPr>
              <w:widowControl w:val="0"/>
              <w:autoSpaceDE w:val="0"/>
              <w:autoSpaceDN w:val="0"/>
              <w:adjustRightInd w:val="0"/>
              <w:spacing w:after="0"/>
              <w:jc w:val="center"/>
              <w:rPr>
                <w:color w:val="000000"/>
                <w:sz w:val="22"/>
              </w:rPr>
            </w:pPr>
            <w:r>
              <w:rPr>
                <w:color w:val="000000"/>
                <w:sz w:val="22"/>
              </w:rPr>
              <w:t>Durvalumab</w:t>
            </w:r>
            <w:r w:rsidR="00CC4F2D" w:rsidRPr="007A3223">
              <w:rPr>
                <w:color w:val="000000"/>
                <w:sz w:val="22"/>
              </w:rPr>
              <w:t xml:space="preserve"> Q2W </w:t>
            </w:r>
          </w:p>
          <w:p w14:paraId="4B989F77" w14:textId="77777777" w:rsidR="00CC4F2D" w:rsidRPr="007A3223" w:rsidRDefault="00C955BC" w:rsidP="00C955BC">
            <w:pPr>
              <w:widowControl w:val="0"/>
              <w:autoSpaceDE w:val="0"/>
              <w:autoSpaceDN w:val="0"/>
              <w:adjustRightInd w:val="0"/>
              <w:spacing w:after="0"/>
              <w:jc w:val="center"/>
              <w:rPr>
                <w:color w:val="000000"/>
                <w:sz w:val="22"/>
              </w:rPr>
            </w:pPr>
            <w:r w:rsidRPr="007A3223">
              <w:rPr>
                <w:color w:val="000000"/>
                <w:sz w:val="22"/>
              </w:rPr>
              <w:t>+ gefitinib</w:t>
            </w:r>
          </w:p>
        </w:tc>
        <w:tc>
          <w:tcPr>
            <w:tcW w:w="937" w:type="pct"/>
          </w:tcPr>
          <w:p w14:paraId="392A7D3C" w14:textId="77777777" w:rsidR="00CC4F2D" w:rsidRPr="007A3223" w:rsidRDefault="00C16824" w:rsidP="00885A60">
            <w:pPr>
              <w:spacing w:line="22" w:lineRule="atLeast"/>
              <w:jc w:val="center"/>
              <w:rPr>
                <w:bCs/>
                <w:sz w:val="22"/>
              </w:rPr>
            </w:pPr>
            <w:r w:rsidRPr="007A3223">
              <w:rPr>
                <w:bCs/>
                <w:sz w:val="22"/>
              </w:rPr>
              <w:t>33</w:t>
            </w:r>
          </w:p>
        </w:tc>
      </w:tr>
      <w:tr w:rsidR="001E02F5" w:rsidRPr="007A3223" w14:paraId="364F71B2" w14:textId="77777777" w:rsidTr="0066648E">
        <w:trPr>
          <w:cantSplit/>
        </w:trPr>
        <w:tc>
          <w:tcPr>
            <w:tcW w:w="1341" w:type="pct"/>
          </w:tcPr>
          <w:p w14:paraId="32C908B7" w14:textId="33BE1407" w:rsidR="00CC4F2D" w:rsidRPr="007A3223" w:rsidRDefault="00CC4F2D" w:rsidP="00885A60">
            <w:pPr>
              <w:spacing w:line="22" w:lineRule="atLeast"/>
              <w:jc w:val="center"/>
              <w:rPr>
                <w:bCs/>
                <w:sz w:val="22"/>
              </w:rPr>
            </w:pPr>
            <w:r w:rsidRPr="007A3223">
              <w:rPr>
                <w:bCs/>
                <w:sz w:val="22"/>
              </w:rPr>
              <w:t xml:space="preserve">Phase I: </w:t>
            </w:r>
            <w:r w:rsidR="008E51AD">
              <w:rPr>
                <w:bCs/>
                <w:sz w:val="22"/>
              </w:rPr>
              <w:t>Durvalumab</w:t>
            </w:r>
            <w:r w:rsidR="00833495" w:rsidRPr="007A3223">
              <w:rPr>
                <w:bCs/>
                <w:sz w:val="22"/>
              </w:rPr>
              <w:t>+MEDI0680</w:t>
            </w:r>
            <w:r w:rsidRPr="007A3223">
              <w:rPr>
                <w:bCs/>
                <w:sz w:val="22"/>
              </w:rPr>
              <w:t xml:space="preserve"> Combination Therapy</w:t>
            </w:r>
          </w:p>
        </w:tc>
        <w:tc>
          <w:tcPr>
            <w:tcW w:w="1545" w:type="pct"/>
          </w:tcPr>
          <w:p w14:paraId="65603429" w14:textId="77777777" w:rsidR="00CC4F2D" w:rsidRPr="007A3223" w:rsidRDefault="00CC4F2D" w:rsidP="00885A60">
            <w:pPr>
              <w:widowControl w:val="0"/>
              <w:autoSpaceDE w:val="0"/>
              <w:autoSpaceDN w:val="0"/>
              <w:adjustRightInd w:val="0"/>
              <w:spacing w:after="0"/>
              <w:jc w:val="center"/>
              <w:rPr>
                <w:color w:val="000000"/>
                <w:sz w:val="22"/>
              </w:rPr>
            </w:pPr>
            <w:r w:rsidRPr="007A3223">
              <w:rPr>
                <w:color w:val="000000"/>
                <w:sz w:val="22"/>
              </w:rPr>
              <w:t>Advanced malignancies</w:t>
            </w:r>
          </w:p>
          <w:p w14:paraId="36BE0760" w14:textId="77777777" w:rsidR="00CC4F2D" w:rsidRPr="007A3223" w:rsidRDefault="00CC4F2D" w:rsidP="00885A60">
            <w:pPr>
              <w:spacing w:line="22" w:lineRule="atLeast"/>
              <w:jc w:val="center"/>
              <w:rPr>
                <w:bCs/>
                <w:sz w:val="22"/>
              </w:rPr>
            </w:pPr>
          </w:p>
        </w:tc>
        <w:tc>
          <w:tcPr>
            <w:tcW w:w="1177" w:type="pct"/>
          </w:tcPr>
          <w:p w14:paraId="332DB8BB" w14:textId="1E132331" w:rsidR="00CC4F2D" w:rsidRPr="007A3223" w:rsidRDefault="00DE3B5D" w:rsidP="00885A60">
            <w:pPr>
              <w:widowControl w:val="0"/>
              <w:autoSpaceDE w:val="0"/>
              <w:autoSpaceDN w:val="0"/>
              <w:adjustRightInd w:val="0"/>
              <w:spacing w:after="0"/>
              <w:jc w:val="center"/>
              <w:rPr>
                <w:color w:val="000000"/>
                <w:sz w:val="22"/>
              </w:rPr>
            </w:pPr>
            <w:r>
              <w:rPr>
                <w:color w:val="000000"/>
                <w:sz w:val="22"/>
              </w:rPr>
              <w:t>Durvalumab</w:t>
            </w:r>
            <w:r w:rsidR="00CC4F2D" w:rsidRPr="007A3223">
              <w:rPr>
                <w:color w:val="000000"/>
                <w:sz w:val="22"/>
              </w:rPr>
              <w:t xml:space="preserve"> Q2W </w:t>
            </w:r>
          </w:p>
          <w:p w14:paraId="7C14A304" w14:textId="77777777" w:rsidR="00CC4F2D" w:rsidRPr="007A3223" w:rsidRDefault="00CC4F2D" w:rsidP="00C955BC">
            <w:pPr>
              <w:widowControl w:val="0"/>
              <w:autoSpaceDE w:val="0"/>
              <w:autoSpaceDN w:val="0"/>
              <w:adjustRightInd w:val="0"/>
              <w:spacing w:after="0"/>
              <w:jc w:val="center"/>
              <w:rPr>
                <w:color w:val="000000"/>
                <w:sz w:val="22"/>
              </w:rPr>
            </w:pPr>
            <w:r w:rsidRPr="007A3223">
              <w:rPr>
                <w:color w:val="000000"/>
                <w:sz w:val="22"/>
              </w:rPr>
              <w:t>+ MEDI0680 (AMP-514) Q2W or MEDI0680 (AMP-514) Q2W Q4W</w:t>
            </w:r>
          </w:p>
        </w:tc>
        <w:tc>
          <w:tcPr>
            <w:tcW w:w="937" w:type="pct"/>
          </w:tcPr>
          <w:p w14:paraId="3EBEBC6D" w14:textId="77777777" w:rsidR="00CC4F2D" w:rsidRPr="007A3223" w:rsidRDefault="00C16824" w:rsidP="00885A60">
            <w:pPr>
              <w:spacing w:line="22" w:lineRule="atLeast"/>
              <w:jc w:val="center"/>
              <w:rPr>
                <w:bCs/>
                <w:sz w:val="22"/>
              </w:rPr>
            </w:pPr>
            <w:r w:rsidRPr="007A3223">
              <w:rPr>
                <w:bCs/>
                <w:sz w:val="22"/>
              </w:rPr>
              <w:t>21</w:t>
            </w:r>
          </w:p>
        </w:tc>
      </w:tr>
      <w:tr w:rsidR="001E02F5" w:rsidRPr="007A3223" w14:paraId="662FADFE" w14:textId="77777777" w:rsidTr="0066648E">
        <w:trPr>
          <w:cantSplit/>
        </w:trPr>
        <w:tc>
          <w:tcPr>
            <w:tcW w:w="1341" w:type="pct"/>
          </w:tcPr>
          <w:p w14:paraId="20C99A2D" w14:textId="5F39CFB0" w:rsidR="00CC4F2D" w:rsidRPr="007A3223" w:rsidRDefault="00CC4F2D" w:rsidP="00885A60">
            <w:pPr>
              <w:spacing w:line="22" w:lineRule="atLeast"/>
              <w:jc w:val="center"/>
              <w:rPr>
                <w:bCs/>
                <w:sz w:val="22"/>
              </w:rPr>
            </w:pPr>
            <w:r w:rsidRPr="007A3223">
              <w:rPr>
                <w:bCs/>
                <w:sz w:val="22"/>
              </w:rPr>
              <w:t xml:space="preserve">Phase I: </w:t>
            </w:r>
            <w:r w:rsidR="008E51AD">
              <w:rPr>
                <w:bCs/>
                <w:sz w:val="22"/>
              </w:rPr>
              <w:t>Durvalumab</w:t>
            </w:r>
            <w:r w:rsidRPr="007A3223">
              <w:rPr>
                <w:bCs/>
                <w:sz w:val="22"/>
              </w:rPr>
              <w:t xml:space="preserve"> </w:t>
            </w:r>
            <w:r w:rsidR="00833495" w:rsidRPr="007A3223">
              <w:rPr>
                <w:bCs/>
                <w:sz w:val="22"/>
              </w:rPr>
              <w:t xml:space="preserve">+Tremelimumab </w:t>
            </w:r>
            <w:r w:rsidRPr="007A3223">
              <w:rPr>
                <w:bCs/>
                <w:sz w:val="22"/>
              </w:rPr>
              <w:t>Combination Therapy</w:t>
            </w:r>
          </w:p>
        </w:tc>
        <w:tc>
          <w:tcPr>
            <w:tcW w:w="1545" w:type="pct"/>
          </w:tcPr>
          <w:p w14:paraId="712C6206" w14:textId="77777777" w:rsidR="00CC4F2D" w:rsidRPr="007A3223" w:rsidRDefault="00CC4F2D" w:rsidP="00885A60">
            <w:pPr>
              <w:widowControl w:val="0"/>
              <w:autoSpaceDE w:val="0"/>
              <w:autoSpaceDN w:val="0"/>
              <w:adjustRightInd w:val="0"/>
              <w:spacing w:after="0"/>
              <w:jc w:val="center"/>
              <w:rPr>
                <w:color w:val="000000"/>
                <w:sz w:val="22"/>
              </w:rPr>
            </w:pPr>
            <w:r w:rsidRPr="007A3223">
              <w:rPr>
                <w:color w:val="000000"/>
                <w:sz w:val="22"/>
              </w:rPr>
              <w:t>Advanced solid tumors</w:t>
            </w:r>
          </w:p>
          <w:p w14:paraId="4EB96A6D" w14:textId="77777777" w:rsidR="00CC4F2D" w:rsidRPr="007A3223" w:rsidRDefault="00CC4F2D" w:rsidP="00885A60">
            <w:pPr>
              <w:spacing w:line="22" w:lineRule="atLeast"/>
              <w:jc w:val="center"/>
              <w:rPr>
                <w:bCs/>
                <w:sz w:val="22"/>
              </w:rPr>
            </w:pPr>
          </w:p>
        </w:tc>
        <w:tc>
          <w:tcPr>
            <w:tcW w:w="1177" w:type="pct"/>
          </w:tcPr>
          <w:p w14:paraId="3A34C751" w14:textId="47E17851" w:rsidR="00CC4F2D" w:rsidRPr="007A3223" w:rsidRDefault="00DE3B5D" w:rsidP="00885A60">
            <w:pPr>
              <w:widowControl w:val="0"/>
              <w:autoSpaceDE w:val="0"/>
              <w:autoSpaceDN w:val="0"/>
              <w:adjustRightInd w:val="0"/>
              <w:spacing w:after="0"/>
              <w:jc w:val="center"/>
              <w:rPr>
                <w:color w:val="000000"/>
                <w:sz w:val="22"/>
              </w:rPr>
            </w:pPr>
            <w:r>
              <w:rPr>
                <w:color w:val="000000"/>
                <w:sz w:val="22"/>
              </w:rPr>
              <w:t>Durvalumab</w:t>
            </w:r>
            <w:r w:rsidR="00CC4F2D" w:rsidRPr="007A3223">
              <w:rPr>
                <w:color w:val="000000"/>
                <w:sz w:val="22"/>
              </w:rPr>
              <w:t xml:space="preserve"> Q2W + tremelimumab Q4W</w:t>
            </w:r>
          </w:p>
          <w:p w14:paraId="15CF4199" w14:textId="77777777" w:rsidR="00CC4F2D" w:rsidRPr="007A3223" w:rsidRDefault="00CC4F2D" w:rsidP="00885A60">
            <w:pPr>
              <w:spacing w:line="22" w:lineRule="atLeast"/>
              <w:jc w:val="center"/>
              <w:rPr>
                <w:bCs/>
                <w:sz w:val="22"/>
              </w:rPr>
            </w:pPr>
          </w:p>
        </w:tc>
        <w:tc>
          <w:tcPr>
            <w:tcW w:w="937" w:type="pct"/>
          </w:tcPr>
          <w:p w14:paraId="4B1455E2" w14:textId="77777777" w:rsidR="00CC4F2D" w:rsidRPr="007A3223" w:rsidRDefault="002F1E99" w:rsidP="00885A60">
            <w:pPr>
              <w:spacing w:line="22" w:lineRule="atLeast"/>
              <w:jc w:val="center"/>
              <w:rPr>
                <w:bCs/>
                <w:sz w:val="22"/>
              </w:rPr>
            </w:pPr>
            <w:r w:rsidRPr="007A3223">
              <w:rPr>
                <w:bCs/>
                <w:sz w:val="22"/>
              </w:rPr>
              <w:t>5</w:t>
            </w:r>
            <w:r w:rsidR="00CC4F2D" w:rsidRPr="007A3223">
              <w:rPr>
                <w:bCs/>
                <w:sz w:val="22"/>
              </w:rPr>
              <w:t>1</w:t>
            </w:r>
          </w:p>
        </w:tc>
      </w:tr>
    </w:tbl>
    <w:p w14:paraId="4E32E2E2" w14:textId="77777777" w:rsidR="00CC4F2D" w:rsidRPr="007A3223" w:rsidRDefault="00CC4F2D" w:rsidP="00CC4F2D">
      <w:pPr>
        <w:widowControl w:val="0"/>
        <w:autoSpaceDE w:val="0"/>
        <w:autoSpaceDN w:val="0"/>
        <w:adjustRightInd w:val="0"/>
        <w:spacing w:after="0"/>
        <w:rPr>
          <w:color w:val="000000"/>
          <w:sz w:val="20"/>
          <w:szCs w:val="20"/>
        </w:rPr>
      </w:pPr>
      <w:r w:rsidRPr="007A3223">
        <w:rPr>
          <w:color w:val="000000"/>
          <w:sz w:val="20"/>
          <w:szCs w:val="20"/>
        </w:rPr>
        <w:t xml:space="preserve">NSCLC = non-small cell lung cancer; Q2W = every 2 weeks; Q3W = every 3 weeks; Q4W = every 4 weeks. </w:t>
      </w:r>
    </w:p>
    <w:p w14:paraId="1136CA60" w14:textId="77777777" w:rsidR="00A33D51" w:rsidRPr="007A3223" w:rsidRDefault="002F1E99" w:rsidP="00094A00">
      <w:pPr>
        <w:spacing w:line="22" w:lineRule="atLeast"/>
        <w:rPr>
          <w:i/>
          <w:color w:val="000000"/>
          <w:szCs w:val="24"/>
          <w:u w:val="single"/>
        </w:rPr>
      </w:pPr>
      <w:r w:rsidRPr="007A3223">
        <w:rPr>
          <w:color w:val="000000"/>
          <w:sz w:val="20"/>
          <w:szCs w:val="20"/>
        </w:rPr>
        <w:t>* See the 2015 IB for the comprehensive list of the combination studies</w:t>
      </w:r>
    </w:p>
    <w:p w14:paraId="7DFE8948" w14:textId="77777777" w:rsidR="00A33D51" w:rsidRPr="007A3223" w:rsidRDefault="00A33D51" w:rsidP="00094A00">
      <w:pPr>
        <w:spacing w:line="22" w:lineRule="atLeast"/>
        <w:rPr>
          <w:i/>
          <w:color w:val="000000"/>
          <w:szCs w:val="24"/>
          <w:u w:val="single"/>
        </w:rPr>
      </w:pPr>
    </w:p>
    <w:p w14:paraId="28E58924" w14:textId="2FD18C0D" w:rsidR="00094A00" w:rsidRPr="007A3223" w:rsidRDefault="00440B60" w:rsidP="00541C93">
      <w:pPr>
        <w:pStyle w:val="Heading4"/>
      </w:pPr>
      <w:r>
        <w:rPr>
          <w:lang w:val="en-US"/>
        </w:rPr>
        <w:t>Durvalumab</w:t>
      </w:r>
      <w:r w:rsidR="00094A00" w:rsidRPr="007A3223">
        <w:t xml:space="preserve"> </w:t>
      </w:r>
      <w:r w:rsidR="00FD2244" w:rsidRPr="007A3223">
        <w:t>C</w:t>
      </w:r>
      <w:r w:rsidR="00C955BC" w:rsidRPr="007A3223">
        <w:t>linical</w:t>
      </w:r>
      <w:r w:rsidR="00094A00" w:rsidRPr="007A3223">
        <w:t xml:space="preserve"> </w:t>
      </w:r>
      <w:r w:rsidR="00AF64AC" w:rsidRPr="007A3223">
        <w:t>a</w:t>
      </w:r>
      <w:r w:rsidR="00094A00" w:rsidRPr="007A3223">
        <w:t>ctivity</w:t>
      </w:r>
    </w:p>
    <w:p w14:paraId="08CAF8D5" w14:textId="2343BCFD" w:rsidR="008E0F36" w:rsidRPr="007A3223" w:rsidRDefault="008F5AA4" w:rsidP="00612FF0">
      <w:pPr>
        <w:spacing w:after="0"/>
        <w:ind w:firstLine="274"/>
        <w:rPr>
          <w:szCs w:val="24"/>
        </w:rPr>
      </w:pPr>
      <w:r w:rsidRPr="007A3223">
        <w:rPr>
          <w:color w:val="000000"/>
          <w:szCs w:val="24"/>
        </w:rPr>
        <w:t>As of July 2015, t</w:t>
      </w:r>
      <w:r w:rsidR="007A6E6D" w:rsidRPr="007A3223">
        <w:rPr>
          <w:color w:val="000000"/>
          <w:szCs w:val="24"/>
        </w:rPr>
        <w:t xml:space="preserve">he preliminary </w:t>
      </w:r>
      <w:r w:rsidR="006E04D1" w:rsidRPr="007A3223">
        <w:rPr>
          <w:color w:val="000000"/>
          <w:szCs w:val="24"/>
        </w:rPr>
        <w:t>activity data are available in 456 of 694 patients</w:t>
      </w:r>
      <w:r w:rsidR="001E02F5" w:rsidRPr="007A3223">
        <w:rPr>
          <w:color w:val="000000"/>
          <w:szCs w:val="24"/>
        </w:rPr>
        <w:t xml:space="preserve"> with advanced solid tumors, treated with </w:t>
      </w:r>
      <w:r w:rsidR="007763FD">
        <w:rPr>
          <w:color w:val="000000"/>
          <w:szCs w:val="24"/>
        </w:rPr>
        <w:t>Durvalumab</w:t>
      </w:r>
      <w:r w:rsidR="001E02F5" w:rsidRPr="007A3223">
        <w:rPr>
          <w:color w:val="000000"/>
          <w:szCs w:val="24"/>
        </w:rPr>
        <w:t xml:space="preserve"> at 10 mg/kg q2 weeks. In PD-L1 unselected patients, the ORR based on RECIST 1.1 ranged form 0% in uveal melanoma to 20% in bladder cancer. PD-L1 status was known for 383 of 456 response evaluable patients. Across the PD-L1 positive tumors, ORR was highest for bladder cancer, advanced cutaneous melanoma and hepatocellular cancer (33.3% each), non-small cell lung cancer (26.7%) and squamous cell carcinoma in head and neck (18.2%).</w:t>
      </w:r>
      <w:r w:rsidR="001E02F5" w:rsidRPr="007A3223">
        <w:rPr>
          <w:rFonts w:eastAsiaTheme="minorHAnsi" w:hAnsiTheme="minorHAnsi" w:cstheme="minorBidi"/>
          <w:sz w:val="18"/>
        </w:rPr>
        <w:t xml:space="preserve"> </w:t>
      </w:r>
      <w:r w:rsidR="008E0F36" w:rsidRPr="007A3223">
        <w:rPr>
          <w:szCs w:val="24"/>
        </w:rPr>
        <w:t xml:space="preserve">These results are </w:t>
      </w:r>
      <w:r w:rsidR="008E0F36" w:rsidRPr="007A3223">
        <w:rPr>
          <w:color w:val="000000"/>
          <w:szCs w:val="24"/>
        </w:rPr>
        <w:t>consistent with reported ORR of other PD-1 inhibitors</w:t>
      </w:r>
      <w:r w:rsidR="002457B0" w:rsidRPr="00585A7F">
        <w:rPr>
          <w:color w:val="000000"/>
          <w:szCs w:val="24"/>
        </w:rPr>
        <w:fldChar w:fldCharType="begin"/>
      </w:r>
      <w:r w:rsidR="00800327" w:rsidRPr="007A3223">
        <w:rPr>
          <w:color w:val="000000"/>
          <w:szCs w:val="24"/>
        </w:rPr>
        <w:instrText xml:space="preserve"> ADDIN EN.CITE &lt;EndNote&gt;&lt;Cite&gt;&lt;Author&gt;Grosso&lt;/Author&gt;&lt;RecNum&gt;71&lt;/RecNum&gt;&lt;DisplayText&gt;&lt;style face="superscript"&gt;147,148&lt;/style&gt;&lt;/DisplayText&gt;&lt;record&gt;&lt;rec-number&gt;71&lt;/rec-number&gt;&lt;foreign-keys&gt;&lt;key app="EN" db-id="fd5pzdff0z5dt7er5swxsd2m2te2fd9saae5" timestamp="1426604764"&gt;71&lt;/key&gt;&lt;/foreign-keys&gt;&lt;ref-type name="Journal Article"&gt;17&lt;/ref-type&gt;&lt;contributors&gt;&lt;authors&gt;&lt;author&gt;Grosso, JF.,  Horak CE, Inzunza D&lt;/author&gt;&lt;/authors&gt;&lt;/contributors&gt;&lt;titles&gt;&lt;title&gt;Association of tumor PD-L1 expression and immune biomarkers with clinical activity in patients (pts) with advanced solid tumors treated with nivolumab (anti-PD-1; BMS-936558; ONO-4538).&lt;/title&gt;&lt;secondary-title&gt;J Clin Oncol 31, 2013 (suppl; abstr 3016)&lt;/secondary-title&gt;&lt;/titles&gt;&lt;periodical&gt;&lt;full-title&gt;J Clin Oncol 31, 2013 (suppl; abstr 3016)&lt;/full-title&gt;&lt;/periodical&gt;&lt;dates&gt;&lt;/dates&gt;&lt;urls&gt;&lt;/urls&gt;&lt;/record&gt;&lt;/Cite&gt;&lt;Cite&gt;&lt;Author&gt;Rizvi NA&lt;/Author&gt;&lt;RecNum&gt;72&lt;/RecNum&gt;&lt;record&gt;&lt;rec-number&gt;72&lt;/rec-number&gt;&lt;foreign-keys&gt;&lt;key app="EN" db-id="fd5pzdff0z5dt7er5swxsd2m2te2fd9saae5" timestamp="1426604764"&gt;72&lt;/key&gt;&lt;/foreign-keys&gt;&lt;ref-type name="Journal Article"&gt;17&lt;/ref-type&gt;&lt;contributors&gt;&lt;authors&gt;&lt;author&gt;Rizvi NA, Garon EB, Patnaik A&lt;/author&gt;&lt;/authors&gt;&lt;/contributors&gt;&lt;titles&gt;&lt;title&gt;Safety and clinical activity of MK-3475 as initial therapy in patients with advanced non-small cell lung cancer (NSCLC).&lt;/title&gt;&lt;secondary-title&gt;J Clin Oncol 32:5s, 2014 (suppl; abstr 8007)&lt;/secondary-title&gt;&lt;/titles&gt;&lt;periodical&gt;&lt;full-title&gt;J Clin Oncol 32:5s, 2014 (suppl; abstr 8007)&lt;/full-title&gt;&lt;/periodical&gt;&lt;dates&gt;&lt;/dates&gt;&lt;urls&gt;&lt;/urls&gt;&lt;/record&gt;&lt;/Cite&gt;&lt;/EndNote&gt;</w:instrText>
      </w:r>
      <w:r w:rsidR="002457B0" w:rsidRPr="00585A7F">
        <w:rPr>
          <w:color w:val="000000"/>
          <w:szCs w:val="24"/>
        </w:rPr>
        <w:fldChar w:fldCharType="separate"/>
      </w:r>
      <w:hyperlink w:anchor="_ENREF_147" w:tooltip="Grosso,  #71" w:history="1">
        <w:r w:rsidR="00F77861" w:rsidRPr="00244551">
          <w:rPr>
            <w:rStyle w:val="Hyperlink"/>
            <w:noProof/>
            <w:szCs w:val="24"/>
            <w:vertAlign w:val="superscript"/>
          </w:rPr>
          <w:t>147</w:t>
        </w:r>
      </w:hyperlink>
      <w:r w:rsidR="00800327" w:rsidRPr="00F33908">
        <w:rPr>
          <w:noProof/>
          <w:color w:val="000000"/>
          <w:szCs w:val="24"/>
          <w:vertAlign w:val="superscript"/>
        </w:rPr>
        <w:t>,</w:t>
      </w:r>
      <w:hyperlink w:anchor="_ENREF_148" w:tooltip="Rizvi NA,  #72" w:history="1">
        <w:r w:rsidR="00F77861" w:rsidRPr="00244551">
          <w:rPr>
            <w:rStyle w:val="Hyperlink"/>
            <w:noProof/>
            <w:szCs w:val="24"/>
            <w:vertAlign w:val="superscript"/>
          </w:rPr>
          <w:t>148</w:t>
        </w:r>
      </w:hyperlink>
      <w:r w:rsidR="002457B0" w:rsidRPr="00585A7F">
        <w:rPr>
          <w:color w:val="000000"/>
          <w:szCs w:val="24"/>
        </w:rPr>
        <w:fldChar w:fldCharType="end"/>
      </w:r>
      <w:r w:rsidR="008E0F36" w:rsidRPr="007A3223">
        <w:rPr>
          <w:color w:val="000000"/>
          <w:szCs w:val="24"/>
        </w:rPr>
        <w:t xml:space="preserve">. </w:t>
      </w:r>
      <w:r w:rsidR="0004265C" w:rsidRPr="00F33908">
        <w:rPr>
          <w:szCs w:val="24"/>
        </w:rPr>
        <w:t>Women with recurrent or refractory ovarian cancer are currently being enrolled in</w:t>
      </w:r>
      <w:r w:rsidR="0004265C" w:rsidRPr="007A3223">
        <w:rPr>
          <w:szCs w:val="24"/>
        </w:rPr>
        <w:t xml:space="preserve">to one cohort of an ongoing phase I trial with </w:t>
      </w:r>
      <w:r w:rsidR="007763FD">
        <w:rPr>
          <w:szCs w:val="24"/>
        </w:rPr>
        <w:t>Durvalumab</w:t>
      </w:r>
      <w:r w:rsidR="0004265C" w:rsidRPr="007A3223">
        <w:rPr>
          <w:szCs w:val="24"/>
        </w:rPr>
        <w:t xml:space="preserve"> (NCT01693562). </w:t>
      </w:r>
      <w:r w:rsidR="008E0F36" w:rsidRPr="007A3223">
        <w:rPr>
          <w:color w:val="000000"/>
          <w:szCs w:val="24"/>
        </w:rPr>
        <w:t xml:space="preserve">In one combination therapy trial with </w:t>
      </w:r>
      <w:r w:rsidR="007763FD">
        <w:rPr>
          <w:color w:val="000000"/>
          <w:szCs w:val="24"/>
        </w:rPr>
        <w:t>Durvalumab</w:t>
      </w:r>
      <w:r w:rsidR="008E0F36" w:rsidRPr="007A3223">
        <w:rPr>
          <w:color w:val="000000"/>
          <w:szCs w:val="24"/>
        </w:rPr>
        <w:t xml:space="preserve"> and tremelimumab, 38</w:t>
      </w:r>
      <w:r w:rsidR="00602CB3" w:rsidRPr="007A3223">
        <w:rPr>
          <w:color w:val="000000"/>
          <w:szCs w:val="24"/>
        </w:rPr>
        <w:t xml:space="preserve"> </w:t>
      </w:r>
      <w:r w:rsidR="008E0F36" w:rsidRPr="007A3223">
        <w:rPr>
          <w:color w:val="000000"/>
          <w:szCs w:val="24"/>
        </w:rPr>
        <w:t xml:space="preserve">% (5/13 evaluable) of patients had PR. </w:t>
      </w:r>
    </w:p>
    <w:p w14:paraId="6DB8B32E" w14:textId="77777777" w:rsidR="00C955BC" w:rsidRPr="007A3223" w:rsidRDefault="00C955BC" w:rsidP="005462C6">
      <w:pPr>
        <w:spacing w:after="0"/>
        <w:rPr>
          <w:i/>
          <w:color w:val="000000"/>
          <w:szCs w:val="24"/>
          <w:u w:val="single"/>
        </w:rPr>
      </w:pPr>
    </w:p>
    <w:p w14:paraId="61BEE791" w14:textId="78B60CD3" w:rsidR="00C955BC" w:rsidRPr="007A3223" w:rsidRDefault="008454FE" w:rsidP="00541C93">
      <w:pPr>
        <w:pStyle w:val="Heading4"/>
      </w:pPr>
      <w:r>
        <w:rPr>
          <w:lang w:val="en-US"/>
        </w:rPr>
        <w:t>Durvalumab</w:t>
      </w:r>
      <w:r w:rsidR="00FD2244" w:rsidRPr="007A3223">
        <w:t xml:space="preserve"> S</w:t>
      </w:r>
      <w:r w:rsidR="00C955BC" w:rsidRPr="007A3223">
        <w:t>afety</w:t>
      </w:r>
    </w:p>
    <w:p w14:paraId="73C68941" w14:textId="68AC3263" w:rsidR="00F232DD" w:rsidRPr="007A3223" w:rsidRDefault="00471462" w:rsidP="00A9729C">
      <w:pPr>
        <w:autoSpaceDE w:val="0"/>
        <w:autoSpaceDN w:val="0"/>
        <w:adjustRightInd w:val="0"/>
        <w:rPr>
          <w:color w:val="000000"/>
          <w:szCs w:val="24"/>
          <w:lang w:eastAsia="en-GB"/>
        </w:rPr>
      </w:pPr>
      <w:r w:rsidRPr="007A3223">
        <w:rPr>
          <w:color w:val="000000"/>
          <w:szCs w:val="24"/>
          <w:lang w:eastAsia="en-GB"/>
        </w:rPr>
        <w:lastRenderedPageBreak/>
        <w:t xml:space="preserve">   </w:t>
      </w:r>
      <w:r w:rsidR="00F232DD" w:rsidRPr="007A3223">
        <w:rPr>
          <w:color w:val="000000"/>
          <w:szCs w:val="24"/>
          <w:lang w:eastAsia="en-GB"/>
        </w:rPr>
        <w:t>As of Jul</w:t>
      </w:r>
      <w:r w:rsidR="00AD2FE3" w:rsidRPr="007A3223">
        <w:rPr>
          <w:color w:val="000000"/>
          <w:szCs w:val="24"/>
          <w:lang w:eastAsia="en-GB"/>
        </w:rPr>
        <w:t xml:space="preserve">y </w:t>
      </w:r>
      <w:r w:rsidR="00F232DD" w:rsidRPr="007A3223">
        <w:rPr>
          <w:color w:val="000000"/>
          <w:szCs w:val="24"/>
          <w:lang w:eastAsia="en-GB"/>
        </w:rPr>
        <w:t>201</w:t>
      </w:r>
      <w:r w:rsidR="00A33D51" w:rsidRPr="007A3223">
        <w:rPr>
          <w:color w:val="000000"/>
          <w:szCs w:val="24"/>
          <w:lang w:eastAsia="en-GB"/>
        </w:rPr>
        <w:t>5</w:t>
      </w:r>
      <w:r w:rsidR="00F232DD" w:rsidRPr="007A3223">
        <w:rPr>
          <w:color w:val="000000"/>
          <w:szCs w:val="24"/>
          <w:lang w:eastAsia="en-GB"/>
        </w:rPr>
        <w:t xml:space="preserve">, </w:t>
      </w:r>
      <w:r w:rsidR="00340F76" w:rsidRPr="007A3223">
        <w:rPr>
          <w:color w:val="000000"/>
          <w:szCs w:val="24"/>
          <w:lang w:eastAsia="en-GB"/>
        </w:rPr>
        <w:t xml:space="preserve">1883 patients were treated with either </w:t>
      </w:r>
      <w:r w:rsidR="008454FE">
        <w:rPr>
          <w:color w:val="000000"/>
          <w:szCs w:val="24"/>
          <w:lang w:eastAsia="en-GB"/>
        </w:rPr>
        <w:t>Durvalumab</w:t>
      </w:r>
      <w:r w:rsidR="00340F76" w:rsidRPr="007A3223">
        <w:rPr>
          <w:color w:val="000000"/>
          <w:szCs w:val="24"/>
          <w:lang w:eastAsia="en-GB"/>
        </w:rPr>
        <w:t xml:space="preserve"> monotherapy (1279 patients) or in combination with tremelimumab or other anticancer agents (440 patients). </w:t>
      </w:r>
      <w:r w:rsidR="00F232DD" w:rsidRPr="007A3223">
        <w:rPr>
          <w:color w:val="000000"/>
          <w:szCs w:val="24"/>
          <w:lang w:eastAsia="en-GB"/>
        </w:rPr>
        <w:t xml:space="preserve">Important potential risks based on the mechanism of action of </w:t>
      </w:r>
      <w:r w:rsidR="008454FE">
        <w:rPr>
          <w:color w:val="000000"/>
          <w:szCs w:val="24"/>
          <w:lang w:eastAsia="en-GB"/>
        </w:rPr>
        <w:t>Durvalumab</w:t>
      </w:r>
      <w:r w:rsidR="00F232DD" w:rsidRPr="007A3223">
        <w:rPr>
          <w:color w:val="000000"/>
          <w:szCs w:val="24"/>
          <w:lang w:eastAsia="en-GB"/>
        </w:rPr>
        <w:t xml:space="preserve"> and its related molecules include immune-mediated reactions such as enterocolitis, dermatitis, hepatitis/hepatotoxicity, endocrinopathy, pneumonitis, and neuropathy. Additional important potential risks include infusion-related reactions, hypersensitivity, serious allergic reactions, serious infections, and immune complex disease. </w:t>
      </w:r>
    </w:p>
    <w:p w14:paraId="228C6BD1" w14:textId="3115E4D2" w:rsidR="00F232DD" w:rsidRPr="007A3223" w:rsidRDefault="00AD2FE3" w:rsidP="00A9729C">
      <w:pPr>
        <w:autoSpaceDE w:val="0"/>
        <w:autoSpaceDN w:val="0"/>
        <w:adjustRightInd w:val="0"/>
        <w:rPr>
          <w:color w:val="000000"/>
          <w:szCs w:val="24"/>
          <w:lang w:eastAsia="en-GB"/>
        </w:rPr>
      </w:pPr>
      <w:r w:rsidRPr="007A3223">
        <w:rPr>
          <w:color w:val="000000"/>
          <w:szCs w:val="24"/>
          <w:lang w:eastAsia="en-GB"/>
        </w:rPr>
        <w:t xml:space="preserve">   </w:t>
      </w:r>
      <w:r w:rsidR="00F232DD" w:rsidRPr="007A3223">
        <w:rPr>
          <w:color w:val="000000"/>
          <w:szCs w:val="24"/>
          <w:lang w:eastAsia="en-GB"/>
        </w:rPr>
        <w:t>The majority of the safety data are from the monotherapy study</w:t>
      </w:r>
      <w:r w:rsidR="009371FB" w:rsidRPr="007A3223">
        <w:rPr>
          <w:color w:val="000000"/>
          <w:szCs w:val="24"/>
          <w:lang w:eastAsia="en-GB"/>
        </w:rPr>
        <w:t xml:space="preserve"> (</w:t>
      </w:r>
      <w:r w:rsidR="009371FB" w:rsidRPr="007A3223">
        <w:rPr>
          <w:color w:val="000000"/>
          <w:szCs w:val="24"/>
        </w:rPr>
        <w:t>NCT01693562)</w:t>
      </w:r>
      <w:r w:rsidR="00F232DD" w:rsidRPr="007A3223">
        <w:rPr>
          <w:color w:val="000000"/>
          <w:szCs w:val="24"/>
          <w:lang w:eastAsia="en-GB"/>
        </w:rPr>
        <w:t xml:space="preserve">, specifically the 10 mg/kg </w:t>
      </w:r>
      <w:r w:rsidR="009371FB" w:rsidRPr="007A3223">
        <w:rPr>
          <w:color w:val="000000"/>
          <w:szCs w:val="24"/>
          <w:lang w:eastAsia="en-GB"/>
        </w:rPr>
        <w:t>q</w:t>
      </w:r>
      <w:r w:rsidRPr="007A3223">
        <w:rPr>
          <w:color w:val="000000"/>
          <w:szCs w:val="24"/>
          <w:lang w:eastAsia="en-GB"/>
        </w:rPr>
        <w:t>2 weeks</w:t>
      </w:r>
      <w:r w:rsidR="00F232DD" w:rsidRPr="007A3223">
        <w:rPr>
          <w:color w:val="000000"/>
          <w:szCs w:val="24"/>
          <w:lang w:eastAsia="en-GB"/>
        </w:rPr>
        <w:t xml:space="preserve"> cohort (N = </w:t>
      </w:r>
      <w:r w:rsidR="00E27E33" w:rsidRPr="007A3223">
        <w:rPr>
          <w:color w:val="000000"/>
          <w:szCs w:val="24"/>
          <w:lang w:eastAsia="en-GB"/>
        </w:rPr>
        <w:t>6</w:t>
      </w:r>
      <w:r w:rsidR="00F232DD" w:rsidRPr="007A3223">
        <w:rPr>
          <w:color w:val="000000"/>
          <w:szCs w:val="24"/>
          <w:lang w:eastAsia="en-GB"/>
        </w:rPr>
        <w:t>9</w:t>
      </w:r>
      <w:r w:rsidR="00E27E33" w:rsidRPr="007A3223">
        <w:rPr>
          <w:color w:val="000000"/>
          <w:szCs w:val="24"/>
          <w:lang w:eastAsia="en-GB"/>
        </w:rPr>
        <w:t>4</w:t>
      </w:r>
      <w:r w:rsidR="00F232DD" w:rsidRPr="007A3223">
        <w:rPr>
          <w:color w:val="000000"/>
          <w:szCs w:val="24"/>
          <w:lang w:eastAsia="en-GB"/>
        </w:rPr>
        <w:t xml:space="preserve">). In this cohort, </w:t>
      </w:r>
      <w:r w:rsidR="00092566" w:rsidRPr="007A3223">
        <w:rPr>
          <w:color w:val="000000"/>
          <w:szCs w:val="24"/>
          <w:lang w:eastAsia="en-GB"/>
        </w:rPr>
        <w:t xml:space="preserve">patients were exposed to a median of 6 doses of </w:t>
      </w:r>
      <w:r w:rsidR="00AE681E">
        <w:rPr>
          <w:color w:val="000000"/>
          <w:szCs w:val="24"/>
          <w:lang w:eastAsia="en-GB"/>
        </w:rPr>
        <w:t>Durvalumab</w:t>
      </w:r>
      <w:r w:rsidR="00092566" w:rsidRPr="007A3223">
        <w:rPr>
          <w:color w:val="000000"/>
          <w:szCs w:val="24"/>
          <w:lang w:eastAsia="en-GB"/>
        </w:rPr>
        <w:t xml:space="preserve">, ranging from 1 to 27 doses; </w:t>
      </w:r>
      <w:r w:rsidR="00F232DD" w:rsidRPr="007A3223">
        <w:rPr>
          <w:color w:val="000000"/>
          <w:szCs w:val="24"/>
          <w:lang w:eastAsia="en-GB"/>
        </w:rPr>
        <w:t xml:space="preserve">the most frequently reported ( </w:t>
      </w:r>
      <w:r w:rsidR="00517CF8" w:rsidRPr="007A3223">
        <w:rPr>
          <w:color w:val="000000"/>
          <w:szCs w:val="24"/>
          <w:lang w:eastAsia="en-GB"/>
        </w:rPr>
        <w:t>&gt;</w:t>
      </w:r>
      <w:r w:rsidR="00F232DD" w:rsidRPr="007A3223">
        <w:rPr>
          <w:color w:val="000000"/>
          <w:szCs w:val="24"/>
          <w:lang w:eastAsia="en-GB"/>
        </w:rPr>
        <w:t>10</w:t>
      </w:r>
      <w:r w:rsidR="009371FB" w:rsidRPr="007A3223">
        <w:rPr>
          <w:color w:val="000000"/>
          <w:szCs w:val="24"/>
          <w:lang w:eastAsia="en-GB"/>
        </w:rPr>
        <w:t xml:space="preserve"> </w:t>
      </w:r>
      <w:r w:rsidR="00F232DD" w:rsidRPr="007A3223">
        <w:rPr>
          <w:color w:val="000000"/>
          <w:szCs w:val="24"/>
          <w:lang w:eastAsia="en-GB"/>
        </w:rPr>
        <w:t xml:space="preserve">% of subjects) </w:t>
      </w:r>
      <w:r w:rsidR="009371FB" w:rsidRPr="007A3223">
        <w:rPr>
          <w:color w:val="000000"/>
          <w:szCs w:val="24"/>
          <w:lang w:eastAsia="en-GB"/>
        </w:rPr>
        <w:t>AEs</w:t>
      </w:r>
      <w:r w:rsidR="00F232DD" w:rsidRPr="007A3223">
        <w:rPr>
          <w:color w:val="000000"/>
          <w:szCs w:val="24"/>
          <w:lang w:eastAsia="en-GB"/>
        </w:rPr>
        <w:t xml:space="preserve"> </w:t>
      </w:r>
      <w:r w:rsidR="009371FB" w:rsidRPr="007A3223">
        <w:rPr>
          <w:color w:val="000000"/>
          <w:szCs w:val="24"/>
          <w:lang w:eastAsia="en-GB"/>
        </w:rPr>
        <w:t>(</w:t>
      </w:r>
      <w:r w:rsidR="00F232DD" w:rsidRPr="007A3223">
        <w:rPr>
          <w:color w:val="000000"/>
          <w:szCs w:val="24"/>
          <w:lang w:eastAsia="en-GB"/>
        </w:rPr>
        <w:t>all grades, regardless of causality) were fatigue (</w:t>
      </w:r>
      <w:r w:rsidR="00517CF8" w:rsidRPr="007A3223">
        <w:rPr>
          <w:color w:val="000000"/>
          <w:szCs w:val="24"/>
          <w:lang w:eastAsia="en-GB"/>
        </w:rPr>
        <w:t>35.4</w:t>
      </w:r>
      <w:r w:rsidR="009371FB" w:rsidRPr="007A3223">
        <w:rPr>
          <w:color w:val="000000"/>
          <w:szCs w:val="24"/>
          <w:lang w:eastAsia="en-GB"/>
        </w:rPr>
        <w:t xml:space="preserve"> </w:t>
      </w:r>
      <w:r w:rsidR="00F232DD" w:rsidRPr="007A3223">
        <w:rPr>
          <w:color w:val="000000"/>
          <w:szCs w:val="24"/>
          <w:lang w:eastAsia="en-GB"/>
        </w:rPr>
        <w:t>%), nausea (</w:t>
      </w:r>
      <w:r w:rsidR="00517CF8" w:rsidRPr="007A3223">
        <w:rPr>
          <w:color w:val="000000"/>
          <w:szCs w:val="24"/>
          <w:lang w:eastAsia="en-GB"/>
        </w:rPr>
        <w:t>25.4</w:t>
      </w:r>
      <w:r w:rsidR="009371FB" w:rsidRPr="007A3223">
        <w:rPr>
          <w:color w:val="000000"/>
          <w:szCs w:val="24"/>
          <w:lang w:eastAsia="en-GB"/>
        </w:rPr>
        <w:t xml:space="preserve"> </w:t>
      </w:r>
      <w:r w:rsidR="00F232DD" w:rsidRPr="007A3223">
        <w:rPr>
          <w:color w:val="000000"/>
          <w:szCs w:val="24"/>
          <w:lang w:eastAsia="en-GB"/>
        </w:rPr>
        <w:t>%), dyspnea (</w:t>
      </w:r>
      <w:r w:rsidR="00517CF8" w:rsidRPr="007A3223">
        <w:rPr>
          <w:color w:val="000000"/>
          <w:szCs w:val="24"/>
          <w:lang w:eastAsia="en-GB"/>
        </w:rPr>
        <w:t>24.1</w:t>
      </w:r>
      <w:r w:rsidR="009371FB" w:rsidRPr="007A3223">
        <w:rPr>
          <w:color w:val="000000"/>
          <w:szCs w:val="24"/>
          <w:lang w:eastAsia="en-GB"/>
        </w:rPr>
        <w:t xml:space="preserve"> </w:t>
      </w:r>
      <w:r w:rsidR="00F232DD" w:rsidRPr="007A3223">
        <w:rPr>
          <w:color w:val="000000"/>
          <w:szCs w:val="24"/>
          <w:lang w:eastAsia="en-GB"/>
        </w:rPr>
        <w:t xml:space="preserve">%), </w:t>
      </w:r>
      <w:r w:rsidR="00517CF8" w:rsidRPr="007A3223">
        <w:rPr>
          <w:color w:val="000000"/>
          <w:szCs w:val="24"/>
          <w:lang w:eastAsia="en-GB"/>
        </w:rPr>
        <w:t xml:space="preserve">decreased appetite (23.8%), cough (18.7%), </w:t>
      </w:r>
      <w:r w:rsidR="00F232DD" w:rsidRPr="007A3223">
        <w:rPr>
          <w:color w:val="000000"/>
          <w:szCs w:val="24"/>
          <w:lang w:eastAsia="en-GB"/>
        </w:rPr>
        <w:t xml:space="preserve"> constipation, diarrhea and vomiting (</w:t>
      </w:r>
      <w:r w:rsidR="00517CF8" w:rsidRPr="007A3223">
        <w:rPr>
          <w:color w:val="000000"/>
          <w:szCs w:val="24"/>
          <w:lang w:eastAsia="en-GB"/>
        </w:rPr>
        <w:t>17</w:t>
      </w:r>
      <w:r w:rsidR="009371FB" w:rsidRPr="007A3223">
        <w:rPr>
          <w:color w:val="000000"/>
          <w:szCs w:val="24"/>
          <w:lang w:eastAsia="en-GB"/>
        </w:rPr>
        <w:t xml:space="preserve"> </w:t>
      </w:r>
      <w:r w:rsidR="00F232DD" w:rsidRPr="007A3223">
        <w:rPr>
          <w:color w:val="000000"/>
          <w:szCs w:val="24"/>
          <w:lang w:eastAsia="en-GB"/>
        </w:rPr>
        <w:t>% each), pyrexia and back pain (14</w:t>
      </w:r>
      <w:r w:rsidR="009371FB" w:rsidRPr="007A3223">
        <w:rPr>
          <w:color w:val="000000"/>
          <w:szCs w:val="24"/>
          <w:lang w:eastAsia="en-GB"/>
        </w:rPr>
        <w:t xml:space="preserve"> </w:t>
      </w:r>
      <w:r w:rsidR="00F232DD" w:rsidRPr="007A3223">
        <w:rPr>
          <w:color w:val="000000"/>
          <w:szCs w:val="24"/>
          <w:lang w:eastAsia="en-GB"/>
        </w:rPr>
        <w:t xml:space="preserve">% each), and </w:t>
      </w:r>
      <w:r w:rsidR="00BF534B" w:rsidRPr="007A3223">
        <w:rPr>
          <w:color w:val="000000"/>
          <w:szCs w:val="24"/>
          <w:lang w:eastAsia="en-GB"/>
        </w:rPr>
        <w:t>arthralgia</w:t>
      </w:r>
      <w:r w:rsidR="00F232DD" w:rsidRPr="007A3223">
        <w:rPr>
          <w:color w:val="000000"/>
          <w:szCs w:val="24"/>
          <w:lang w:eastAsia="en-GB"/>
        </w:rPr>
        <w:t xml:space="preserve"> (12</w:t>
      </w:r>
      <w:r w:rsidR="009371FB" w:rsidRPr="007A3223">
        <w:rPr>
          <w:color w:val="000000"/>
          <w:szCs w:val="24"/>
          <w:lang w:eastAsia="en-GB"/>
        </w:rPr>
        <w:t xml:space="preserve"> </w:t>
      </w:r>
      <w:r w:rsidR="00F232DD" w:rsidRPr="007A3223">
        <w:rPr>
          <w:color w:val="000000"/>
          <w:szCs w:val="24"/>
          <w:lang w:eastAsia="en-GB"/>
        </w:rPr>
        <w:t xml:space="preserve">%). In approximately half of the </w:t>
      </w:r>
      <w:r w:rsidR="009371FB" w:rsidRPr="007A3223">
        <w:rPr>
          <w:color w:val="000000"/>
          <w:szCs w:val="24"/>
          <w:lang w:eastAsia="en-GB"/>
        </w:rPr>
        <w:t>patients</w:t>
      </w:r>
      <w:r w:rsidR="00F232DD" w:rsidRPr="007A3223">
        <w:rPr>
          <w:color w:val="000000"/>
          <w:szCs w:val="24"/>
          <w:lang w:eastAsia="en-GB"/>
        </w:rPr>
        <w:t xml:space="preserve">, the highest AE severity was </w:t>
      </w:r>
      <w:r w:rsidR="009371FB" w:rsidRPr="007A3223">
        <w:rPr>
          <w:color w:val="000000"/>
          <w:szCs w:val="24"/>
          <w:lang w:eastAsia="en-GB"/>
        </w:rPr>
        <w:t>g</w:t>
      </w:r>
      <w:r w:rsidR="00F232DD" w:rsidRPr="007A3223">
        <w:rPr>
          <w:color w:val="000000"/>
          <w:szCs w:val="24"/>
          <w:lang w:eastAsia="en-GB"/>
        </w:rPr>
        <w:t xml:space="preserve">rade 1 or </w:t>
      </w:r>
      <w:r w:rsidR="009371FB" w:rsidRPr="007A3223">
        <w:rPr>
          <w:color w:val="000000"/>
          <w:szCs w:val="24"/>
          <w:lang w:eastAsia="en-GB"/>
        </w:rPr>
        <w:t>g</w:t>
      </w:r>
      <w:r w:rsidR="00F232DD" w:rsidRPr="007A3223">
        <w:rPr>
          <w:color w:val="000000"/>
          <w:szCs w:val="24"/>
          <w:lang w:eastAsia="en-GB"/>
        </w:rPr>
        <w:t xml:space="preserve">rade 2. Most of these events were managed clinically without the need for dose modifications or delays. </w:t>
      </w:r>
    </w:p>
    <w:p w14:paraId="0010E54E" w14:textId="7A7EBCC7" w:rsidR="00F232DD" w:rsidRPr="007A3223" w:rsidRDefault="00A56EA6" w:rsidP="00A9729C">
      <w:pPr>
        <w:autoSpaceDE w:val="0"/>
        <w:autoSpaceDN w:val="0"/>
        <w:adjustRightInd w:val="0"/>
        <w:rPr>
          <w:color w:val="000000"/>
          <w:szCs w:val="24"/>
          <w:lang w:eastAsia="en-GB"/>
        </w:rPr>
      </w:pPr>
      <w:r w:rsidRPr="007A3223">
        <w:rPr>
          <w:color w:val="000000"/>
          <w:szCs w:val="24"/>
          <w:lang w:eastAsia="en-GB"/>
        </w:rPr>
        <w:t xml:space="preserve">   </w:t>
      </w:r>
      <w:r w:rsidR="00F232DD" w:rsidRPr="007A3223">
        <w:rPr>
          <w:color w:val="000000"/>
          <w:szCs w:val="24"/>
          <w:lang w:eastAsia="en-GB"/>
        </w:rPr>
        <w:t>Serious adverse events (SAEs</w:t>
      </w:r>
      <w:r w:rsidR="008F7A73" w:rsidRPr="007A3223">
        <w:rPr>
          <w:color w:val="000000"/>
          <w:szCs w:val="24"/>
          <w:lang w:eastAsia="en-GB"/>
        </w:rPr>
        <w:t>, regardless of causality</w:t>
      </w:r>
      <w:r w:rsidR="00F232DD" w:rsidRPr="007A3223">
        <w:rPr>
          <w:color w:val="000000"/>
          <w:szCs w:val="24"/>
          <w:lang w:eastAsia="en-GB"/>
        </w:rPr>
        <w:t xml:space="preserve">) occurred in </w:t>
      </w:r>
      <w:r w:rsidR="00CA7966" w:rsidRPr="007A3223">
        <w:rPr>
          <w:color w:val="000000"/>
          <w:szCs w:val="24"/>
          <w:lang w:eastAsia="en-GB"/>
        </w:rPr>
        <w:t xml:space="preserve">345 </w:t>
      </w:r>
      <w:r w:rsidR="00F232DD" w:rsidRPr="007A3223">
        <w:rPr>
          <w:color w:val="000000"/>
          <w:szCs w:val="24"/>
          <w:lang w:eastAsia="en-GB"/>
        </w:rPr>
        <w:t xml:space="preserve">of </w:t>
      </w:r>
      <w:r w:rsidR="00885C4E" w:rsidRPr="007A3223">
        <w:rPr>
          <w:color w:val="000000"/>
          <w:szCs w:val="24"/>
          <w:lang w:eastAsia="en-GB"/>
        </w:rPr>
        <w:t xml:space="preserve">694 </w:t>
      </w:r>
      <w:r w:rsidR="00F232DD" w:rsidRPr="007A3223">
        <w:rPr>
          <w:color w:val="000000"/>
          <w:szCs w:val="24"/>
          <w:lang w:eastAsia="en-GB"/>
        </w:rPr>
        <w:t xml:space="preserve">subjects treated with </w:t>
      </w:r>
      <w:r w:rsidR="00AE681E">
        <w:rPr>
          <w:color w:val="000000"/>
          <w:szCs w:val="24"/>
          <w:lang w:eastAsia="en-GB"/>
        </w:rPr>
        <w:t>Durvalumab</w:t>
      </w:r>
      <w:r w:rsidR="00F232DD" w:rsidRPr="007A3223">
        <w:rPr>
          <w:color w:val="000000"/>
          <w:szCs w:val="24"/>
          <w:lang w:eastAsia="en-GB"/>
        </w:rPr>
        <w:t xml:space="preserve"> 10 mg/kg </w:t>
      </w:r>
      <w:r w:rsidR="009371FB" w:rsidRPr="007A3223">
        <w:rPr>
          <w:color w:val="000000"/>
          <w:szCs w:val="24"/>
          <w:lang w:eastAsia="en-GB"/>
        </w:rPr>
        <w:t>q</w:t>
      </w:r>
      <w:r w:rsidR="00F232DD" w:rsidRPr="007A3223">
        <w:rPr>
          <w:color w:val="000000"/>
          <w:szCs w:val="24"/>
          <w:lang w:eastAsia="en-GB"/>
        </w:rPr>
        <w:t>2</w:t>
      </w:r>
      <w:r w:rsidR="009371FB" w:rsidRPr="007A3223">
        <w:rPr>
          <w:color w:val="000000"/>
          <w:szCs w:val="24"/>
          <w:lang w:eastAsia="en-GB"/>
        </w:rPr>
        <w:t xml:space="preserve"> weeks</w:t>
      </w:r>
      <w:r w:rsidR="00F232DD" w:rsidRPr="007A3223">
        <w:rPr>
          <w:color w:val="000000"/>
          <w:szCs w:val="24"/>
          <w:lang w:eastAsia="en-GB"/>
        </w:rPr>
        <w:t xml:space="preserve"> in </w:t>
      </w:r>
      <w:r w:rsidR="009371FB" w:rsidRPr="007A3223">
        <w:rPr>
          <w:color w:val="000000"/>
          <w:szCs w:val="24"/>
          <w:lang w:eastAsia="en-GB"/>
        </w:rPr>
        <w:t>the monotherapy study (</w:t>
      </w:r>
      <w:r w:rsidR="009371FB" w:rsidRPr="007A3223">
        <w:rPr>
          <w:color w:val="000000"/>
          <w:szCs w:val="24"/>
        </w:rPr>
        <w:t>NCT01693562)</w:t>
      </w:r>
      <w:r w:rsidR="00F232DD" w:rsidRPr="007A3223">
        <w:rPr>
          <w:color w:val="000000"/>
          <w:szCs w:val="24"/>
          <w:lang w:eastAsia="en-GB"/>
        </w:rPr>
        <w:t xml:space="preserve">. The most frequently reported SAEs (regardless of causality; &gt; </w:t>
      </w:r>
      <w:r w:rsidR="00E00D24" w:rsidRPr="007A3223">
        <w:rPr>
          <w:color w:val="000000"/>
          <w:szCs w:val="24"/>
          <w:lang w:eastAsia="en-GB"/>
        </w:rPr>
        <w:t>10</w:t>
      </w:r>
      <w:r w:rsidR="00F232DD" w:rsidRPr="007A3223">
        <w:rPr>
          <w:color w:val="000000"/>
          <w:szCs w:val="24"/>
          <w:lang w:eastAsia="en-GB"/>
        </w:rPr>
        <w:t xml:space="preserve"> subjects) were dyspnea</w:t>
      </w:r>
      <w:r w:rsidR="00E00D24" w:rsidRPr="007A3223">
        <w:rPr>
          <w:color w:val="000000"/>
          <w:szCs w:val="24"/>
          <w:lang w:eastAsia="en-GB"/>
        </w:rPr>
        <w:t xml:space="preserve">, pneumonia, sepsis, abdominal pain, pleural effusion, </w:t>
      </w:r>
      <w:r w:rsidR="00F232DD" w:rsidRPr="007A3223">
        <w:rPr>
          <w:color w:val="000000"/>
          <w:szCs w:val="24"/>
          <w:lang w:eastAsia="en-GB"/>
        </w:rPr>
        <w:t xml:space="preserve">and dehydration. </w:t>
      </w:r>
      <w:r w:rsidR="00E26D7B" w:rsidRPr="007A3223">
        <w:rPr>
          <w:color w:val="000000"/>
          <w:szCs w:val="24"/>
          <w:lang w:eastAsia="en-GB"/>
        </w:rPr>
        <w:t xml:space="preserve">25 patients (3.6%) had SAEs considered to be related to </w:t>
      </w:r>
      <w:r w:rsidR="00AE681E">
        <w:rPr>
          <w:color w:val="000000"/>
          <w:szCs w:val="24"/>
          <w:lang w:eastAsia="en-GB"/>
        </w:rPr>
        <w:t>Durvalumab</w:t>
      </w:r>
      <w:r w:rsidR="00E26D7B" w:rsidRPr="007A3223">
        <w:rPr>
          <w:color w:val="000000"/>
          <w:szCs w:val="24"/>
          <w:lang w:eastAsia="en-GB"/>
        </w:rPr>
        <w:t xml:space="preserve">. </w:t>
      </w:r>
      <w:r w:rsidR="005236CF">
        <w:rPr>
          <w:color w:val="000000"/>
          <w:szCs w:val="24"/>
          <w:lang w:eastAsia="en-GB"/>
        </w:rPr>
        <w:t>Durvalumab</w:t>
      </w:r>
      <w:r w:rsidR="00E26D7B" w:rsidRPr="007A3223">
        <w:rPr>
          <w:color w:val="000000"/>
          <w:szCs w:val="24"/>
          <w:lang w:eastAsia="en-GB"/>
        </w:rPr>
        <w:t xml:space="preserve">-related SAEs in &gt; 2 patients were colitis and pneumonitis (3 patients each). A majority of the treatment-related SAEs were grade 3 or higher in severity and recovered with or without sequelae. </w:t>
      </w:r>
      <w:r w:rsidR="00F232DD" w:rsidRPr="007A3223">
        <w:rPr>
          <w:color w:val="000000"/>
          <w:szCs w:val="24"/>
          <w:lang w:eastAsia="en-GB"/>
        </w:rPr>
        <w:t xml:space="preserve">One </w:t>
      </w:r>
      <w:r w:rsidR="00D32E73" w:rsidRPr="007A3223">
        <w:rPr>
          <w:color w:val="000000"/>
          <w:szCs w:val="24"/>
          <w:lang w:eastAsia="en-GB"/>
        </w:rPr>
        <w:t xml:space="preserve">patient </w:t>
      </w:r>
      <w:r w:rsidR="00F232DD" w:rsidRPr="007A3223">
        <w:rPr>
          <w:color w:val="000000"/>
          <w:szCs w:val="24"/>
          <w:lang w:eastAsia="en-GB"/>
        </w:rPr>
        <w:t xml:space="preserve">died due to </w:t>
      </w:r>
      <w:r w:rsidR="007D2D1B" w:rsidRPr="007A3223">
        <w:rPr>
          <w:color w:val="000000"/>
          <w:szCs w:val="24"/>
          <w:lang w:eastAsia="en-GB"/>
        </w:rPr>
        <w:t xml:space="preserve">pneumonia </w:t>
      </w:r>
      <w:r w:rsidR="00F232DD" w:rsidRPr="007A3223">
        <w:rPr>
          <w:color w:val="000000"/>
          <w:szCs w:val="24"/>
          <w:lang w:eastAsia="en-GB"/>
        </w:rPr>
        <w:t xml:space="preserve">considered </w:t>
      </w:r>
      <w:r w:rsidR="007D2D1B" w:rsidRPr="007A3223">
        <w:rPr>
          <w:color w:val="000000"/>
          <w:szCs w:val="24"/>
          <w:lang w:eastAsia="en-GB"/>
        </w:rPr>
        <w:t>to be</w:t>
      </w:r>
      <w:r w:rsidR="00F232DD" w:rsidRPr="007A3223">
        <w:rPr>
          <w:color w:val="000000"/>
          <w:szCs w:val="24"/>
          <w:lang w:eastAsia="en-GB"/>
        </w:rPr>
        <w:t xml:space="preserve"> related to </w:t>
      </w:r>
      <w:r w:rsidR="005236CF">
        <w:rPr>
          <w:color w:val="000000"/>
          <w:szCs w:val="24"/>
          <w:lang w:eastAsia="en-GB"/>
        </w:rPr>
        <w:t>Durvalumab</w:t>
      </w:r>
      <w:r w:rsidR="00F232DD" w:rsidRPr="007A3223">
        <w:rPr>
          <w:color w:val="000000"/>
          <w:szCs w:val="24"/>
          <w:lang w:eastAsia="en-GB"/>
        </w:rPr>
        <w:t xml:space="preserve">. </w:t>
      </w:r>
      <w:r w:rsidR="007D2D1B" w:rsidRPr="007A3223">
        <w:rPr>
          <w:color w:val="000000"/>
          <w:szCs w:val="24"/>
          <w:lang w:eastAsia="en-GB"/>
        </w:rPr>
        <w:t xml:space="preserve">Before this fatal event of pneumonia, this patient experienced treatment-related to grade 4 pneumonitis and grade 3 pneumonia. A total of 76 patients (11%) treated with 10 mg/kg q2 weeks </w:t>
      </w:r>
      <w:r w:rsidR="00F232DD" w:rsidRPr="007A3223">
        <w:rPr>
          <w:color w:val="000000"/>
          <w:szCs w:val="24"/>
          <w:lang w:eastAsia="en-GB"/>
        </w:rPr>
        <w:t>permanent</w:t>
      </w:r>
      <w:r w:rsidR="007D2D1B" w:rsidRPr="007A3223">
        <w:rPr>
          <w:color w:val="000000"/>
          <w:szCs w:val="24"/>
          <w:lang w:eastAsia="en-GB"/>
        </w:rPr>
        <w:t>ly</w:t>
      </w:r>
      <w:r w:rsidR="00F232DD" w:rsidRPr="007A3223">
        <w:rPr>
          <w:color w:val="000000"/>
          <w:szCs w:val="24"/>
          <w:lang w:eastAsia="en-GB"/>
        </w:rPr>
        <w:t xml:space="preserve"> discontinu</w:t>
      </w:r>
      <w:r w:rsidR="007D2D1B" w:rsidRPr="007A3223">
        <w:rPr>
          <w:color w:val="000000"/>
          <w:szCs w:val="24"/>
          <w:lang w:eastAsia="en-GB"/>
        </w:rPr>
        <w:t>ed</w:t>
      </w:r>
      <w:r w:rsidR="00F232DD" w:rsidRPr="007A3223">
        <w:rPr>
          <w:color w:val="000000"/>
          <w:szCs w:val="24"/>
          <w:lang w:eastAsia="en-GB"/>
        </w:rPr>
        <w:t xml:space="preserve"> of </w:t>
      </w:r>
      <w:r w:rsidR="005236CF">
        <w:rPr>
          <w:color w:val="000000"/>
          <w:szCs w:val="24"/>
          <w:lang w:eastAsia="en-GB"/>
        </w:rPr>
        <w:t>Durvalumab</w:t>
      </w:r>
      <w:r w:rsidR="00F232DD" w:rsidRPr="007A3223">
        <w:rPr>
          <w:color w:val="000000"/>
          <w:szCs w:val="24"/>
          <w:lang w:eastAsia="en-GB"/>
        </w:rPr>
        <w:t xml:space="preserve"> </w:t>
      </w:r>
      <w:r w:rsidR="00A865AC" w:rsidRPr="007A3223">
        <w:rPr>
          <w:color w:val="000000"/>
          <w:szCs w:val="24"/>
          <w:lang w:eastAsia="en-GB"/>
        </w:rPr>
        <w:t xml:space="preserve">due to AEs; events that resulted in discontinuation of </w:t>
      </w:r>
      <w:r w:rsidR="005236CF">
        <w:rPr>
          <w:color w:val="000000"/>
          <w:szCs w:val="24"/>
          <w:lang w:eastAsia="en-GB"/>
        </w:rPr>
        <w:t>Durvalumab</w:t>
      </w:r>
      <w:r w:rsidR="00A865AC" w:rsidRPr="007A3223">
        <w:rPr>
          <w:color w:val="000000"/>
          <w:szCs w:val="24"/>
          <w:lang w:eastAsia="en-GB"/>
        </w:rPr>
        <w:t xml:space="preserve"> </w:t>
      </w:r>
      <w:r w:rsidR="00F232DD" w:rsidRPr="007A3223">
        <w:rPr>
          <w:color w:val="000000"/>
          <w:szCs w:val="24"/>
          <w:lang w:eastAsia="en-GB"/>
        </w:rPr>
        <w:t xml:space="preserve">in </w:t>
      </w:r>
      <w:r w:rsidR="00A865AC" w:rsidRPr="007A3223">
        <w:rPr>
          <w:color w:val="000000"/>
          <w:szCs w:val="24"/>
          <w:lang w:eastAsia="en-GB"/>
        </w:rPr>
        <w:t>&gt;</w:t>
      </w:r>
      <w:r w:rsidR="00F232DD" w:rsidRPr="007A3223">
        <w:rPr>
          <w:color w:val="000000"/>
          <w:szCs w:val="24"/>
          <w:lang w:eastAsia="en-GB"/>
        </w:rPr>
        <w:t xml:space="preserve"> 2 subjects were general physical health deterioration (</w:t>
      </w:r>
      <w:r w:rsidR="00A865AC" w:rsidRPr="007A3223">
        <w:rPr>
          <w:color w:val="000000"/>
          <w:szCs w:val="24"/>
          <w:lang w:eastAsia="en-GB"/>
        </w:rPr>
        <w:t>6</w:t>
      </w:r>
      <w:r w:rsidR="00F232DD" w:rsidRPr="007A3223">
        <w:rPr>
          <w:color w:val="000000"/>
          <w:szCs w:val="24"/>
          <w:lang w:eastAsia="en-GB"/>
        </w:rPr>
        <w:t xml:space="preserve"> subjects), </w:t>
      </w:r>
      <w:r w:rsidR="00A865AC" w:rsidRPr="007A3223">
        <w:rPr>
          <w:color w:val="000000"/>
          <w:szCs w:val="24"/>
          <w:lang w:eastAsia="en-GB"/>
        </w:rPr>
        <w:t xml:space="preserve">non-small cell lung cancer (5 subjects) and colitis (3 subjects). </w:t>
      </w:r>
    </w:p>
    <w:p w14:paraId="2339938A" w14:textId="57EE16E2" w:rsidR="00C40369" w:rsidRPr="007A3223" w:rsidRDefault="00C40369" w:rsidP="00A9729C">
      <w:pPr>
        <w:autoSpaceDE w:val="0"/>
        <w:autoSpaceDN w:val="0"/>
        <w:adjustRightInd w:val="0"/>
        <w:rPr>
          <w:color w:val="000000"/>
          <w:szCs w:val="24"/>
          <w:lang w:eastAsia="en-GB"/>
        </w:rPr>
      </w:pPr>
      <w:r w:rsidRPr="007A3223">
        <w:rPr>
          <w:color w:val="000000"/>
          <w:szCs w:val="24"/>
          <w:lang w:eastAsia="en-GB"/>
        </w:rPr>
        <w:t xml:space="preserve">For adverse events of special interest (AESI), 357 patients (51.4%) treated with </w:t>
      </w:r>
      <w:r w:rsidR="003D7801">
        <w:rPr>
          <w:color w:val="000000"/>
          <w:szCs w:val="24"/>
          <w:lang w:eastAsia="en-GB"/>
        </w:rPr>
        <w:t>Durvalumab</w:t>
      </w:r>
      <w:r w:rsidRPr="007A3223">
        <w:rPr>
          <w:color w:val="000000"/>
          <w:szCs w:val="24"/>
          <w:lang w:eastAsia="en-GB"/>
        </w:rPr>
        <w:t xml:space="preserve"> 10 mg/kg q2 weeks experienced at least 1 AESI, with potential immune-related causes and infusion reactions. Approximately half of these patients with AESIs (198, 28.5%) were considered to have </w:t>
      </w:r>
      <w:r w:rsidR="003D7801">
        <w:rPr>
          <w:color w:val="000000"/>
          <w:szCs w:val="24"/>
          <w:lang w:eastAsia="en-GB"/>
        </w:rPr>
        <w:t>Durvalumab</w:t>
      </w:r>
      <w:r w:rsidRPr="007A3223">
        <w:rPr>
          <w:color w:val="000000"/>
          <w:szCs w:val="24"/>
          <w:lang w:eastAsia="en-GB"/>
        </w:rPr>
        <w:t xml:space="preserve"> related. AESI reported in &gt; 2% of the patients were diarrhea, pruritus, rash, increased AST, increased GGT, increased ALT, hypothyroidism, increased blood bilirubin, increased blood creatinine, hyperthyroidism, maculo-papular rash, and erythema. Most AESIs are grade 1 or grade 2 severity. Nine patients (1.3%) had serious AESIs that were considered to be treatment related. Of the treatment related serious AESIs, colitis (2 subjects), colitis and diarrhea (1 subject), and acute kidney injury and pneumonitis (1 subject).</w:t>
      </w:r>
    </w:p>
    <w:p w14:paraId="72DDE36E" w14:textId="63F0CC1E" w:rsidR="00F232DD" w:rsidRPr="007A3223" w:rsidRDefault="00F232DD" w:rsidP="00A9729C">
      <w:pPr>
        <w:autoSpaceDE w:val="0"/>
        <w:autoSpaceDN w:val="0"/>
        <w:adjustRightInd w:val="0"/>
        <w:rPr>
          <w:color w:val="000000"/>
          <w:szCs w:val="24"/>
          <w:lang w:eastAsia="en-GB"/>
        </w:rPr>
      </w:pPr>
      <w:r w:rsidRPr="007A3223">
        <w:rPr>
          <w:color w:val="000000"/>
          <w:szCs w:val="24"/>
          <w:lang w:eastAsia="en-GB"/>
        </w:rPr>
        <w:t xml:space="preserve">No dose-limiting toxicities (DLTs) have been reported in any of the dose-escalation cohorts of the monotherapy studies. Overall, the AE profile of </w:t>
      </w:r>
      <w:r w:rsidR="003D7801">
        <w:rPr>
          <w:color w:val="000000"/>
          <w:szCs w:val="24"/>
          <w:lang w:eastAsia="en-GB"/>
        </w:rPr>
        <w:t>Durvalumab</w:t>
      </w:r>
      <w:r w:rsidRPr="007A3223">
        <w:rPr>
          <w:color w:val="000000"/>
          <w:szCs w:val="24"/>
          <w:lang w:eastAsia="en-GB"/>
        </w:rPr>
        <w:t xml:space="preserve"> was consistent with the pharmacology of the target. No tumor types appeared to be associated with unique AEs.</w:t>
      </w:r>
    </w:p>
    <w:p w14:paraId="456AF9AF" w14:textId="77777777" w:rsidR="006B5450" w:rsidRPr="007A3223" w:rsidRDefault="006B5450" w:rsidP="006B5450">
      <w:pPr>
        <w:spacing w:after="0"/>
        <w:ind w:firstLine="360"/>
      </w:pPr>
    </w:p>
    <w:p w14:paraId="33F978D4" w14:textId="27D389F2" w:rsidR="002860E1" w:rsidRPr="007A3223" w:rsidRDefault="00E3461B" w:rsidP="00541C93">
      <w:pPr>
        <w:pStyle w:val="Heading4"/>
      </w:pPr>
      <w:r>
        <w:rPr>
          <w:lang w:val="en-US"/>
        </w:rPr>
        <w:t>Durvalumab</w:t>
      </w:r>
      <w:r w:rsidR="00FD2244" w:rsidRPr="007A3223">
        <w:t xml:space="preserve"> Pharmacokinetics</w:t>
      </w:r>
      <w:r w:rsidR="00CA70F8" w:rsidRPr="007A3223">
        <w:t xml:space="preserve"> (PK)</w:t>
      </w:r>
    </w:p>
    <w:p w14:paraId="049D3715" w14:textId="09A5D4AE" w:rsidR="00D6284B" w:rsidRPr="007A3223" w:rsidRDefault="00FD2244" w:rsidP="006B5450">
      <w:pPr>
        <w:widowControl w:val="0"/>
        <w:autoSpaceDE w:val="0"/>
        <w:autoSpaceDN w:val="0"/>
        <w:adjustRightInd w:val="0"/>
        <w:spacing w:after="0"/>
        <w:ind w:firstLine="360"/>
        <w:rPr>
          <w:szCs w:val="24"/>
        </w:rPr>
      </w:pPr>
      <w:r w:rsidRPr="007A3223">
        <w:rPr>
          <w:szCs w:val="24"/>
        </w:rPr>
        <w:t xml:space="preserve">PK data </w:t>
      </w:r>
      <w:r w:rsidR="00CA70F8" w:rsidRPr="007A3223">
        <w:rPr>
          <w:szCs w:val="24"/>
        </w:rPr>
        <w:t>are</w:t>
      </w:r>
      <w:r w:rsidR="006B5450" w:rsidRPr="007A3223">
        <w:rPr>
          <w:szCs w:val="24"/>
        </w:rPr>
        <w:t xml:space="preserve"> available in</w:t>
      </w:r>
      <w:r w:rsidRPr="007A3223">
        <w:rPr>
          <w:szCs w:val="24"/>
        </w:rPr>
        <w:t xml:space="preserve"> 3</w:t>
      </w:r>
      <w:r w:rsidR="00393F1A" w:rsidRPr="007A3223">
        <w:rPr>
          <w:szCs w:val="24"/>
        </w:rPr>
        <w:t>7</w:t>
      </w:r>
      <w:r w:rsidRPr="007A3223">
        <w:rPr>
          <w:szCs w:val="24"/>
        </w:rPr>
        <w:t xml:space="preserve">8 </w:t>
      </w:r>
      <w:r w:rsidR="00CA70F8" w:rsidRPr="007A3223">
        <w:rPr>
          <w:szCs w:val="24"/>
        </w:rPr>
        <w:t>patients in dose-escalation and in the expansion cohort</w:t>
      </w:r>
      <w:r w:rsidR="006B5450" w:rsidRPr="007A3223">
        <w:rPr>
          <w:szCs w:val="24"/>
        </w:rPr>
        <w:t xml:space="preserve"> of</w:t>
      </w:r>
      <w:r w:rsidRPr="007A3223">
        <w:rPr>
          <w:szCs w:val="24"/>
        </w:rPr>
        <w:t xml:space="preserve"> the </w:t>
      </w:r>
      <w:r w:rsidR="006B5450" w:rsidRPr="007A3223">
        <w:rPr>
          <w:szCs w:val="24"/>
        </w:rPr>
        <w:lastRenderedPageBreak/>
        <w:t>phase</w:t>
      </w:r>
      <w:r w:rsidR="00CA70F8" w:rsidRPr="007A3223">
        <w:rPr>
          <w:szCs w:val="24"/>
        </w:rPr>
        <w:t xml:space="preserve">1/2 </w:t>
      </w:r>
      <w:r w:rsidR="00E3461B">
        <w:rPr>
          <w:szCs w:val="24"/>
        </w:rPr>
        <w:t>Durvalumab</w:t>
      </w:r>
      <w:r w:rsidR="00CA70F8" w:rsidRPr="007A3223">
        <w:rPr>
          <w:szCs w:val="24"/>
        </w:rPr>
        <w:t xml:space="preserve"> monotherapy study</w:t>
      </w:r>
      <w:r w:rsidR="00CA70F8" w:rsidRPr="007A3223">
        <w:rPr>
          <w:rFonts w:eastAsia="Times New Roman"/>
        </w:rPr>
        <w:t xml:space="preserve"> (NCT01693562)</w:t>
      </w:r>
      <w:r w:rsidR="00CA70F8" w:rsidRPr="007A3223">
        <w:rPr>
          <w:szCs w:val="24"/>
        </w:rPr>
        <w:t>. PK</w:t>
      </w:r>
      <w:r w:rsidRPr="007A3223">
        <w:rPr>
          <w:szCs w:val="24"/>
        </w:rPr>
        <w:t xml:space="preserve"> parameters including C</w:t>
      </w:r>
      <w:r w:rsidRPr="007A3223">
        <w:rPr>
          <w:szCs w:val="24"/>
          <w:vertAlign w:val="subscript"/>
        </w:rPr>
        <w:t>max</w:t>
      </w:r>
      <w:r w:rsidRPr="007A3223">
        <w:rPr>
          <w:szCs w:val="24"/>
        </w:rPr>
        <w:t xml:space="preserve"> and AUC</w:t>
      </w:r>
      <w:r w:rsidRPr="007A3223">
        <w:rPr>
          <w:szCs w:val="24"/>
          <w:vertAlign w:val="subscript"/>
        </w:rPr>
        <w:t xml:space="preserve">0-14 </w:t>
      </w:r>
      <w:r w:rsidRPr="007A3223">
        <w:rPr>
          <w:szCs w:val="24"/>
        </w:rPr>
        <w:t xml:space="preserve">were estimated after the first dose of </w:t>
      </w:r>
      <w:r w:rsidR="00E3461B">
        <w:rPr>
          <w:szCs w:val="24"/>
        </w:rPr>
        <w:t>Durvalumab</w:t>
      </w:r>
      <w:r w:rsidRPr="007A3223">
        <w:rPr>
          <w:szCs w:val="24"/>
        </w:rPr>
        <w:t xml:space="preserve"> at 0</w:t>
      </w:r>
      <w:r w:rsidR="00CA70F8" w:rsidRPr="007A3223">
        <w:rPr>
          <w:szCs w:val="24"/>
        </w:rPr>
        <w:t>.1, 0.3, 1, 3, 10</w:t>
      </w:r>
      <w:r w:rsidR="00A06E60" w:rsidRPr="007A3223">
        <w:rPr>
          <w:szCs w:val="24"/>
        </w:rPr>
        <w:t xml:space="preserve"> mg/kg q2 weeks</w:t>
      </w:r>
      <w:r w:rsidR="00CA70F8" w:rsidRPr="007A3223">
        <w:rPr>
          <w:szCs w:val="24"/>
        </w:rPr>
        <w:t>, and 15 mg/kg</w:t>
      </w:r>
      <w:r w:rsidR="00A06E60" w:rsidRPr="007A3223">
        <w:rPr>
          <w:szCs w:val="24"/>
        </w:rPr>
        <w:t xml:space="preserve"> mg/kg q2 weeks</w:t>
      </w:r>
      <w:r w:rsidR="00CA70F8" w:rsidRPr="007A3223">
        <w:rPr>
          <w:szCs w:val="24"/>
        </w:rPr>
        <w:t xml:space="preserve">. </w:t>
      </w:r>
      <w:r w:rsidRPr="007A3223">
        <w:rPr>
          <w:szCs w:val="24"/>
        </w:rPr>
        <w:t xml:space="preserve">Peak concentration increased in an approximately dose-proportional manner over the dose range of 0.1 to 15 mg/kg. Area under the concentration-time curve from 0 to 14 days increased in a greater than dose-proportional manner over the dose range of 0.1 to 15 mg/kg and approached linearity at </w:t>
      </w:r>
      <w:r w:rsidRPr="007A3223">
        <w:rPr>
          <w:rFonts w:hint="eastAsia"/>
          <w:szCs w:val="24"/>
        </w:rPr>
        <w:t>≥</w:t>
      </w:r>
      <w:r w:rsidRPr="007A3223">
        <w:rPr>
          <w:szCs w:val="24"/>
        </w:rPr>
        <w:t xml:space="preserve"> 3 mg/kg</w:t>
      </w:r>
      <w:r w:rsidR="00CE58E4" w:rsidRPr="007A3223">
        <w:rPr>
          <w:szCs w:val="24"/>
        </w:rPr>
        <w:t xml:space="preserve"> (</w:t>
      </w:r>
      <w:r w:rsidR="00307B04" w:rsidRPr="00F33908">
        <w:fldChar w:fldCharType="begin"/>
      </w:r>
      <w:r w:rsidR="00307B04" w:rsidRPr="007A3223">
        <w:instrText xml:space="preserve"> REF _Ref405291942 \h  \* MERGEFORMAT </w:instrText>
      </w:r>
      <w:r w:rsidR="00307B04" w:rsidRPr="00F33908">
        <w:fldChar w:fldCharType="separate"/>
      </w:r>
      <w:r w:rsidR="00E47ACA" w:rsidRPr="00E47ACA">
        <w:rPr>
          <w:b/>
          <w:color w:val="0000FF"/>
        </w:rPr>
        <w:t>Table 3</w:t>
      </w:r>
      <w:r w:rsidR="00307B04" w:rsidRPr="00F33908">
        <w:fldChar w:fldCharType="end"/>
      </w:r>
      <w:r w:rsidR="00D6284B" w:rsidRPr="007A3223">
        <w:rPr>
          <w:szCs w:val="24"/>
        </w:rPr>
        <w:t>)</w:t>
      </w:r>
      <w:r w:rsidRPr="00F33908">
        <w:rPr>
          <w:szCs w:val="24"/>
        </w:rPr>
        <w:t xml:space="preserve">. These results suggest that </w:t>
      </w:r>
      <w:r w:rsidR="00E3461B">
        <w:rPr>
          <w:szCs w:val="24"/>
        </w:rPr>
        <w:t>Durvalumab</w:t>
      </w:r>
      <w:r w:rsidRPr="00F33908">
        <w:rPr>
          <w:szCs w:val="24"/>
        </w:rPr>
        <w:t xml:space="preserve"> exhibits nonlinear PK likely due to saturable target-mediated clearance. </w:t>
      </w:r>
    </w:p>
    <w:p w14:paraId="1E56E0D8" w14:textId="77777777" w:rsidR="00FD2244" w:rsidRPr="007A3223" w:rsidRDefault="00FD2244" w:rsidP="006B5450">
      <w:pPr>
        <w:widowControl w:val="0"/>
        <w:autoSpaceDE w:val="0"/>
        <w:autoSpaceDN w:val="0"/>
        <w:adjustRightInd w:val="0"/>
        <w:spacing w:after="0"/>
        <w:ind w:firstLine="360"/>
        <w:rPr>
          <w:szCs w:val="24"/>
        </w:rPr>
      </w:pPr>
      <w:r w:rsidRPr="007A3223">
        <w:rPr>
          <w:szCs w:val="24"/>
        </w:rPr>
        <w:t>Exposures following multiple doses demonstrated accumulation consistent with PK parameters estimated from the first dose.</w:t>
      </w:r>
      <w:r w:rsidR="00412532" w:rsidRPr="007A3223">
        <w:rPr>
          <w:szCs w:val="24"/>
        </w:rPr>
        <w:t xml:space="preserve"> Similar steady state PK exposure was achieved following 10 mg/kg q2 weeks and 15 mg/kg q3 weeks dosing regimens.</w:t>
      </w:r>
    </w:p>
    <w:p w14:paraId="05FC8B80" w14:textId="77777777" w:rsidR="00FD2244" w:rsidRPr="007A3223" w:rsidRDefault="00FD2244" w:rsidP="00FD2244">
      <w:pPr>
        <w:widowControl w:val="0"/>
        <w:autoSpaceDE w:val="0"/>
        <w:autoSpaceDN w:val="0"/>
        <w:adjustRightInd w:val="0"/>
        <w:spacing w:after="0"/>
        <w:rPr>
          <w:szCs w:val="24"/>
        </w:rPr>
      </w:pPr>
    </w:p>
    <w:p w14:paraId="4480567C" w14:textId="39DCBD6D" w:rsidR="00B1127A" w:rsidRPr="007A3223" w:rsidRDefault="00B1127A" w:rsidP="00B1127A">
      <w:pPr>
        <w:pStyle w:val="Caption"/>
        <w:rPr>
          <w:lang w:val="en-US"/>
        </w:rPr>
      </w:pPr>
      <w:bookmarkStart w:id="49" w:name="_Ref405291942"/>
      <w:bookmarkStart w:id="50" w:name="_Toc82444437"/>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3</w:t>
      </w:r>
      <w:r w:rsidR="00F82420" w:rsidRPr="00F33908">
        <w:rPr>
          <w:noProof/>
        </w:rPr>
        <w:fldChar w:fldCharType="end"/>
      </w:r>
      <w:bookmarkEnd w:id="49"/>
      <w:r w:rsidRPr="007A3223">
        <w:rPr>
          <w:szCs w:val="24"/>
          <w:u w:val="single"/>
        </w:rPr>
        <w:t xml:space="preserve">. </w:t>
      </w:r>
      <w:r w:rsidR="00E3461B">
        <w:rPr>
          <w:szCs w:val="24"/>
          <w:u w:val="single"/>
          <w:lang w:val="en-US"/>
        </w:rPr>
        <w:t>Durvalumab</w:t>
      </w:r>
      <w:r w:rsidRPr="007A3223">
        <w:rPr>
          <w:szCs w:val="24"/>
          <w:u w:val="single"/>
        </w:rPr>
        <w:t xml:space="preserve"> PK parameters </w:t>
      </w:r>
      <w:r w:rsidR="00405F35" w:rsidRPr="00F33908">
        <w:rPr>
          <w:szCs w:val="24"/>
          <w:u w:val="single"/>
          <w:lang w:val="en-US"/>
        </w:rPr>
        <w:t>from</w:t>
      </w:r>
      <w:r w:rsidRPr="007A3223">
        <w:rPr>
          <w:szCs w:val="24"/>
          <w:u w:val="single"/>
        </w:rPr>
        <w:t xml:space="preserve"> the first </w:t>
      </w:r>
      <w:r w:rsidR="00405F35" w:rsidRPr="007A3223">
        <w:rPr>
          <w:szCs w:val="24"/>
          <w:u w:val="single"/>
          <w:lang w:val="en-US"/>
        </w:rPr>
        <w:t xml:space="preserve">and steady-state </w:t>
      </w:r>
      <w:r w:rsidRPr="007A3223">
        <w:rPr>
          <w:szCs w:val="24"/>
          <w:u w:val="single"/>
        </w:rPr>
        <w:t>dose</w:t>
      </w:r>
      <w:r w:rsidR="00405F35" w:rsidRPr="007A3223">
        <w:rPr>
          <w:szCs w:val="24"/>
          <w:u w:val="single"/>
          <w:lang w:val="en-US"/>
        </w:rPr>
        <w:t>s</w:t>
      </w:r>
      <w:bookmarkEnd w:id="50"/>
    </w:p>
    <w:p w14:paraId="0A82BA9A" w14:textId="77777777" w:rsidR="00FD2244" w:rsidRPr="007A3223" w:rsidRDefault="00FD2244" w:rsidP="00FD2244">
      <w:pPr>
        <w:spacing w:after="0"/>
        <w:rPr>
          <w:szCs w:val="24"/>
        </w:rPr>
      </w:pPr>
      <w:r w:rsidRPr="007A3223">
        <w:rPr>
          <w:noProof/>
          <w:szCs w:val="24"/>
          <w:lang w:eastAsia="ko-KR"/>
        </w:rPr>
        <w:drawing>
          <wp:inline distT="0" distB="0" distL="0" distR="0" wp14:anchorId="26D19A22" wp14:editId="5212C877">
            <wp:extent cx="5943600" cy="150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508125"/>
                    </a:xfrm>
                    <a:prstGeom prst="rect">
                      <a:avLst/>
                    </a:prstGeom>
                  </pic:spPr>
                </pic:pic>
              </a:graphicData>
            </a:graphic>
          </wp:inline>
        </w:drawing>
      </w:r>
    </w:p>
    <w:p w14:paraId="543D5A78" w14:textId="77777777" w:rsidR="00FD2244" w:rsidRPr="00F33908" w:rsidRDefault="00FD2244" w:rsidP="00FD2244">
      <w:pPr>
        <w:spacing w:after="0"/>
        <w:rPr>
          <w:szCs w:val="24"/>
        </w:rPr>
      </w:pPr>
    </w:p>
    <w:p w14:paraId="50C49418" w14:textId="77777777" w:rsidR="009411A8" w:rsidRPr="007A3223" w:rsidRDefault="009411A8" w:rsidP="00F41A20">
      <w:pPr>
        <w:spacing w:after="0"/>
        <w:ind w:firstLine="360"/>
        <w:rPr>
          <w:szCs w:val="24"/>
          <w:lang w:eastAsia="ko-KR"/>
        </w:rPr>
      </w:pPr>
    </w:p>
    <w:p w14:paraId="20724924" w14:textId="2B2EB7D6" w:rsidR="009411A8" w:rsidRPr="007A3223" w:rsidRDefault="009411A8" w:rsidP="00541C93">
      <w:pPr>
        <w:pStyle w:val="Heading4"/>
      </w:pPr>
      <w:r w:rsidRPr="007A3223">
        <w:t xml:space="preserve">A fixed dosing schedule of </w:t>
      </w:r>
      <w:r w:rsidR="00E3461B">
        <w:rPr>
          <w:lang w:val="en-US"/>
        </w:rPr>
        <w:t>Durvalumab</w:t>
      </w:r>
      <w:r w:rsidRPr="007A3223">
        <w:t xml:space="preserve">  </w:t>
      </w:r>
    </w:p>
    <w:p w14:paraId="5B6CBD8C" w14:textId="0FABEEFD" w:rsidR="009411A8" w:rsidRPr="00F33908" w:rsidRDefault="00B760BE" w:rsidP="009411A8">
      <w:pPr>
        <w:spacing w:after="0"/>
        <w:ind w:firstLine="360"/>
        <w:rPr>
          <w:b/>
          <w:szCs w:val="24"/>
          <w:lang w:eastAsia="ko-KR"/>
        </w:rPr>
      </w:pPr>
      <w:r w:rsidRPr="007A3223">
        <w:rPr>
          <w:b/>
          <w:szCs w:val="24"/>
          <w:lang w:eastAsia="ko-KR"/>
        </w:rPr>
        <w:t xml:space="preserve"> </w:t>
      </w:r>
      <w:r w:rsidR="009411A8" w:rsidRPr="007A3223">
        <w:rPr>
          <w:szCs w:val="24"/>
          <w:lang w:eastAsia="ko-KR"/>
        </w:rPr>
        <w:t xml:space="preserve">A population PK model was developed for </w:t>
      </w:r>
      <w:r w:rsidR="00E3461B">
        <w:rPr>
          <w:szCs w:val="24"/>
          <w:lang w:eastAsia="ko-KR"/>
        </w:rPr>
        <w:t>Durvalumab</w:t>
      </w:r>
      <w:r w:rsidR="009411A8" w:rsidRPr="007A3223">
        <w:rPr>
          <w:szCs w:val="24"/>
          <w:lang w:eastAsia="ko-KR"/>
        </w:rPr>
        <w:t xml:space="preserve"> using monotherapy data from a phase 1 study (NCT01693562; N=292; doses= 0.1 to 10 mg/kg q2 weeks or 15 mg/kg q 3 weeks in solid tumors). Population PK analysis indicated only minor impact of body weight on PK of </w:t>
      </w:r>
      <w:r w:rsidR="0045176A">
        <w:rPr>
          <w:szCs w:val="24"/>
          <w:lang w:eastAsia="ko-KR"/>
        </w:rPr>
        <w:t>Durvalumab</w:t>
      </w:r>
      <w:r w:rsidR="009411A8" w:rsidRPr="007A3223">
        <w:rPr>
          <w:szCs w:val="24"/>
          <w:lang w:eastAsia="ko-KR"/>
        </w:rPr>
        <w:t xml:space="preserve"> (coefficient of </w:t>
      </w:r>
      <w:r w:rsidR="009411A8" w:rsidRPr="007A3223">
        <w:rPr>
          <w:rFonts w:hint="eastAsia"/>
          <w:szCs w:val="24"/>
          <w:lang w:eastAsia="ko-KR"/>
        </w:rPr>
        <w:t>≤</w:t>
      </w:r>
      <w:r w:rsidR="009411A8" w:rsidRPr="007A3223">
        <w:rPr>
          <w:szCs w:val="24"/>
          <w:lang w:eastAsia="ko-KR"/>
        </w:rPr>
        <w:t xml:space="preserve"> 0.5). The impact of body weight -based (10 mg/kg q2 weeks) and fixed dosing (750 mg q2 weeks) of </w:t>
      </w:r>
      <w:r w:rsidR="0045176A">
        <w:rPr>
          <w:szCs w:val="24"/>
          <w:lang w:eastAsia="ko-KR"/>
        </w:rPr>
        <w:t>Durvalumab</w:t>
      </w:r>
      <w:r w:rsidR="009411A8" w:rsidRPr="007A3223">
        <w:rPr>
          <w:szCs w:val="24"/>
          <w:lang w:eastAsia="ko-KR"/>
        </w:rPr>
        <w:t xml:space="preserve"> was evaluated by comparing predicted steady state PK concentrations (5</w:t>
      </w:r>
      <w:r w:rsidR="009411A8" w:rsidRPr="007A3223">
        <w:rPr>
          <w:szCs w:val="24"/>
          <w:vertAlign w:val="superscript"/>
          <w:lang w:eastAsia="ko-KR"/>
        </w:rPr>
        <w:t>th</w:t>
      </w:r>
      <w:r w:rsidR="009411A8" w:rsidRPr="007A3223">
        <w:rPr>
          <w:szCs w:val="24"/>
          <w:lang w:eastAsia="ko-KR"/>
        </w:rPr>
        <w:t>, median and 95</w:t>
      </w:r>
      <w:r w:rsidR="009411A8" w:rsidRPr="007A3223">
        <w:rPr>
          <w:szCs w:val="24"/>
          <w:vertAlign w:val="superscript"/>
          <w:lang w:eastAsia="ko-KR"/>
        </w:rPr>
        <w:t>th</w:t>
      </w:r>
      <w:r w:rsidR="009411A8" w:rsidRPr="007A3223">
        <w:rPr>
          <w:szCs w:val="24"/>
          <w:lang w:eastAsia="ko-KR"/>
        </w:rPr>
        <w:t xml:space="preserve"> percentiles) using the population PK model. A fixed dose of 750 mg was selected to approximate 10 mg/kg (based on median body weight of ~75 kg). A total of 1000 patients were simulated using body weight distribution of 40–120 kg. Simulation results demonstrate that body weight-based and fixed dosing regimens yield similar median steady state PK concentrations with slightly less overall between-subject variability with fixed dosing regimen. Similar findings have been reported by others [Ng et al 2006, Wang et al. 2009, Zhang et al, 2012, Narwal et al 2013].</w:t>
      </w:r>
      <w:hyperlink w:anchor="_ENREF_149" w:tooltip="Zhang, 2012 #1047" w:history="1">
        <w:r w:rsidR="00F77861" w:rsidRPr="00244551">
          <w:rPr>
            <w:rStyle w:val="Hyperlink"/>
            <w:szCs w:val="24"/>
            <w:lang w:eastAsia="ko-KR"/>
          </w:rPr>
          <w:fldChar w:fldCharType="begin">
            <w:fldData xml:space="preserve">PEVuZE5vdGU+PENpdGU+PEF1dGhvcj5aaGFuZzwvQXV0aG9yPjxZZWFyPjIwMTI8L1llYXI+PFJl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</w:fldData>
          </w:fldChar>
        </w:r>
        <w:r w:rsidR="00F77861" w:rsidRPr="00244551">
          <w:rPr>
            <w:rStyle w:val="Hyperlink"/>
            <w:szCs w:val="24"/>
            <w:lang w:eastAsia="ko-KR"/>
          </w:rPr>
          <w:instrText xml:space="preserve"> ADDIN EN.CITE </w:instrText>
        </w:r>
        <w:r w:rsidR="00F77861" w:rsidRPr="00383431">
          <w:rPr>
            <w:rStyle w:val="Hyperlink"/>
            <w:szCs w:val="24"/>
            <w:lang w:eastAsia="ko-KR"/>
          </w:rPr>
          <w:fldChar w:fldCharType="begin">
            <w:fldData xml:space="preserve">PEVuZE5vdGU+PENpdGU+PEF1dGhvcj5aaGFuZzwvQXV0aG9yPjxZZWFyPjIwMTI8L1llYXI+PFJl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</w:fldData>
          </w:fldChar>
        </w:r>
        <w:r w:rsidR="00F77861" w:rsidRPr="00244551">
          <w:rPr>
            <w:rStyle w:val="Hyperlink"/>
            <w:szCs w:val="24"/>
            <w:lang w:eastAsia="ko-KR"/>
          </w:rPr>
          <w:instrText xml:space="preserve"> ADDIN EN.CITE.DATA </w:instrText>
        </w:r>
        <w:r w:rsidR="00F77861" w:rsidRPr="00383431">
          <w:rPr>
            <w:rStyle w:val="Hyperlink"/>
            <w:szCs w:val="24"/>
            <w:lang w:eastAsia="ko-KR"/>
          </w:rPr>
        </w:r>
        <w:r w:rsidR="00F77861" w:rsidRPr="00383431">
          <w:rPr>
            <w:rStyle w:val="Hyperlink"/>
            <w:szCs w:val="24"/>
            <w:lang w:eastAsia="ko-KR"/>
          </w:rPr>
          <w:fldChar w:fldCharType="end"/>
        </w:r>
        <w:r w:rsidR="00F77861" w:rsidRPr="00244551">
          <w:rPr>
            <w:rStyle w:val="Hyperlink"/>
            <w:szCs w:val="24"/>
            <w:lang w:eastAsia="ko-KR"/>
          </w:rPr>
        </w:r>
        <w:r w:rsidR="00F77861" w:rsidRPr="00244551">
          <w:rPr>
            <w:rStyle w:val="Hyperlink"/>
            <w:szCs w:val="24"/>
            <w:lang w:eastAsia="ko-KR"/>
          </w:rPr>
          <w:fldChar w:fldCharType="separate"/>
        </w:r>
        <w:r w:rsidR="00F77861" w:rsidRPr="00244551">
          <w:rPr>
            <w:rStyle w:val="Hyperlink"/>
            <w:noProof/>
            <w:szCs w:val="24"/>
            <w:vertAlign w:val="superscript"/>
            <w:lang w:eastAsia="ko-KR"/>
          </w:rPr>
          <w:t>149-152</w:t>
        </w:r>
        <w:r w:rsidR="00F77861" w:rsidRPr="00244551">
          <w:rPr>
            <w:rStyle w:val="Hyperlink"/>
            <w:szCs w:val="24"/>
            <w:lang w:eastAsia="ko-KR"/>
          </w:rPr>
          <w:fldChar w:fldCharType="end"/>
        </w:r>
      </w:hyperlink>
      <w:r w:rsidR="009411A8" w:rsidRPr="007A3223">
        <w:rPr>
          <w:szCs w:val="24"/>
          <w:lang w:eastAsia="ko-KR"/>
        </w:rPr>
        <w:t xml:space="preserve"> Wang and colleagues investigated 12 monoclonal antibodies and found that fixed and body size-based dosing perform similarly, with fixed dosing being b</w:t>
      </w:r>
      <w:r w:rsidR="009411A8" w:rsidRPr="00F33908">
        <w:rPr>
          <w:szCs w:val="24"/>
          <w:lang w:eastAsia="ko-KR"/>
        </w:rPr>
        <w:t xml:space="preserve">etter for 7 of 12 antibodies </w:t>
      </w:r>
      <w:hyperlink w:anchor="_ENREF_150" w:tooltip="Wang, 2009 #1048" w:history="1">
        <w:r w:rsidR="00F77861" w:rsidRPr="00244551">
          <w:rPr>
            <w:rStyle w:val="Hyperlink"/>
            <w:szCs w:val="24"/>
            <w:lang w:eastAsia="ko-KR"/>
          </w:rPr>
          <w:fldChar w:fldCharType="begin"/>
        </w:r>
        <w:r w:rsidR="00F77861" w:rsidRPr="00244551">
          <w:rPr>
            <w:rStyle w:val="Hyperlink"/>
            <w:szCs w:val="24"/>
            <w:lang w:eastAsia="ko-KR"/>
          </w:rPr>
          <w:instrText xml:space="preserve"> ADDIN EN.CITE &lt;EndNote&gt;&lt;Cite&gt;&lt;Author&gt;Wang&lt;/Author&gt;&lt;Year&gt;2009&lt;/Year&gt;&lt;RecNum&gt;1048&lt;/RecNum&gt;&lt;DisplayText&gt;&lt;style face="superscript"&gt;150&lt;/style&gt;&lt;/DisplayText&gt;&lt;record&gt;&lt;rec-number&gt;1048&lt;/rec-number&gt;&lt;foreign-keys&gt;&lt;key app="EN" db-id="fd5pzdff0z5dt7er5swxsd2m2te2fd9saae5" timestamp="1505939309"&gt;1048&lt;/key&gt;&lt;/foreign-keys&gt;&lt;ref-type name="Journal Article"&gt;17&lt;/ref-type&gt;&lt;contributors&gt;&lt;authors&gt;&lt;author&gt;Wang, D. D.&lt;/author&gt;&lt;author&gt;Zhang, S.&lt;/author&gt;&lt;author&gt;Zhao, H.&lt;/author&gt;&lt;author&gt;Men, A. Y.&lt;/author&gt;&lt;author&gt;Parivar, K.&lt;/author&gt;&lt;/authors&gt;&lt;/contributors&gt;&lt;auth-address&gt;Pfizer Oncology, San Diego, California, USA. diane.wang@pfizer.com&lt;/auth-address&gt;&lt;titles&gt;&lt;title&gt;Fixed dosing versus body size-based dosing of monoclonal antibodies in adult clinical trials&lt;/title&gt;&lt;secondary-title&gt;J Clin Pharmacol&lt;/secondary-title&gt;&lt;/titles&gt;&lt;periodical&gt;&lt;full-title&gt;J Clin Pharmacol&lt;/full-title&gt;&lt;/periodical&gt;&lt;pages&gt;1012-24&lt;/pages&gt;&lt;volume&gt;49&lt;/volume&gt;&lt;number&gt;9&lt;/number&gt;&lt;edition&gt;2009/07/22&lt;/edition&gt;&lt;keywords&gt;&lt;keyword&gt;Adult&lt;/keyword&gt;&lt;keyword&gt;Antibodies, Monoclonal/*administration &amp;amp; dosage&lt;/keyword&gt;&lt;keyword&gt;Body Surface Area&lt;/keyword&gt;&lt;keyword&gt;Body Weight&lt;/keyword&gt;&lt;keyword&gt;Clinical Trials as Topic&lt;/keyword&gt;&lt;keyword&gt;Computer Simulation&lt;/keyword&gt;&lt;keyword&gt;Dose-Response Relationship, Drug&lt;/keyword&gt;&lt;keyword&gt;Humans&lt;/keyword&gt;&lt;keyword&gt;*Models, Biological&lt;/keyword&gt;&lt;/keywords&gt;&lt;dates&gt;&lt;year&gt;2009&lt;/year&gt;&lt;pub-dates&gt;&lt;date&gt;Sep&lt;/date&gt;&lt;/pub-dates&gt;&lt;/dates&gt;&lt;isbn&gt;0091-2700 (Print)&amp;#xD;0091-2700 (Linking)&lt;/isbn&gt;&lt;accession-num&gt;19620385&lt;/accession-num&gt;&lt;urls&gt;&lt;related-urls&gt;&lt;url&gt;https://www.ncbi.nlm.nih.gov/pubmed/19620385&lt;/url&gt;&lt;/related-urls&gt;&lt;/urls&gt;&lt;electronic-resource-num&gt;10.1177/0091270009337512&lt;/electronic-resource-num&gt;&lt;/record&gt;&lt;/Cite&gt;&lt;/EndNote&gt;</w:instrText>
        </w:r>
        <w:r w:rsidR="00F77861" w:rsidRPr="00244551">
          <w:rPr>
            <w:rStyle w:val="Hyperlink"/>
            <w:szCs w:val="24"/>
            <w:lang w:eastAsia="ko-KR"/>
          </w:rPr>
          <w:fldChar w:fldCharType="separate"/>
        </w:r>
        <w:r w:rsidR="00F77861" w:rsidRPr="00244551">
          <w:rPr>
            <w:rStyle w:val="Hyperlink"/>
            <w:noProof/>
            <w:szCs w:val="24"/>
            <w:vertAlign w:val="superscript"/>
            <w:lang w:eastAsia="ko-KR"/>
          </w:rPr>
          <w:t>150</w:t>
        </w:r>
        <w:r w:rsidR="00F77861" w:rsidRPr="00244551">
          <w:rPr>
            <w:rStyle w:val="Hyperlink"/>
            <w:szCs w:val="24"/>
            <w:lang w:eastAsia="ko-KR"/>
          </w:rPr>
          <w:fldChar w:fldCharType="end"/>
        </w:r>
      </w:hyperlink>
      <w:r w:rsidR="009411A8" w:rsidRPr="007A3223">
        <w:rPr>
          <w:szCs w:val="24"/>
          <w:lang w:eastAsia="ko-KR"/>
        </w:rPr>
        <w:t>. In</w:t>
      </w:r>
      <w:r w:rsidR="009411A8" w:rsidRPr="00F33908">
        <w:rPr>
          <w:szCs w:val="24"/>
          <w:lang w:eastAsia="ko-KR"/>
        </w:rPr>
        <w:t xml:space="preserve"> addition, they investigated 18 therapeutic proteins and peptides and showed that fi</w:t>
      </w:r>
      <w:r w:rsidR="009411A8" w:rsidRPr="007A3223">
        <w:rPr>
          <w:szCs w:val="24"/>
          <w:lang w:eastAsia="ko-KR"/>
        </w:rPr>
        <w:t xml:space="preserve">xed dosing performed better for 12 of 18 in terms of reducing the between-subject variability in pharmacokinetic/pharmacodynamics parameters </w:t>
      </w:r>
      <w:hyperlink w:anchor="_ENREF_149" w:tooltip="Zhang, 2012 #1047" w:history="1">
        <w:r w:rsidR="00F77861" w:rsidRPr="00244551">
          <w:rPr>
            <w:rStyle w:val="Hyperlink"/>
            <w:szCs w:val="24"/>
            <w:lang w:eastAsia="ko-KR"/>
          </w:rPr>
          <w:fldChar w:fldCharType="begin"/>
        </w:r>
        <w:r w:rsidR="00F77861" w:rsidRPr="00244551">
          <w:rPr>
            <w:rStyle w:val="Hyperlink"/>
            <w:szCs w:val="24"/>
            <w:lang w:eastAsia="ko-KR"/>
          </w:rPr>
          <w:instrText xml:space="preserve"> ADDIN EN.CITE &lt;EndNote&gt;&lt;Cite&gt;&lt;Author&gt;Zhang&lt;/Author&gt;&lt;Year&gt;2012&lt;/Year&gt;&lt;RecNum&gt;1047&lt;/RecNum&gt;&lt;DisplayText&gt;&lt;style face="superscript"&gt;149&lt;/style&gt;&lt;/DisplayText&gt;&lt;record&gt;&lt;rec-number&gt;1047&lt;/rec-number&gt;&lt;foreign-keys&gt;&lt;key app="EN" db-id="fd5pzdff0z5dt7er5swxsd2m2te2fd9saae5" timestamp="1505939309"&gt;1047&lt;/key&gt;&lt;/foreign-keys&gt;&lt;ref-type name="Journal Article"&gt;17&lt;/ref-type&gt;&lt;contributors&gt;&lt;authors&gt;&lt;author&gt;Zhang, S.&lt;/author&gt;&lt;author&gt;Shi, R.&lt;/author&gt;&lt;author&gt;Li, C.&lt;/author&gt;&lt;author&gt;Parivar, K.&lt;/author&gt;&lt;author&gt;Wang, D. D.&lt;/author&gt;&lt;/authors&gt;&lt;/contributors&gt;&lt;auth-address&gt;Pfizer Oncology, San Diego, CA 92121, USA.&lt;/auth-address&gt;&lt;titles&gt;&lt;title&gt;Fixed dosing versus body size-based dosing of therapeutic peptides and proteins in adults&lt;/title&gt;&lt;secondary-title&gt;J Clin Pharmacol&lt;/secondary-title&gt;&lt;/titles&gt;&lt;periodical&gt;&lt;full-title&gt;J Clin Pharmacol&lt;/full-title&gt;&lt;/periodical&gt;&lt;pages&gt;18-28&lt;/pages&gt;&lt;volume&gt;52&lt;/volume&gt;&lt;number&gt;1&lt;/number&gt;&lt;edition&gt;2011/01/15&lt;/edition&gt;&lt;keywords&gt;&lt;keyword&gt;Adult&lt;/keyword&gt;&lt;keyword&gt;Area Under Curve&lt;/keyword&gt;&lt;keyword&gt;Biological Products/administration &amp;amp; dosage/*pharmacokinetics&lt;/keyword&gt;&lt;keyword&gt;Body Size&lt;/keyword&gt;&lt;keyword&gt;Computer Simulation&lt;/keyword&gt;&lt;keyword&gt;Humans&lt;/keyword&gt;&lt;keyword&gt;Metabolic Clearance Rate&lt;/keyword&gt;&lt;keyword&gt;*Models, Biological&lt;/keyword&gt;&lt;keyword&gt;Peptides/administration &amp;amp; dosage/*pharmacokinetics&lt;/keyword&gt;&lt;keyword&gt;Proteins/administration &amp;amp; dosage/*pharmacokinetics&lt;/keyword&gt;&lt;/keywords&gt;&lt;dates&gt;&lt;year&gt;2012&lt;/year&gt;&lt;pub-dates&gt;&lt;date&gt;Jan&lt;/date&gt;&lt;/pub-dates&gt;&lt;/dates&gt;&lt;isbn&gt;1552-4604 (Electronic)&amp;#xD;0091-2700 (Linking)&lt;/isbn&gt;&lt;accession-num&gt;21233304&lt;/accession-num&gt;&lt;urls&gt;&lt;related-urls&gt;&lt;url&gt;https://www.ncbi.nlm.nih.gov/pubmed/21233304&lt;/url&gt;&lt;/related-urls&gt;&lt;/urls&gt;&lt;electronic-resource-num&gt;10.1177/0091270010388648&lt;/electronic-resource-num&gt;&lt;/record&gt;&lt;/Cite&gt;&lt;/EndNote&gt;</w:instrText>
        </w:r>
        <w:r w:rsidR="00F77861" w:rsidRPr="00244551">
          <w:rPr>
            <w:rStyle w:val="Hyperlink"/>
            <w:szCs w:val="24"/>
            <w:lang w:eastAsia="ko-KR"/>
          </w:rPr>
          <w:fldChar w:fldCharType="separate"/>
        </w:r>
        <w:r w:rsidR="00F77861" w:rsidRPr="00244551">
          <w:rPr>
            <w:rStyle w:val="Hyperlink"/>
            <w:noProof/>
            <w:szCs w:val="24"/>
            <w:vertAlign w:val="superscript"/>
            <w:lang w:eastAsia="ko-KR"/>
          </w:rPr>
          <w:t>149</w:t>
        </w:r>
        <w:r w:rsidR="00F77861" w:rsidRPr="00244551">
          <w:rPr>
            <w:rStyle w:val="Hyperlink"/>
            <w:szCs w:val="24"/>
            <w:lang w:eastAsia="ko-KR"/>
          </w:rPr>
          <w:fldChar w:fldCharType="end"/>
        </w:r>
      </w:hyperlink>
      <w:r w:rsidR="009411A8" w:rsidRPr="007A3223">
        <w:rPr>
          <w:szCs w:val="24"/>
          <w:lang w:eastAsia="ko-KR"/>
        </w:rPr>
        <w:t xml:space="preserve">. </w:t>
      </w:r>
    </w:p>
    <w:p w14:paraId="75B08B08" w14:textId="601AB62F" w:rsidR="009411A8" w:rsidRPr="007A3223" w:rsidRDefault="009411A8" w:rsidP="009411A8">
      <w:pPr>
        <w:spacing w:after="0"/>
        <w:ind w:firstLine="360"/>
        <w:rPr>
          <w:szCs w:val="24"/>
          <w:lang w:eastAsia="ko-KR"/>
        </w:rPr>
      </w:pPr>
      <w:r w:rsidRPr="007A3223">
        <w:rPr>
          <w:szCs w:val="24"/>
          <w:lang w:eastAsia="ko-KR"/>
        </w:rPr>
        <w:t xml:space="preserve">A fixed dosing approach is preferred by the prescribing community due to ease of use and reduced dosing errors. Given expectation of similar pharmacokinetic exposure and variability, </w:t>
      </w:r>
      <w:r w:rsidRPr="007A3223">
        <w:rPr>
          <w:szCs w:val="24"/>
          <w:lang w:eastAsia="ko-KR"/>
        </w:rPr>
        <w:lastRenderedPageBreak/>
        <w:t xml:space="preserve">we considered it feasible to switch to fixed dosing regimens. Based on average body weight of 75 kg, a fixed dose of 750 mg q2 weeks </w:t>
      </w:r>
      <w:r w:rsidR="006E7D37">
        <w:rPr>
          <w:szCs w:val="24"/>
          <w:lang w:eastAsia="ko-KR"/>
        </w:rPr>
        <w:t>Durvalumab</w:t>
      </w:r>
      <w:r w:rsidRPr="007A3223">
        <w:rPr>
          <w:szCs w:val="24"/>
          <w:lang w:eastAsia="ko-KR"/>
        </w:rPr>
        <w:t xml:space="preserve"> (equivalent to 10 mg/kg q2 weeks), 1500 mg q4 weeks </w:t>
      </w:r>
      <w:r w:rsidR="006E7D37">
        <w:rPr>
          <w:szCs w:val="24"/>
          <w:lang w:eastAsia="ko-KR"/>
        </w:rPr>
        <w:t>Durvalumab</w:t>
      </w:r>
      <w:r w:rsidRPr="007A3223">
        <w:rPr>
          <w:szCs w:val="24"/>
          <w:lang w:eastAsia="ko-KR"/>
        </w:rPr>
        <w:t xml:space="preserve"> (equivalent to 20 mg/kg q4 weeks) is included in the current study. Fixed dosing of </w:t>
      </w:r>
      <w:r w:rsidR="006E7D37">
        <w:rPr>
          <w:szCs w:val="24"/>
          <w:lang w:eastAsia="ko-KR"/>
        </w:rPr>
        <w:t>Durvalumab</w:t>
      </w:r>
      <w:r w:rsidRPr="007A3223">
        <w:rPr>
          <w:szCs w:val="24"/>
          <w:lang w:eastAsia="ko-KR"/>
        </w:rPr>
        <w:t xml:space="preserve"> is recommend only for subjects with &gt; 30kg body weight due to endotoxin exposure.  Patients with a body weight less than or equal to 30 kg should be dosed using a weight-b</w:t>
      </w:r>
      <w:r w:rsidR="00B06526" w:rsidRPr="007A3223">
        <w:rPr>
          <w:szCs w:val="24"/>
          <w:lang w:eastAsia="ko-KR"/>
        </w:rPr>
        <w:t>ased dosing schedule (</w:t>
      </w:r>
      <w:r w:rsidR="00BE53EC" w:rsidRPr="007A3223">
        <w:rPr>
          <w:szCs w:val="24"/>
          <w:lang w:eastAsia="ko-KR"/>
        </w:rPr>
        <w:t xml:space="preserve">Section </w:t>
      </w:r>
      <w:r w:rsidR="00BE53EC" w:rsidRPr="00F33908">
        <w:rPr>
          <w:b/>
          <w:color w:val="0000FF"/>
          <w:szCs w:val="24"/>
          <w:lang w:eastAsia="ko-KR"/>
        </w:rPr>
        <w:fldChar w:fldCharType="begin"/>
      </w:r>
      <w:r w:rsidR="00BE53EC" w:rsidRPr="007A3223">
        <w:rPr>
          <w:b/>
          <w:color w:val="0000FF"/>
          <w:szCs w:val="24"/>
          <w:lang w:eastAsia="ko-KR"/>
        </w:rPr>
        <w:instrText xml:space="preserve"> REF _Ref493692751 \r \h  \* MERGEFORMAT </w:instrText>
      </w:r>
      <w:r w:rsidR="00BE53EC" w:rsidRPr="00F33908">
        <w:rPr>
          <w:b/>
          <w:color w:val="0000FF"/>
          <w:szCs w:val="24"/>
          <w:lang w:eastAsia="ko-KR"/>
        </w:rPr>
      </w:r>
      <w:r w:rsidR="00BE53EC" w:rsidRPr="00F33908">
        <w:rPr>
          <w:b/>
          <w:color w:val="0000FF"/>
          <w:szCs w:val="24"/>
          <w:lang w:eastAsia="ko-KR"/>
        </w:rPr>
        <w:fldChar w:fldCharType="separate"/>
      </w:r>
      <w:r w:rsidR="00E47ACA">
        <w:rPr>
          <w:b/>
          <w:color w:val="0000FF"/>
          <w:szCs w:val="24"/>
          <w:lang w:eastAsia="ko-KR"/>
        </w:rPr>
        <w:t>16.10</w:t>
      </w:r>
      <w:r w:rsidR="00BE53EC" w:rsidRPr="00F33908">
        <w:rPr>
          <w:b/>
          <w:color w:val="0000FF"/>
          <w:szCs w:val="24"/>
          <w:lang w:eastAsia="ko-KR"/>
        </w:rPr>
        <w:fldChar w:fldCharType="end"/>
      </w:r>
      <w:r w:rsidR="00BE53EC" w:rsidRPr="007A3223">
        <w:rPr>
          <w:szCs w:val="24"/>
          <w:lang w:eastAsia="ko-KR"/>
        </w:rPr>
        <w:t xml:space="preserve"> </w:t>
      </w:r>
      <w:r w:rsidR="00B06526" w:rsidRPr="00F33908">
        <w:rPr>
          <w:szCs w:val="24"/>
          <w:lang w:eastAsia="ko-KR"/>
        </w:rPr>
        <w:t>Appendix J</w:t>
      </w:r>
      <w:r w:rsidRPr="007A3223">
        <w:rPr>
          <w:szCs w:val="24"/>
          <w:lang w:eastAsia="ko-KR"/>
        </w:rPr>
        <w:t>). </w:t>
      </w:r>
    </w:p>
    <w:p w14:paraId="10D2B6AF" w14:textId="77777777" w:rsidR="009411A8" w:rsidRPr="007A3223" w:rsidRDefault="009411A8" w:rsidP="00FA303C">
      <w:pPr>
        <w:spacing w:after="0"/>
        <w:rPr>
          <w:szCs w:val="24"/>
          <w:lang w:eastAsia="ko-KR"/>
        </w:rPr>
      </w:pPr>
    </w:p>
    <w:p w14:paraId="7EB705F4" w14:textId="77777777" w:rsidR="009411A8" w:rsidRPr="007A3223" w:rsidRDefault="009411A8" w:rsidP="000C1D10">
      <w:pPr>
        <w:pStyle w:val="Heading3"/>
      </w:pPr>
      <w:r w:rsidRPr="007A3223">
        <w:t>Hypothesis</w:t>
      </w:r>
    </w:p>
    <w:p w14:paraId="4E6C4C30" w14:textId="77777777" w:rsidR="009411A8" w:rsidRPr="007A3223" w:rsidRDefault="009411A8" w:rsidP="00F41A20">
      <w:pPr>
        <w:spacing w:after="0"/>
        <w:ind w:firstLine="360"/>
        <w:rPr>
          <w:szCs w:val="24"/>
          <w:lang w:eastAsia="ko-KR"/>
        </w:rPr>
      </w:pPr>
    </w:p>
    <w:p w14:paraId="2BB3B2AB" w14:textId="77777777" w:rsidR="006F5046" w:rsidRPr="007A3223" w:rsidRDefault="00A34F35" w:rsidP="00EC40D4">
      <w:pPr>
        <w:spacing w:after="0"/>
        <w:ind w:firstLine="270"/>
        <w:rPr>
          <w:szCs w:val="24"/>
          <w:lang w:eastAsia="ko-KR"/>
        </w:rPr>
      </w:pPr>
      <w:r w:rsidRPr="007A3223">
        <w:rPr>
          <w:szCs w:val="24"/>
          <w:lang w:eastAsia="ko-KR"/>
        </w:rPr>
        <w:t xml:space="preserve">We hypothesize that combination therapy with olaparib and cediranib will induce increased levels of DNA damage, creating a more antigenic environment in which to stimulate the immune </w:t>
      </w:r>
      <w:r w:rsidRPr="007A3223">
        <w:rPr>
          <w:szCs w:val="24"/>
        </w:rPr>
        <w:t>microenvironment</w:t>
      </w:r>
      <w:r w:rsidR="00F41A20" w:rsidRPr="007A3223">
        <w:rPr>
          <w:szCs w:val="24"/>
          <w:lang w:eastAsia="ko-KR"/>
        </w:rPr>
        <w:t>. Thus, immune checkpoint inhibition</w:t>
      </w:r>
      <w:r w:rsidRPr="007A3223">
        <w:rPr>
          <w:szCs w:val="24"/>
          <w:lang w:eastAsia="ko-KR"/>
        </w:rPr>
        <w:t xml:space="preserve"> could enhance the anti-tumor activity of </w:t>
      </w:r>
      <w:r w:rsidR="006F5046" w:rsidRPr="007A3223">
        <w:rPr>
          <w:szCs w:val="24"/>
          <w:lang w:eastAsia="ko-KR"/>
        </w:rPr>
        <w:t>olaparib and</w:t>
      </w:r>
      <w:r w:rsidRPr="007A3223">
        <w:rPr>
          <w:szCs w:val="24"/>
          <w:lang w:eastAsia="ko-KR"/>
        </w:rPr>
        <w:t>/</w:t>
      </w:r>
      <w:r w:rsidR="006F5046" w:rsidRPr="007A3223">
        <w:rPr>
          <w:szCs w:val="24"/>
          <w:lang w:eastAsia="ko-KR"/>
        </w:rPr>
        <w:t xml:space="preserve">or </w:t>
      </w:r>
      <w:r w:rsidRPr="007A3223">
        <w:rPr>
          <w:szCs w:val="24"/>
          <w:lang w:eastAsia="ko-KR"/>
        </w:rPr>
        <w:t xml:space="preserve">cediranib. </w:t>
      </w:r>
    </w:p>
    <w:p w14:paraId="27DA0CCF" w14:textId="4A89E715" w:rsidR="006F5046" w:rsidRPr="007A3223" w:rsidRDefault="006F5046" w:rsidP="00F30ED1">
      <w:pPr>
        <w:spacing w:after="0"/>
        <w:ind w:firstLine="270"/>
        <w:rPr>
          <w:szCs w:val="24"/>
          <w:lang w:eastAsia="ko-KR"/>
        </w:rPr>
      </w:pPr>
      <w:r w:rsidRPr="007A3223">
        <w:rPr>
          <w:szCs w:val="24"/>
          <w:lang w:eastAsia="ko-KR"/>
        </w:rPr>
        <w:t xml:space="preserve">For </w:t>
      </w:r>
      <w:r w:rsidR="00457188" w:rsidRPr="007A3223">
        <w:rPr>
          <w:szCs w:val="24"/>
          <w:lang w:eastAsia="ko-KR"/>
        </w:rPr>
        <w:t xml:space="preserve">the </w:t>
      </w:r>
      <w:r w:rsidRPr="007A3223">
        <w:rPr>
          <w:szCs w:val="24"/>
          <w:lang w:eastAsia="ko-KR"/>
        </w:rPr>
        <w:t>ovarian cancer cohort, w</w:t>
      </w:r>
      <w:r w:rsidR="00A34F35" w:rsidRPr="007A3223">
        <w:rPr>
          <w:szCs w:val="24"/>
          <w:lang w:eastAsia="ko-KR"/>
        </w:rPr>
        <w:t xml:space="preserve">e believe that it is </w:t>
      </w:r>
      <w:r w:rsidR="00A34F35" w:rsidRPr="007A3223">
        <w:rPr>
          <w:szCs w:val="24"/>
        </w:rPr>
        <w:t>reasonable and necessary to prospectively elucidate the safety and activity of the two doublets (</w:t>
      </w:r>
      <w:r w:rsidR="00A34F35" w:rsidRPr="007A3223">
        <w:rPr>
          <w:szCs w:val="24"/>
          <w:lang w:eastAsia="ko-KR"/>
        </w:rPr>
        <w:t>a PD-L1 inhibitor</w:t>
      </w:r>
      <w:r w:rsidR="00A34F35" w:rsidRPr="007A3223">
        <w:rPr>
          <w:szCs w:val="24"/>
        </w:rPr>
        <w:t xml:space="preserve">/olaparib </w:t>
      </w:r>
      <w:r w:rsidR="009E2676" w:rsidRPr="007A3223">
        <w:rPr>
          <w:szCs w:val="24"/>
        </w:rPr>
        <w:t>[</w:t>
      </w:r>
      <w:r w:rsidR="006E7D37">
        <w:rPr>
          <w:szCs w:val="24"/>
        </w:rPr>
        <w:t>Durvalumab</w:t>
      </w:r>
      <w:r w:rsidR="00FA303C" w:rsidRPr="007A3223">
        <w:rPr>
          <w:szCs w:val="24"/>
        </w:rPr>
        <w:t>+</w:t>
      </w:r>
      <w:r w:rsidR="009E2676" w:rsidRPr="007A3223">
        <w:rPr>
          <w:szCs w:val="24"/>
        </w:rPr>
        <w:t xml:space="preserve">O] </w:t>
      </w:r>
      <w:r w:rsidR="00A34F35" w:rsidRPr="007A3223">
        <w:rPr>
          <w:szCs w:val="24"/>
        </w:rPr>
        <w:t xml:space="preserve">and </w:t>
      </w:r>
      <w:r w:rsidR="00A34F35" w:rsidRPr="007A3223">
        <w:rPr>
          <w:szCs w:val="24"/>
          <w:lang w:eastAsia="ko-KR"/>
        </w:rPr>
        <w:t>a PD-L1 inhibitor</w:t>
      </w:r>
      <w:r w:rsidR="00A34F35" w:rsidRPr="007A3223">
        <w:rPr>
          <w:szCs w:val="24"/>
        </w:rPr>
        <w:t>/cediranib</w:t>
      </w:r>
      <w:r w:rsidR="009E2676" w:rsidRPr="007A3223">
        <w:rPr>
          <w:szCs w:val="24"/>
        </w:rPr>
        <w:t xml:space="preserve"> [</w:t>
      </w:r>
      <w:r w:rsidR="006E7D37">
        <w:rPr>
          <w:szCs w:val="24"/>
        </w:rPr>
        <w:t>Durvalumab</w:t>
      </w:r>
      <w:r w:rsidR="00FA303C" w:rsidRPr="007A3223">
        <w:rPr>
          <w:szCs w:val="24"/>
        </w:rPr>
        <w:t>+</w:t>
      </w:r>
      <w:r w:rsidR="009E2676" w:rsidRPr="007A3223">
        <w:rPr>
          <w:szCs w:val="24"/>
        </w:rPr>
        <w:t>C]</w:t>
      </w:r>
      <w:r w:rsidR="00A34F35" w:rsidRPr="007A3223">
        <w:rPr>
          <w:szCs w:val="24"/>
        </w:rPr>
        <w:t>) due to</w:t>
      </w:r>
      <w:r w:rsidR="00A34F35" w:rsidRPr="007A3223">
        <w:rPr>
          <w:szCs w:val="24"/>
          <w:lang w:eastAsia="ko-KR"/>
        </w:rPr>
        <w:t xml:space="preserve"> overlapping toxicity of </w:t>
      </w:r>
      <w:r w:rsidR="006E7D37">
        <w:rPr>
          <w:szCs w:val="24"/>
          <w:lang w:eastAsia="ko-KR"/>
        </w:rPr>
        <w:t>Durvalumab</w:t>
      </w:r>
      <w:r w:rsidR="00F06075" w:rsidRPr="007A3223">
        <w:rPr>
          <w:szCs w:val="24"/>
          <w:lang w:eastAsia="ko-KR"/>
        </w:rPr>
        <w:t xml:space="preserve"> a</w:t>
      </w:r>
      <w:r w:rsidR="00A34F35" w:rsidRPr="007A3223">
        <w:rPr>
          <w:szCs w:val="24"/>
          <w:lang w:eastAsia="ko-KR"/>
        </w:rPr>
        <w:t xml:space="preserve">nd cediranib. </w:t>
      </w:r>
      <w:r w:rsidR="007D079F" w:rsidRPr="007A3223">
        <w:rPr>
          <w:szCs w:val="24"/>
          <w:lang w:eastAsia="ko-KR"/>
        </w:rPr>
        <w:t xml:space="preserve">Our preliminary </w:t>
      </w:r>
      <w:r w:rsidR="00F30ED1" w:rsidRPr="007A3223">
        <w:rPr>
          <w:szCs w:val="24"/>
          <w:lang w:eastAsia="ko-KR"/>
        </w:rPr>
        <w:t>data on</w:t>
      </w:r>
      <w:r w:rsidR="001F1FC3" w:rsidRPr="007A3223">
        <w:rPr>
          <w:szCs w:val="24"/>
          <w:lang w:eastAsia="ko-KR"/>
        </w:rPr>
        <w:t xml:space="preserve"> the</w:t>
      </w:r>
      <w:r w:rsidR="00F30ED1" w:rsidRPr="007A3223">
        <w:rPr>
          <w:szCs w:val="24"/>
          <w:lang w:eastAsia="ko-KR"/>
        </w:rPr>
        <w:t xml:space="preserve"> </w:t>
      </w:r>
      <w:r w:rsidR="007D079F" w:rsidRPr="007A3223">
        <w:rPr>
          <w:szCs w:val="24"/>
          <w:lang w:eastAsia="ko-KR"/>
        </w:rPr>
        <w:t xml:space="preserve">phase I </w:t>
      </w:r>
      <w:r w:rsidR="00F30ED1" w:rsidRPr="007A3223">
        <w:rPr>
          <w:szCs w:val="24"/>
          <w:lang w:eastAsia="ko-KR"/>
        </w:rPr>
        <w:t>study of</w:t>
      </w:r>
      <w:r w:rsidR="007D079F" w:rsidRPr="007A3223">
        <w:rPr>
          <w:szCs w:val="24"/>
          <w:lang w:eastAsia="ko-KR"/>
        </w:rPr>
        <w:t xml:space="preserve"> </w:t>
      </w:r>
      <w:r w:rsidR="006E7D37">
        <w:rPr>
          <w:szCs w:val="24"/>
          <w:lang w:eastAsia="ko-KR"/>
        </w:rPr>
        <w:t>Durvalumab</w:t>
      </w:r>
      <w:r w:rsidR="00F30ED1" w:rsidRPr="007A3223">
        <w:rPr>
          <w:szCs w:val="24"/>
          <w:lang w:eastAsia="ko-KR"/>
        </w:rPr>
        <w:t>+C suggest an intermittent cediranib schedule (5 days on/2 days off) is more tolerable than daily schedule. We will thus examine the safey of the triplet (</w:t>
      </w:r>
      <w:r w:rsidR="006E7D37">
        <w:rPr>
          <w:szCs w:val="24"/>
          <w:lang w:eastAsia="ko-KR"/>
        </w:rPr>
        <w:t>Durvalumab</w:t>
      </w:r>
      <w:r w:rsidR="00F30ED1" w:rsidRPr="007A3223">
        <w:rPr>
          <w:szCs w:val="24"/>
          <w:lang w:eastAsia="ko-KR"/>
        </w:rPr>
        <w:t>/olaparib/cediranib [</w:t>
      </w:r>
      <w:r w:rsidR="006E7D37">
        <w:rPr>
          <w:szCs w:val="24"/>
          <w:lang w:eastAsia="ko-KR"/>
        </w:rPr>
        <w:t>Durvalumab</w:t>
      </w:r>
      <w:r w:rsidR="00F30ED1" w:rsidRPr="007A3223">
        <w:rPr>
          <w:szCs w:val="24"/>
          <w:lang w:eastAsia="ko-KR"/>
        </w:rPr>
        <w:t xml:space="preserve">+O+C]) using an intermittent cediranib schedule. </w:t>
      </w:r>
      <w:r w:rsidR="00A34F35" w:rsidRPr="007A3223">
        <w:rPr>
          <w:szCs w:val="24"/>
          <w:lang w:eastAsia="ko-KR"/>
        </w:rPr>
        <w:t xml:space="preserve">We will </w:t>
      </w:r>
      <w:r w:rsidR="00A34F35" w:rsidRPr="007A3223">
        <w:rPr>
          <w:szCs w:val="24"/>
        </w:rPr>
        <w:t>subsequently examine our hypotheses</w:t>
      </w:r>
      <w:r w:rsidR="007D079F" w:rsidRPr="007A3223">
        <w:rPr>
          <w:szCs w:val="24"/>
        </w:rPr>
        <w:t xml:space="preserve"> </w:t>
      </w:r>
      <w:r w:rsidR="00A34F35" w:rsidRPr="007A3223">
        <w:rPr>
          <w:szCs w:val="24"/>
        </w:rPr>
        <w:t>of the triplet (</w:t>
      </w:r>
      <w:r w:rsidR="006E7D37">
        <w:rPr>
          <w:szCs w:val="24"/>
        </w:rPr>
        <w:t>Durvalumab</w:t>
      </w:r>
      <w:r w:rsidR="009E2676" w:rsidRPr="007A3223">
        <w:rPr>
          <w:szCs w:val="24"/>
        </w:rPr>
        <w:t>+O+C</w:t>
      </w:r>
      <w:r w:rsidR="00A34F35" w:rsidRPr="007A3223">
        <w:rPr>
          <w:szCs w:val="24"/>
        </w:rPr>
        <w:t>) in women with recurrent ovarian cancer</w:t>
      </w:r>
      <w:r w:rsidR="008A70B7" w:rsidRPr="007A3223">
        <w:rPr>
          <w:szCs w:val="24"/>
        </w:rPr>
        <w:t xml:space="preserve"> </w:t>
      </w:r>
      <w:r w:rsidR="009E2676" w:rsidRPr="007A3223">
        <w:rPr>
          <w:szCs w:val="24"/>
        </w:rPr>
        <w:t>upon</w:t>
      </w:r>
      <w:r w:rsidR="008A70B7" w:rsidRPr="007A3223">
        <w:rPr>
          <w:szCs w:val="24"/>
        </w:rPr>
        <w:t xml:space="preserve"> completion of </w:t>
      </w:r>
      <w:r w:rsidR="00F30ED1" w:rsidRPr="007A3223">
        <w:rPr>
          <w:szCs w:val="24"/>
        </w:rPr>
        <w:t>phase 1</w:t>
      </w:r>
      <w:r w:rsidR="009E2676" w:rsidRPr="007A3223">
        <w:rPr>
          <w:szCs w:val="24"/>
        </w:rPr>
        <w:t xml:space="preserve"> </w:t>
      </w:r>
      <w:r w:rsidR="008A70B7" w:rsidRPr="007A3223">
        <w:rPr>
          <w:szCs w:val="24"/>
        </w:rPr>
        <w:t>stud</w:t>
      </w:r>
      <w:r w:rsidR="007D079F" w:rsidRPr="007A3223">
        <w:rPr>
          <w:szCs w:val="24"/>
        </w:rPr>
        <w:t>ies</w:t>
      </w:r>
      <w:r w:rsidR="00A34F35" w:rsidRPr="007A3223">
        <w:rPr>
          <w:szCs w:val="24"/>
        </w:rPr>
        <w:t xml:space="preserve">. </w:t>
      </w:r>
      <w:r w:rsidR="00A34F35" w:rsidRPr="007A3223">
        <w:rPr>
          <w:rFonts w:eastAsia="Times New Roman"/>
          <w:szCs w:val="24"/>
        </w:rPr>
        <w:t xml:space="preserve">The </w:t>
      </w:r>
      <w:r w:rsidR="00A34F35" w:rsidRPr="007A3223">
        <w:rPr>
          <w:szCs w:val="24"/>
          <w:lang w:eastAsia="ko-KR"/>
        </w:rPr>
        <w:t xml:space="preserve">data used with the two doublets will be the foundation of a randomized </w:t>
      </w:r>
      <w:r w:rsidR="00F30ED1" w:rsidRPr="007A3223">
        <w:rPr>
          <w:szCs w:val="24"/>
          <w:lang w:eastAsia="ko-KR"/>
        </w:rPr>
        <w:t xml:space="preserve">phase 2 </w:t>
      </w:r>
      <w:r w:rsidR="00A34F35" w:rsidRPr="007A3223">
        <w:rPr>
          <w:szCs w:val="24"/>
          <w:lang w:eastAsia="ko-KR"/>
        </w:rPr>
        <w:t xml:space="preserve">study of the triplet </w:t>
      </w:r>
      <w:r w:rsidR="007D079F" w:rsidRPr="007A3223">
        <w:rPr>
          <w:szCs w:val="24"/>
          <w:lang w:eastAsia="ko-KR"/>
        </w:rPr>
        <w:t>(</w:t>
      </w:r>
      <w:r w:rsidR="006E7D37">
        <w:rPr>
          <w:szCs w:val="24"/>
          <w:lang w:eastAsia="ko-KR"/>
        </w:rPr>
        <w:t>Durvalumab</w:t>
      </w:r>
      <w:r w:rsidR="007D079F" w:rsidRPr="007A3223">
        <w:rPr>
          <w:szCs w:val="24"/>
          <w:lang w:eastAsia="ko-KR"/>
        </w:rPr>
        <w:t xml:space="preserve">+O+C) compared </w:t>
      </w:r>
      <w:r w:rsidR="00F30ED1" w:rsidRPr="007A3223">
        <w:rPr>
          <w:szCs w:val="24"/>
          <w:lang w:eastAsia="ko-KR"/>
        </w:rPr>
        <w:t>with</w:t>
      </w:r>
      <w:r w:rsidR="007D079F" w:rsidRPr="007A3223">
        <w:rPr>
          <w:szCs w:val="24"/>
          <w:lang w:eastAsia="ko-KR"/>
        </w:rPr>
        <w:t xml:space="preserve"> O+C </w:t>
      </w:r>
      <w:r w:rsidR="00A34F35" w:rsidRPr="007A3223">
        <w:rPr>
          <w:szCs w:val="24"/>
          <w:lang w:eastAsia="ko-KR"/>
        </w:rPr>
        <w:t xml:space="preserve">in </w:t>
      </w:r>
      <w:r w:rsidR="007D079F" w:rsidRPr="007A3223">
        <w:rPr>
          <w:szCs w:val="24"/>
          <w:lang w:eastAsia="ko-KR"/>
        </w:rPr>
        <w:t xml:space="preserve">recurrent </w:t>
      </w:r>
      <w:r w:rsidR="008A70B7" w:rsidRPr="007A3223">
        <w:rPr>
          <w:szCs w:val="24"/>
          <w:lang w:eastAsia="ko-KR"/>
        </w:rPr>
        <w:t>ovarian cancer</w:t>
      </w:r>
      <w:r w:rsidR="00A34F35" w:rsidRPr="007A3223">
        <w:rPr>
          <w:szCs w:val="24"/>
          <w:lang w:eastAsia="ko-KR"/>
        </w:rPr>
        <w:t xml:space="preserve">. </w:t>
      </w:r>
    </w:p>
    <w:p w14:paraId="732A2DFF" w14:textId="77777777" w:rsidR="008A70B7" w:rsidRPr="007A3223" w:rsidRDefault="006F5046" w:rsidP="006F5046">
      <w:pPr>
        <w:spacing w:after="0"/>
        <w:rPr>
          <w:szCs w:val="24"/>
        </w:rPr>
      </w:pPr>
      <w:r w:rsidRPr="007A3223">
        <w:rPr>
          <w:szCs w:val="24"/>
          <w:lang w:eastAsia="ko-KR"/>
        </w:rPr>
        <w:t xml:space="preserve">    F</w:t>
      </w:r>
      <w:r w:rsidR="006D43B3" w:rsidRPr="007A3223">
        <w:rPr>
          <w:szCs w:val="24"/>
          <w:lang w:eastAsia="ko-KR"/>
        </w:rPr>
        <w:t xml:space="preserve">or </w:t>
      </w:r>
      <w:r w:rsidR="00457188" w:rsidRPr="007A3223">
        <w:rPr>
          <w:szCs w:val="24"/>
          <w:lang w:eastAsia="ko-KR"/>
        </w:rPr>
        <w:t xml:space="preserve">the </w:t>
      </w:r>
      <w:r w:rsidR="006D43B3" w:rsidRPr="007A3223">
        <w:rPr>
          <w:szCs w:val="24"/>
          <w:lang w:eastAsia="ko-KR"/>
        </w:rPr>
        <w:t xml:space="preserve">non-small cell lung cancer cohort, </w:t>
      </w:r>
      <w:r w:rsidR="008A70B7" w:rsidRPr="007A3223">
        <w:rPr>
          <w:szCs w:val="24"/>
          <w:lang w:eastAsia="ko-KR"/>
        </w:rPr>
        <w:t>a</w:t>
      </w:r>
      <w:r w:rsidR="008A70B7" w:rsidRPr="007A3223">
        <w:t xml:space="preserve"> positive signal in this phase 2 two-doublets study will lead to discussions of appropriate next steps (e.g. </w:t>
      </w:r>
      <w:r w:rsidR="009E2676" w:rsidRPr="007A3223">
        <w:t>randomized phase 2 study</w:t>
      </w:r>
      <w:r w:rsidR="008A70B7" w:rsidRPr="007A3223">
        <w:t>) or the triplet to broaden evaluation of this agent in non-small cell lung cancer patients</w:t>
      </w:r>
      <w:r w:rsidR="008A70B7" w:rsidRPr="007A3223">
        <w:rPr>
          <w:rFonts w:ascii="Arial" w:hAnsi="Arial" w:cs="Arial"/>
        </w:rPr>
        <w:t>.</w:t>
      </w:r>
    </w:p>
    <w:p w14:paraId="343396CF" w14:textId="77777777" w:rsidR="00EC40D4" w:rsidRPr="007A3223" w:rsidRDefault="00EC40D4" w:rsidP="00EC40D4">
      <w:pPr>
        <w:spacing w:after="0"/>
        <w:ind w:firstLine="270"/>
        <w:rPr>
          <w:szCs w:val="24"/>
          <w:lang w:eastAsia="ko-KR"/>
        </w:rPr>
      </w:pPr>
    </w:p>
    <w:p w14:paraId="3A2D50C0" w14:textId="77777777" w:rsidR="00C77B3C" w:rsidRPr="007A3223" w:rsidRDefault="00C77B3C" w:rsidP="00ED703B">
      <w:pPr>
        <w:pStyle w:val="Heading2"/>
      </w:pPr>
      <w:bookmarkStart w:id="51" w:name="_Ref405283777"/>
      <w:bookmarkStart w:id="52" w:name="_Toc82444339"/>
      <w:r w:rsidRPr="007A3223">
        <w:t>Background for Correlative Studies</w:t>
      </w:r>
      <w:bookmarkEnd w:id="51"/>
      <w:bookmarkEnd w:id="52"/>
    </w:p>
    <w:p w14:paraId="777FAF83" w14:textId="77777777" w:rsidR="00B502D9" w:rsidRPr="007A3223" w:rsidRDefault="008A79E1" w:rsidP="00FB63F0">
      <w:pPr>
        <w:spacing w:after="0"/>
        <w:ind w:firstLine="270"/>
        <w:rPr>
          <w:i/>
        </w:rPr>
      </w:pPr>
      <w:bookmarkStart w:id="53" w:name="_Ref399241239"/>
      <w:r w:rsidRPr="007A3223">
        <w:t>Despite much enthusiasm for the immunotherapy approach, only a subs</w:t>
      </w:r>
      <w:r w:rsidR="00745AAA" w:rsidRPr="007A3223">
        <w:t>et of patients benefit from immune checkpoint inhibition</w:t>
      </w:r>
      <w:r w:rsidRPr="007A3223">
        <w:t xml:space="preserve"> and potentially serious side effects can sometimes accompany therapy. Predictive and pharmacodynamics biomarkers are therefore vital to further efforts by not only informing clinical decision-making but also by identifying new targets for immunomodulation. Careful </w:t>
      </w:r>
      <w:r w:rsidRPr="007A3223">
        <w:rPr>
          <w:szCs w:val="24"/>
        </w:rPr>
        <w:t>histologic</w:t>
      </w:r>
      <w:r w:rsidRPr="007A3223">
        <w:t xml:space="preserve"> and genomic analysis of the tumor and microenvironment are providing additional substantive evidence for the importance of host immunity in determining clinical outcomes. </w:t>
      </w:r>
    </w:p>
    <w:p w14:paraId="787D25A7" w14:textId="77777777" w:rsidR="00745AAA" w:rsidRPr="007A3223" w:rsidRDefault="00745AAA" w:rsidP="006A2787">
      <w:pPr>
        <w:spacing w:after="0"/>
      </w:pPr>
    </w:p>
    <w:p w14:paraId="741A7B9D" w14:textId="46C4CDB1" w:rsidR="007A6E6D" w:rsidRPr="007A3223" w:rsidRDefault="00B502D9" w:rsidP="000C1D10">
      <w:pPr>
        <w:pStyle w:val="Heading3"/>
      </w:pPr>
      <w:r w:rsidRPr="007A3223">
        <w:t>I</w:t>
      </w:r>
      <w:r w:rsidR="007A6E6D" w:rsidRPr="007A3223">
        <w:t xml:space="preserve">mmune </w:t>
      </w:r>
      <w:r w:rsidR="00F531AD" w:rsidRPr="007A3223">
        <w:t>characteristics</w:t>
      </w:r>
      <w:r w:rsidR="007A6E6D" w:rsidRPr="007A3223">
        <w:t xml:space="preserve"> in ovarian cancer</w:t>
      </w:r>
      <w:bookmarkEnd w:id="53"/>
      <w:r w:rsidR="007A6E6D" w:rsidRPr="007A3223">
        <w:t xml:space="preserve"> </w:t>
      </w:r>
    </w:p>
    <w:p w14:paraId="3705314B" w14:textId="1965686F" w:rsidR="007A6E6D" w:rsidRPr="007A3223" w:rsidRDefault="00B76F93" w:rsidP="006A2787">
      <w:pPr>
        <w:spacing w:after="0"/>
        <w:ind w:firstLine="270"/>
        <w:rPr>
          <w:szCs w:val="24"/>
        </w:rPr>
      </w:pPr>
      <w:r w:rsidRPr="007A3223">
        <w:rPr>
          <w:szCs w:val="24"/>
        </w:rPr>
        <w:t>Recent data from The Cancer Genome Atlas (TCGA) analysis and t</w:t>
      </w:r>
      <w:r w:rsidR="007A6E6D" w:rsidRPr="007A3223">
        <w:rPr>
          <w:szCs w:val="24"/>
        </w:rPr>
        <w:t xml:space="preserve">he </w:t>
      </w:r>
      <w:r w:rsidR="007A6E6D" w:rsidRPr="007A3223">
        <w:rPr>
          <w:rFonts w:eastAsia="Times New Roman"/>
          <w:szCs w:val="24"/>
        </w:rPr>
        <w:t>Australian</w:t>
      </w:r>
      <w:r w:rsidR="007A6E6D" w:rsidRPr="007A3223">
        <w:rPr>
          <w:szCs w:val="24"/>
        </w:rPr>
        <w:t xml:space="preserve"> Ovarian Cancer Study (AOCS) defined 4 subtypes of high grade epithelial ovarian cancers based upon </w:t>
      </w:r>
      <w:r w:rsidR="007A6E6D" w:rsidRPr="007A3223">
        <w:rPr>
          <w:szCs w:val="24"/>
        </w:rPr>
        <w:lastRenderedPageBreak/>
        <w:t>transcriptional array analysis</w:t>
      </w:r>
      <w:r w:rsidR="002457B0" w:rsidRPr="00585A7F">
        <w:rPr>
          <w:szCs w:val="24"/>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szCs w:val="24"/>
        </w:rPr>
        <w:instrText xml:space="preserve"> ADDIN EN.CITE </w:instrText>
      </w:r>
      <w:r w:rsidR="00F77861" w:rsidRPr="00383431">
        <w:rPr>
          <w:szCs w:val="24"/>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szCs w:val="24"/>
        </w:rPr>
        <w:instrText xml:space="preserve"> ADDIN EN.CITE.DATA </w:instrText>
      </w:r>
      <w:r w:rsidR="00F77861" w:rsidRPr="00383431">
        <w:rPr>
          <w:szCs w:val="24"/>
        </w:rPr>
      </w:r>
      <w:r w:rsidR="00F77861" w:rsidRPr="00383431">
        <w:rPr>
          <w:szCs w:val="24"/>
        </w:rPr>
        <w:fldChar w:fldCharType="end"/>
      </w:r>
      <w:r w:rsidR="002457B0" w:rsidRPr="00585A7F">
        <w:rPr>
          <w:szCs w:val="24"/>
        </w:rPr>
      </w:r>
      <w:r w:rsidR="002457B0" w:rsidRPr="00585A7F">
        <w:rPr>
          <w:szCs w:val="24"/>
        </w:rPr>
        <w:fldChar w:fldCharType="separate"/>
      </w:r>
      <w:hyperlink w:anchor="_ENREF_5" w:tooltip=", 2011 #5" w:history="1">
        <w:r w:rsidR="00F77861" w:rsidRPr="00244551">
          <w:rPr>
            <w:rStyle w:val="Hyperlink"/>
            <w:noProof/>
            <w:szCs w:val="24"/>
            <w:vertAlign w:val="superscript"/>
          </w:rPr>
          <w:t>5</w:t>
        </w:r>
      </w:hyperlink>
      <w:r w:rsidR="00F77861" w:rsidRPr="00F33908">
        <w:rPr>
          <w:noProof/>
          <w:szCs w:val="24"/>
          <w:vertAlign w:val="superscript"/>
        </w:rPr>
        <w:t>,</w:t>
      </w:r>
      <w:hyperlink w:anchor="_ENREF_153" w:tooltip="George, 2013 #73" w:history="1">
        <w:r w:rsidR="00F77861" w:rsidRPr="00244551">
          <w:rPr>
            <w:rStyle w:val="Hyperlink"/>
            <w:noProof/>
            <w:szCs w:val="24"/>
            <w:vertAlign w:val="superscript"/>
          </w:rPr>
          <w:t>153</w:t>
        </w:r>
      </w:hyperlink>
      <w:r w:rsidR="002457B0" w:rsidRPr="00585A7F">
        <w:rPr>
          <w:szCs w:val="24"/>
        </w:rPr>
        <w:fldChar w:fldCharType="end"/>
      </w:r>
      <w:r w:rsidR="007A6E6D" w:rsidRPr="007A3223">
        <w:rPr>
          <w:szCs w:val="24"/>
        </w:rPr>
        <w:t>. The immunoreactive/C2 (TCGA/AOCS) groups are characterized by frequent tumor infiltrating lympho</w:t>
      </w:r>
      <w:r w:rsidR="007A6E6D" w:rsidRPr="00F33908">
        <w:rPr>
          <w:szCs w:val="24"/>
        </w:rPr>
        <w:t>cytes. gBRCAm cancers were more likely to be classified as the immune subtype (</w:t>
      </w:r>
      <w:r w:rsidR="00307B04" w:rsidRPr="00F33908">
        <w:fldChar w:fldCharType="begin"/>
      </w:r>
      <w:r w:rsidR="00307B04" w:rsidRPr="007A3223">
        <w:instrText xml:space="preserve"> REF _Ref398821659 \h  \* MERGEFORMAT </w:instrText>
      </w:r>
      <w:r w:rsidR="00307B04" w:rsidRPr="00F33908">
        <w:fldChar w:fldCharType="separate"/>
      </w:r>
      <w:r w:rsidR="00E47ACA" w:rsidRPr="00E47ACA">
        <w:rPr>
          <w:b/>
          <w:color w:val="0000FF"/>
        </w:rPr>
        <w:t>Figure 7</w:t>
      </w:r>
      <w:r w:rsidR="00307B04" w:rsidRPr="00F33908">
        <w:fldChar w:fldCharType="end"/>
      </w:r>
      <w:r w:rsidR="007A6E6D" w:rsidRPr="007A3223">
        <w:rPr>
          <w:szCs w:val="24"/>
        </w:rPr>
        <w:t>).</w:t>
      </w:r>
      <w:r w:rsidR="00411495" w:rsidRPr="00F33908">
        <w:rPr>
          <w:szCs w:val="24"/>
        </w:rPr>
        <w:t xml:space="preserve"> </w:t>
      </w:r>
    </w:p>
    <w:p w14:paraId="5D40DC71" w14:textId="77777777" w:rsidR="00EA1365" w:rsidRPr="007A3223" w:rsidRDefault="00EA1365" w:rsidP="006A2787">
      <w:pPr>
        <w:pStyle w:val="Caption"/>
        <w:spacing w:before="0" w:after="0"/>
        <w:rPr>
          <w:szCs w:val="24"/>
        </w:rPr>
      </w:pPr>
    </w:p>
    <w:tbl>
      <w:tblPr>
        <w:tblW w:w="0" w:type="auto"/>
        <w:tblLook w:val="04A0" w:firstRow="1" w:lastRow="0" w:firstColumn="1" w:lastColumn="0" w:noHBand="0" w:noVBand="1"/>
      </w:tblPr>
      <w:tblGrid>
        <w:gridCol w:w="5626"/>
        <w:gridCol w:w="3734"/>
      </w:tblGrid>
      <w:tr w:rsidR="00157089" w:rsidRPr="007A3223" w14:paraId="57BD8F05" w14:textId="77777777" w:rsidTr="00FF6391">
        <w:tc>
          <w:tcPr>
            <w:tcW w:w="5622" w:type="dxa"/>
            <w:shd w:val="clear" w:color="auto" w:fill="auto"/>
          </w:tcPr>
          <w:p w14:paraId="1C55BEDC" w14:textId="77777777" w:rsidR="00157089" w:rsidRPr="007A3223" w:rsidRDefault="00877D1F" w:rsidP="00EC40D4">
            <w:pPr>
              <w:spacing w:after="0"/>
              <w:rPr>
                <w:szCs w:val="24"/>
              </w:rPr>
            </w:pPr>
            <w:r w:rsidRPr="007A3223">
              <w:rPr>
                <w:noProof/>
                <w:szCs w:val="24"/>
                <w:lang w:eastAsia="ko-KR"/>
              </w:rPr>
              <w:drawing>
                <wp:inline distT="0" distB="0" distL="0" distR="0" wp14:anchorId="35A16D53" wp14:editId="0CEBD8CE">
                  <wp:extent cx="3435350" cy="224155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5350" cy="2241550"/>
                          </a:xfrm>
                          <a:prstGeom prst="rect">
                            <a:avLst/>
                          </a:prstGeom>
                          <a:noFill/>
                          <a:ln>
                            <a:noFill/>
                          </a:ln>
                        </pic:spPr>
                      </pic:pic>
                    </a:graphicData>
                  </a:graphic>
                </wp:inline>
              </w:drawing>
            </w:r>
          </w:p>
        </w:tc>
        <w:tc>
          <w:tcPr>
            <w:tcW w:w="3954" w:type="dxa"/>
            <w:shd w:val="clear" w:color="auto" w:fill="auto"/>
          </w:tcPr>
          <w:p w14:paraId="2087AF4D" w14:textId="06821FDA" w:rsidR="00157089" w:rsidRPr="007A3223" w:rsidRDefault="00D8274C" w:rsidP="00D8274C">
            <w:pPr>
              <w:pStyle w:val="Caption"/>
              <w:rPr>
                <w:sz w:val="22"/>
              </w:rPr>
            </w:pPr>
            <w:bookmarkStart w:id="54" w:name="_Ref398821659"/>
            <w:r w:rsidRPr="00F33908">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7</w:t>
            </w:r>
            <w:r w:rsidR="00F82420" w:rsidRPr="00F33908">
              <w:rPr>
                <w:noProof/>
              </w:rPr>
              <w:fldChar w:fldCharType="end"/>
            </w:r>
            <w:bookmarkEnd w:id="54"/>
            <w:r w:rsidR="00157089" w:rsidRPr="007A3223">
              <w:rPr>
                <w:b w:val="0"/>
                <w:sz w:val="22"/>
              </w:rPr>
              <w:t xml:space="preserve">. </w:t>
            </w:r>
            <w:r w:rsidR="00157089" w:rsidRPr="00F33908">
              <w:rPr>
                <w:b w:val="0"/>
                <w:sz w:val="22"/>
                <w:u w:val="single"/>
              </w:rPr>
              <w:t>Immunoreactive ovarian cancer subtype cases are more likely to harbor gBRCAm.</w:t>
            </w:r>
            <w:r w:rsidR="00157089" w:rsidRPr="007A3223">
              <w:rPr>
                <w:sz w:val="22"/>
              </w:rPr>
              <w:t xml:space="preserve"> </w:t>
            </w:r>
            <w:r w:rsidR="00157089" w:rsidRPr="007A3223">
              <w:rPr>
                <w:b w:val="0"/>
                <w:sz w:val="22"/>
              </w:rPr>
              <w:t>Gene expression profiling from TCGA defined 4 subsets of ovarian cancer: immunoreactive, differentiated, mesenchymal, and proliferative.  Shown is the percentage of cases within each subgroup that are known to have gBRCAm (Immunoreactive = 4 of 46 cases; Differentiated = 5 of 83 cases; Mesenchymal = 2 of 48 cases; Proliferative = 3 of 79 cases).</w:t>
            </w:r>
          </w:p>
          <w:p w14:paraId="105CEB5A" w14:textId="77777777" w:rsidR="00157089" w:rsidRPr="007A3223" w:rsidRDefault="00157089" w:rsidP="00D8274C">
            <w:pPr>
              <w:keepNext/>
              <w:spacing w:after="0"/>
              <w:rPr>
                <w:szCs w:val="24"/>
              </w:rPr>
            </w:pPr>
          </w:p>
        </w:tc>
      </w:tr>
    </w:tbl>
    <w:p w14:paraId="1E249CEB" w14:textId="653B9A40" w:rsidR="007B3B87" w:rsidRPr="00F33908" w:rsidRDefault="007A6E6D" w:rsidP="00B502D9">
      <w:pPr>
        <w:widowControl w:val="0"/>
        <w:autoSpaceDE w:val="0"/>
        <w:autoSpaceDN w:val="0"/>
        <w:adjustRightInd w:val="0"/>
        <w:spacing w:after="0"/>
        <w:ind w:firstLine="360"/>
        <w:rPr>
          <w:rFonts w:eastAsia="Times New Roman"/>
          <w:szCs w:val="24"/>
        </w:rPr>
      </w:pPr>
      <w:r w:rsidRPr="007A3223">
        <w:rPr>
          <w:rFonts w:eastAsia="Times New Roman"/>
          <w:szCs w:val="24"/>
        </w:rPr>
        <w:t>This group of women has potential underlying global genomic instability and marked tumor genomic instability, a feature that can increase antigen quantity and exposure, leading to activation of the immune response</w:t>
      </w:r>
      <w:hyperlink w:anchor="_ENREF_56" w:tooltip="McAlpine, 2012 #56" w:history="1">
        <w:r w:rsidR="00F77861" w:rsidRPr="00244551">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 </w:instrText>
        </w:r>
        <w:r w:rsidR="00F77861" w:rsidRPr="00383431">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EN.CITE.DATA </w:instrText>
        </w:r>
        <w:r w:rsidR="00F77861" w:rsidRPr="00383431">
          <w:rPr>
            <w:rStyle w:val="Hyperlink"/>
            <w:rFonts w:eastAsia="Times New Roman"/>
            <w:szCs w:val="24"/>
          </w:rPr>
        </w:r>
        <w:r w:rsidR="00F77861" w:rsidRPr="0038343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56</w:t>
        </w:r>
        <w:r w:rsidR="00F77861" w:rsidRPr="00244551">
          <w:rPr>
            <w:rStyle w:val="Hyperlink"/>
            <w:rFonts w:eastAsia="Times New Roman"/>
            <w:szCs w:val="24"/>
          </w:rPr>
          <w:fldChar w:fldCharType="end"/>
        </w:r>
      </w:hyperlink>
      <w:r w:rsidRPr="007A3223">
        <w:rPr>
          <w:rFonts w:eastAsia="Times New Roman"/>
          <w:szCs w:val="24"/>
        </w:rPr>
        <w:t>. It has been demonstrated that some gBRCAm patients have increased tumor immune cell infiltrates (descr</w:t>
      </w:r>
      <w:r w:rsidRPr="00F33908">
        <w:rPr>
          <w:rFonts w:eastAsia="Times New Roman"/>
          <w:szCs w:val="24"/>
        </w:rPr>
        <w:t>ibed by CD2</w:t>
      </w:r>
      <w:r w:rsidRPr="007A3223">
        <w:rPr>
          <w:rFonts w:eastAsia="Times New Roman"/>
          <w:szCs w:val="24"/>
        </w:rPr>
        <w:t xml:space="preserve">0+ and </w:t>
      </w:r>
      <w:r w:rsidRPr="007A3223">
        <w:rPr>
          <w:rStyle w:val="st"/>
          <w:rFonts w:eastAsia="Times New Roman"/>
          <w:szCs w:val="24"/>
        </w:rPr>
        <w:t>cytotoxic T cell intracytoplasmic antigen-1 [</w:t>
      </w:r>
      <w:r w:rsidRPr="007A3223">
        <w:rPr>
          <w:rFonts w:eastAsia="Times New Roman"/>
          <w:szCs w:val="24"/>
        </w:rPr>
        <w:t>TIA-1]+), compared with BRCAwt high-grade serous ovarian cancer patients (p=0.034, 0.027)</w:t>
      </w:r>
      <w:hyperlink w:anchor="_ENREF_56" w:tooltip="McAlpine, 2012 #56" w:history="1">
        <w:r w:rsidR="00F77861" w:rsidRPr="00244551">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 </w:instrText>
        </w:r>
        <w:r w:rsidR="00F77861" w:rsidRPr="00383431">
          <w:rPr>
            <w:rStyle w:val="Hyperlink"/>
            <w:rFonts w:eastAsia="Times New Roman"/>
            <w:szCs w:val="24"/>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rFonts w:eastAsia="Times New Roman"/>
            <w:szCs w:val="24"/>
          </w:rPr>
          <w:instrText xml:space="preserve"> ADDIN EN.CITE.DATA </w:instrText>
        </w:r>
        <w:r w:rsidR="00F77861" w:rsidRPr="00383431">
          <w:rPr>
            <w:rStyle w:val="Hyperlink"/>
            <w:rFonts w:eastAsia="Times New Roman"/>
            <w:szCs w:val="24"/>
          </w:rPr>
        </w:r>
        <w:r w:rsidR="00F77861" w:rsidRPr="00383431">
          <w:rPr>
            <w:rStyle w:val="Hyperlink"/>
            <w:rFonts w:eastAsia="Times New Roman"/>
            <w:szCs w:val="24"/>
          </w:rPr>
          <w:fldChar w:fldCharType="end"/>
        </w:r>
        <w:r w:rsidR="00F77861" w:rsidRPr="00244551">
          <w:rPr>
            <w:rStyle w:val="Hyperlink"/>
            <w:rFonts w:eastAsia="Times New Roman"/>
            <w:szCs w:val="24"/>
          </w:rPr>
        </w:r>
        <w:r w:rsidR="00F77861" w:rsidRPr="00244551">
          <w:rPr>
            <w:rStyle w:val="Hyperlink"/>
            <w:rFonts w:eastAsia="Times New Roman"/>
            <w:szCs w:val="24"/>
          </w:rPr>
          <w:fldChar w:fldCharType="separate"/>
        </w:r>
        <w:r w:rsidR="00F77861" w:rsidRPr="00244551">
          <w:rPr>
            <w:rStyle w:val="Hyperlink"/>
            <w:rFonts w:eastAsia="Times New Roman"/>
            <w:noProof/>
            <w:szCs w:val="24"/>
            <w:vertAlign w:val="superscript"/>
          </w:rPr>
          <w:t>56</w:t>
        </w:r>
        <w:r w:rsidR="00F77861" w:rsidRPr="00244551">
          <w:rPr>
            <w:rStyle w:val="Hyperlink"/>
            <w:rFonts w:eastAsia="Times New Roman"/>
            <w:szCs w:val="24"/>
          </w:rPr>
          <w:fldChar w:fldCharType="end"/>
        </w:r>
      </w:hyperlink>
      <w:r w:rsidRPr="007A3223">
        <w:rPr>
          <w:rFonts w:eastAsia="Times New Roman"/>
          <w:szCs w:val="24"/>
        </w:rPr>
        <w:t xml:space="preserve">. </w:t>
      </w:r>
    </w:p>
    <w:p w14:paraId="7DA49EA3" w14:textId="77777777" w:rsidR="00C12372" w:rsidRPr="007A3223" w:rsidRDefault="007B3B87" w:rsidP="00B502D9">
      <w:pPr>
        <w:widowControl w:val="0"/>
        <w:autoSpaceDE w:val="0"/>
        <w:autoSpaceDN w:val="0"/>
        <w:adjustRightInd w:val="0"/>
        <w:spacing w:after="0"/>
        <w:ind w:firstLine="360"/>
        <w:rPr>
          <w:szCs w:val="24"/>
        </w:rPr>
      </w:pPr>
      <w:r w:rsidRPr="007A3223">
        <w:rPr>
          <w:rFonts w:eastAsia="Times New Roman"/>
          <w:szCs w:val="24"/>
        </w:rPr>
        <w:t xml:space="preserve">We examined the peripheral blood mononuclear cell (PBMC) immune subset markers in samples obtained from ovarian cancer patients enrolled on two olaparib </w:t>
      </w:r>
      <w:r w:rsidR="00F531AD" w:rsidRPr="007A3223">
        <w:rPr>
          <w:rFonts w:eastAsia="Times New Roman"/>
          <w:szCs w:val="24"/>
        </w:rPr>
        <w:t>and carboplatin studies at NCI (</w:t>
      </w:r>
      <w:r w:rsidRPr="007A3223">
        <w:rPr>
          <w:szCs w:val="24"/>
        </w:rPr>
        <w:t>08-C-0092 and 11-C-0022, unpublished data</w:t>
      </w:r>
      <w:r w:rsidR="00F531AD" w:rsidRPr="007A3223">
        <w:rPr>
          <w:szCs w:val="24"/>
        </w:rPr>
        <w:t>)</w:t>
      </w:r>
      <w:r w:rsidRPr="007A3223">
        <w:rPr>
          <w:szCs w:val="24"/>
        </w:rPr>
        <w:t xml:space="preserve">. </w:t>
      </w:r>
      <w:r w:rsidR="00C12372" w:rsidRPr="007A3223">
        <w:rPr>
          <w:szCs w:val="24"/>
        </w:rPr>
        <w:t xml:space="preserve">Our goals were to investigate whether olaparib treatment yields changes of immune subset markers and whether gBRCAm patients have differences in the relative proportions of peripheral blood lymphocyte subpopulations. </w:t>
      </w:r>
      <w:r w:rsidRPr="007A3223">
        <w:rPr>
          <w:szCs w:val="24"/>
        </w:rPr>
        <w:t>In collaboration with Jane Trepel’s lab in the Developme</w:t>
      </w:r>
      <w:r w:rsidR="00F531AD" w:rsidRPr="007A3223">
        <w:rPr>
          <w:szCs w:val="24"/>
        </w:rPr>
        <w:t>ntal Therapeutics Branch/CCR/NCI</w:t>
      </w:r>
      <w:r w:rsidRPr="007A3223">
        <w:rPr>
          <w:szCs w:val="24"/>
        </w:rPr>
        <w:t>,</w:t>
      </w:r>
      <w:r w:rsidRPr="007A3223" w:rsidDel="007B3B87">
        <w:rPr>
          <w:rFonts w:eastAsia="Times New Roman"/>
          <w:szCs w:val="24"/>
        </w:rPr>
        <w:t xml:space="preserve"> </w:t>
      </w:r>
      <w:r w:rsidRPr="007A3223">
        <w:rPr>
          <w:szCs w:val="24"/>
        </w:rPr>
        <w:t>41 patient samples were studied, including 25 gBRCAm and 16 BRCAwt prior to treatment of olaparib and carboplatin.</w:t>
      </w:r>
      <w:r w:rsidR="000E3581" w:rsidRPr="007A3223">
        <w:rPr>
          <w:szCs w:val="24"/>
        </w:rPr>
        <w:t xml:space="preserve"> </w:t>
      </w:r>
      <w:r w:rsidR="00C12372" w:rsidRPr="007A3223">
        <w:rPr>
          <w:szCs w:val="24"/>
        </w:rPr>
        <w:t>Of these samples, 22 patients had paired (pre- and day 3 of olaparib therapy) samples. Quantities of CD8+ T-cells, Tregs and MDSCs (</w:t>
      </w:r>
      <w:r w:rsidR="00C12372" w:rsidRPr="007A3223">
        <w:rPr>
          <w:rFonts w:eastAsia="Times New Roman"/>
          <w:szCs w:val="24"/>
        </w:rPr>
        <w:t>described by surface markers as Lineage</w:t>
      </w:r>
      <w:r w:rsidR="00C12372" w:rsidRPr="007A3223">
        <w:rPr>
          <w:rFonts w:eastAsia="Times New Roman"/>
          <w:szCs w:val="24"/>
          <w:vertAlign w:val="superscript"/>
        </w:rPr>
        <w:t>-/low</w:t>
      </w:r>
      <w:r w:rsidR="00C12372" w:rsidRPr="007A3223">
        <w:rPr>
          <w:rFonts w:eastAsia="Times New Roman"/>
          <w:szCs w:val="24"/>
          <w:lang w:eastAsia="ko-KR"/>
        </w:rPr>
        <w:t xml:space="preserve">, </w:t>
      </w:r>
      <w:r w:rsidR="00C12372" w:rsidRPr="007A3223">
        <w:rPr>
          <w:rFonts w:eastAsia="Times New Roman"/>
          <w:szCs w:val="24"/>
        </w:rPr>
        <w:t>DR-</w:t>
      </w:r>
      <w:r w:rsidR="00C12372" w:rsidRPr="007A3223">
        <w:rPr>
          <w:rFonts w:eastAsia="Times New Roman"/>
          <w:szCs w:val="24"/>
          <w:lang w:eastAsia="ko-KR"/>
        </w:rPr>
        <w:t xml:space="preserve">, </w:t>
      </w:r>
      <w:r w:rsidR="00C12372" w:rsidRPr="007A3223">
        <w:rPr>
          <w:rFonts w:eastAsia="Times New Roman"/>
          <w:szCs w:val="24"/>
        </w:rPr>
        <w:t>CD11b+</w:t>
      </w:r>
      <w:r w:rsidR="00C12372" w:rsidRPr="007A3223">
        <w:rPr>
          <w:rFonts w:eastAsia="Times New Roman"/>
          <w:szCs w:val="24"/>
          <w:lang w:eastAsia="ko-KR"/>
        </w:rPr>
        <w:t xml:space="preserve">, </w:t>
      </w:r>
      <w:r w:rsidR="00C12372" w:rsidRPr="007A3223">
        <w:rPr>
          <w:rFonts w:eastAsia="Times New Roman"/>
          <w:szCs w:val="24"/>
        </w:rPr>
        <w:t xml:space="preserve">CD33+ cells and </w:t>
      </w:r>
      <w:r w:rsidR="00C12372" w:rsidRPr="007A3223">
        <w:rPr>
          <w:szCs w:val="24"/>
          <w:lang w:eastAsia="ko-KR"/>
        </w:rPr>
        <w:t xml:space="preserve">CD14+) </w:t>
      </w:r>
      <w:r w:rsidR="00C12372" w:rsidRPr="007A3223">
        <w:rPr>
          <w:szCs w:val="24"/>
        </w:rPr>
        <w:t xml:space="preserve">were studied. Expression of CTLA-4, TIM-3 and PD-1, inhibitory immune checkpoint receptors, on CD8+ T-cell and Tregs, and % of Tregs in CD4+ T-cells were </w:t>
      </w:r>
      <w:r w:rsidR="001E6A5D" w:rsidRPr="007A3223">
        <w:rPr>
          <w:szCs w:val="24"/>
        </w:rPr>
        <w:t>evaluated</w:t>
      </w:r>
      <w:r w:rsidR="00C12372" w:rsidRPr="007A3223">
        <w:rPr>
          <w:szCs w:val="24"/>
        </w:rPr>
        <w:t xml:space="preserve">. </w:t>
      </w:r>
    </w:p>
    <w:p w14:paraId="2F66C70E" w14:textId="77777777" w:rsidR="007B3B87" w:rsidRPr="007A3223" w:rsidRDefault="00C12372" w:rsidP="00B502D9">
      <w:pPr>
        <w:widowControl w:val="0"/>
        <w:autoSpaceDE w:val="0"/>
        <w:autoSpaceDN w:val="0"/>
        <w:adjustRightInd w:val="0"/>
        <w:spacing w:after="0"/>
        <w:ind w:firstLine="360"/>
        <w:rPr>
          <w:szCs w:val="24"/>
        </w:rPr>
      </w:pPr>
      <w:r w:rsidRPr="007A3223">
        <w:rPr>
          <w:szCs w:val="24"/>
        </w:rPr>
        <w:t xml:space="preserve">Overall, our preliminary assessment of immune subset markers indicated that ovarian cancer patients with </w:t>
      </w:r>
      <w:r w:rsidR="00F531AD" w:rsidRPr="007A3223">
        <w:rPr>
          <w:szCs w:val="24"/>
        </w:rPr>
        <w:t>gBRCAm</w:t>
      </w:r>
      <w:r w:rsidRPr="007A3223">
        <w:rPr>
          <w:szCs w:val="24"/>
        </w:rPr>
        <w:t xml:space="preserve"> were </w:t>
      </w:r>
      <w:r w:rsidR="009709EB" w:rsidRPr="007A3223">
        <w:rPr>
          <w:szCs w:val="24"/>
        </w:rPr>
        <w:t>related to</w:t>
      </w:r>
      <w:r w:rsidRPr="007A3223">
        <w:rPr>
          <w:szCs w:val="24"/>
        </w:rPr>
        <w:t xml:space="preserve"> immune activated status. Specifically, these patients had both greater expression of CTLA4+ CD8+ cytotoxic T cells, and lower levels of immunosuppressive </w:t>
      </w:r>
      <w:r w:rsidR="00F531AD" w:rsidRPr="007A3223">
        <w:rPr>
          <w:szCs w:val="24"/>
        </w:rPr>
        <w:t xml:space="preserve">MDSCs. </w:t>
      </w:r>
      <w:r w:rsidRPr="007A3223">
        <w:rPr>
          <w:szCs w:val="24"/>
        </w:rPr>
        <w:t xml:space="preserve">There was a statistically significant difference in expression of CTLA-4 on CD8+ T-cells, between gBRCAm and </w:t>
      </w:r>
      <w:r w:rsidR="00F531AD" w:rsidRPr="007A3223">
        <w:rPr>
          <w:szCs w:val="24"/>
        </w:rPr>
        <w:t>BRCAwt</w:t>
      </w:r>
      <w:r w:rsidRPr="007A3223">
        <w:rPr>
          <w:szCs w:val="24"/>
        </w:rPr>
        <w:t>, indicating enhanced T-cell activation status.</w:t>
      </w:r>
      <w:r w:rsidR="00F531AD" w:rsidRPr="007A3223">
        <w:rPr>
          <w:szCs w:val="24"/>
        </w:rPr>
        <w:t xml:space="preserve"> </w:t>
      </w:r>
      <w:r w:rsidRPr="007A3223">
        <w:rPr>
          <w:szCs w:val="24"/>
        </w:rPr>
        <w:t xml:space="preserve">Quantities of MDSCs were significantly lower in </w:t>
      </w:r>
      <w:r w:rsidRPr="007A3223">
        <w:rPr>
          <w:rFonts w:eastAsia="Times New Roman"/>
          <w:szCs w:val="24"/>
        </w:rPr>
        <w:t>gBRCAm patients</w:t>
      </w:r>
      <w:r w:rsidR="00CE58E4" w:rsidRPr="007A3223">
        <w:rPr>
          <w:szCs w:val="24"/>
        </w:rPr>
        <w:t xml:space="preserve"> compared to BRCAwt patients (p&lt;0.01</w:t>
      </w:r>
      <w:r w:rsidRPr="007A3223">
        <w:rPr>
          <w:szCs w:val="24"/>
        </w:rPr>
        <w:t>), suggesting gBRCAm carriers may have a distinct immune signature, in which lower MDSC quantities may be associated with enhanc</w:t>
      </w:r>
      <w:r w:rsidR="00F531AD" w:rsidRPr="007A3223">
        <w:rPr>
          <w:szCs w:val="24"/>
        </w:rPr>
        <w:t xml:space="preserve">ed anti-tumor immune </w:t>
      </w:r>
      <w:r w:rsidR="00F531AD" w:rsidRPr="007A3223">
        <w:rPr>
          <w:szCs w:val="24"/>
        </w:rPr>
        <w:lastRenderedPageBreak/>
        <w:t xml:space="preserve">response. </w:t>
      </w:r>
      <w:r w:rsidRPr="007A3223">
        <w:rPr>
          <w:szCs w:val="24"/>
        </w:rPr>
        <w:t>Further work is ongoing</w:t>
      </w:r>
      <w:r w:rsidR="00936E26" w:rsidRPr="007A3223">
        <w:rPr>
          <w:szCs w:val="24"/>
        </w:rPr>
        <w:t xml:space="preserve"> in collaboration with Drs. Mark Raffeld, and Stefania Pittaluga, Laboratory of Pathology/CCR/NCI,</w:t>
      </w:r>
      <w:r w:rsidRPr="007A3223">
        <w:rPr>
          <w:szCs w:val="24"/>
        </w:rPr>
        <w:t xml:space="preserve"> </w:t>
      </w:r>
      <w:r w:rsidR="00936E26" w:rsidRPr="007A3223">
        <w:rPr>
          <w:szCs w:val="24"/>
        </w:rPr>
        <w:t xml:space="preserve">to correlate </w:t>
      </w:r>
      <w:r w:rsidR="00DE3145" w:rsidRPr="007A3223">
        <w:rPr>
          <w:szCs w:val="24"/>
        </w:rPr>
        <w:t xml:space="preserve">these findings </w:t>
      </w:r>
      <w:r w:rsidR="00936E26" w:rsidRPr="007A3223">
        <w:rPr>
          <w:szCs w:val="24"/>
        </w:rPr>
        <w:t xml:space="preserve">with matched </w:t>
      </w:r>
      <w:r w:rsidR="0051435F" w:rsidRPr="007A3223">
        <w:rPr>
          <w:szCs w:val="24"/>
        </w:rPr>
        <w:t xml:space="preserve">archival </w:t>
      </w:r>
      <w:r w:rsidR="00936E26" w:rsidRPr="007A3223">
        <w:rPr>
          <w:szCs w:val="24"/>
        </w:rPr>
        <w:t>tissue samples</w:t>
      </w:r>
      <w:r w:rsidRPr="007A3223">
        <w:rPr>
          <w:szCs w:val="24"/>
        </w:rPr>
        <w:t xml:space="preserve">.  </w:t>
      </w:r>
    </w:p>
    <w:p w14:paraId="14EF3709" w14:textId="77777777" w:rsidR="007A6E6D" w:rsidRPr="007A3223" w:rsidRDefault="00411495" w:rsidP="00EC4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i/>
          <w:color w:val="000000"/>
          <w:szCs w:val="24"/>
        </w:rPr>
      </w:pPr>
      <w:r w:rsidRPr="007A3223">
        <w:rPr>
          <w:szCs w:val="24"/>
        </w:rPr>
        <w:tab/>
      </w:r>
    </w:p>
    <w:p w14:paraId="381F0AAB" w14:textId="77777777" w:rsidR="00DD5CA0" w:rsidRPr="007A3223" w:rsidRDefault="00DD5CA0" w:rsidP="000C1D10">
      <w:pPr>
        <w:pStyle w:val="Heading3"/>
      </w:pPr>
      <w:r w:rsidRPr="007A3223">
        <w:t>C</w:t>
      </w:r>
      <w:r w:rsidR="000866A5" w:rsidRPr="007A3223">
        <w:t>ytokine and chemokines</w:t>
      </w:r>
      <w:r w:rsidR="00065046" w:rsidRPr="007A3223">
        <w:t xml:space="preserve"> analysis</w:t>
      </w:r>
      <w:r w:rsidR="00647CAD" w:rsidRPr="007A3223">
        <w:t xml:space="preserve"> for immune response</w:t>
      </w:r>
    </w:p>
    <w:p w14:paraId="19E91704" w14:textId="57F6D498" w:rsidR="0048356B" w:rsidRPr="007A3223" w:rsidRDefault="000866A5" w:rsidP="006A2787">
      <w:pPr>
        <w:tabs>
          <w:tab w:val="left" w:pos="2250"/>
        </w:tabs>
        <w:spacing w:after="0"/>
        <w:rPr>
          <w:szCs w:val="24"/>
        </w:rPr>
      </w:pPr>
      <w:r w:rsidRPr="007A3223">
        <w:rPr>
          <w:szCs w:val="24"/>
        </w:rPr>
        <w:t xml:space="preserve">     </w:t>
      </w:r>
      <w:r w:rsidR="00DD5CA0" w:rsidRPr="007A3223">
        <w:rPr>
          <w:szCs w:val="24"/>
        </w:rPr>
        <w:t>Multiple cytokines</w:t>
      </w:r>
      <w:r w:rsidR="004C1A9A" w:rsidRPr="007A3223">
        <w:rPr>
          <w:szCs w:val="24"/>
        </w:rPr>
        <w:t xml:space="preserve"> and chemokines </w:t>
      </w:r>
      <w:r w:rsidR="00DD5CA0" w:rsidRPr="007A3223">
        <w:rPr>
          <w:szCs w:val="24"/>
        </w:rPr>
        <w:t xml:space="preserve">are necessary for effective host immune response against </w:t>
      </w:r>
      <w:r w:rsidR="009642AC" w:rsidRPr="007A3223">
        <w:rPr>
          <w:szCs w:val="24"/>
        </w:rPr>
        <w:t>tumor cells</w:t>
      </w:r>
      <w:hyperlink w:anchor="_ENREF_154" w:tooltip="Ascierto, 2013 #74" w:history="1">
        <w:r w:rsidR="00F77861" w:rsidRPr="00244551">
          <w:rPr>
            <w:rStyle w:val="Hyperlink"/>
            <w:szCs w:val="24"/>
          </w:rPr>
          <w:fldChar w:fldCharType="begin">
            <w:fldData xml:space="preserve">PEVuZE5vdGU+PENpdGU+PEF1dGhvcj5Bc2NpZXJ0bzwvQXV0aG9yPjxZZWFyPjIwMTM8L1llYXI+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ZWFyY2g8L2FiYnItMT48L2FsdC1wZXJpb2RpY2FsPjxwYWdlcz4xMDA5LTIwPC9wYWdlcz48dm9s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PEVuZE5vdGU+PENpdGU+PEF1dGhvcj5Bc2NpZXJ0bzwvQXV0aG9yPjxZZWFyPjIwMTM8L1llYXI+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ZWFyY2g8L2FiYnItMT48L2FsdC1wZXJpb2RpY2FsPjxwYWdlcz4xMDA5LTIwPC9wYWdlcz48dm9s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154</w:t>
        </w:r>
        <w:r w:rsidR="00F77861" w:rsidRPr="00244551">
          <w:rPr>
            <w:rStyle w:val="Hyperlink"/>
            <w:szCs w:val="24"/>
          </w:rPr>
          <w:fldChar w:fldCharType="end"/>
        </w:r>
      </w:hyperlink>
      <w:r w:rsidR="00DD5CA0" w:rsidRPr="007A3223">
        <w:rPr>
          <w:szCs w:val="24"/>
        </w:rPr>
        <w:t xml:space="preserve">. </w:t>
      </w:r>
      <w:r w:rsidR="009642AC" w:rsidRPr="00F33908">
        <w:rPr>
          <w:szCs w:val="24"/>
        </w:rPr>
        <w:t xml:space="preserve">These chemical signals attract </w:t>
      </w:r>
      <w:r w:rsidR="00DD5CA0" w:rsidRPr="007A3223">
        <w:rPr>
          <w:szCs w:val="24"/>
        </w:rPr>
        <w:t>T cells</w:t>
      </w:r>
      <w:r w:rsidR="00065046" w:rsidRPr="007A3223">
        <w:rPr>
          <w:szCs w:val="24"/>
        </w:rPr>
        <w:t xml:space="preserve"> </w:t>
      </w:r>
      <w:r w:rsidR="009642AC" w:rsidRPr="007A3223">
        <w:rPr>
          <w:szCs w:val="24"/>
        </w:rPr>
        <w:t>to infiltrate the tumor and also activate targeted cytotoxic responses</w:t>
      </w:r>
      <w:hyperlink w:anchor="_ENREF_154" w:tooltip="Ascierto, 2013 #74" w:history="1">
        <w:r w:rsidR="00F77861" w:rsidRPr="00244551">
          <w:rPr>
            <w:rStyle w:val="Hyperlink"/>
            <w:szCs w:val="24"/>
          </w:rPr>
          <w:fldChar w:fldCharType="begin">
            <w:fldData xml:space="preserve">PEVuZE5vdGU+PENpdGU+PEF1dGhvcj5Bc2NpZXJ0bzwvQXV0aG9yPjxZZWFyPjIwMTM8L1llYXI+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ZWFyY2g8L2FiYnItMT48L2FsdC1wZXJpb2RpY2FsPjxwYWdlcz4xMDA5LTIwPC9wYWdlcz48dm9s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PEVuZE5vdGU+PENpdGU+PEF1dGhvcj5Bc2NpZXJ0bzwvQXV0aG9yPjxZZWFyPjIwMTM8L1llYXI+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ZWFyY2g8L2FiYnItMT48L2FsdC1wZXJpb2RpY2FsPjxwYWdlcz4xMDA5LTIwPC9wYWdlcz48dm9s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154</w:t>
        </w:r>
        <w:r w:rsidR="00F77861" w:rsidRPr="00244551">
          <w:rPr>
            <w:rStyle w:val="Hyperlink"/>
            <w:szCs w:val="24"/>
          </w:rPr>
          <w:fldChar w:fldCharType="end"/>
        </w:r>
      </w:hyperlink>
      <w:r w:rsidR="009642AC" w:rsidRPr="007A3223">
        <w:rPr>
          <w:szCs w:val="24"/>
        </w:rPr>
        <w:t xml:space="preserve">. </w:t>
      </w:r>
      <w:r w:rsidR="004C1A9A" w:rsidRPr="00F33908">
        <w:rPr>
          <w:szCs w:val="24"/>
        </w:rPr>
        <w:t>Thus, c</w:t>
      </w:r>
      <w:r w:rsidR="008A79E1" w:rsidRPr="007A3223">
        <w:rPr>
          <w:szCs w:val="24"/>
        </w:rPr>
        <w:t>irculating systemic levels of cytokines, chemokines, and growth factors secreted by i</w:t>
      </w:r>
      <w:r w:rsidR="007A2F26" w:rsidRPr="007A3223">
        <w:rPr>
          <w:szCs w:val="24"/>
        </w:rPr>
        <w:t>mmune cells as a consequence of immune reaction</w:t>
      </w:r>
      <w:r w:rsidR="004C1A9A" w:rsidRPr="007A3223">
        <w:rPr>
          <w:szCs w:val="24"/>
        </w:rPr>
        <w:t xml:space="preserve"> may provide insights about the immunomodulation by a PD-L1 </w:t>
      </w:r>
      <w:r w:rsidR="006A2787" w:rsidRPr="007A3223">
        <w:rPr>
          <w:szCs w:val="24"/>
        </w:rPr>
        <w:t>inhibitor</w:t>
      </w:r>
      <w:r w:rsidR="008A79E1" w:rsidRPr="007A3223">
        <w:rPr>
          <w:szCs w:val="24"/>
        </w:rPr>
        <w:t xml:space="preserve">. </w:t>
      </w:r>
      <w:r w:rsidR="004C1A9A" w:rsidRPr="007A3223">
        <w:rPr>
          <w:szCs w:val="24"/>
        </w:rPr>
        <w:t>W</w:t>
      </w:r>
      <w:r w:rsidR="008D09A2" w:rsidRPr="007A3223">
        <w:rPr>
          <w:szCs w:val="24"/>
        </w:rPr>
        <w:t>e will analyze c</w:t>
      </w:r>
      <w:r w:rsidRPr="007A3223">
        <w:rPr>
          <w:szCs w:val="24"/>
        </w:rPr>
        <w:t>omprehensive cytokine and chemokines using V-PLEX multiplex assay (Meso Scale Discovery, Rockville, MD)</w:t>
      </w:r>
      <w:r w:rsidR="002457B0" w:rsidRPr="00585A7F">
        <w:rPr>
          <w:szCs w:val="24"/>
        </w:rPr>
        <w:fldChar w:fldCharType="begin">
          <w:fldData xml:space="preserve">PEVuZE5vdGU+PENpdGU+PEF1dGhvcj5Bc2NpZXJ0bzwvQXV0aG9yPjxZZWFyPjIwMTM8L1llYXI+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IFJlc2VhcmNoPC9hYmJyLTE+PC9hbHQtcGVyaW9kaWNhbD48cGFnZXM+MTAwOS0yMDwvcGFnZXM+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</w:fldData>
        </w:fldChar>
      </w:r>
      <w:r w:rsidR="00F77861" w:rsidRPr="007A3223">
        <w:rPr>
          <w:szCs w:val="24"/>
        </w:rPr>
        <w:instrText xml:space="preserve"> ADDIN EN.CITE </w:instrText>
      </w:r>
      <w:r w:rsidR="00F77861" w:rsidRPr="00383431">
        <w:rPr>
          <w:szCs w:val="24"/>
        </w:rPr>
        <w:fldChar w:fldCharType="begin">
          <w:fldData xml:space="preserve">PEVuZE5vdGU+PENpdGU+PEF1dGhvcj5Bc2NpZXJ0bzwvQXV0aG9yPjxZZWFyPjIwMTM8L1llYXI+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IFJlc2VhcmNoPC9hYmJyLTE+PC9hbHQtcGVyaW9kaWNhbD48cGFnZXM+MTAwOS0yMDwvcGFnZXM+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</w:fldData>
        </w:fldChar>
      </w:r>
      <w:r w:rsidR="00F77861" w:rsidRPr="007A3223">
        <w:rPr>
          <w:szCs w:val="24"/>
        </w:rPr>
        <w:instrText xml:space="preserve"> ADDIN EN.CITE.DATA </w:instrText>
      </w:r>
      <w:r w:rsidR="00F77861" w:rsidRPr="00383431">
        <w:rPr>
          <w:szCs w:val="24"/>
        </w:rPr>
      </w:r>
      <w:r w:rsidR="00F77861" w:rsidRPr="00383431">
        <w:rPr>
          <w:szCs w:val="24"/>
        </w:rPr>
        <w:fldChar w:fldCharType="end"/>
      </w:r>
      <w:r w:rsidR="002457B0" w:rsidRPr="00585A7F">
        <w:rPr>
          <w:szCs w:val="24"/>
        </w:rPr>
      </w:r>
      <w:r w:rsidR="002457B0" w:rsidRPr="00585A7F">
        <w:rPr>
          <w:szCs w:val="24"/>
        </w:rPr>
        <w:fldChar w:fldCharType="separate"/>
      </w:r>
      <w:hyperlink w:anchor="_ENREF_154" w:tooltip="Ascierto, 2013 #74" w:history="1">
        <w:r w:rsidR="00F77861" w:rsidRPr="00244551">
          <w:rPr>
            <w:rStyle w:val="Hyperlink"/>
            <w:noProof/>
            <w:szCs w:val="24"/>
            <w:vertAlign w:val="superscript"/>
          </w:rPr>
          <w:t>154</w:t>
        </w:r>
      </w:hyperlink>
      <w:r w:rsidR="00F77861" w:rsidRPr="00F33908">
        <w:rPr>
          <w:noProof/>
          <w:szCs w:val="24"/>
          <w:vertAlign w:val="superscript"/>
        </w:rPr>
        <w:t>,</w:t>
      </w:r>
      <w:hyperlink w:anchor="_ENREF_155" w:tooltip="Suntharalingam, 2006 #75" w:history="1">
        <w:r w:rsidR="00F77861" w:rsidRPr="00244551">
          <w:rPr>
            <w:rStyle w:val="Hyperlink"/>
            <w:noProof/>
            <w:szCs w:val="24"/>
            <w:vertAlign w:val="superscript"/>
          </w:rPr>
          <w:t>155</w:t>
        </w:r>
      </w:hyperlink>
      <w:r w:rsidR="002457B0" w:rsidRPr="00585A7F">
        <w:rPr>
          <w:szCs w:val="24"/>
        </w:rPr>
        <w:fldChar w:fldCharType="end"/>
      </w:r>
      <w:r w:rsidR="000E3581" w:rsidRPr="007A3223">
        <w:rPr>
          <w:szCs w:val="24"/>
        </w:rPr>
        <w:t xml:space="preserve"> through Liang</w:t>
      </w:r>
      <w:r w:rsidRPr="00F33908">
        <w:rPr>
          <w:szCs w:val="24"/>
        </w:rPr>
        <w:t xml:space="preserve"> Cao</w:t>
      </w:r>
      <w:r w:rsidR="000E3581" w:rsidRPr="007A3223">
        <w:rPr>
          <w:szCs w:val="24"/>
        </w:rPr>
        <w:t>’s laboratory</w:t>
      </w:r>
      <w:r w:rsidRPr="007A3223">
        <w:rPr>
          <w:szCs w:val="24"/>
        </w:rPr>
        <w:t xml:space="preserve"> (Molecular Targets Core/NCI</w:t>
      </w:r>
      <w:r w:rsidR="00AD7D79" w:rsidRPr="007A3223">
        <w:rPr>
          <w:szCs w:val="24"/>
        </w:rPr>
        <w:t xml:space="preserve">; </w:t>
      </w:r>
      <w:r w:rsidR="00307B04" w:rsidRPr="00F33908">
        <w:fldChar w:fldCharType="begin"/>
      </w:r>
      <w:r w:rsidR="00307B04" w:rsidRPr="007A3223">
        <w:instrText xml:space="preserve"> REF _Ref405291987 \h  \* MERGEFORMAT </w:instrText>
      </w:r>
      <w:r w:rsidR="00307B04" w:rsidRPr="00F33908">
        <w:fldChar w:fldCharType="separate"/>
      </w:r>
      <w:r w:rsidR="00E47ACA" w:rsidRPr="00E47ACA">
        <w:rPr>
          <w:b/>
          <w:color w:val="0000FF"/>
        </w:rPr>
        <w:t>Table 4</w:t>
      </w:r>
      <w:r w:rsidR="00307B04" w:rsidRPr="00F33908">
        <w:fldChar w:fldCharType="end"/>
      </w:r>
      <w:r w:rsidR="00B619B7" w:rsidRPr="007A3223">
        <w:rPr>
          <w:szCs w:val="24"/>
        </w:rPr>
        <w:t>)</w:t>
      </w:r>
      <w:r w:rsidR="00F03071" w:rsidRPr="00F33908">
        <w:rPr>
          <w:szCs w:val="24"/>
        </w:rPr>
        <w:t xml:space="preserve"> or </w:t>
      </w:r>
      <w:r w:rsidR="006613C6" w:rsidRPr="007A3223">
        <w:rPr>
          <w:szCs w:val="24"/>
        </w:rPr>
        <w:t>other equivalent available assays</w:t>
      </w:r>
      <w:r w:rsidR="009C3B9E" w:rsidRPr="007A3223">
        <w:rPr>
          <w:szCs w:val="24"/>
        </w:rPr>
        <w:t>.</w:t>
      </w:r>
      <w:r w:rsidR="00AD7D79" w:rsidRPr="007A3223">
        <w:rPr>
          <w:szCs w:val="24"/>
        </w:rPr>
        <w:t xml:space="preserve"> </w:t>
      </w:r>
      <w:r w:rsidR="00B619B7" w:rsidRPr="007A3223">
        <w:rPr>
          <w:szCs w:val="24"/>
        </w:rPr>
        <w:t xml:space="preserve">Biomarker analyses will further our understanding of the mechanisms of T cell activation in ovarian cancer, with potential applications for </w:t>
      </w:r>
      <w:r w:rsidR="00AD7D79" w:rsidRPr="007A3223">
        <w:rPr>
          <w:szCs w:val="24"/>
        </w:rPr>
        <w:t xml:space="preserve">predictive biomarker </w:t>
      </w:r>
      <w:r w:rsidR="00B619B7" w:rsidRPr="007A3223">
        <w:rPr>
          <w:szCs w:val="24"/>
        </w:rPr>
        <w:t>development.</w:t>
      </w:r>
      <w:r w:rsidR="009C3B9E" w:rsidRPr="007A3223">
        <w:rPr>
          <w:szCs w:val="24"/>
        </w:rPr>
        <w:t xml:space="preserve">  </w:t>
      </w:r>
    </w:p>
    <w:p w14:paraId="1E24C694" w14:textId="77777777" w:rsidR="0048356B" w:rsidRPr="007A3223" w:rsidRDefault="0048356B" w:rsidP="00EA69AB">
      <w:pPr>
        <w:spacing w:after="0"/>
        <w:rPr>
          <w:szCs w:val="24"/>
        </w:rPr>
      </w:pPr>
    </w:p>
    <w:p w14:paraId="03E2D23E" w14:textId="686C73CF" w:rsidR="00635409" w:rsidRPr="00F33908" w:rsidRDefault="00635409" w:rsidP="00EA69AB">
      <w:pPr>
        <w:pStyle w:val="Caption"/>
      </w:pPr>
      <w:bookmarkStart w:id="55" w:name="_Ref405291987"/>
      <w:bookmarkStart w:id="56" w:name="_Toc82444438"/>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4</w:t>
      </w:r>
      <w:r w:rsidR="00F82420" w:rsidRPr="00F33908">
        <w:rPr>
          <w:noProof/>
        </w:rPr>
        <w:fldChar w:fldCharType="end"/>
      </w:r>
      <w:bookmarkEnd w:id="55"/>
      <w:r w:rsidRPr="007A3223">
        <w:rPr>
          <w:szCs w:val="24"/>
          <w:u w:val="single"/>
        </w:rPr>
        <w:t>. MesoScaleDiscovery Panel of Chemokines and Cytokines</w:t>
      </w:r>
      <w:bookmarkEnd w:id="56"/>
    </w:p>
    <w:tbl>
      <w:tblPr>
        <w:tblStyle w:val="TableGrid"/>
        <w:tblW w:w="0" w:type="auto"/>
        <w:tblLook w:val="04A0" w:firstRow="1" w:lastRow="0" w:firstColumn="1" w:lastColumn="0" w:noHBand="0" w:noVBand="1"/>
      </w:tblPr>
      <w:tblGrid>
        <w:gridCol w:w="4608"/>
        <w:gridCol w:w="4230"/>
      </w:tblGrid>
      <w:tr w:rsidR="000866A5" w:rsidRPr="007A3223" w14:paraId="578A3FEC" w14:textId="77777777" w:rsidTr="000866A5">
        <w:tc>
          <w:tcPr>
            <w:tcW w:w="4608" w:type="dxa"/>
            <w:tcBorders>
              <w:top w:val="single" w:sz="4" w:space="0" w:color="auto"/>
              <w:left w:val="single" w:sz="4" w:space="0" w:color="auto"/>
              <w:bottom w:val="single" w:sz="4" w:space="0" w:color="auto"/>
            </w:tcBorders>
          </w:tcPr>
          <w:p w14:paraId="2FA84A06" w14:textId="77777777" w:rsidR="0048356B" w:rsidRPr="007A3223" w:rsidRDefault="0048356B" w:rsidP="00EC40D4">
            <w:pPr>
              <w:spacing w:after="0"/>
              <w:jc w:val="center"/>
              <w:rPr>
                <w:b/>
                <w:szCs w:val="24"/>
              </w:rPr>
            </w:pPr>
            <w:r w:rsidRPr="007A3223">
              <w:rPr>
                <w:b/>
                <w:szCs w:val="24"/>
              </w:rPr>
              <w:t>Chemokine Panel</w:t>
            </w:r>
          </w:p>
        </w:tc>
        <w:tc>
          <w:tcPr>
            <w:tcW w:w="4230" w:type="dxa"/>
            <w:tcBorders>
              <w:top w:val="single" w:sz="4" w:space="0" w:color="auto"/>
              <w:bottom w:val="single" w:sz="4" w:space="0" w:color="auto"/>
              <w:right w:val="single" w:sz="4" w:space="0" w:color="auto"/>
            </w:tcBorders>
          </w:tcPr>
          <w:p w14:paraId="662C962E" w14:textId="77777777" w:rsidR="0048356B" w:rsidRPr="007A3223" w:rsidRDefault="0048356B" w:rsidP="00EC40D4">
            <w:pPr>
              <w:spacing w:after="0"/>
              <w:jc w:val="center"/>
              <w:rPr>
                <w:b/>
                <w:szCs w:val="24"/>
              </w:rPr>
            </w:pPr>
            <w:r w:rsidRPr="007A3223">
              <w:rPr>
                <w:b/>
                <w:szCs w:val="24"/>
              </w:rPr>
              <w:t>Cytokine Panel</w:t>
            </w:r>
          </w:p>
        </w:tc>
      </w:tr>
      <w:tr w:rsidR="000866A5" w:rsidRPr="007A3223" w14:paraId="4ECBCC45" w14:textId="77777777" w:rsidTr="008B6DE1">
        <w:tc>
          <w:tcPr>
            <w:tcW w:w="4608" w:type="dxa"/>
            <w:tcBorders>
              <w:top w:val="single" w:sz="4" w:space="0" w:color="auto"/>
              <w:left w:val="single" w:sz="4" w:space="0" w:color="auto"/>
              <w:bottom w:val="single" w:sz="4" w:space="0" w:color="auto"/>
              <w:right w:val="single" w:sz="4" w:space="0" w:color="auto"/>
            </w:tcBorders>
          </w:tcPr>
          <w:p w14:paraId="6DC31913" w14:textId="77777777" w:rsidR="000866A5" w:rsidRPr="007A3223" w:rsidRDefault="0048356B" w:rsidP="00EC40D4">
            <w:pPr>
              <w:spacing w:after="0"/>
              <w:jc w:val="center"/>
              <w:rPr>
                <w:szCs w:val="24"/>
              </w:rPr>
            </w:pPr>
            <w:r w:rsidRPr="007A3223">
              <w:rPr>
                <w:szCs w:val="24"/>
              </w:rPr>
              <w:t>Eotaxin</w:t>
            </w:r>
            <w:r w:rsidR="000866A5" w:rsidRPr="007A3223">
              <w:rPr>
                <w:szCs w:val="24"/>
              </w:rPr>
              <w:t>, Eotaxin-3, MCP-1, MCP-4, MDC,</w:t>
            </w:r>
          </w:p>
          <w:p w14:paraId="70A5CDA8" w14:textId="77777777" w:rsidR="0048356B" w:rsidRPr="007A3223" w:rsidRDefault="000866A5" w:rsidP="00EC40D4">
            <w:pPr>
              <w:spacing w:after="0"/>
              <w:jc w:val="center"/>
              <w:rPr>
                <w:szCs w:val="24"/>
              </w:rPr>
            </w:pPr>
            <w:r w:rsidRPr="007A3223">
              <w:rPr>
                <w:szCs w:val="24"/>
              </w:rPr>
              <w:t xml:space="preserve"> IL-8, IP-10, MIP-1</w:t>
            </w:r>
            <w:r w:rsidRPr="007A3223">
              <w:rPr>
                <w:szCs w:val="24"/>
                <w:vertAlign w:val="superscript"/>
              </w:rPr>
              <w:t>α</w:t>
            </w:r>
            <w:r w:rsidRPr="007A3223">
              <w:rPr>
                <w:szCs w:val="24"/>
              </w:rPr>
              <w:t xml:space="preserve"> , MIP-1β, TARC</w:t>
            </w:r>
          </w:p>
        </w:tc>
        <w:tc>
          <w:tcPr>
            <w:tcW w:w="4230" w:type="dxa"/>
            <w:tcBorders>
              <w:top w:val="single" w:sz="4" w:space="0" w:color="auto"/>
              <w:left w:val="single" w:sz="4" w:space="0" w:color="auto"/>
              <w:bottom w:val="single" w:sz="4" w:space="0" w:color="auto"/>
              <w:right w:val="single" w:sz="4" w:space="0" w:color="auto"/>
            </w:tcBorders>
          </w:tcPr>
          <w:p w14:paraId="23CFABA1" w14:textId="77777777" w:rsidR="0048356B" w:rsidRPr="007A3223" w:rsidRDefault="0048356B" w:rsidP="00EC40D4">
            <w:pPr>
              <w:spacing w:after="0"/>
              <w:jc w:val="center"/>
              <w:rPr>
                <w:szCs w:val="24"/>
              </w:rPr>
            </w:pPr>
            <w:r w:rsidRPr="007A3223">
              <w:rPr>
                <w:szCs w:val="24"/>
              </w:rPr>
              <w:t>GM-CSF</w:t>
            </w:r>
            <w:r w:rsidR="000866A5" w:rsidRPr="007A3223">
              <w:rPr>
                <w:szCs w:val="24"/>
              </w:rPr>
              <w:t>, IL-1</w:t>
            </w:r>
            <w:r w:rsidR="000866A5" w:rsidRPr="007A3223">
              <w:rPr>
                <w:szCs w:val="24"/>
                <w:vertAlign w:val="superscript"/>
              </w:rPr>
              <w:t>α</w:t>
            </w:r>
            <w:r w:rsidR="000866A5" w:rsidRPr="007A3223">
              <w:rPr>
                <w:szCs w:val="24"/>
              </w:rPr>
              <w:t xml:space="preserve">, IL-5, IL-7, IL-12/IL-23p40, </w:t>
            </w:r>
          </w:p>
          <w:p w14:paraId="70F8143B" w14:textId="77777777" w:rsidR="000866A5" w:rsidRPr="007A3223" w:rsidRDefault="000866A5" w:rsidP="00EC40D4">
            <w:pPr>
              <w:spacing w:after="0"/>
              <w:jc w:val="center"/>
              <w:rPr>
                <w:szCs w:val="24"/>
              </w:rPr>
            </w:pPr>
            <w:r w:rsidRPr="007A3223">
              <w:rPr>
                <w:szCs w:val="24"/>
              </w:rPr>
              <w:t xml:space="preserve">IL-15, IL-16, IL-17A, IL-13, TNF-α, TNF-β, </w:t>
            </w:r>
          </w:p>
          <w:p w14:paraId="782D05FB" w14:textId="77777777" w:rsidR="000866A5" w:rsidRPr="007A3223" w:rsidRDefault="000866A5" w:rsidP="00EC40D4">
            <w:pPr>
              <w:spacing w:after="0"/>
              <w:jc w:val="center"/>
              <w:rPr>
                <w:szCs w:val="24"/>
              </w:rPr>
            </w:pPr>
            <w:r w:rsidRPr="007A3223">
              <w:rPr>
                <w:szCs w:val="24"/>
              </w:rPr>
              <w:t>VEGF, IFN-γ, IL-1β, IL-2, IL-4, IL-6, IL-8,</w:t>
            </w:r>
          </w:p>
          <w:p w14:paraId="724B5369" w14:textId="77777777" w:rsidR="000866A5" w:rsidRPr="007A3223" w:rsidRDefault="000866A5" w:rsidP="00EC40D4">
            <w:pPr>
              <w:spacing w:after="0"/>
              <w:jc w:val="center"/>
              <w:rPr>
                <w:szCs w:val="24"/>
              </w:rPr>
            </w:pPr>
            <w:r w:rsidRPr="007A3223">
              <w:rPr>
                <w:szCs w:val="24"/>
              </w:rPr>
              <w:t xml:space="preserve">  IL-10, IL-12p70</w:t>
            </w:r>
          </w:p>
        </w:tc>
      </w:tr>
    </w:tbl>
    <w:p w14:paraId="7B6846E8" w14:textId="77777777" w:rsidR="009C3B9E" w:rsidRPr="007A3223" w:rsidRDefault="009C3B9E" w:rsidP="006A2787">
      <w:pPr>
        <w:spacing w:after="0"/>
      </w:pPr>
    </w:p>
    <w:p w14:paraId="6A753C4C" w14:textId="77777777" w:rsidR="007A6E6D" w:rsidRPr="007A3223" w:rsidRDefault="007A6E6D" w:rsidP="000C1D10">
      <w:pPr>
        <w:pStyle w:val="Heading3"/>
      </w:pPr>
      <w:r w:rsidRPr="007A3223">
        <w:t>NF-kB signaling in immune subtypes of ovarian cancer</w:t>
      </w:r>
    </w:p>
    <w:p w14:paraId="2E971FEE" w14:textId="43B6816D" w:rsidR="007A6E6D" w:rsidRPr="00F33908" w:rsidRDefault="007A6E6D" w:rsidP="00EF2B93">
      <w:pPr>
        <w:spacing w:after="0"/>
        <w:ind w:firstLine="274"/>
        <w:rPr>
          <w:szCs w:val="24"/>
        </w:rPr>
      </w:pPr>
      <w:r w:rsidRPr="007A3223">
        <w:rPr>
          <w:szCs w:val="24"/>
        </w:rPr>
        <w:t xml:space="preserve">We hypothesize that ovarian cancers characterized by elevated NF-kB activation will be susceptible to treatment with immune checkpoint inhibitors, and that the combination of </w:t>
      </w:r>
      <w:r w:rsidR="00CE58E4" w:rsidRPr="007A3223">
        <w:rPr>
          <w:szCs w:val="24"/>
        </w:rPr>
        <w:t xml:space="preserve">a </w:t>
      </w:r>
      <w:r w:rsidRPr="007A3223">
        <w:rPr>
          <w:szCs w:val="24"/>
        </w:rPr>
        <w:t xml:space="preserve">PD-L1 </w:t>
      </w:r>
      <w:r w:rsidR="00CE58E4" w:rsidRPr="007A3223">
        <w:rPr>
          <w:szCs w:val="24"/>
        </w:rPr>
        <w:t xml:space="preserve">inhibitor </w:t>
      </w:r>
      <w:r w:rsidRPr="007A3223">
        <w:rPr>
          <w:szCs w:val="24"/>
        </w:rPr>
        <w:t>and olaparib will be particularly effective in treating gBRCAm cancers with elevated NF-kB activity. The NF-kB pathway is well studied in inflammation</w:t>
      </w:r>
      <w:r w:rsidR="00CE58E4" w:rsidRPr="007A3223">
        <w:rPr>
          <w:szCs w:val="24"/>
        </w:rPr>
        <w:t>,</w:t>
      </w:r>
      <w:r w:rsidRPr="007A3223">
        <w:rPr>
          <w:szCs w:val="24"/>
        </w:rPr>
        <w:t xml:space="preserve"> and Dr. Annunziata’s group in the WMB/CCR has also demonstrated this pathway to be active in a subset of ovarian cancers</w:t>
      </w:r>
      <w:hyperlink w:anchor="_ENREF_156" w:tooltip="Annunziata, 2010 #76" w:history="1">
        <w:r w:rsidR="00F77861" w:rsidRPr="00244551">
          <w:rPr>
            <w:rStyle w:val="Hyperlink"/>
            <w:szCs w:val="24"/>
          </w:rPr>
          <w:fldChar w:fldCharType="begin">
            <w:fldData xml:space="preserve">PEVuZE5vdGU+PENpdGU+PEF1dGhvcj5Bbm51bnppYXRhPC9BdXRob3I+PFllYXI+MjAxMDwvWWVh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PEVuZE5vdGU+PENpdGU+PEF1dGhvcj5Bbm51bnppYXRhPC9BdXRob3I+PFllYXI+MjAxMDwvWWVh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156-158</w:t>
        </w:r>
        <w:r w:rsidR="00F77861" w:rsidRPr="00244551">
          <w:rPr>
            <w:rStyle w:val="Hyperlink"/>
            <w:szCs w:val="24"/>
          </w:rPr>
          <w:fldChar w:fldCharType="end"/>
        </w:r>
      </w:hyperlink>
      <w:r w:rsidRPr="007A3223">
        <w:rPr>
          <w:szCs w:val="24"/>
        </w:rPr>
        <w:t>. NF-kB is a family of transcription factors held in the cytoplasm when signaling is inactive, and translocated to the nucleus upon pathway activation. Dr. A</w:t>
      </w:r>
      <w:r w:rsidRPr="00F33908">
        <w:rPr>
          <w:szCs w:val="24"/>
        </w:rPr>
        <w:t>nnunziata defined an ovarian cancer-specific gene signature of NF-kB activi</w:t>
      </w:r>
      <w:r w:rsidRPr="007A3223">
        <w:rPr>
          <w:szCs w:val="24"/>
        </w:rPr>
        <w:t>ty</w:t>
      </w:r>
      <w:hyperlink w:anchor="_ENREF_157" w:tooltip="Hernandez, 2010 #77" w:history="1">
        <w:r w:rsidR="00F77861" w:rsidRPr="00244551">
          <w:rPr>
            <w:rStyle w:val="Hyperlink"/>
            <w:szCs w:val="24"/>
          </w:rPr>
          <w:fldChar w:fldCharType="begin">
            <w:fldData xml:space="preserve">PEVuZE5vdGU+PENpdGU+PEF1dGhvcj5IZXJuYW5kZXo8L0F1dGhvcj48WWVhcj4yMDEwPC9ZZWFy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</w:fldData>
          </w:fldChar>
        </w:r>
        <w:r w:rsidR="00F77861" w:rsidRPr="00244551">
          <w:rPr>
            <w:rStyle w:val="Hyperlink"/>
            <w:szCs w:val="24"/>
          </w:rPr>
          <w:instrText xml:space="preserve"> ADDIN EN.CITE </w:instrText>
        </w:r>
        <w:r w:rsidR="00F77861" w:rsidRPr="00383431">
          <w:rPr>
            <w:rStyle w:val="Hyperlink"/>
            <w:szCs w:val="24"/>
          </w:rPr>
          <w:fldChar w:fldCharType="begin">
            <w:fldData xml:space="preserve">PEVuZE5vdGU+PENpdGU+PEF1dGhvcj5IZXJuYW5kZXo8L0F1dGhvcj48WWVhcj4yMDEwPC9ZZWFy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</w:fldData>
          </w:fldChar>
        </w:r>
        <w:r w:rsidR="00F77861" w:rsidRPr="00244551">
          <w:rPr>
            <w:rStyle w:val="Hyperlink"/>
            <w:szCs w:val="24"/>
          </w:rPr>
          <w:instrText xml:space="preserve"> ADDIN EN.CITE.DATA </w:instrText>
        </w:r>
        <w:r w:rsidR="00F77861" w:rsidRPr="00383431">
          <w:rPr>
            <w:rStyle w:val="Hyperlink"/>
            <w:szCs w:val="24"/>
          </w:rPr>
        </w:r>
        <w:r w:rsidR="00F77861" w:rsidRPr="00383431">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157</w:t>
        </w:r>
        <w:r w:rsidR="00F77861" w:rsidRPr="00244551">
          <w:rPr>
            <w:rStyle w:val="Hyperlink"/>
            <w:szCs w:val="24"/>
          </w:rPr>
          <w:fldChar w:fldCharType="end"/>
        </w:r>
      </w:hyperlink>
      <w:r w:rsidRPr="007A3223">
        <w:rPr>
          <w:szCs w:val="24"/>
        </w:rPr>
        <w:t xml:space="preserve">. This signature is overexpressed in both the TCGA immunoreactive and </w:t>
      </w:r>
      <w:r w:rsidRPr="00F33908">
        <w:rPr>
          <w:szCs w:val="24"/>
        </w:rPr>
        <w:t>the AOCS C2 immune-related subtypes of ovarian cancer, both of which contain a stron</w:t>
      </w:r>
      <w:r w:rsidRPr="007A3223">
        <w:rPr>
          <w:szCs w:val="24"/>
        </w:rPr>
        <w:t>g T cell infiltrate</w:t>
      </w:r>
      <w:r w:rsidR="002457B0" w:rsidRPr="00585A7F">
        <w:rPr>
          <w:szCs w:val="24"/>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szCs w:val="24"/>
        </w:rPr>
        <w:instrText xml:space="preserve"> ADDIN EN.CITE </w:instrText>
      </w:r>
      <w:r w:rsidR="00F77861" w:rsidRPr="00383431">
        <w:rPr>
          <w:szCs w:val="24"/>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szCs w:val="24"/>
        </w:rPr>
        <w:instrText xml:space="preserve"> ADDIN EN.CITE.DATA </w:instrText>
      </w:r>
      <w:r w:rsidR="00F77861" w:rsidRPr="00383431">
        <w:rPr>
          <w:szCs w:val="24"/>
        </w:rPr>
      </w:r>
      <w:r w:rsidR="00F77861" w:rsidRPr="00383431">
        <w:rPr>
          <w:szCs w:val="24"/>
        </w:rPr>
        <w:fldChar w:fldCharType="end"/>
      </w:r>
      <w:r w:rsidR="002457B0" w:rsidRPr="00585A7F">
        <w:rPr>
          <w:szCs w:val="24"/>
        </w:rPr>
      </w:r>
      <w:r w:rsidR="002457B0" w:rsidRPr="00585A7F">
        <w:rPr>
          <w:szCs w:val="24"/>
        </w:rPr>
        <w:fldChar w:fldCharType="separate"/>
      </w:r>
      <w:hyperlink w:anchor="_ENREF_5" w:tooltip=", 2011 #5" w:history="1">
        <w:r w:rsidR="00F77861" w:rsidRPr="00244551">
          <w:rPr>
            <w:rStyle w:val="Hyperlink"/>
            <w:noProof/>
            <w:szCs w:val="24"/>
            <w:vertAlign w:val="superscript"/>
          </w:rPr>
          <w:t>5</w:t>
        </w:r>
      </w:hyperlink>
      <w:r w:rsidR="00F77861" w:rsidRPr="00F33908">
        <w:rPr>
          <w:noProof/>
          <w:szCs w:val="24"/>
          <w:vertAlign w:val="superscript"/>
        </w:rPr>
        <w:t>,</w:t>
      </w:r>
      <w:hyperlink w:anchor="_ENREF_153" w:tooltip="George, 2013 #73" w:history="1">
        <w:r w:rsidR="00F77861" w:rsidRPr="00244551">
          <w:rPr>
            <w:rStyle w:val="Hyperlink"/>
            <w:noProof/>
            <w:szCs w:val="24"/>
            <w:vertAlign w:val="superscript"/>
          </w:rPr>
          <w:t>153</w:t>
        </w:r>
      </w:hyperlink>
      <w:r w:rsidR="002457B0" w:rsidRPr="00585A7F">
        <w:rPr>
          <w:szCs w:val="24"/>
        </w:rPr>
        <w:fldChar w:fldCharType="end"/>
      </w:r>
      <w:r w:rsidRPr="007A3223">
        <w:rPr>
          <w:szCs w:val="24"/>
        </w:rPr>
        <w:t>. Expression of the NF-kB gene signature correlates with high levels of</w:t>
      </w:r>
      <w:r w:rsidRPr="00F33908">
        <w:rPr>
          <w:szCs w:val="24"/>
        </w:rPr>
        <w:t xml:space="preserve"> nuclear NF-kB p65 trans</w:t>
      </w:r>
      <w:r w:rsidRPr="007A3223">
        <w:rPr>
          <w:szCs w:val="24"/>
        </w:rPr>
        <w:t>cription factor in the ovarian cancer cells, suggesting that the gene expression is derived from the cancer cells and not purely expressed from the infiltrating immune cells. Furthermore, the NF-kB signature was more highly expressed in gBRCAm cancers compared to the group overall, thus supporting the study of immune checkpoint inhibitors specifically in this population of women (</w:t>
      </w:r>
      <w:r w:rsidR="00307B04" w:rsidRPr="00F33908">
        <w:fldChar w:fldCharType="begin"/>
      </w:r>
      <w:r w:rsidR="00307B04" w:rsidRPr="007A3223">
        <w:instrText xml:space="preserve"> REF _Ref398822061 \h  \* MERGEFORMAT </w:instrText>
      </w:r>
      <w:r w:rsidR="00307B04" w:rsidRPr="00F33908">
        <w:fldChar w:fldCharType="separate"/>
      </w:r>
      <w:r w:rsidR="00E47ACA" w:rsidRPr="00E47ACA">
        <w:rPr>
          <w:b/>
          <w:color w:val="0000FF"/>
        </w:rPr>
        <w:t>Figure 8</w:t>
      </w:r>
      <w:r w:rsidR="00307B04" w:rsidRPr="00F33908">
        <w:fldChar w:fldCharType="end"/>
      </w:r>
      <w:r w:rsidRPr="007A3223">
        <w:rPr>
          <w:szCs w:val="24"/>
        </w:rPr>
        <w:t xml:space="preserve">). </w:t>
      </w:r>
    </w:p>
    <w:p w14:paraId="76B0ABA6" w14:textId="77777777" w:rsidR="00BA1A99" w:rsidRPr="007A3223" w:rsidRDefault="00BA1A99" w:rsidP="00BA1A99">
      <w:pPr>
        <w:pStyle w:val="Caption"/>
        <w:rPr>
          <w:szCs w:val="24"/>
        </w:rPr>
      </w:pPr>
    </w:p>
    <w:tbl>
      <w:tblPr>
        <w:tblW w:w="0" w:type="auto"/>
        <w:tblLook w:val="04A0" w:firstRow="1" w:lastRow="0" w:firstColumn="1" w:lastColumn="0" w:noHBand="0" w:noVBand="1"/>
      </w:tblPr>
      <w:tblGrid>
        <w:gridCol w:w="4744"/>
        <w:gridCol w:w="4616"/>
      </w:tblGrid>
      <w:tr w:rsidR="00BA1A99" w:rsidRPr="007A3223" w14:paraId="62CF8D3A" w14:textId="77777777" w:rsidTr="00EA69AB">
        <w:trPr>
          <w:trHeight w:val="3321"/>
        </w:trPr>
        <w:tc>
          <w:tcPr>
            <w:tcW w:w="4788" w:type="dxa"/>
            <w:shd w:val="clear" w:color="auto" w:fill="auto"/>
          </w:tcPr>
          <w:p w14:paraId="72B5F65D" w14:textId="77777777" w:rsidR="00BA1A99" w:rsidRPr="007A3223" w:rsidRDefault="00877D1F" w:rsidP="00FF6391">
            <w:pPr>
              <w:spacing w:line="22" w:lineRule="atLeast"/>
              <w:rPr>
                <w:szCs w:val="24"/>
              </w:rPr>
            </w:pPr>
            <w:r w:rsidRPr="007A3223">
              <w:rPr>
                <w:noProof/>
                <w:szCs w:val="24"/>
                <w:lang w:eastAsia="ko-KR"/>
              </w:rPr>
              <w:drawing>
                <wp:inline distT="0" distB="0" distL="0" distR="0" wp14:anchorId="4EE90D88" wp14:editId="5DB90B2C">
                  <wp:extent cx="2362200" cy="213426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3048" cy="2135034"/>
                          </a:xfrm>
                          <a:prstGeom prst="rect">
                            <a:avLst/>
                          </a:prstGeom>
                          <a:noFill/>
                          <a:ln>
                            <a:noFill/>
                          </a:ln>
                        </pic:spPr>
                      </pic:pic>
                    </a:graphicData>
                  </a:graphic>
                </wp:inline>
              </w:drawing>
            </w:r>
          </w:p>
        </w:tc>
        <w:tc>
          <w:tcPr>
            <w:tcW w:w="4788" w:type="dxa"/>
            <w:shd w:val="clear" w:color="auto" w:fill="auto"/>
          </w:tcPr>
          <w:p w14:paraId="49B93FC0" w14:textId="07950123" w:rsidR="00BA1A99" w:rsidRPr="007A3223" w:rsidRDefault="00EF2B93" w:rsidP="00EF2B93">
            <w:pPr>
              <w:pStyle w:val="Caption"/>
              <w:rPr>
                <w:sz w:val="22"/>
              </w:rPr>
            </w:pPr>
            <w:bookmarkStart w:id="57" w:name="_Ref398822061"/>
            <w:r w:rsidRPr="00F33908">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8</w:t>
            </w:r>
            <w:r w:rsidR="00F82420" w:rsidRPr="00F33908">
              <w:rPr>
                <w:noProof/>
              </w:rPr>
              <w:fldChar w:fldCharType="end"/>
            </w:r>
            <w:bookmarkEnd w:id="57"/>
            <w:r w:rsidR="00BA1A99" w:rsidRPr="007A3223">
              <w:rPr>
                <w:b w:val="0"/>
                <w:sz w:val="22"/>
              </w:rPr>
              <w:t xml:space="preserve">. </w:t>
            </w:r>
            <w:r w:rsidR="00BA1A99" w:rsidRPr="00F33908">
              <w:rPr>
                <w:b w:val="0"/>
                <w:sz w:val="22"/>
                <w:u w:val="single"/>
              </w:rPr>
              <w:t>Ovarian cancer-specific NF-kB genes a</w:t>
            </w:r>
            <w:r w:rsidR="00BA1A99" w:rsidRPr="007A3223">
              <w:rPr>
                <w:b w:val="0"/>
                <w:sz w:val="22"/>
                <w:u w:val="single"/>
              </w:rPr>
              <w:t>re overexpressed in gBRCAm-associated cancers.</w:t>
            </w:r>
            <w:r w:rsidR="00BA1A99" w:rsidRPr="007A3223">
              <w:rPr>
                <w:sz w:val="22"/>
              </w:rPr>
              <w:t xml:space="preserve"> </w:t>
            </w:r>
            <w:r w:rsidR="00BA1A99" w:rsidRPr="007A3223">
              <w:rPr>
                <w:b w:val="0"/>
                <w:sz w:val="22"/>
              </w:rPr>
              <w:t>Fifteen of the TCGA samples from women known to harbor gBRCAm were available for analysis. Data contain log2-transformed values normalized to non-cancer controls.</w:t>
            </w:r>
          </w:p>
        </w:tc>
      </w:tr>
    </w:tbl>
    <w:p w14:paraId="4F69DA2A" w14:textId="77777777" w:rsidR="00BA1A99" w:rsidRPr="007A3223" w:rsidRDefault="00BA1A99" w:rsidP="00444881">
      <w:pPr>
        <w:spacing w:after="0"/>
        <w:rPr>
          <w:szCs w:val="24"/>
        </w:rPr>
      </w:pPr>
    </w:p>
    <w:p w14:paraId="2AE34CE8" w14:textId="77777777" w:rsidR="007C06F6" w:rsidRPr="007A3223" w:rsidRDefault="007C06F6" w:rsidP="00ED703B">
      <w:pPr>
        <w:pStyle w:val="Heading2"/>
      </w:pPr>
      <w:bookmarkStart w:id="58" w:name="_Toc82444340"/>
      <w:r w:rsidRPr="007A3223">
        <w:t>Rationale</w:t>
      </w:r>
      <w:bookmarkEnd w:id="58"/>
    </w:p>
    <w:p w14:paraId="6D0A3D57" w14:textId="2772E812" w:rsidR="00CE58E4" w:rsidRPr="007A3223" w:rsidRDefault="00CE58E4" w:rsidP="007C06F6">
      <w:pPr>
        <w:ind w:firstLine="360"/>
        <w:rPr>
          <w:szCs w:val="24"/>
        </w:rPr>
      </w:pPr>
      <w:r w:rsidRPr="007A3223">
        <w:rPr>
          <w:szCs w:val="24"/>
        </w:rPr>
        <w:t xml:space="preserve">The purpose of this phase </w:t>
      </w:r>
      <w:r w:rsidR="00613915" w:rsidRPr="007A3223">
        <w:rPr>
          <w:szCs w:val="24"/>
        </w:rPr>
        <w:t>1/2</w:t>
      </w:r>
      <w:r w:rsidRPr="007A3223">
        <w:rPr>
          <w:szCs w:val="24"/>
        </w:rPr>
        <w:t xml:space="preserve"> pilot study is to test</w:t>
      </w:r>
      <w:r w:rsidR="00D51656" w:rsidRPr="007A3223">
        <w:rPr>
          <w:szCs w:val="24"/>
        </w:rPr>
        <w:t xml:space="preserve"> the</w:t>
      </w:r>
      <w:r w:rsidRPr="007A3223">
        <w:rPr>
          <w:szCs w:val="24"/>
        </w:rPr>
        <w:t xml:space="preserve"> </w:t>
      </w:r>
      <w:r w:rsidRPr="007A3223">
        <w:rPr>
          <w:b/>
          <w:szCs w:val="24"/>
        </w:rPr>
        <w:t>hypothesis</w:t>
      </w:r>
      <w:r w:rsidRPr="007A3223">
        <w:rPr>
          <w:szCs w:val="24"/>
        </w:rPr>
        <w:t xml:space="preserve"> that the PD-L1 inhibitor, </w:t>
      </w:r>
      <w:r w:rsidR="003C45F9">
        <w:rPr>
          <w:szCs w:val="24"/>
        </w:rPr>
        <w:t>Durvalumab</w:t>
      </w:r>
      <w:r w:rsidRPr="007A3223">
        <w:rPr>
          <w:szCs w:val="24"/>
        </w:rPr>
        <w:t xml:space="preserve"> in combination with olaparib </w:t>
      </w:r>
      <w:r w:rsidR="00324585" w:rsidRPr="007A3223">
        <w:rPr>
          <w:szCs w:val="24"/>
        </w:rPr>
        <w:t>and/</w:t>
      </w:r>
      <w:r w:rsidRPr="007A3223">
        <w:rPr>
          <w:szCs w:val="24"/>
        </w:rPr>
        <w:t>or cediranib can be safely administered in patients with advanced solid tumors and in an exploratory fashion will benefit women with recurrent ovarian cancer</w:t>
      </w:r>
      <w:r w:rsidR="00924E6F" w:rsidRPr="007A3223">
        <w:rPr>
          <w:szCs w:val="24"/>
        </w:rPr>
        <w:t xml:space="preserve"> and other solid tumors</w:t>
      </w:r>
      <w:r w:rsidRPr="007A3223">
        <w:rPr>
          <w:szCs w:val="24"/>
        </w:rPr>
        <w:t xml:space="preserve">. </w:t>
      </w:r>
    </w:p>
    <w:p w14:paraId="3CE02360" w14:textId="77777777" w:rsidR="007C06F6" w:rsidRPr="007A3223" w:rsidRDefault="007C06F6" w:rsidP="007C06F6">
      <w:pPr>
        <w:ind w:firstLine="360"/>
      </w:pPr>
      <w:r w:rsidRPr="007A3223">
        <w:t>High</w:t>
      </w:r>
      <w:r w:rsidR="006A2787" w:rsidRPr="007A3223">
        <w:t>-</w:t>
      </w:r>
      <w:r w:rsidRPr="007A3223">
        <w:t xml:space="preserve">grade serous ovarian cancer is a genetically unstable neoplasm. </w:t>
      </w:r>
      <w:r w:rsidRPr="007A3223" w:rsidDel="00366837">
        <w:t>Expression of PD-L1 i</w:t>
      </w:r>
      <w:r w:rsidRPr="007A3223">
        <w:t xml:space="preserve">n </w:t>
      </w:r>
      <w:r w:rsidRPr="007A3223" w:rsidDel="00366837">
        <w:t>ovarian cancer is prognostic of poor survival. Preliminary cl</w:t>
      </w:r>
      <w:r w:rsidRPr="007A3223">
        <w:t xml:space="preserve">inical data of a PD-1 inhibitor </w:t>
      </w:r>
      <w:r w:rsidRPr="007A3223" w:rsidDel="00366837">
        <w:t xml:space="preserve">yielded anti-tumor activity in a subset of recurrent ovarian cancer patients.  </w:t>
      </w:r>
      <w:r w:rsidRPr="007A3223">
        <w:t>Olaparib, a PARP inhibitor,</w:t>
      </w:r>
      <w:r w:rsidR="00CE58E4" w:rsidRPr="007A3223">
        <w:t xml:space="preserve"> and cediranib, a VEGFR1-</w:t>
      </w:r>
      <w:r w:rsidRPr="007A3223">
        <w:t xml:space="preserve">3 inhibitor, have single agent activity in recurrent ovarian cancer. We recently reported the combination of olaparib and cediranib was clinically superior </w:t>
      </w:r>
      <w:r w:rsidR="0040222E" w:rsidRPr="007A3223">
        <w:t>to</w:t>
      </w:r>
      <w:r w:rsidRPr="007A3223">
        <w:t xml:space="preserve"> olaparib alone in a randomized phase 2 study. The data led to </w:t>
      </w:r>
      <w:r w:rsidR="00762FE0" w:rsidRPr="007A3223">
        <w:t xml:space="preserve">two international </w:t>
      </w:r>
      <w:r w:rsidRPr="007A3223">
        <w:t xml:space="preserve">phase 3 trials assessing the efficacy of the combination in women with recurrent ovarian cancer. </w:t>
      </w:r>
    </w:p>
    <w:p w14:paraId="7DB9DB95" w14:textId="2563AB3B" w:rsidR="0091100E" w:rsidRPr="007A3223" w:rsidRDefault="007A6E6D" w:rsidP="003279E8">
      <w:pPr>
        <w:spacing w:after="0"/>
        <w:ind w:firstLine="270"/>
        <w:rPr>
          <w:szCs w:val="24"/>
          <w:lang w:eastAsia="ko-KR"/>
        </w:rPr>
      </w:pPr>
      <w:r w:rsidRPr="007A3223">
        <w:t>We hypothesize that increased DNA da</w:t>
      </w:r>
      <w:r w:rsidR="00F83A3D" w:rsidRPr="007A3223">
        <w:t xml:space="preserve">mage and reduced VEGF signaling, subsequently </w:t>
      </w:r>
      <w:r w:rsidR="00F83A3D" w:rsidRPr="007A3223">
        <w:rPr>
          <w:szCs w:val="24"/>
          <w:lang w:eastAsia="ko-KR"/>
        </w:rPr>
        <w:t xml:space="preserve">creating a more antigenic environment in which to stimulate the immune </w:t>
      </w:r>
      <w:r w:rsidR="00F83A3D" w:rsidRPr="007A3223">
        <w:rPr>
          <w:szCs w:val="24"/>
        </w:rPr>
        <w:t>microenvironment,</w:t>
      </w:r>
      <w:r w:rsidRPr="007A3223">
        <w:t xml:space="preserve"> should complement the anti-tumor activity of an immune checkpoint inhibitor in relapsed ovarian cancer. Our ultimate goal is to examine the activity of triplet </w:t>
      </w:r>
      <w:r w:rsidR="00762FE0" w:rsidRPr="007A3223">
        <w:t xml:space="preserve">therapy </w:t>
      </w:r>
      <w:r w:rsidRPr="007A3223">
        <w:t>(</w:t>
      </w:r>
      <w:r w:rsidR="003C45F9">
        <w:t>Durvalumab</w:t>
      </w:r>
      <w:r w:rsidRPr="007A3223">
        <w:t>/olaparib/cediranib)</w:t>
      </w:r>
      <w:r w:rsidR="00762FE0" w:rsidRPr="007A3223">
        <w:t xml:space="preserve"> compared to the combination of olaparib and cediranib</w:t>
      </w:r>
      <w:r w:rsidRPr="007A3223">
        <w:t xml:space="preserve"> in </w:t>
      </w:r>
      <w:r w:rsidR="00924E6F" w:rsidRPr="007A3223">
        <w:t>ovarian cancer patients</w:t>
      </w:r>
      <w:r w:rsidRPr="007A3223">
        <w:t>. We</w:t>
      </w:r>
      <w:r w:rsidR="00C91FBE" w:rsidRPr="007A3223">
        <w:t xml:space="preserve"> </w:t>
      </w:r>
      <w:r w:rsidRPr="007A3223">
        <w:t>first assess</w:t>
      </w:r>
      <w:r w:rsidR="00C91FBE" w:rsidRPr="007A3223">
        <w:t>ed</w:t>
      </w:r>
      <w:r w:rsidRPr="007A3223">
        <w:t xml:space="preserve"> the</w:t>
      </w:r>
      <w:r w:rsidRPr="007A3223">
        <w:rPr>
          <w:lang w:eastAsia="ko-KR"/>
        </w:rPr>
        <w:t xml:space="preserve"> safety and activity of the two doublets (</w:t>
      </w:r>
      <w:r w:rsidR="003C45F9">
        <w:rPr>
          <w:lang w:eastAsia="ko-KR"/>
        </w:rPr>
        <w:t>Durvalumab</w:t>
      </w:r>
      <w:r w:rsidRPr="007A3223">
        <w:rPr>
          <w:lang w:eastAsia="ko-KR"/>
        </w:rPr>
        <w:t xml:space="preserve">/olaparib and </w:t>
      </w:r>
      <w:r w:rsidR="003C45F9">
        <w:rPr>
          <w:lang w:eastAsia="ko-KR"/>
        </w:rPr>
        <w:t>Durvalumab</w:t>
      </w:r>
      <w:r w:rsidRPr="007A3223">
        <w:rPr>
          <w:lang w:eastAsia="ko-KR"/>
        </w:rPr>
        <w:t xml:space="preserve">/cediranib) </w:t>
      </w:r>
      <w:r w:rsidRPr="007A3223">
        <w:t xml:space="preserve">due to the </w:t>
      </w:r>
      <w:r w:rsidR="00D51656" w:rsidRPr="007A3223">
        <w:t xml:space="preserve">predicted </w:t>
      </w:r>
      <w:r w:rsidRPr="007A3223">
        <w:t xml:space="preserve">overlapping toxicity of cediranib and </w:t>
      </w:r>
      <w:r w:rsidR="003C45F9">
        <w:t>Durvalumab</w:t>
      </w:r>
      <w:r w:rsidR="00D51656" w:rsidRPr="007A3223">
        <w:t xml:space="preserve">. </w:t>
      </w:r>
      <w:r w:rsidR="003279E8" w:rsidRPr="007A3223">
        <w:rPr>
          <w:szCs w:val="24"/>
          <w:lang w:eastAsia="ko-KR"/>
        </w:rPr>
        <w:t xml:space="preserve">Our preliminary data on phase </w:t>
      </w:r>
      <w:r w:rsidR="00613915" w:rsidRPr="007A3223">
        <w:rPr>
          <w:szCs w:val="24"/>
          <w:lang w:eastAsia="ko-KR"/>
        </w:rPr>
        <w:t>1</w:t>
      </w:r>
      <w:r w:rsidR="003279E8" w:rsidRPr="007A3223">
        <w:rPr>
          <w:szCs w:val="24"/>
          <w:lang w:eastAsia="ko-KR"/>
        </w:rPr>
        <w:t xml:space="preserve"> study of </w:t>
      </w:r>
      <w:r w:rsidR="003C45F9">
        <w:rPr>
          <w:szCs w:val="24"/>
          <w:lang w:eastAsia="ko-KR"/>
        </w:rPr>
        <w:t>Durvalumab</w:t>
      </w:r>
      <w:r w:rsidR="003279E8" w:rsidRPr="007A3223">
        <w:rPr>
          <w:szCs w:val="24"/>
          <w:lang w:eastAsia="ko-KR"/>
        </w:rPr>
        <w:t>/cediranib suggest an intermittent cediranib schedule (5 days on/2 days off) is</w:t>
      </w:r>
      <w:r w:rsidR="00CE5673" w:rsidRPr="007A3223">
        <w:rPr>
          <w:szCs w:val="24"/>
          <w:lang w:eastAsia="ko-KR"/>
        </w:rPr>
        <w:t xml:space="preserve"> tolerated</w:t>
      </w:r>
      <w:r w:rsidR="005D6009" w:rsidRPr="007A3223">
        <w:rPr>
          <w:szCs w:val="24"/>
          <w:lang w:eastAsia="ko-KR"/>
        </w:rPr>
        <w:t xml:space="preserve"> </w:t>
      </w:r>
      <w:r w:rsidR="00CE5673" w:rsidRPr="007A3223">
        <w:rPr>
          <w:szCs w:val="24"/>
          <w:lang w:eastAsia="ko-KR"/>
        </w:rPr>
        <w:t xml:space="preserve">better </w:t>
      </w:r>
      <w:r w:rsidR="003279E8" w:rsidRPr="007A3223">
        <w:rPr>
          <w:szCs w:val="24"/>
          <w:lang w:eastAsia="ko-KR"/>
        </w:rPr>
        <w:t xml:space="preserve">than </w:t>
      </w:r>
      <w:r w:rsidR="00CE5673" w:rsidRPr="007A3223">
        <w:rPr>
          <w:szCs w:val="24"/>
          <w:lang w:eastAsia="ko-KR"/>
        </w:rPr>
        <w:t xml:space="preserve">a </w:t>
      </w:r>
      <w:r w:rsidR="003279E8" w:rsidRPr="007A3223">
        <w:rPr>
          <w:szCs w:val="24"/>
          <w:lang w:eastAsia="ko-KR"/>
        </w:rPr>
        <w:t>daily schedule. We</w:t>
      </w:r>
      <w:r w:rsidR="00F01874" w:rsidRPr="007A3223">
        <w:rPr>
          <w:szCs w:val="24"/>
          <w:lang w:eastAsia="ko-KR"/>
        </w:rPr>
        <w:t xml:space="preserve"> </w:t>
      </w:r>
      <w:r w:rsidR="003279E8" w:rsidRPr="007A3223">
        <w:rPr>
          <w:szCs w:val="24"/>
          <w:lang w:eastAsia="ko-KR"/>
        </w:rPr>
        <w:t>examine</w:t>
      </w:r>
      <w:r w:rsidR="00F01874" w:rsidRPr="007A3223">
        <w:rPr>
          <w:szCs w:val="24"/>
          <w:lang w:eastAsia="ko-KR"/>
        </w:rPr>
        <w:t>d</w:t>
      </w:r>
      <w:r w:rsidR="003279E8" w:rsidRPr="007A3223">
        <w:rPr>
          <w:szCs w:val="24"/>
          <w:lang w:eastAsia="ko-KR"/>
        </w:rPr>
        <w:t xml:space="preserve"> the safe</w:t>
      </w:r>
      <w:r w:rsidR="00FD440D" w:rsidRPr="007A3223">
        <w:rPr>
          <w:szCs w:val="24"/>
          <w:lang w:eastAsia="ko-KR"/>
        </w:rPr>
        <w:t>t</w:t>
      </w:r>
      <w:r w:rsidR="003279E8" w:rsidRPr="007A3223">
        <w:rPr>
          <w:szCs w:val="24"/>
          <w:lang w:eastAsia="ko-KR"/>
        </w:rPr>
        <w:t>y of the triplet using an intermittent cediranib schedule</w:t>
      </w:r>
      <w:r w:rsidR="00137914" w:rsidRPr="007A3223">
        <w:rPr>
          <w:szCs w:val="24"/>
          <w:lang w:eastAsia="ko-KR"/>
        </w:rPr>
        <w:t xml:space="preserve"> </w:t>
      </w:r>
      <w:r w:rsidR="00F01874" w:rsidRPr="007A3223">
        <w:rPr>
          <w:szCs w:val="24"/>
          <w:lang w:eastAsia="ko-KR"/>
        </w:rPr>
        <w:t>and found the RP2D for a phase 2 study. We will thus examine the efficacy of the triplet therapy in ovarian cancer with planned biomarkers analysis.</w:t>
      </w:r>
      <w:r w:rsidR="00137914" w:rsidRPr="007A3223">
        <w:rPr>
          <w:szCs w:val="24"/>
          <w:lang w:eastAsia="ko-KR"/>
        </w:rPr>
        <w:t xml:space="preserve"> </w:t>
      </w:r>
      <w:r w:rsidR="00D51656" w:rsidRPr="007A3223">
        <w:rPr>
          <w:lang w:eastAsia="ko-KR"/>
        </w:rPr>
        <w:t>T</w:t>
      </w:r>
      <w:r w:rsidRPr="007A3223">
        <w:rPr>
          <w:lang w:eastAsia="ko-KR"/>
        </w:rPr>
        <w:t xml:space="preserve">hese data </w:t>
      </w:r>
      <w:r w:rsidR="00D51656" w:rsidRPr="007A3223">
        <w:rPr>
          <w:lang w:eastAsia="ko-KR"/>
        </w:rPr>
        <w:t xml:space="preserve">should provide </w:t>
      </w:r>
      <w:r w:rsidRPr="007A3223">
        <w:rPr>
          <w:lang w:eastAsia="ko-KR"/>
        </w:rPr>
        <w:t xml:space="preserve">the foundation of a randomized </w:t>
      </w:r>
      <w:r w:rsidR="00762FE0" w:rsidRPr="007A3223">
        <w:rPr>
          <w:lang w:eastAsia="ko-KR"/>
        </w:rPr>
        <w:t xml:space="preserve">phase 2 </w:t>
      </w:r>
      <w:r w:rsidRPr="007A3223">
        <w:rPr>
          <w:lang w:eastAsia="ko-KR"/>
        </w:rPr>
        <w:t xml:space="preserve">study of the triplet </w:t>
      </w:r>
      <w:r w:rsidRPr="007A3223">
        <w:t>in women with recurrent ovarian cancer</w:t>
      </w:r>
      <w:r w:rsidRPr="007A3223">
        <w:rPr>
          <w:lang w:eastAsia="ko-KR"/>
        </w:rPr>
        <w:t>.</w:t>
      </w:r>
      <w:r w:rsidR="0089325B" w:rsidRPr="007A3223">
        <w:t xml:space="preserve"> </w:t>
      </w:r>
    </w:p>
    <w:p w14:paraId="5E29EECB" w14:textId="7818F53A" w:rsidR="00714EAB" w:rsidRPr="007A3223" w:rsidRDefault="00E164F9" w:rsidP="00883D8A">
      <w:pPr>
        <w:tabs>
          <w:tab w:val="left" w:pos="720"/>
        </w:tabs>
        <w:spacing w:line="22" w:lineRule="atLeast"/>
        <w:ind w:firstLine="360"/>
      </w:pPr>
      <w:r w:rsidRPr="007A3223">
        <w:t xml:space="preserve">Additionally, we </w:t>
      </w:r>
      <w:r w:rsidR="000542B2" w:rsidRPr="007A3223">
        <w:t xml:space="preserve"> </w:t>
      </w:r>
      <w:r w:rsidR="00FB3580" w:rsidRPr="007A3223">
        <w:t xml:space="preserve">are investigating the two doublet treatments </w:t>
      </w:r>
      <w:r w:rsidR="009E66C6" w:rsidRPr="007A3223">
        <w:t>in</w:t>
      </w:r>
      <w:r w:rsidRPr="007A3223">
        <w:t xml:space="preserve"> other tumor types including advanced or recurrent NSCLC, SCLC, mCRPC</w:t>
      </w:r>
      <w:r w:rsidR="009E66C6" w:rsidRPr="007A3223">
        <w:t>, TNBC and CRC</w:t>
      </w:r>
      <w:r w:rsidRPr="007A3223">
        <w:t>.</w:t>
      </w:r>
      <w:r w:rsidR="00C2447D" w:rsidRPr="007A3223">
        <w:t xml:space="preserve"> </w:t>
      </w:r>
      <w:r w:rsidRPr="007A3223">
        <w:t xml:space="preserve">Emerging data indicate </w:t>
      </w:r>
      <w:r w:rsidRPr="007A3223">
        <w:lastRenderedPageBreak/>
        <w:t xml:space="preserve">subsets of </w:t>
      </w:r>
      <w:r w:rsidR="00737C2A" w:rsidRPr="007A3223">
        <w:t>these</w:t>
      </w:r>
      <w:r w:rsidRPr="007A3223">
        <w:t xml:space="preserve"> cancer</w:t>
      </w:r>
      <w:r w:rsidR="00737C2A" w:rsidRPr="007A3223">
        <w:t>s</w:t>
      </w:r>
      <w:r w:rsidRPr="007A3223">
        <w:t xml:space="preserve"> have dysfunctions in genes related to DNA damage repair pathways. </w:t>
      </w:r>
      <w:r w:rsidRPr="007A3223">
        <w:rPr>
          <w:szCs w:val="24"/>
        </w:rPr>
        <w:t xml:space="preserve">The purpose of the expansion cohorts is to test the hypothesis that the PD-L1 inhibitor, </w:t>
      </w:r>
      <w:r w:rsidR="001123D9">
        <w:rPr>
          <w:szCs w:val="24"/>
        </w:rPr>
        <w:t>Durvalumab</w:t>
      </w:r>
      <w:r w:rsidRPr="007A3223">
        <w:rPr>
          <w:szCs w:val="24"/>
        </w:rPr>
        <w:t xml:space="preserve"> in combination with olaparib </w:t>
      </w:r>
      <w:r w:rsidR="009E66C6" w:rsidRPr="007A3223">
        <w:rPr>
          <w:szCs w:val="24"/>
        </w:rPr>
        <w:t xml:space="preserve">or </w:t>
      </w:r>
      <w:r w:rsidRPr="007A3223">
        <w:rPr>
          <w:szCs w:val="24"/>
        </w:rPr>
        <w:t>cediranib can be safely administered and may yield clinical benefit in patients with NSCLC, SCLC, mCRPC</w:t>
      </w:r>
      <w:r w:rsidR="009E66C6" w:rsidRPr="007A3223">
        <w:rPr>
          <w:szCs w:val="24"/>
        </w:rPr>
        <w:t>, TNBC or CRC.</w:t>
      </w:r>
      <w:r w:rsidRPr="007A3223">
        <w:rPr>
          <w:szCs w:val="24"/>
        </w:rPr>
        <w:t xml:space="preserve"> Increased DNA damage by olaparib, </w:t>
      </w:r>
      <w:r w:rsidRPr="007A3223">
        <w:rPr>
          <w:szCs w:val="24"/>
          <w:lang w:eastAsia="ko-KR"/>
        </w:rPr>
        <w:t xml:space="preserve">creating a more antigenic environment in which to stimulate the immune </w:t>
      </w:r>
      <w:r w:rsidRPr="007A3223">
        <w:rPr>
          <w:szCs w:val="24"/>
        </w:rPr>
        <w:t>microenvironment, should complement the anti-tumor activity of an immune checkpoint inhibitor in NSCLC, SCLC</w:t>
      </w:r>
      <w:r w:rsidR="007F51A4" w:rsidRPr="007A3223">
        <w:rPr>
          <w:szCs w:val="24"/>
        </w:rPr>
        <w:t>, TNBC</w:t>
      </w:r>
      <w:r w:rsidRPr="007A3223">
        <w:rPr>
          <w:szCs w:val="24"/>
        </w:rPr>
        <w:t xml:space="preserve"> or mCRPC.  </w:t>
      </w:r>
      <w:r w:rsidR="009223B8" w:rsidRPr="007A3223">
        <w:rPr>
          <w:szCs w:val="24"/>
          <w:lang w:eastAsia="ko-KR"/>
        </w:rPr>
        <w:t>A</w:t>
      </w:r>
      <w:r w:rsidR="009223B8" w:rsidRPr="007A3223">
        <w:t xml:space="preserve"> positive signal in th</w:t>
      </w:r>
      <w:r w:rsidR="00924E6F" w:rsidRPr="007A3223">
        <w:t>e pilot</w:t>
      </w:r>
      <w:r w:rsidR="009223B8" w:rsidRPr="007A3223">
        <w:t xml:space="preserve"> </w:t>
      </w:r>
      <w:r w:rsidR="00924E6F" w:rsidRPr="007A3223">
        <w:t>P</w:t>
      </w:r>
      <w:r w:rsidR="009223B8" w:rsidRPr="007A3223">
        <w:t xml:space="preserve">hase </w:t>
      </w:r>
      <w:r w:rsidR="00613915" w:rsidRPr="007A3223">
        <w:t xml:space="preserve">2 </w:t>
      </w:r>
      <w:r w:rsidR="009223B8" w:rsidRPr="007A3223">
        <w:t>stud</w:t>
      </w:r>
      <w:r w:rsidR="00924E6F" w:rsidRPr="007A3223">
        <w:t>ies in other solid tumors</w:t>
      </w:r>
      <w:r w:rsidR="009223B8" w:rsidRPr="007A3223">
        <w:t xml:space="preserve"> will lead to discussions of appropriate next steps (e.g. randomized phase 2 study</w:t>
      </w:r>
      <w:r w:rsidR="00B3066D" w:rsidRPr="007A3223">
        <w:t xml:space="preserve"> with</w:t>
      </w:r>
      <w:r w:rsidR="00924E6F" w:rsidRPr="007A3223">
        <w:t xml:space="preserve"> one of </w:t>
      </w:r>
      <w:r w:rsidR="001123D9">
        <w:t>Durvalumab</w:t>
      </w:r>
      <w:r w:rsidR="006B60C1" w:rsidRPr="007A3223">
        <w:t>+</w:t>
      </w:r>
      <w:r w:rsidR="00924E6F" w:rsidRPr="007A3223">
        <w:t xml:space="preserve">O or </w:t>
      </w:r>
      <w:r w:rsidR="001123D9">
        <w:t>Durvalumab</w:t>
      </w:r>
      <w:r w:rsidR="006B60C1" w:rsidRPr="007A3223">
        <w:t>+</w:t>
      </w:r>
      <w:r w:rsidR="00924E6F" w:rsidRPr="007A3223">
        <w:t>C</w:t>
      </w:r>
      <w:r w:rsidR="009223B8" w:rsidRPr="007A3223">
        <w:t xml:space="preserve"> or the triplet </w:t>
      </w:r>
      <w:r w:rsidR="00B3066D" w:rsidRPr="007A3223">
        <w:t>study</w:t>
      </w:r>
      <w:r w:rsidR="00924E6F" w:rsidRPr="007A3223">
        <w:t xml:space="preserve">) </w:t>
      </w:r>
      <w:r w:rsidR="009223B8" w:rsidRPr="007A3223">
        <w:t>to broaden evaluation of th</w:t>
      </w:r>
      <w:r w:rsidR="00924E6F" w:rsidRPr="007A3223">
        <w:t>ese</w:t>
      </w:r>
      <w:r w:rsidR="009223B8" w:rsidRPr="007A3223">
        <w:t xml:space="preserve"> agent</w:t>
      </w:r>
      <w:r w:rsidR="00924E6F" w:rsidRPr="007A3223">
        <w:t>s.</w:t>
      </w:r>
      <w:r w:rsidR="009223B8" w:rsidRPr="007A3223">
        <w:t xml:space="preserve"> </w:t>
      </w:r>
    </w:p>
    <w:p w14:paraId="09BAD1C4" w14:textId="77777777" w:rsidR="00883D8A" w:rsidRPr="007A3223" w:rsidRDefault="00883D8A" w:rsidP="00ED703B">
      <w:pPr>
        <w:pStyle w:val="Heading2"/>
      </w:pPr>
      <w:bookmarkStart w:id="59" w:name="_Toc82444341"/>
      <w:r w:rsidRPr="007A3223">
        <w:t>Phase I Results</w:t>
      </w:r>
      <w:r w:rsidR="003141CC" w:rsidRPr="007A3223">
        <w:t xml:space="preserve"> and Implementation of Phase II</w:t>
      </w:r>
      <w:bookmarkEnd w:id="59"/>
    </w:p>
    <w:p w14:paraId="5F0E14E2" w14:textId="1E75DADC" w:rsidR="00346332" w:rsidRPr="007A3223" w:rsidRDefault="00097B2C" w:rsidP="00974BE7">
      <w:pPr>
        <w:tabs>
          <w:tab w:val="left" w:pos="720"/>
        </w:tabs>
        <w:spacing w:line="22" w:lineRule="atLeast"/>
        <w:ind w:firstLine="360"/>
      </w:pPr>
      <w:r w:rsidRPr="007A3223">
        <w:t>Twenty six</w:t>
      </w:r>
      <w:r w:rsidR="00974BE7" w:rsidRPr="007A3223">
        <w:t xml:space="preserve"> women were treated on Phase I study</w:t>
      </w:r>
      <w:r w:rsidR="00471DC8" w:rsidRPr="007A3223">
        <w:t xml:space="preserve"> </w:t>
      </w:r>
      <w:r w:rsidR="003912D4" w:rsidRPr="007A3223">
        <w:t xml:space="preserve">of </w:t>
      </w:r>
      <w:r w:rsidR="00036B4F">
        <w:t>Durvalumab</w:t>
      </w:r>
      <w:r w:rsidR="003912D4" w:rsidRPr="007A3223">
        <w:t xml:space="preserve"> with olaparib or cediranib </w:t>
      </w:r>
      <w:r w:rsidR="000C5C7C" w:rsidRPr="007A3223">
        <w:t xml:space="preserve">                                                                                                                           </w:t>
      </w:r>
      <w:hyperlink w:anchor="_ENREF_159" w:tooltip="Lee, 2017 #1055" w:history="1">
        <w:r w:rsidR="00E27C67" w:rsidRPr="00244551">
          <w:rPr>
            <w:rStyle w:val="Hyperlink"/>
          </w:rPr>
          <w:fldChar w:fldCharType="begin">
            <w:fldData xml:space="preserve">PEVuZE5vdGU+PENpdGU+PEF1dGhvcj5MZWU8L0F1dGhvcj48WWVhcj4yMDE3PC9ZZWFyPjxSZWNO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Q2xpbmljYWwgT25jb2xvZ3k8L2FiYnItMT48L3BlcmlvZGljYWw+PHBhZ2VzPjIxOTMtMjIwMjwv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</w:fldData>
          </w:fldChar>
        </w:r>
        <w:r w:rsidR="00E27C67" w:rsidRPr="00244551">
          <w:rPr>
            <w:rStyle w:val="Hyperlink"/>
          </w:rPr>
          <w:instrText xml:space="preserve"> ADDIN EN.CITE </w:instrText>
        </w:r>
        <w:r w:rsidR="00E27C67" w:rsidRPr="00383431">
          <w:rPr>
            <w:rStyle w:val="Hyperlink"/>
          </w:rPr>
          <w:fldChar w:fldCharType="begin">
            <w:fldData xml:space="preserve">PEVuZE5vdGU+PENpdGU+PEF1dGhvcj5MZWU8L0F1dGhvcj48WWVhcj4yMDE3PC9ZZWFyPjxSZWNO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Q2xpbmljYWwgT25jb2xvZ3k8L2FiYnItMT48L3BlcmlvZGljYWw+PHBhZ2VzPjIxOTMtMjIwMjwv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</w:fldData>
          </w:fldChar>
        </w:r>
        <w:r w:rsidR="00E27C67" w:rsidRPr="00244551">
          <w:rPr>
            <w:rStyle w:val="Hyperlink"/>
          </w:rPr>
          <w:instrText xml:space="preserve"> ADDIN EN.CITE.DATA </w:instrText>
        </w:r>
        <w:r w:rsidR="00E27C67" w:rsidRPr="00383431">
          <w:rPr>
            <w:rStyle w:val="Hyperlink"/>
          </w:rPr>
        </w:r>
        <w:r w:rsidR="00E27C67" w:rsidRPr="00383431">
          <w:rPr>
            <w:rStyle w:val="Hyperlink"/>
          </w:rPr>
          <w:fldChar w:fldCharType="end"/>
        </w:r>
        <w:r w:rsidR="00E27C67" w:rsidRPr="00244551">
          <w:rPr>
            <w:rStyle w:val="Hyperlink"/>
          </w:rPr>
        </w:r>
        <w:r w:rsidR="00E27C67" w:rsidRPr="00244551">
          <w:rPr>
            <w:rStyle w:val="Hyperlink"/>
          </w:rPr>
          <w:fldChar w:fldCharType="separate"/>
        </w:r>
        <w:r w:rsidR="00E27C67" w:rsidRPr="00244551">
          <w:rPr>
            <w:rStyle w:val="Hyperlink"/>
            <w:noProof/>
            <w:vertAlign w:val="superscript"/>
          </w:rPr>
          <w:t>159</w:t>
        </w:r>
        <w:r w:rsidR="00E27C67" w:rsidRPr="00244551">
          <w:rPr>
            <w:rStyle w:val="Hyperlink"/>
          </w:rPr>
          <w:fldChar w:fldCharType="end"/>
        </w:r>
      </w:hyperlink>
      <w:r w:rsidR="003912D4" w:rsidRPr="007A3223">
        <w:t>;</w:t>
      </w:r>
      <w:r w:rsidR="003912D4" w:rsidRPr="00F33908">
        <w:t xml:space="preserve"> </w:t>
      </w:r>
      <w:r w:rsidR="00036B4F">
        <w:t>Durvalumab</w:t>
      </w:r>
      <w:r w:rsidR="00974BE7" w:rsidRPr="007A3223">
        <w:t>/olaparib (</w:t>
      </w:r>
      <w:r w:rsidR="00036B4F">
        <w:t>Durvalumab</w:t>
      </w:r>
      <w:r w:rsidR="00974BE7" w:rsidRPr="007A3223">
        <w:t>+O)</w:t>
      </w:r>
      <w:r w:rsidR="006D66A3" w:rsidRPr="007A3223">
        <w:t xml:space="preserve"> arm included</w:t>
      </w:r>
      <w:r w:rsidR="00974BE7" w:rsidRPr="007A3223">
        <w:t xml:space="preserve"> 10 ovarian cancer and 2 triple negative breast cancer patients. </w:t>
      </w:r>
      <w:r w:rsidR="00D35512" w:rsidRPr="007A3223">
        <w:t>T</w:t>
      </w:r>
      <w:r w:rsidR="00974BE7" w:rsidRPr="007A3223">
        <w:t xml:space="preserve">he MTD for </w:t>
      </w:r>
      <w:r w:rsidR="00060698">
        <w:t>Durvalumab</w:t>
      </w:r>
      <w:r w:rsidR="00974BE7" w:rsidRPr="007A3223">
        <w:t xml:space="preserve">+O is dose level 3. The recommended phase II dose of </w:t>
      </w:r>
      <w:r w:rsidR="00060698">
        <w:t>Durvalumab</w:t>
      </w:r>
      <w:r w:rsidR="00974BE7" w:rsidRPr="007A3223">
        <w:t xml:space="preserve">+O is olaparib tablets 300mg bid daily and </w:t>
      </w:r>
      <w:r w:rsidR="00060698">
        <w:t>Durvalumab</w:t>
      </w:r>
      <w:r w:rsidR="00974BE7" w:rsidRPr="007A3223">
        <w:t xml:space="preserve"> at a fixed dose of 1500mg every 28 days. </w:t>
      </w:r>
      <w:r w:rsidR="00346332" w:rsidRPr="007A3223">
        <w:t xml:space="preserve">Effective with Amendment C (version date 12/28/2015), the Phase II study of </w:t>
      </w:r>
      <w:r w:rsidR="00060698">
        <w:t>Durvalumab</w:t>
      </w:r>
      <w:r w:rsidR="00346332" w:rsidRPr="007A3223">
        <w:t xml:space="preserve">+O opened in ovarian cancer, TNBC, NSCLC, SCLC and mCRPC with a RP2D of olaparib 300mg tablets bid daily and </w:t>
      </w:r>
      <w:r w:rsidR="00B218E0">
        <w:t>Durvalumab</w:t>
      </w:r>
      <w:r w:rsidR="00346332" w:rsidRPr="007A3223">
        <w:t xml:space="preserve"> at a fixed dose of 1500mg IV every 28days.</w:t>
      </w:r>
    </w:p>
    <w:p w14:paraId="3A440349" w14:textId="1B6E302B" w:rsidR="00974BE7" w:rsidRPr="007A3223" w:rsidRDefault="00974BE7" w:rsidP="00346332">
      <w:pPr>
        <w:tabs>
          <w:tab w:val="left" w:pos="720"/>
        </w:tabs>
        <w:spacing w:line="22" w:lineRule="atLeast"/>
        <w:ind w:firstLine="360"/>
        <w:rPr>
          <w:lang w:eastAsia="ko-KR"/>
        </w:rPr>
      </w:pPr>
      <w:r w:rsidRPr="007A3223">
        <w:t xml:space="preserve">For </w:t>
      </w:r>
      <w:r w:rsidR="006D66A3" w:rsidRPr="007A3223">
        <w:t xml:space="preserve">the </w:t>
      </w:r>
      <w:r w:rsidR="00B218E0">
        <w:t>Durvalumab</w:t>
      </w:r>
      <w:r w:rsidR="00D35512" w:rsidRPr="007A3223">
        <w:t>/cediranib</w:t>
      </w:r>
      <w:r w:rsidR="00087B27" w:rsidRPr="007A3223">
        <w:t xml:space="preserve"> (</w:t>
      </w:r>
      <w:r w:rsidR="00B218E0">
        <w:t>Durvalumab</w:t>
      </w:r>
      <w:r w:rsidR="00087B27" w:rsidRPr="007A3223">
        <w:t>+C)</w:t>
      </w:r>
      <w:r w:rsidR="00316B66" w:rsidRPr="007A3223">
        <w:t xml:space="preserve">, </w:t>
      </w:r>
      <w:r w:rsidR="00B218E0">
        <w:t>Durvalumab</w:t>
      </w:r>
      <w:r w:rsidR="00316B66" w:rsidRPr="007A3223">
        <w:t>+C</w:t>
      </w:r>
      <w:r w:rsidR="00087B27" w:rsidRPr="007A3223">
        <w:t xml:space="preserve"> with</w:t>
      </w:r>
      <w:r w:rsidR="00D35512" w:rsidRPr="007A3223">
        <w:t xml:space="preserve"> </w:t>
      </w:r>
      <w:r w:rsidR="00087B27" w:rsidRPr="007A3223">
        <w:t>cediranib</w:t>
      </w:r>
      <w:r w:rsidR="00D35512" w:rsidRPr="007A3223">
        <w:t xml:space="preserve"> </w:t>
      </w:r>
      <w:r w:rsidR="00087B27" w:rsidRPr="007A3223">
        <w:t xml:space="preserve">daily schedule </w:t>
      </w:r>
      <w:r w:rsidR="00D35512" w:rsidRPr="007A3223">
        <w:t xml:space="preserve">arm had </w:t>
      </w:r>
      <w:r w:rsidR="00A84BB8" w:rsidRPr="007A3223">
        <w:t>9</w:t>
      </w:r>
      <w:r w:rsidR="00D35512" w:rsidRPr="007A3223">
        <w:t xml:space="preserve"> ovarian cancer, 2 cervical cancer and </w:t>
      </w:r>
      <w:r w:rsidR="00A84BB8" w:rsidRPr="007A3223">
        <w:t>3</w:t>
      </w:r>
      <w:r w:rsidR="00D35512" w:rsidRPr="007A3223">
        <w:t xml:space="preserve"> uterine </w:t>
      </w:r>
      <w:r w:rsidR="007E0F4D" w:rsidRPr="007A3223">
        <w:t>cancer</w:t>
      </w:r>
      <w:r w:rsidR="00E171A6" w:rsidRPr="007A3223">
        <w:t xml:space="preserve"> </w:t>
      </w:r>
      <w:r w:rsidR="00D35512" w:rsidRPr="007A3223">
        <w:t xml:space="preserve">patients. No DLT was identified for </w:t>
      </w:r>
      <w:r w:rsidR="00855A93" w:rsidRPr="007A3223">
        <w:t xml:space="preserve">the </w:t>
      </w:r>
      <w:r w:rsidR="00D35512" w:rsidRPr="007A3223">
        <w:t>daily cedrinaib schedule</w:t>
      </w:r>
      <w:r w:rsidR="00855A93" w:rsidRPr="007A3223">
        <w:t>;</w:t>
      </w:r>
      <w:r w:rsidR="00D35512" w:rsidRPr="007A3223">
        <w:t xml:space="preserve"> however</w:t>
      </w:r>
      <w:r w:rsidR="00087B27" w:rsidRPr="007A3223">
        <w:t>,</w:t>
      </w:r>
      <w:r w:rsidR="00D35512" w:rsidRPr="007A3223">
        <w:t xml:space="preserve"> </w:t>
      </w:r>
      <w:r w:rsidRPr="007A3223">
        <w:t xml:space="preserve">2 patients on DL1 required early discontinuation of cediarnib due to pulmonary thromboembolism and 1 patient on DL1 had dose reduction to cediranib15mg daily due to recurrent grade 2 fatigue on cycle 2. </w:t>
      </w:r>
      <w:r w:rsidR="006D66A3" w:rsidRPr="007A3223">
        <w:t xml:space="preserve">Three </w:t>
      </w:r>
      <w:r w:rsidRPr="007A3223">
        <w:t xml:space="preserve">of 4 patients on DL2 also had cediranib dose reduction to 20mg daily due to recurrent grade 2 fagitue, grade 2 abdominal pain and grade 2 diarrhea during cycles 2-3. In addition, the preclinical </w:t>
      </w:r>
      <w:r w:rsidRPr="007A3223">
        <w:rPr>
          <w:i/>
        </w:rPr>
        <w:t>in vivo</w:t>
      </w:r>
      <w:r w:rsidRPr="007A3223">
        <w:t xml:space="preserve"> data from Astrazeneca/MedImmune (personal communications) showed no difference in anti-tumor activity with intermittent cediranib schedules (5 days on/2 days off) compared with daily cediranib schedule. Thus, </w:t>
      </w:r>
      <w:r w:rsidR="00D35512" w:rsidRPr="007A3223">
        <w:t xml:space="preserve">effective with Amendment C (version date 12/28/2015), </w:t>
      </w:r>
      <w:r w:rsidRPr="007A3223">
        <w:t xml:space="preserve">we </w:t>
      </w:r>
      <w:r w:rsidR="00D35512" w:rsidRPr="007A3223">
        <w:t>open</w:t>
      </w:r>
      <w:r w:rsidR="00087B27" w:rsidRPr="007A3223">
        <w:t>ed</w:t>
      </w:r>
      <w:r w:rsidR="00D35512" w:rsidRPr="007A3223">
        <w:t xml:space="preserve"> the</w:t>
      </w:r>
      <w:r w:rsidRPr="007A3223">
        <w:t xml:space="preserve"> </w:t>
      </w:r>
      <w:r w:rsidR="00087B27" w:rsidRPr="007A3223">
        <w:t xml:space="preserve">new </w:t>
      </w:r>
      <w:r w:rsidR="00B218E0">
        <w:t>Durvalumab</w:t>
      </w:r>
      <w:r w:rsidRPr="007A3223">
        <w:t>+C</w:t>
      </w:r>
      <w:r w:rsidR="00087B27" w:rsidRPr="007A3223">
        <w:t xml:space="preserve"> </w:t>
      </w:r>
      <w:r w:rsidRPr="007A3223">
        <w:t xml:space="preserve">dose levels with </w:t>
      </w:r>
      <w:r w:rsidR="00855A93" w:rsidRPr="007A3223">
        <w:t xml:space="preserve">an </w:t>
      </w:r>
      <w:r w:rsidR="00087B27" w:rsidRPr="007A3223">
        <w:t xml:space="preserve">intermittent </w:t>
      </w:r>
      <w:r w:rsidRPr="007A3223">
        <w:t xml:space="preserve">cediranib </w:t>
      </w:r>
      <w:r w:rsidR="00087B27" w:rsidRPr="007A3223">
        <w:t>schedule (</w:t>
      </w:r>
      <w:r w:rsidRPr="007A3223">
        <w:t>5 days on/2 days off</w:t>
      </w:r>
      <w:r w:rsidR="00346332" w:rsidRPr="007A3223">
        <w:t>)</w:t>
      </w:r>
      <w:r w:rsidR="00087B27" w:rsidRPr="007A3223">
        <w:t xml:space="preserve"> and </w:t>
      </w:r>
      <w:r w:rsidR="00B218E0">
        <w:t>Durvalumab</w:t>
      </w:r>
      <w:r w:rsidRPr="007A3223">
        <w:t xml:space="preserve"> at a fixed dose of 1500mg every 28days to improve tolerability. </w:t>
      </w:r>
      <w:r w:rsidR="006F07FD" w:rsidRPr="007A3223">
        <w:t>S</w:t>
      </w:r>
      <w:r w:rsidR="00B55B55" w:rsidRPr="007A3223">
        <w:t>ix</w:t>
      </w:r>
      <w:r w:rsidR="00104BBA" w:rsidRPr="007A3223">
        <w:t xml:space="preserve"> patients (</w:t>
      </w:r>
      <w:r w:rsidR="0097038E" w:rsidRPr="007A3223">
        <w:t>5</w:t>
      </w:r>
      <w:r w:rsidR="00104BBA" w:rsidRPr="007A3223">
        <w:t xml:space="preserve"> ovarian cancer and 1 endometrial cancer) </w:t>
      </w:r>
      <w:r w:rsidR="00B55B55" w:rsidRPr="007A3223">
        <w:t>were treated</w:t>
      </w:r>
      <w:r w:rsidR="00104BBA" w:rsidRPr="007A3223">
        <w:t xml:space="preserve"> on </w:t>
      </w:r>
      <w:r w:rsidR="00087B27" w:rsidRPr="007A3223">
        <w:t>cediranib</w:t>
      </w:r>
      <w:r w:rsidR="00755F5C" w:rsidRPr="007A3223">
        <w:t xml:space="preserve"> 20mg</w:t>
      </w:r>
      <w:r w:rsidR="00087B27" w:rsidRPr="007A3223">
        <w:t xml:space="preserve"> 5 days on/2</w:t>
      </w:r>
      <w:r w:rsidR="00346332" w:rsidRPr="007A3223">
        <w:t xml:space="preserve"> </w:t>
      </w:r>
      <w:r w:rsidR="00087B27" w:rsidRPr="007A3223">
        <w:t>days off schedule</w:t>
      </w:r>
      <w:r w:rsidR="00B55B55" w:rsidRPr="007A3223">
        <w:t xml:space="preserve">. </w:t>
      </w:r>
      <w:r w:rsidR="0097038E" w:rsidRPr="007A3223">
        <w:t>One patient developed DLT (grade 4 hypertension and grade 2 TIA) who had previous history of cardiovascular disease. Five patients</w:t>
      </w:r>
      <w:r w:rsidR="00166E95" w:rsidRPr="007A3223">
        <w:t xml:space="preserve"> tolerated </w:t>
      </w:r>
      <w:r w:rsidR="0097038E" w:rsidRPr="007A3223">
        <w:t>an intermittent cediranib schedule</w:t>
      </w:r>
      <w:r w:rsidR="00166E95" w:rsidRPr="007A3223">
        <w:t xml:space="preserve"> and three of them had PR</w:t>
      </w:r>
      <w:r w:rsidR="0097038E" w:rsidRPr="007A3223">
        <w:t xml:space="preserve">. </w:t>
      </w:r>
      <w:r w:rsidR="00B55B55" w:rsidRPr="007A3223">
        <w:t xml:space="preserve">Effective with Amendment H (version date </w:t>
      </w:r>
      <w:r w:rsidR="00214143" w:rsidRPr="007A3223">
        <w:t>0</w:t>
      </w:r>
      <w:r w:rsidR="00B55B55" w:rsidRPr="007A3223">
        <w:t>7/</w:t>
      </w:r>
      <w:r w:rsidR="00214143" w:rsidRPr="007A3223">
        <w:t>0</w:t>
      </w:r>
      <w:r w:rsidR="006F10B4" w:rsidRPr="007A3223">
        <w:t>7</w:t>
      </w:r>
      <w:r w:rsidR="00B55B55" w:rsidRPr="007A3223">
        <w:t xml:space="preserve">/2016), </w:t>
      </w:r>
      <w:r w:rsidR="00855A93" w:rsidRPr="007A3223">
        <w:t xml:space="preserve">we </w:t>
      </w:r>
      <w:r w:rsidR="00346332" w:rsidRPr="007A3223">
        <w:t>open</w:t>
      </w:r>
      <w:r w:rsidR="00537CC2" w:rsidRPr="007A3223">
        <w:t>ed</w:t>
      </w:r>
      <w:r w:rsidR="00346332" w:rsidRPr="007A3223">
        <w:t xml:space="preserve"> </w:t>
      </w:r>
      <w:r w:rsidR="00855A93" w:rsidRPr="007A3223">
        <w:t>the</w:t>
      </w:r>
      <w:r w:rsidR="00346332" w:rsidRPr="007A3223">
        <w:t xml:space="preserve"> Phase II study of </w:t>
      </w:r>
      <w:r w:rsidR="00B218E0">
        <w:t>Durvalumab</w:t>
      </w:r>
      <w:r w:rsidR="00346332" w:rsidRPr="007A3223">
        <w:t xml:space="preserve">+C in ovarian cancer, NSCLC, and CRC </w:t>
      </w:r>
      <w:r w:rsidR="00B55B55" w:rsidRPr="007A3223">
        <w:t>with</w:t>
      </w:r>
      <w:r w:rsidR="00346332" w:rsidRPr="007A3223">
        <w:t xml:space="preserve"> RP2D of </w:t>
      </w:r>
      <w:r w:rsidR="00B218E0">
        <w:t>Durvalumab</w:t>
      </w:r>
      <w:r w:rsidR="00346332" w:rsidRPr="007A3223">
        <w:t>+C</w:t>
      </w:r>
      <w:r w:rsidR="0097038E" w:rsidRPr="007A3223">
        <w:t xml:space="preserve"> (cediranib 20mg once a day (5 days on/2 days off) and </w:t>
      </w:r>
      <w:r w:rsidR="00B218E0">
        <w:t>Durvalumab</w:t>
      </w:r>
      <w:r w:rsidR="0097038E" w:rsidRPr="007A3223">
        <w:t xml:space="preserve"> at a fixed dose of 1500mg every 28days)</w:t>
      </w:r>
      <w:r w:rsidR="00346332" w:rsidRPr="007A3223">
        <w:t>.</w:t>
      </w:r>
      <w:r w:rsidRPr="007A3223">
        <w:t xml:space="preserve"> </w:t>
      </w:r>
    </w:p>
    <w:p w14:paraId="5E3ED18C" w14:textId="69CAA8A1" w:rsidR="005872C8" w:rsidRPr="007A3223" w:rsidRDefault="00B55B55" w:rsidP="00B53302">
      <w:pPr>
        <w:tabs>
          <w:tab w:val="left" w:pos="720"/>
        </w:tabs>
        <w:spacing w:line="22" w:lineRule="atLeast"/>
        <w:ind w:firstLine="360"/>
        <w:rPr>
          <w:lang w:eastAsia="ko-KR"/>
        </w:rPr>
      </w:pPr>
      <w:r w:rsidRPr="007A3223">
        <w:t>In addition, e</w:t>
      </w:r>
      <w:r w:rsidR="006E14C3" w:rsidRPr="007A3223">
        <w:t>ffective with Amendment G (version date 4/</w:t>
      </w:r>
      <w:r w:rsidR="009B55CE" w:rsidRPr="007A3223">
        <w:t>2</w:t>
      </w:r>
      <w:r w:rsidR="006E14C3" w:rsidRPr="007A3223">
        <w:t>8</w:t>
      </w:r>
      <w:r w:rsidR="00346332" w:rsidRPr="007A3223">
        <w:t>/2016),</w:t>
      </w:r>
      <w:r w:rsidR="006B60C1" w:rsidRPr="007A3223">
        <w:t xml:space="preserve"> w</w:t>
      </w:r>
      <w:r w:rsidR="005872C8" w:rsidRPr="007A3223">
        <w:t xml:space="preserve">e </w:t>
      </w:r>
      <w:r w:rsidRPr="007A3223">
        <w:t>opened t</w:t>
      </w:r>
      <w:r w:rsidR="00D35512" w:rsidRPr="007A3223">
        <w:t xml:space="preserve">he </w:t>
      </w:r>
      <w:r w:rsidR="000E2135" w:rsidRPr="007A3223">
        <w:t>P</w:t>
      </w:r>
      <w:r w:rsidRPr="007A3223">
        <w:t xml:space="preserve">hase </w:t>
      </w:r>
      <w:r w:rsidR="000E2135" w:rsidRPr="007A3223">
        <w:t>I</w:t>
      </w:r>
      <w:r w:rsidRPr="007A3223">
        <w:t xml:space="preserve"> </w:t>
      </w:r>
      <w:r w:rsidR="00D35512" w:rsidRPr="007A3223">
        <w:t>triplet (</w:t>
      </w:r>
      <w:r w:rsidR="00B218E0">
        <w:t>Durvalumab</w:t>
      </w:r>
      <w:r w:rsidR="00D35512" w:rsidRPr="007A3223">
        <w:t xml:space="preserve">+O+C) </w:t>
      </w:r>
      <w:r w:rsidR="0037100C" w:rsidRPr="007A3223">
        <w:t xml:space="preserve">cohort </w:t>
      </w:r>
      <w:r w:rsidR="00D35512" w:rsidRPr="007A3223">
        <w:t xml:space="preserve">using </w:t>
      </w:r>
      <w:r w:rsidR="005872C8" w:rsidRPr="007A3223">
        <w:t xml:space="preserve">an intermittent cediranib </w:t>
      </w:r>
      <w:r w:rsidR="006B60C1" w:rsidRPr="007A3223">
        <w:t xml:space="preserve">dose </w:t>
      </w:r>
      <w:r w:rsidR="005872C8" w:rsidRPr="007A3223">
        <w:t>schedule</w:t>
      </w:r>
      <w:r w:rsidR="00316B66" w:rsidRPr="007A3223">
        <w:t xml:space="preserve"> in advanced solid tumors</w:t>
      </w:r>
      <w:r w:rsidR="0037100C" w:rsidRPr="007A3223">
        <w:t xml:space="preserve"> to exa</w:t>
      </w:r>
      <w:r w:rsidR="004C15C5" w:rsidRPr="007A3223">
        <w:t>m</w:t>
      </w:r>
      <w:r w:rsidR="0037100C" w:rsidRPr="007A3223">
        <w:t>ine the safety</w:t>
      </w:r>
      <w:r w:rsidR="00D71506" w:rsidRPr="007A3223">
        <w:t xml:space="preserve"> and tolerability. As of April 2017, nine women were treated in this cohort. Of the 9 patients, 7 had ovarian, 1 endometrial and 1 triple negative breast cancer.  Grade 3 and 4 AEs include hypertension (1/9), anemia (1/9) and lymphopenia (3/9). No one </w:t>
      </w:r>
      <w:r w:rsidR="00D71506" w:rsidRPr="007A3223">
        <w:lastRenderedPageBreak/>
        <w:t>experienced DLTs. One patient required dose reduction during cycle 5, for grade 3 anemia. Three PRs were observed in 2 ovarian and 1 endometrial cancer (response rate of 33 % , median 5 months [4+-6+]).</w:t>
      </w:r>
      <w:r w:rsidR="00D71506" w:rsidRPr="007A3223">
        <w:rPr>
          <w:lang w:eastAsia="ko-KR"/>
        </w:rPr>
        <w:t xml:space="preserve"> </w:t>
      </w:r>
      <w:r w:rsidR="00D71506" w:rsidRPr="007A3223">
        <w:t xml:space="preserve">We identified the RP2D of a triplet therapy (olaparib tablets 300mg twice daily, cediranib 20mg once a day (5 days on/2 days off) and </w:t>
      </w:r>
      <w:r w:rsidR="00B218E0">
        <w:t>Durvalumab</w:t>
      </w:r>
      <w:r w:rsidR="00D71506" w:rsidRPr="007A3223">
        <w:t xml:space="preserve"> at a fixed dose of 1500mg every 28days). Effective with amendment M (version date 7/19/2017), we will open the Phase II study of </w:t>
      </w:r>
      <w:r w:rsidR="00B218E0">
        <w:t>Durvalumab</w:t>
      </w:r>
      <w:r w:rsidR="00D71506" w:rsidRPr="007A3223">
        <w:t>+O+C to study clinical activity in ovarian cancer patients</w:t>
      </w:r>
      <w:r w:rsidR="00E171A6" w:rsidRPr="007A3223">
        <w:t xml:space="preserve">.  </w:t>
      </w:r>
    </w:p>
    <w:p w14:paraId="2AF9D362" w14:textId="4B7A53B4" w:rsidR="009223B8" w:rsidRPr="000C1D10" w:rsidRDefault="000C1D10" w:rsidP="000C1D10">
      <w:pPr>
        <w:pStyle w:val="Heading2"/>
      </w:pPr>
      <w:bookmarkStart w:id="60" w:name="_Toc82444342"/>
      <w:r w:rsidRPr="000C1D10">
        <w:t>Pharmaceutical Manufacturer Updates</w:t>
      </w:r>
      <w:bookmarkEnd w:id="60"/>
    </w:p>
    <w:p w14:paraId="2EEA0EC3" w14:textId="73FA65BE" w:rsidR="000C1D10" w:rsidRPr="000C1D10" w:rsidRDefault="000C1D10" w:rsidP="000C1D10">
      <w:pPr>
        <w:pStyle w:val="Heading3"/>
      </w:pPr>
      <w:r w:rsidRPr="000C1D10">
        <w:t>Cediranib</w:t>
      </w:r>
    </w:p>
    <w:p w14:paraId="39F71101" w14:textId="4D6F4F80" w:rsidR="000C1D10" w:rsidRDefault="000C1D10" w:rsidP="000C1D10">
      <w:pPr>
        <w:spacing w:after="0"/>
      </w:pPr>
      <w:bookmarkStart w:id="61" w:name="1.2_Cediranib_tablets"/>
      <w:bookmarkStart w:id="62" w:name="_bookmark2"/>
      <w:bookmarkStart w:id="63" w:name="1._SUMMARY"/>
      <w:bookmarkStart w:id="64" w:name="1.1_Background"/>
      <w:bookmarkStart w:id="65" w:name="_bookmark0"/>
      <w:bookmarkStart w:id="66" w:name="_bookmark1"/>
      <w:bookmarkEnd w:id="61"/>
      <w:bookmarkEnd w:id="62"/>
      <w:bookmarkEnd w:id="63"/>
      <w:bookmarkEnd w:id="64"/>
      <w:bookmarkEnd w:id="65"/>
      <w:bookmarkEnd w:id="66"/>
      <w:r w:rsidRPr="000C1D10">
        <w:t>As of July</w:t>
      </w:r>
      <w:r w:rsidR="00116F73">
        <w:t xml:space="preserve"> 20,</w:t>
      </w:r>
      <w:r w:rsidRPr="000C1D10">
        <w:t xml:space="preserve"> 20</w:t>
      </w:r>
      <w:r w:rsidR="00767766">
        <w:t>20</w:t>
      </w:r>
      <w:r w:rsidRPr="000C1D10">
        <w:t>, the overall safety profile of cediranib is based on data from approximately</w:t>
      </w:r>
      <w:r w:rsidR="00F36186">
        <w:t xml:space="preserve"> </w:t>
      </w:r>
      <w:r w:rsidR="00767766">
        <w:t>3178</w:t>
      </w:r>
      <w:r w:rsidRPr="000C1D10">
        <w:t xml:space="preserve"> patients treated in AstraZeneca sponsored trials. These patients had various malignancies and were exposed to cediranib in combination with chemotherapy or as monotherapy, at doses ranging from 0.5 to 90 mg</w:t>
      </w:r>
      <w:r w:rsidR="00767766">
        <w:t>. A further</w:t>
      </w:r>
      <w:r w:rsidRPr="000C1D10">
        <w:t xml:space="preserve"> 3</w:t>
      </w:r>
      <w:r w:rsidR="00767766">
        <w:t>7</w:t>
      </w:r>
      <w:r w:rsidRPr="000C1D10">
        <w:t xml:space="preserve"> patients have received cediranib in a Named Patient Supply program. </w:t>
      </w:r>
      <w:r w:rsidR="00116F73">
        <w:t>In addition, a</w:t>
      </w:r>
      <w:r w:rsidRPr="000C1D10">
        <w:t xml:space="preserve">pproximately </w:t>
      </w:r>
      <w:r w:rsidR="00767766">
        <w:t>6077</w:t>
      </w:r>
      <w:r w:rsidRPr="000C1D10">
        <w:t xml:space="preserve"> patients have been enrolled in clinical trials in investigator</w:t>
      </w:r>
      <w:r w:rsidR="007B0530">
        <w:t>-</w:t>
      </w:r>
      <w:r w:rsidRPr="000C1D10">
        <w:t>led or collaborative group</w:t>
      </w:r>
      <w:r w:rsidR="007B0530">
        <w:t>-</w:t>
      </w:r>
      <w:r w:rsidRPr="000C1D10">
        <w:t>sponsored studies in which cediranib was supplied in one or more treatment arms.</w:t>
      </w:r>
    </w:p>
    <w:p w14:paraId="7A84FD04" w14:textId="660C176E" w:rsidR="0088768C" w:rsidRPr="000C1D10" w:rsidRDefault="0088768C" w:rsidP="008456D9">
      <w:pPr>
        <w:pStyle w:val="Heading3"/>
      </w:pPr>
      <w:r>
        <w:t>Olaparib</w:t>
      </w:r>
    </w:p>
    <w:p w14:paraId="4D2F232E" w14:textId="0CE6E7D2" w:rsidR="00F33B11" w:rsidRPr="007A3223" w:rsidRDefault="0088639E" w:rsidP="0088639E">
      <w:pPr>
        <w:spacing w:after="0"/>
      </w:pPr>
      <w:r>
        <w:t xml:space="preserve">Based on </w:t>
      </w:r>
      <w:r w:rsidR="00F57809">
        <w:t xml:space="preserve">data collected through </w:t>
      </w:r>
      <w:r w:rsidR="00892091" w:rsidRPr="00892091">
        <w:t xml:space="preserve">December </w:t>
      </w:r>
      <w:r w:rsidR="00F57809">
        <w:t xml:space="preserve">15, </w:t>
      </w:r>
      <w:r w:rsidR="00892091" w:rsidRPr="00892091">
        <w:t>2020</w:t>
      </w:r>
      <w:r w:rsidR="00F57809">
        <w:t xml:space="preserve">, substantial changes were made to the adverse drug reactions with the addition of </w:t>
      </w:r>
      <w:r>
        <w:t>Myelodysplastic syndrome, Normocytic anemia, Refractory anemia with an excess of blasts, Myeloid leukemia, Acute myeloid leukemia, Acute erythroid leukemia, Chronic myelomonocytic leukemia, Angioedema, Erythema nodosum, and Rash macular to the Rare and Serious category.</w:t>
      </w:r>
    </w:p>
    <w:p w14:paraId="2465679E" w14:textId="0CA920A7" w:rsidR="0091100E" w:rsidRPr="007A3223" w:rsidRDefault="0096611E" w:rsidP="00D20197">
      <w:pPr>
        <w:pStyle w:val="Heading1"/>
        <w:rPr>
          <w:rFonts w:hint="eastAsia"/>
        </w:rPr>
      </w:pPr>
      <w:bookmarkStart w:id="67" w:name="_Toc82444343"/>
      <w:r w:rsidRPr="007A3223">
        <w:t>ELIGIBILITY ASSESSMENT AND ENROLLMENT</w:t>
      </w:r>
      <w:bookmarkEnd w:id="67"/>
    </w:p>
    <w:p w14:paraId="6144CBF3" w14:textId="77777777" w:rsidR="00F33B11" w:rsidRPr="007A3223" w:rsidRDefault="002B1499" w:rsidP="00ED703B">
      <w:pPr>
        <w:pStyle w:val="Heading2"/>
      </w:pPr>
      <w:bookmarkStart w:id="68" w:name="_Toc405289973"/>
      <w:bookmarkStart w:id="69" w:name="_Toc405293035"/>
      <w:bookmarkStart w:id="70" w:name="_Toc405293457"/>
      <w:bookmarkStart w:id="71" w:name="_Toc82444344"/>
      <w:bookmarkEnd w:id="68"/>
      <w:bookmarkEnd w:id="69"/>
      <w:bookmarkEnd w:id="70"/>
      <w:r w:rsidRPr="007A3223">
        <w:t>Phase I Study Eligibility Criteria</w:t>
      </w:r>
      <w:bookmarkEnd w:id="71"/>
      <w:r w:rsidR="007C498E" w:rsidRPr="007A3223">
        <w:t xml:space="preserve"> </w:t>
      </w:r>
    </w:p>
    <w:p w14:paraId="275101EB" w14:textId="29899675" w:rsidR="00FA246B" w:rsidRPr="007A3223" w:rsidRDefault="00370A12" w:rsidP="000C1D10">
      <w:pPr>
        <w:pStyle w:val="Heading3"/>
      </w:pPr>
      <w:bookmarkStart w:id="72" w:name="_Toc250632162"/>
      <w:bookmarkStart w:id="73" w:name="_Toc281240075"/>
      <w:bookmarkStart w:id="74" w:name="_Toc281240317"/>
      <w:bookmarkStart w:id="75" w:name="_Toc288125059"/>
      <w:bookmarkStart w:id="76" w:name="_Toc399165744"/>
      <w:r w:rsidRPr="007A3223">
        <w:t>Inclusion c</w:t>
      </w:r>
      <w:r w:rsidR="00FA246B" w:rsidRPr="007A3223">
        <w:t>riteria</w:t>
      </w:r>
      <w:bookmarkEnd w:id="72"/>
      <w:bookmarkEnd w:id="73"/>
      <w:bookmarkEnd w:id="74"/>
      <w:bookmarkEnd w:id="75"/>
      <w:bookmarkEnd w:id="76"/>
    </w:p>
    <w:p w14:paraId="69C369A3" w14:textId="77777777" w:rsidR="00FA377B" w:rsidRPr="007A3223" w:rsidRDefault="0099612C" w:rsidP="00EA69AB">
      <w:pPr>
        <w:pStyle w:val="Heading4"/>
        <w:rPr>
          <w:noProof w:val="0"/>
          <w:szCs w:val="22"/>
        </w:rPr>
      </w:pPr>
      <w:bookmarkStart w:id="77" w:name="_Toc250632163"/>
      <w:bookmarkStart w:id="78" w:name="_Toc281240076"/>
      <w:bookmarkStart w:id="79" w:name="_Toc281240318"/>
      <w:r w:rsidRPr="007A3223">
        <w:rPr>
          <w:noProof w:val="0"/>
        </w:rPr>
        <w:t xml:space="preserve">Patients must have histologically or cytologically confirmed </w:t>
      </w:r>
      <w:r w:rsidR="00BA1A99" w:rsidRPr="007A3223">
        <w:rPr>
          <w:noProof w:val="0"/>
        </w:rPr>
        <w:t>advanced solid tumor</w:t>
      </w:r>
      <w:r w:rsidR="001F25A0" w:rsidRPr="007A3223">
        <w:rPr>
          <w:bCs w:val="0"/>
          <w:noProof w:val="0"/>
          <w:szCs w:val="22"/>
          <w:lang w:val="en-US" w:eastAsia="en-US"/>
        </w:rPr>
        <w:t xml:space="preserve"> </w:t>
      </w:r>
      <w:r w:rsidR="001F25A0" w:rsidRPr="007A3223">
        <w:rPr>
          <w:noProof w:val="0"/>
          <w:lang w:val="en-US"/>
        </w:rPr>
        <w:t>that is refractory to standard treatment or for which no standard treatment exists</w:t>
      </w:r>
      <w:r w:rsidR="00911BF7" w:rsidRPr="007A3223">
        <w:rPr>
          <w:noProof w:val="0"/>
        </w:rPr>
        <w:t>.</w:t>
      </w:r>
      <w:r w:rsidR="00BA1A99" w:rsidRPr="007A3223">
        <w:rPr>
          <w:noProof w:val="0"/>
        </w:rPr>
        <w:t xml:space="preserve"> </w:t>
      </w:r>
    </w:p>
    <w:p w14:paraId="08B8872E" w14:textId="77777777" w:rsidR="00BB5483" w:rsidRPr="007A3223" w:rsidRDefault="00BA1A99" w:rsidP="009303F1">
      <w:pPr>
        <w:pStyle w:val="Heading4"/>
        <w:rPr>
          <w:noProof w:val="0"/>
        </w:rPr>
      </w:pPr>
      <w:r w:rsidRPr="007A3223">
        <w:rPr>
          <w:noProof w:val="0"/>
        </w:rPr>
        <w:t>All patients must have evaluable disease; biomarker-only disease is not considered evaluable;</w:t>
      </w:r>
      <w:r w:rsidR="00FA377B" w:rsidRPr="007A3223">
        <w:rPr>
          <w:noProof w:val="0"/>
        </w:rPr>
        <w:t xml:space="preserve"> </w:t>
      </w:r>
      <w:r w:rsidRPr="007A3223">
        <w:rPr>
          <w:noProof w:val="0"/>
        </w:rPr>
        <w:t xml:space="preserve">eligibility of </w:t>
      </w:r>
      <w:r w:rsidR="00E75BBA" w:rsidRPr="007A3223">
        <w:rPr>
          <w:noProof w:val="0"/>
        </w:rPr>
        <w:t xml:space="preserve">breast cancer with </w:t>
      </w:r>
      <w:r w:rsidRPr="007A3223">
        <w:rPr>
          <w:noProof w:val="0"/>
        </w:rPr>
        <w:t xml:space="preserve">bone only disease is a </w:t>
      </w:r>
      <w:r w:rsidR="00E659B7" w:rsidRPr="007A3223">
        <w:rPr>
          <w:noProof w:val="0"/>
        </w:rPr>
        <w:t xml:space="preserve">principal </w:t>
      </w:r>
      <w:r w:rsidR="00115727" w:rsidRPr="007A3223">
        <w:rPr>
          <w:noProof w:val="0"/>
        </w:rPr>
        <w:t>investigator</w:t>
      </w:r>
      <w:r w:rsidR="00E659B7" w:rsidRPr="007A3223">
        <w:rPr>
          <w:noProof w:val="0"/>
        </w:rPr>
        <w:t xml:space="preserve"> (</w:t>
      </w:r>
      <w:r w:rsidRPr="007A3223">
        <w:rPr>
          <w:noProof w:val="0"/>
        </w:rPr>
        <w:t>PI</w:t>
      </w:r>
      <w:r w:rsidR="00E659B7" w:rsidRPr="007A3223">
        <w:rPr>
          <w:noProof w:val="0"/>
        </w:rPr>
        <w:t>)</w:t>
      </w:r>
      <w:r w:rsidRPr="007A3223">
        <w:rPr>
          <w:noProof w:val="0"/>
        </w:rPr>
        <w:t xml:space="preserve"> decision on an individual patient basis</w:t>
      </w:r>
      <w:r w:rsidR="00E75BBA" w:rsidRPr="007A3223">
        <w:rPr>
          <w:noProof w:val="0"/>
        </w:rPr>
        <w:t>.</w:t>
      </w:r>
    </w:p>
    <w:p w14:paraId="2A26B7F2" w14:textId="77777777" w:rsidR="00521942" w:rsidRPr="007A3223" w:rsidRDefault="00BB5483" w:rsidP="00BB5483">
      <w:pPr>
        <w:pStyle w:val="Heading4"/>
        <w:rPr>
          <w:noProof w:val="0"/>
          <w:szCs w:val="24"/>
        </w:rPr>
      </w:pPr>
      <w:r w:rsidRPr="007A3223">
        <w:rPr>
          <w:noProof w:val="0"/>
        </w:rPr>
        <w:t xml:space="preserve">Age </w:t>
      </w:r>
      <w:r w:rsidRPr="007A3223">
        <w:rPr>
          <w:noProof w:val="0"/>
          <w:u w:val="single"/>
        </w:rPr>
        <w:t>&gt;</w:t>
      </w:r>
      <w:r w:rsidRPr="007A3223">
        <w:rPr>
          <w:noProof w:val="0"/>
        </w:rPr>
        <w:t>18 years.</w:t>
      </w:r>
    </w:p>
    <w:p w14:paraId="3E1CB258" w14:textId="77777777" w:rsidR="00E47ACA" w:rsidRPr="007A3223" w:rsidRDefault="00BB5483" w:rsidP="00E47ACA">
      <w:pPr>
        <w:pStyle w:val="Heading4"/>
      </w:pPr>
      <w:r w:rsidRPr="007A3223">
        <w:rPr>
          <w:noProof w:val="0"/>
        </w:rPr>
        <w:t xml:space="preserve">ECOG performance status </w:t>
      </w:r>
      <w:r w:rsidRPr="007A3223">
        <w:rPr>
          <w:noProof w:val="0"/>
          <w:u w:val="single"/>
        </w:rPr>
        <w:t>&lt;</w:t>
      </w:r>
      <w:r w:rsidRPr="007A3223">
        <w:rPr>
          <w:noProof w:val="0"/>
        </w:rPr>
        <w:t>2. (See</w:t>
      </w:r>
      <w:r w:rsidRPr="007A3223">
        <w:rPr>
          <w:b/>
          <w:noProof w:val="0"/>
          <w:color w:val="0000FF"/>
        </w:rPr>
        <w:t xml:space="preserve"> </w:t>
      </w:r>
      <w:r w:rsidR="00307B04" w:rsidRPr="00F33908">
        <w:fldChar w:fldCharType="begin"/>
      </w:r>
      <w:r w:rsidR="00307B04" w:rsidRPr="007A3223">
        <w:instrText xml:space="preserve"> REF _Ref398887943 \h  \* MERGEFORMAT </w:instrText>
      </w:r>
      <w:r w:rsidR="00307B04" w:rsidRPr="00F33908">
        <w:fldChar w:fldCharType="separate"/>
      </w:r>
      <w:r w:rsidR="00E47ACA" w:rsidRPr="00E47ACA">
        <w:rPr>
          <w:b/>
          <w:noProof w:val="0"/>
          <w:color w:val="0000FF"/>
        </w:rPr>
        <w:t>APPENDICES</w:t>
      </w:r>
    </w:p>
    <w:p w14:paraId="77A5B146" w14:textId="128CE203" w:rsidR="00BB5483" w:rsidRPr="00F33908" w:rsidRDefault="00E47ACA" w:rsidP="00DF0112">
      <w:r w:rsidRPr="00DF0112">
        <w:rPr>
          <w:b/>
          <w:bCs/>
          <w:color w:val="0000FF"/>
        </w:rPr>
        <w:t>Append</w:t>
      </w:r>
      <w:r w:rsidRPr="00DF0112">
        <w:rPr>
          <w:rStyle w:val="crossreferenceChar"/>
        </w:rPr>
        <w:t>ix A</w:t>
      </w:r>
      <w:r w:rsidR="00307B04" w:rsidRPr="00F33908">
        <w:fldChar w:fldCharType="end"/>
      </w:r>
      <w:r w:rsidR="00BB5483" w:rsidRPr="007A3223">
        <w:t>)</w:t>
      </w:r>
    </w:p>
    <w:p w14:paraId="2A8EB3B5" w14:textId="77777777" w:rsidR="00BB5483" w:rsidRPr="007A3223" w:rsidRDefault="00BB5483" w:rsidP="00BB5483">
      <w:pPr>
        <w:pStyle w:val="Heading4"/>
        <w:rPr>
          <w:noProof w:val="0"/>
        </w:rPr>
      </w:pPr>
      <w:r w:rsidRPr="007A3223">
        <w:rPr>
          <w:noProof w:val="0"/>
        </w:rPr>
        <w:t xml:space="preserve">Patients must have adequate organ and marrow function as defined below: </w:t>
      </w:r>
    </w:p>
    <w:p w14:paraId="3F90E22C"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absolute neutrophil count</w:t>
      </w:r>
      <w:r w:rsidRPr="007A3223">
        <w:rPr>
          <w:szCs w:val="24"/>
        </w:rPr>
        <w:tab/>
      </w:r>
      <w:r w:rsidRPr="007A3223">
        <w:rPr>
          <w:rFonts w:hint="eastAsia"/>
          <w:szCs w:val="24"/>
        </w:rPr>
        <w:t>≥</w:t>
      </w:r>
      <w:r w:rsidRPr="007A3223">
        <w:rPr>
          <w:szCs w:val="24"/>
        </w:rPr>
        <w:t xml:space="preserve"> 1,500/mcL</w:t>
      </w:r>
    </w:p>
    <w:p w14:paraId="34418D66"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white blood cell (WBC)</w:t>
      </w:r>
      <w:r w:rsidRPr="007A3223">
        <w:rPr>
          <w:szCs w:val="24"/>
        </w:rPr>
        <w:tab/>
      </w:r>
      <w:r w:rsidRPr="007A3223">
        <w:rPr>
          <w:szCs w:val="24"/>
          <w:u w:val="single"/>
        </w:rPr>
        <w:t>&gt;</w:t>
      </w:r>
      <w:r w:rsidRPr="007A3223">
        <w:rPr>
          <w:szCs w:val="24"/>
          <w:lang w:eastAsia="ko-KR"/>
        </w:rPr>
        <w:t xml:space="preserve"> </w:t>
      </w:r>
      <w:r w:rsidRPr="007A3223">
        <w:rPr>
          <w:szCs w:val="24"/>
        </w:rPr>
        <w:t>3,000/mcL</w:t>
      </w:r>
    </w:p>
    <w:p w14:paraId="51DA4C9C"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platelets</w:t>
      </w:r>
      <w:r w:rsidRPr="007A3223">
        <w:rPr>
          <w:szCs w:val="24"/>
        </w:rPr>
        <w:tab/>
      </w:r>
      <w:r w:rsidRPr="007A3223">
        <w:rPr>
          <w:rFonts w:hint="eastAsia"/>
          <w:szCs w:val="24"/>
        </w:rPr>
        <w:t>≥</w:t>
      </w:r>
      <w:r w:rsidRPr="007A3223">
        <w:rPr>
          <w:szCs w:val="24"/>
        </w:rPr>
        <w:t xml:space="preserve"> 100,000/mcL</w:t>
      </w:r>
    </w:p>
    <w:p w14:paraId="3EB9CC3F" w14:textId="77777777" w:rsidR="00BC2034"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hemoglobin</w:t>
      </w:r>
      <w:r w:rsidR="00BC2034" w:rsidRPr="007A3223">
        <w:rPr>
          <w:szCs w:val="24"/>
        </w:rPr>
        <w:t xml:space="preserve"> (Hgb)</w:t>
      </w:r>
      <w:r w:rsidRPr="007A3223">
        <w:rPr>
          <w:szCs w:val="24"/>
        </w:rPr>
        <w:tab/>
      </w:r>
      <w:r w:rsidRPr="007A3223">
        <w:rPr>
          <w:rFonts w:hint="eastAsia"/>
          <w:szCs w:val="24"/>
        </w:rPr>
        <w:t>≥</w:t>
      </w:r>
      <w:r w:rsidRPr="007A3223">
        <w:rPr>
          <w:szCs w:val="24"/>
        </w:rPr>
        <w:t xml:space="preserve"> 10 g/dL</w:t>
      </w:r>
      <w:r w:rsidR="00BC2034" w:rsidRPr="007A3223">
        <w:rPr>
          <w:szCs w:val="24"/>
        </w:rPr>
        <w:t xml:space="preserve"> </w:t>
      </w:r>
      <w:r w:rsidR="004B5D41" w:rsidRPr="007A3223">
        <w:rPr>
          <w:szCs w:val="24"/>
        </w:rPr>
        <w:t xml:space="preserve">in the absence of packed red blood cell transfusion 28 days prior to </w:t>
      </w:r>
      <w:r w:rsidR="004B5D41" w:rsidRPr="007A3223">
        <w:rPr>
          <w:szCs w:val="24"/>
        </w:rPr>
        <w:lastRenderedPageBreak/>
        <w:t>dosing</w:t>
      </w:r>
      <w:r w:rsidR="00BC2034" w:rsidRPr="007A3223">
        <w:t xml:space="preserve"> </w:t>
      </w:r>
    </w:p>
    <w:p w14:paraId="78DD62FA" w14:textId="77777777" w:rsidR="00BC2034" w:rsidRPr="007A3223" w:rsidRDefault="00BC2034" w:rsidP="00BC2034">
      <w:pPr>
        <w:widowControl w:val="0"/>
        <w:tabs>
          <w:tab w:val="left" w:pos="1530"/>
          <w:tab w:val="left" w:pos="5040"/>
        </w:tabs>
        <w:suppressAutoHyphens/>
        <w:spacing w:after="0"/>
        <w:ind w:left="1260"/>
        <w:rPr>
          <w:szCs w:val="24"/>
        </w:rPr>
      </w:pPr>
      <w:r w:rsidRPr="007A3223">
        <w:rPr>
          <w:szCs w:val="24"/>
        </w:rPr>
        <w:t xml:space="preserve">                                                      OR</w:t>
      </w:r>
    </w:p>
    <w:p w14:paraId="602B05B5" w14:textId="77777777" w:rsidR="00BB5483" w:rsidRPr="007A3223" w:rsidRDefault="00BC2034" w:rsidP="00177D10">
      <w:pPr>
        <w:widowControl w:val="0"/>
        <w:numPr>
          <w:ilvl w:val="0"/>
          <w:numId w:val="6"/>
        </w:numPr>
        <w:tabs>
          <w:tab w:val="left" w:pos="1530"/>
          <w:tab w:val="left" w:pos="5040"/>
        </w:tabs>
        <w:suppressAutoHyphens/>
        <w:spacing w:after="0"/>
        <w:ind w:left="5040" w:hanging="3780"/>
        <w:rPr>
          <w:szCs w:val="24"/>
        </w:rPr>
      </w:pPr>
      <w:r w:rsidRPr="007A3223">
        <w:rPr>
          <w:szCs w:val="24"/>
        </w:rPr>
        <w:t xml:space="preserve">Hgb 9-9.9 g/dL and the value is constant across 2 readings within 2 weeks, </w:t>
      </w:r>
      <w:r w:rsidR="004B5D41" w:rsidRPr="007A3223">
        <w:rPr>
          <w:szCs w:val="24"/>
        </w:rPr>
        <w:t>in the absence of packed red blood cell transfusion 28 days prior to dosing</w:t>
      </w:r>
      <w:r w:rsidRPr="007A3223">
        <w:rPr>
          <w:szCs w:val="24"/>
        </w:rPr>
        <w:t xml:space="preserve">  </w:t>
      </w:r>
    </w:p>
    <w:p w14:paraId="6D86D861"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total bilirubin</w:t>
      </w:r>
      <w:r w:rsidRPr="007A3223">
        <w:rPr>
          <w:szCs w:val="24"/>
        </w:rPr>
        <w:tab/>
      </w:r>
      <w:r w:rsidRPr="007A3223">
        <w:rPr>
          <w:rFonts w:hint="eastAsia"/>
          <w:szCs w:val="24"/>
        </w:rPr>
        <w:t>≤</w:t>
      </w:r>
      <w:r w:rsidRPr="007A3223">
        <w:rPr>
          <w:szCs w:val="24"/>
        </w:rPr>
        <w:t xml:space="preserve">  1.5 X the normal institutional limits</w:t>
      </w:r>
    </w:p>
    <w:p w14:paraId="6927E318"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AST(SGOT)/ALT(SGPT)</w:t>
      </w:r>
      <w:r w:rsidRPr="007A3223">
        <w:rPr>
          <w:szCs w:val="24"/>
        </w:rPr>
        <w:tab/>
      </w:r>
      <w:r w:rsidRPr="007A3223">
        <w:rPr>
          <w:rFonts w:hint="eastAsia"/>
          <w:szCs w:val="24"/>
        </w:rPr>
        <w:t>≤</w:t>
      </w:r>
      <w:r w:rsidRPr="007A3223">
        <w:rPr>
          <w:rFonts w:hint="eastAsia"/>
          <w:szCs w:val="24"/>
        </w:rPr>
        <w:t xml:space="preserve"> </w:t>
      </w:r>
      <w:r w:rsidR="00627931" w:rsidRPr="007A3223">
        <w:rPr>
          <w:szCs w:val="24"/>
        </w:rPr>
        <w:t xml:space="preserve"> </w:t>
      </w:r>
      <w:r w:rsidRPr="007A3223">
        <w:rPr>
          <w:szCs w:val="24"/>
        </w:rPr>
        <w:t>2.5 X institutional upper limit of normal</w:t>
      </w:r>
    </w:p>
    <w:p w14:paraId="3A3FF240"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creatinine</w:t>
      </w:r>
      <w:r w:rsidRPr="007A3223">
        <w:rPr>
          <w:szCs w:val="24"/>
        </w:rPr>
        <w:tab/>
      </w:r>
      <w:r w:rsidR="00E75BBA" w:rsidRPr="007A3223">
        <w:rPr>
          <w:rFonts w:hint="eastAsia"/>
          <w:szCs w:val="24"/>
        </w:rPr>
        <w:t>≤</w:t>
      </w:r>
      <w:r w:rsidR="00E75BBA" w:rsidRPr="007A3223">
        <w:rPr>
          <w:rFonts w:hint="eastAsia"/>
          <w:szCs w:val="24"/>
        </w:rPr>
        <w:t xml:space="preserve">  1.5 X </w:t>
      </w:r>
      <w:r w:rsidRPr="007A3223">
        <w:rPr>
          <w:szCs w:val="24"/>
        </w:rPr>
        <w:t>within normal institutional limits</w:t>
      </w:r>
    </w:p>
    <w:p w14:paraId="423D559F" w14:textId="77777777" w:rsidR="00BB5483" w:rsidRPr="007A3223" w:rsidRDefault="00BB5483" w:rsidP="00BB5483">
      <w:pPr>
        <w:widowControl w:val="0"/>
        <w:suppressAutoHyphens/>
        <w:spacing w:after="0"/>
        <w:jc w:val="center"/>
        <w:rPr>
          <w:szCs w:val="24"/>
        </w:rPr>
      </w:pPr>
      <w:r w:rsidRPr="007A3223">
        <w:rPr>
          <w:szCs w:val="24"/>
        </w:rPr>
        <w:t>OR</w:t>
      </w:r>
    </w:p>
    <w:p w14:paraId="460A7C78" w14:textId="77777777" w:rsidR="00BB5483" w:rsidRPr="007A3223" w:rsidRDefault="00E75BBA" w:rsidP="00CA5DEE">
      <w:pPr>
        <w:widowControl w:val="0"/>
        <w:tabs>
          <w:tab w:val="left" w:pos="1530"/>
          <w:tab w:val="left" w:pos="4680"/>
        </w:tabs>
        <w:suppressAutoHyphens/>
        <w:spacing w:after="0"/>
        <w:ind w:left="5040" w:hanging="2520"/>
        <w:rPr>
          <w:szCs w:val="24"/>
        </w:rPr>
      </w:pPr>
      <w:r w:rsidRPr="007A3223">
        <w:rPr>
          <w:szCs w:val="24"/>
        </w:rPr>
        <w:t xml:space="preserve">measured </w:t>
      </w:r>
      <w:r w:rsidR="00BB5483" w:rsidRPr="007A3223">
        <w:rPr>
          <w:szCs w:val="24"/>
        </w:rPr>
        <w:t>creatinine clearance</w:t>
      </w:r>
      <w:r w:rsidR="0005346F" w:rsidRPr="007A3223">
        <w:rPr>
          <w:szCs w:val="24"/>
        </w:rPr>
        <w:t xml:space="preserve"> </w:t>
      </w:r>
      <w:r w:rsidR="00BB5483" w:rsidRPr="007A3223">
        <w:rPr>
          <w:szCs w:val="24"/>
          <w:u w:val="single"/>
        </w:rPr>
        <w:t xml:space="preserve">&gt; </w:t>
      </w:r>
      <w:r w:rsidR="000F32F8" w:rsidRPr="007A3223">
        <w:rPr>
          <w:szCs w:val="24"/>
        </w:rPr>
        <w:t>50</w:t>
      </w:r>
      <w:r w:rsidR="00BB5483" w:rsidRPr="007A3223">
        <w:rPr>
          <w:szCs w:val="24"/>
        </w:rPr>
        <w:t xml:space="preserve"> mL/min/1.73 m</w:t>
      </w:r>
      <w:r w:rsidR="00BB5483" w:rsidRPr="007A3223">
        <w:rPr>
          <w:szCs w:val="24"/>
          <w:vertAlign w:val="superscript"/>
        </w:rPr>
        <w:t>2</w:t>
      </w:r>
      <w:r w:rsidR="00BB5483" w:rsidRPr="007A3223">
        <w:rPr>
          <w:szCs w:val="24"/>
        </w:rPr>
        <w:t xml:space="preserve"> </w:t>
      </w:r>
    </w:p>
    <w:p w14:paraId="1B55DAEB" w14:textId="77777777" w:rsidR="00BB5483" w:rsidRPr="007A3223" w:rsidRDefault="00BB5483" w:rsidP="00177D10">
      <w:pPr>
        <w:widowControl w:val="0"/>
        <w:numPr>
          <w:ilvl w:val="0"/>
          <w:numId w:val="6"/>
        </w:numPr>
        <w:tabs>
          <w:tab w:val="left" w:pos="1530"/>
          <w:tab w:val="left" w:pos="5040"/>
        </w:tabs>
        <w:suppressAutoHyphens/>
        <w:spacing w:after="0"/>
        <w:ind w:left="5040" w:hanging="3780"/>
        <w:rPr>
          <w:szCs w:val="24"/>
        </w:rPr>
      </w:pPr>
      <w:r w:rsidRPr="007A3223">
        <w:rPr>
          <w:szCs w:val="24"/>
        </w:rPr>
        <w:t>Spot urine protein/creatinine ratio</w:t>
      </w:r>
      <w:r w:rsidRPr="007A3223">
        <w:rPr>
          <w:szCs w:val="24"/>
        </w:rPr>
        <w:tab/>
      </w:r>
      <w:r w:rsidRPr="007A3223">
        <w:rPr>
          <w:rFonts w:hint="eastAsia"/>
          <w:szCs w:val="24"/>
        </w:rPr>
        <w:t>≤</w:t>
      </w:r>
      <w:r w:rsidRPr="007A3223">
        <w:rPr>
          <w:szCs w:val="24"/>
        </w:rPr>
        <w:t xml:space="preserve"> 1</w:t>
      </w:r>
    </w:p>
    <w:p w14:paraId="47BC1C3F" w14:textId="77777777" w:rsidR="00BB5483" w:rsidRPr="007A3223" w:rsidRDefault="00BB5483" w:rsidP="00BB5483">
      <w:pPr>
        <w:widowControl w:val="0"/>
        <w:suppressAutoHyphens/>
        <w:spacing w:after="0"/>
        <w:jc w:val="center"/>
        <w:rPr>
          <w:szCs w:val="24"/>
        </w:rPr>
      </w:pPr>
      <w:r w:rsidRPr="007A3223">
        <w:rPr>
          <w:szCs w:val="24"/>
        </w:rPr>
        <w:t>OR</w:t>
      </w:r>
    </w:p>
    <w:p w14:paraId="1694838B" w14:textId="77777777" w:rsidR="00BB5483" w:rsidRPr="007A3223" w:rsidRDefault="00BB5483" w:rsidP="00CA5DEE">
      <w:pPr>
        <w:widowControl w:val="0"/>
        <w:tabs>
          <w:tab w:val="left" w:pos="1530"/>
          <w:tab w:val="left" w:pos="5040"/>
        </w:tabs>
        <w:suppressAutoHyphens/>
        <w:spacing w:after="0"/>
        <w:ind w:left="5040" w:hanging="2520"/>
        <w:rPr>
          <w:szCs w:val="24"/>
        </w:rPr>
      </w:pPr>
      <w:r w:rsidRPr="007A3223">
        <w:rPr>
          <w:szCs w:val="24"/>
        </w:rPr>
        <w:t>24 hour urine protein</w:t>
      </w:r>
      <w:r w:rsidRPr="007A3223">
        <w:rPr>
          <w:szCs w:val="24"/>
        </w:rPr>
        <w:tab/>
      </w:r>
      <w:r w:rsidRPr="007A3223">
        <w:rPr>
          <w:rFonts w:hint="eastAsia"/>
          <w:szCs w:val="24"/>
        </w:rPr>
        <w:t>≤</w:t>
      </w:r>
      <w:r w:rsidRPr="007A3223">
        <w:rPr>
          <w:szCs w:val="24"/>
        </w:rPr>
        <w:t xml:space="preserve"> 1000 mg</w:t>
      </w:r>
    </w:p>
    <w:p w14:paraId="5A871920" w14:textId="77777777" w:rsidR="00BB5483" w:rsidRPr="007A3223" w:rsidRDefault="00BB5483" w:rsidP="0042288D">
      <w:pPr>
        <w:pStyle w:val="Heading4"/>
        <w:rPr>
          <w:noProof w:val="0"/>
        </w:rPr>
      </w:pPr>
      <w:r w:rsidRPr="007A3223">
        <w:rPr>
          <w:noProof w:val="0"/>
        </w:rPr>
        <w:t xml:space="preserve">Patients are allowed to have received prior PARP inhibitors (PARPi), </w:t>
      </w:r>
      <w:r w:rsidR="00786ACA" w:rsidRPr="007A3223">
        <w:rPr>
          <w:noProof w:val="0"/>
          <w:lang w:val="en-US"/>
        </w:rPr>
        <w:t>and/or</w:t>
      </w:r>
      <w:r w:rsidRPr="007A3223">
        <w:rPr>
          <w:noProof w:val="0"/>
        </w:rPr>
        <w:t xml:space="preserve"> anti-angiogenesis therapy including but not limited to thalidomide, bevacizumab, sunitinib, sorafenib, or other anti-angiogenics. </w:t>
      </w:r>
      <w:r w:rsidR="0042288D" w:rsidRPr="007A3223">
        <w:rPr>
          <w:noProof w:val="0"/>
        </w:rPr>
        <w:t xml:space="preserve">However, patients who were treated with both olaparib and cediranib, either in combination or sequentially are not eligible. </w:t>
      </w:r>
      <w:r w:rsidRPr="007A3223">
        <w:rPr>
          <w:noProof w:val="0"/>
        </w:rPr>
        <w:t>For this study, BSI-201</w:t>
      </w:r>
      <w:r w:rsidR="0010178D" w:rsidRPr="007A3223">
        <w:rPr>
          <w:noProof w:val="0"/>
        </w:rPr>
        <w:t xml:space="preserve"> (iniparib)</w:t>
      </w:r>
      <w:r w:rsidRPr="007A3223">
        <w:rPr>
          <w:noProof w:val="0"/>
        </w:rPr>
        <w:t xml:space="preserve"> is not considered as PARPi.</w:t>
      </w:r>
      <w:r w:rsidR="0042288D" w:rsidRPr="007A3223">
        <w:rPr>
          <w:noProof w:val="0"/>
        </w:rPr>
        <w:t xml:space="preserve"> </w:t>
      </w:r>
    </w:p>
    <w:p w14:paraId="0BDBD238" w14:textId="77777777" w:rsidR="00BB5483" w:rsidRPr="007A3223" w:rsidRDefault="00BB5483" w:rsidP="00BB5483">
      <w:pPr>
        <w:pStyle w:val="Heading4"/>
        <w:rPr>
          <w:noProof w:val="0"/>
        </w:rPr>
      </w:pPr>
      <w:r w:rsidRPr="007A3223">
        <w:rPr>
          <w:noProof w:val="0"/>
        </w:rPr>
        <w:t>Patients must be able to swallow oral medications (capsules and tablets) without chewing, breaking, crushing, opening or otherwise altering the product formulation. They should not have gastrointestinal illnesses that would preclude the absorption of cediranib or olaparib, which are oral agents.</w:t>
      </w:r>
    </w:p>
    <w:p w14:paraId="0B1C6FE9" w14:textId="6AC9CC17" w:rsidR="00BB5483" w:rsidRPr="007A3223" w:rsidRDefault="00BB5483" w:rsidP="00BB5483">
      <w:pPr>
        <w:pStyle w:val="Heading4"/>
        <w:rPr>
          <w:noProof w:val="0"/>
        </w:rPr>
      </w:pPr>
      <w:r w:rsidRPr="007A3223">
        <w:rPr>
          <w:noProof w:val="0"/>
        </w:rPr>
        <w:t>Adequately controlled blood pressure (SBP &lt; 140 mm Hg</w:t>
      </w:r>
      <w:r w:rsidR="009303F1" w:rsidRPr="007A3223">
        <w:rPr>
          <w:noProof w:val="0"/>
        </w:rPr>
        <w:t xml:space="preserve"> and </w:t>
      </w:r>
      <w:r w:rsidRPr="007A3223">
        <w:rPr>
          <w:noProof w:val="0"/>
        </w:rPr>
        <w:t xml:space="preserve">DBP &lt; 90mmHg) on a maximum of three antihypertensive medications. </w:t>
      </w:r>
    </w:p>
    <w:p w14:paraId="5CFDEEA5" w14:textId="77777777" w:rsidR="00BB5483" w:rsidRPr="007A3223" w:rsidRDefault="00BB5483" w:rsidP="00BB5483">
      <w:pPr>
        <w:pStyle w:val="Heading4"/>
        <w:rPr>
          <w:noProof w:val="0"/>
        </w:rPr>
      </w:pPr>
      <w:r w:rsidRPr="007A3223">
        <w:rPr>
          <w:noProof w:val="0"/>
        </w:rPr>
        <w:t>Toxicities of prior therapy (excepting alopecia) should be resolved to less than or equal to Grade 1 as per CTCAE v 4.03 (</w:t>
      </w:r>
      <w:hyperlink r:id="rId35" w:history="1">
        <w:r w:rsidR="00385D22" w:rsidRPr="00F33908">
          <w:rPr>
            <w:rStyle w:val="Hyperlink"/>
            <w:noProof w:val="0"/>
          </w:rPr>
          <w:t>http://ctep.cancer.gov/protocolDevelopment/electronic_applications/ctc.htm</w:t>
        </w:r>
      </w:hyperlink>
      <w:r w:rsidRPr="007A3223">
        <w:rPr>
          <w:rFonts w:hint="eastAsia"/>
          <w:noProof w:val="0"/>
        </w:rPr>
        <w:t>)</w:t>
      </w:r>
      <w:r w:rsidR="00385D22" w:rsidRPr="00F33908">
        <w:rPr>
          <w:noProof w:val="0"/>
          <w:lang w:val="en-US"/>
        </w:rPr>
        <w:t xml:space="preserve"> </w:t>
      </w:r>
      <w:r w:rsidR="00385D22" w:rsidRPr="007A3223">
        <w:rPr>
          <w:noProof w:val="0"/>
        </w:rPr>
        <w:t>except hemoglobin as shown in 2.1.1.6</w:t>
      </w:r>
      <w:r w:rsidRPr="007A3223">
        <w:rPr>
          <w:noProof w:val="0"/>
        </w:rPr>
        <w:t>. Patients with long-standing stable grade 2 neuropathy may be considered after discussion with the PI.</w:t>
      </w:r>
    </w:p>
    <w:p w14:paraId="14B92834" w14:textId="77777777" w:rsidR="00BB5483" w:rsidRPr="007A3223" w:rsidRDefault="00BB5483" w:rsidP="00BB5483">
      <w:pPr>
        <w:pStyle w:val="Heading4"/>
        <w:rPr>
          <w:noProof w:val="0"/>
        </w:rPr>
      </w:pPr>
      <w:r w:rsidRPr="007A3223">
        <w:rPr>
          <w:noProof w:val="0"/>
        </w:rPr>
        <w:t>Ability of subject to understand and the willingness to sign a written informed consent document prior to any protocol related procedures, including screening evaluations.</w:t>
      </w:r>
    </w:p>
    <w:p w14:paraId="1E481AD3" w14:textId="00A69EAF" w:rsidR="00787709" w:rsidRPr="007A3223" w:rsidRDefault="00BB5483" w:rsidP="00787709">
      <w:pPr>
        <w:pStyle w:val="Heading4"/>
        <w:rPr>
          <w:rFonts w:ascii="Times" w:hAnsi="Times"/>
          <w:noProof w:val="0"/>
        </w:rPr>
      </w:pPr>
      <w:r w:rsidRPr="007A3223">
        <w:rPr>
          <w:rFonts w:ascii="Times" w:hAnsi="Times"/>
          <w:noProof w:val="0"/>
        </w:rPr>
        <w:t xml:space="preserve">Ability of subject to understand and the willingness to record twice-daily blood pressure readings if the patient is enrolled to the </w:t>
      </w:r>
      <w:r w:rsidR="00B218E0">
        <w:rPr>
          <w:rFonts w:ascii="Times" w:hAnsi="Times"/>
          <w:noProof w:val="0"/>
          <w:lang w:val="en-US"/>
        </w:rPr>
        <w:t>Durvalumab</w:t>
      </w:r>
      <w:r w:rsidR="000930F6" w:rsidRPr="007A3223">
        <w:rPr>
          <w:rFonts w:ascii="Times" w:hAnsi="Times"/>
          <w:noProof w:val="0"/>
        </w:rPr>
        <w:t>+</w:t>
      </w:r>
      <w:r w:rsidRPr="007A3223">
        <w:rPr>
          <w:rFonts w:ascii="Times" w:hAnsi="Times"/>
          <w:noProof w:val="0"/>
        </w:rPr>
        <w:t>C arm</w:t>
      </w:r>
      <w:r w:rsidR="00DD2470" w:rsidRPr="007A3223">
        <w:rPr>
          <w:rFonts w:ascii="Times" w:hAnsi="Times"/>
          <w:noProof w:val="0"/>
        </w:rPr>
        <w:t xml:space="preserve"> or </w:t>
      </w:r>
      <w:r w:rsidR="00B218E0">
        <w:rPr>
          <w:rFonts w:ascii="Times" w:hAnsi="Times"/>
          <w:noProof w:val="0"/>
          <w:lang w:val="en-US"/>
        </w:rPr>
        <w:t>Durvalumab</w:t>
      </w:r>
      <w:r w:rsidR="00DD2470" w:rsidRPr="007A3223">
        <w:rPr>
          <w:rFonts w:ascii="Times" w:hAnsi="Times"/>
          <w:noProof w:val="0"/>
        </w:rPr>
        <w:t>+O+C arm</w:t>
      </w:r>
      <w:r w:rsidRPr="007A3223">
        <w:rPr>
          <w:rFonts w:ascii="Times" w:hAnsi="Times"/>
          <w:noProof w:val="0"/>
        </w:rPr>
        <w:t xml:space="preserve">. </w:t>
      </w:r>
    </w:p>
    <w:p w14:paraId="4F39D284" w14:textId="229AB30B" w:rsidR="00BB5483" w:rsidRPr="007A3223" w:rsidRDefault="00BB5483" w:rsidP="00787709">
      <w:pPr>
        <w:pStyle w:val="Heading4"/>
        <w:rPr>
          <w:rFonts w:ascii="Times" w:hAnsi="Times"/>
          <w:noProof w:val="0"/>
        </w:rPr>
      </w:pPr>
      <w:r w:rsidRPr="007A3223">
        <w:rPr>
          <w:rFonts w:ascii="Times" w:hAnsi="Times"/>
          <w:noProof w:val="0"/>
        </w:rPr>
        <w:t>Female patients must either be of non-reproductive potential (</w:t>
      </w:r>
      <w:r w:rsidR="00AA51B7" w:rsidRPr="007A3223">
        <w:rPr>
          <w:rFonts w:ascii="Times" w:hAnsi="Times"/>
          <w:noProof w:val="0"/>
        </w:rPr>
        <w:t>i.e.</w:t>
      </w:r>
      <w:r w:rsidRPr="007A3223">
        <w:rPr>
          <w:rFonts w:ascii="Times" w:hAnsi="Times"/>
          <w:noProof w:val="0"/>
        </w:rPr>
        <w:t xml:space="preserve">, post-menopausal by history: </w:t>
      </w:r>
      <w:r w:rsidRPr="007A3223">
        <w:rPr>
          <w:rFonts w:ascii="Times" w:hAnsi="Times" w:hint="eastAsia"/>
          <w:noProof w:val="0"/>
        </w:rPr>
        <w:t>≥</w:t>
      </w:r>
      <w:r w:rsidRPr="007A3223">
        <w:rPr>
          <w:rFonts w:ascii="Times" w:hAnsi="Times" w:hint="eastAsia"/>
          <w:noProof w:val="0"/>
        </w:rPr>
        <w:t>60</w:t>
      </w:r>
      <w:r w:rsidRPr="007A3223">
        <w:rPr>
          <w:rFonts w:ascii="Times" w:hAnsi="Times"/>
          <w:noProof w:val="0"/>
        </w:rPr>
        <w:t xml:space="preserve"> years old and no menses for </w:t>
      </w:r>
      <w:r w:rsidRPr="007A3223">
        <w:rPr>
          <w:rFonts w:ascii="Times" w:hAnsi="Times" w:hint="eastAsia"/>
          <w:noProof w:val="0"/>
        </w:rPr>
        <w:t>≥</w:t>
      </w:r>
      <w:r w:rsidRPr="007A3223">
        <w:rPr>
          <w:rFonts w:ascii="Times" w:hAnsi="Times" w:hint="eastAsia"/>
          <w:noProof w:val="0"/>
        </w:rPr>
        <w:t>1</w:t>
      </w:r>
      <w:r w:rsidRPr="007A3223">
        <w:rPr>
          <w:rFonts w:ascii="Times" w:hAnsi="Times"/>
          <w:noProof w:val="0"/>
        </w:rPr>
        <w:t xml:space="preserve"> year without an alternative medical cause; OR history of hysterectomy, OR history of bilateral tubal ligation, OR history of bilateral oophorectomy) or must have a negative serum pregnancy test upon study entry</w:t>
      </w:r>
      <w:r w:rsidR="00813F52" w:rsidRPr="007A3223">
        <w:rPr>
          <w:rFonts w:ascii="Times" w:hAnsi="Times"/>
          <w:noProof w:val="0"/>
        </w:rPr>
        <w:t xml:space="preserve"> and agree to use contracepti</w:t>
      </w:r>
      <w:r w:rsidR="00D50F81" w:rsidRPr="007A3223">
        <w:rPr>
          <w:rFonts w:ascii="Times" w:hAnsi="Times"/>
          <w:noProof w:val="0"/>
        </w:rPr>
        <w:t xml:space="preserve">on or abstinence (See Section </w:t>
      </w:r>
      <w:r w:rsidR="006C0D67" w:rsidRPr="00F33908">
        <w:rPr>
          <w:rFonts w:ascii="Times" w:hAnsi="Times"/>
          <w:b/>
          <w:noProof w:val="0"/>
          <w:color w:val="0000FF"/>
          <w:lang w:val="en-US"/>
        </w:rPr>
        <w:fldChar w:fldCharType="begin"/>
      </w:r>
      <w:r w:rsidR="006C0D67" w:rsidRPr="007A3223">
        <w:rPr>
          <w:rFonts w:ascii="Times" w:hAnsi="Times"/>
          <w:b/>
          <w:noProof w:val="0"/>
          <w:color w:val="0000FF"/>
        </w:rPr>
        <w:instrText xml:space="preserve"> REF _Ref450581661 \r \h </w:instrText>
      </w:r>
      <w:r w:rsidR="006C0D67" w:rsidRPr="007A3223">
        <w:rPr>
          <w:rFonts w:ascii="Times" w:hAnsi="Times"/>
          <w:b/>
          <w:noProof w:val="0"/>
          <w:color w:val="0000FF"/>
          <w:lang w:val="en-US"/>
        </w:rPr>
        <w:instrText xml:space="preserve"> \* MERGEFORMAT </w:instrText>
      </w:r>
      <w:r w:rsidR="006C0D67" w:rsidRPr="00F33908">
        <w:rPr>
          <w:rFonts w:ascii="Times" w:hAnsi="Times"/>
          <w:b/>
          <w:noProof w:val="0"/>
          <w:color w:val="0000FF"/>
          <w:lang w:val="en-US"/>
        </w:rPr>
      </w:r>
      <w:r w:rsidR="006C0D67" w:rsidRPr="00F33908">
        <w:rPr>
          <w:rFonts w:ascii="Times" w:hAnsi="Times"/>
          <w:b/>
          <w:noProof w:val="0"/>
          <w:color w:val="0000FF"/>
          <w:lang w:val="en-US"/>
        </w:rPr>
        <w:fldChar w:fldCharType="separate"/>
      </w:r>
      <w:r w:rsidR="00E47ACA">
        <w:rPr>
          <w:rFonts w:ascii="Times" w:hAnsi="Times"/>
          <w:b/>
          <w:noProof w:val="0"/>
          <w:color w:val="0000FF"/>
        </w:rPr>
        <w:t>2.10</w:t>
      </w:r>
      <w:r w:rsidR="006C0D67" w:rsidRPr="00F33908">
        <w:rPr>
          <w:rFonts w:ascii="Times" w:hAnsi="Times"/>
          <w:b/>
          <w:noProof w:val="0"/>
          <w:color w:val="0000FF"/>
          <w:lang w:val="en-US"/>
        </w:rPr>
        <w:fldChar w:fldCharType="end"/>
      </w:r>
      <w:r w:rsidR="00813F52" w:rsidRPr="007A3223">
        <w:rPr>
          <w:rFonts w:ascii="Times" w:hAnsi="Times"/>
          <w:noProof w:val="0"/>
        </w:rPr>
        <w:t xml:space="preserve">) for female patients with </w:t>
      </w:r>
      <w:r w:rsidR="00813F52" w:rsidRPr="007A3223">
        <w:rPr>
          <w:rFonts w:ascii="Times" w:hAnsi="Times"/>
          <w:noProof w:val="0"/>
        </w:rPr>
        <w:lastRenderedPageBreak/>
        <w:t>reproductive potential.</w:t>
      </w:r>
      <w:r w:rsidR="0055556D" w:rsidRPr="00F33908">
        <w:rPr>
          <w:rFonts w:ascii="Times" w:hAnsi="Times"/>
          <w:noProof w:val="0"/>
        </w:rPr>
        <w:t xml:space="preserve"> </w:t>
      </w:r>
      <w:r w:rsidR="007B1E9B" w:rsidRPr="007A3223">
        <w:rPr>
          <w:rFonts w:ascii="Times" w:hAnsi="Times"/>
          <w:noProof w:val="0"/>
        </w:rPr>
        <w:t>See S</w:t>
      </w:r>
      <w:r w:rsidR="005B75F2" w:rsidRPr="007A3223">
        <w:rPr>
          <w:rFonts w:ascii="Times" w:hAnsi="Times"/>
          <w:noProof w:val="0"/>
        </w:rPr>
        <w:t xml:space="preserve">ection </w:t>
      </w:r>
      <w:r w:rsidR="00586920" w:rsidRPr="00F33908">
        <w:rPr>
          <w:rFonts w:ascii="Times" w:hAnsi="Times"/>
          <w:b/>
          <w:noProof w:val="0"/>
          <w:color w:val="0000FF"/>
        </w:rPr>
        <w:fldChar w:fldCharType="begin"/>
      </w:r>
      <w:r w:rsidR="00586920" w:rsidRPr="007A3223">
        <w:rPr>
          <w:rFonts w:ascii="Times" w:hAnsi="Times"/>
          <w:b/>
          <w:noProof w:val="0"/>
          <w:color w:val="0000FF"/>
        </w:rPr>
        <w:instrText xml:space="preserve"> REF _Ref450581720 \r \h  \* MERGEFORMAT </w:instrText>
      </w:r>
      <w:r w:rsidR="00586920" w:rsidRPr="00F33908">
        <w:rPr>
          <w:rFonts w:ascii="Times" w:hAnsi="Times"/>
          <w:b/>
          <w:noProof w:val="0"/>
          <w:color w:val="0000FF"/>
        </w:rPr>
      </w:r>
      <w:r w:rsidR="00586920" w:rsidRPr="00F33908">
        <w:rPr>
          <w:rFonts w:ascii="Times" w:hAnsi="Times"/>
          <w:b/>
          <w:noProof w:val="0"/>
          <w:color w:val="0000FF"/>
        </w:rPr>
        <w:fldChar w:fldCharType="separate"/>
      </w:r>
      <w:r w:rsidR="00E47ACA">
        <w:rPr>
          <w:rFonts w:ascii="Times" w:hAnsi="Times"/>
          <w:b/>
          <w:noProof w:val="0"/>
          <w:color w:val="0000FF"/>
        </w:rPr>
        <w:t>2.10</w:t>
      </w:r>
      <w:r w:rsidR="00586920" w:rsidRPr="00F33908">
        <w:rPr>
          <w:rFonts w:ascii="Times" w:hAnsi="Times"/>
          <w:b/>
          <w:noProof w:val="0"/>
          <w:color w:val="0000FF"/>
        </w:rPr>
        <w:fldChar w:fldCharType="end"/>
      </w:r>
      <w:r w:rsidR="007B1E9B" w:rsidRPr="007A3223">
        <w:rPr>
          <w:rFonts w:ascii="Times" w:hAnsi="Times"/>
          <w:b/>
          <w:noProof w:val="0"/>
          <w:color w:val="0000FF"/>
        </w:rPr>
        <w:t xml:space="preserve"> </w:t>
      </w:r>
      <w:r w:rsidR="007B1E9B" w:rsidRPr="00F33908">
        <w:rPr>
          <w:rFonts w:ascii="Times" w:hAnsi="Times"/>
          <w:noProof w:val="0"/>
        </w:rPr>
        <w:t>for male patient</w:t>
      </w:r>
      <w:r w:rsidR="007B1E9B" w:rsidRPr="007A3223">
        <w:rPr>
          <w:rFonts w:ascii="Times" w:hAnsi="Times"/>
          <w:noProof w:val="0"/>
        </w:rPr>
        <w:t xml:space="preserve">s for contraception while on the study. </w:t>
      </w:r>
    </w:p>
    <w:p w14:paraId="784DDED4" w14:textId="77777777" w:rsidR="00A677A8" w:rsidRPr="007A3223" w:rsidRDefault="00A677A8" w:rsidP="00091DB1">
      <w:pPr>
        <w:pStyle w:val="Heading4"/>
        <w:numPr>
          <w:ilvl w:val="0"/>
          <w:numId w:val="0"/>
        </w:numPr>
        <w:rPr>
          <w:noProof w:val="0"/>
        </w:rPr>
      </w:pPr>
    </w:p>
    <w:p w14:paraId="5E6A52CA" w14:textId="77777777" w:rsidR="00A677A8" w:rsidRPr="007A3223" w:rsidRDefault="00A677A8" w:rsidP="000C1D10">
      <w:pPr>
        <w:pStyle w:val="Heading3"/>
      </w:pPr>
      <w:r w:rsidRPr="007A3223">
        <w:t>Exclusion criteria</w:t>
      </w:r>
      <w:r w:rsidR="0044668B" w:rsidRPr="007A3223">
        <w:t xml:space="preserve"> </w:t>
      </w:r>
    </w:p>
    <w:p w14:paraId="2FF6FF41" w14:textId="77777777" w:rsidR="00A677A8" w:rsidRPr="007A3223" w:rsidRDefault="00A677A8" w:rsidP="00A677A8">
      <w:pPr>
        <w:pStyle w:val="Heading4"/>
        <w:rPr>
          <w:noProof w:val="0"/>
        </w:rPr>
      </w:pPr>
      <w:r w:rsidRPr="007A3223">
        <w:rPr>
          <w:noProof w:val="0"/>
        </w:rPr>
        <w:t>Patients who have received chemotherapy, radiotherapy, any other investigational agents within 4 weeks (6 weeks for nitrosoureas or mitomycin) prior to study enrollment.</w:t>
      </w:r>
    </w:p>
    <w:p w14:paraId="31AB1B5C" w14:textId="77777777" w:rsidR="00A677A8" w:rsidRPr="007A3223" w:rsidRDefault="00A677A8" w:rsidP="00A677A8">
      <w:pPr>
        <w:pStyle w:val="Heading4"/>
        <w:rPr>
          <w:noProof w:val="0"/>
        </w:rPr>
      </w:pPr>
      <w:r w:rsidRPr="007A3223">
        <w:rPr>
          <w:noProof w:val="0"/>
        </w:rPr>
        <w:t xml:space="preserve">Patients who were treated with </w:t>
      </w:r>
      <w:r w:rsidR="00EB4521" w:rsidRPr="007A3223">
        <w:rPr>
          <w:noProof w:val="0"/>
        </w:rPr>
        <w:t>both</w:t>
      </w:r>
      <w:r w:rsidR="00C915C7" w:rsidRPr="007A3223">
        <w:rPr>
          <w:noProof w:val="0"/>
        </w:rPr>
        <w:t xml:space="preserve"> </w:t>
      </w:r>
      <w:r w:rsidRPr="007A3223">
        <w:rPr>
          <w:noProof w:val="0"/>
        </w:rPr>
        <w:t xml:space="preserve">olaparib </w:t>
      </w:r>
      <w:r w:rsidR="00C915C7" w:rsidRPr="007A3223">
        <w:rPr>
          <w:noProof w:val="0"/>
        </w:rPr>
        <w:t>and</w:t>
      </w:r>
      <w:r w:rsidRPr="007A3223">
        <w:rPr>
          <w:noProof w:val="0"/>
        </w:rPr>
        <w:t xml:space="preserve"> cediranib</w:t>
      </w:r>
      <w:r w:rsidR="00EB4521" w:rsidRPr="007A3223">
        <w:rPr>
          <w:noProof w:val="0"/>
        </w:rPr>
        <w:t>, either in combination or sequentially</w:t>
      </w:r>
      <w:r w:rsidRPr="007A3223">
        <w:rPr>
          <w:noProof w:val="0"/>
        </w:rPr>
        <w:t>.</w:t>
      </w:r>
    </w:p>
    <w:p w14:paraId="0C455B7C" w14:textId="13224FC2" w:rsidR="00B23B54" w:rsidRPr="007A3223" w:rsidRDefault="00A677A8" w:rsidP="0044715A">
      <w:pPr>
        <w:pStyle w:val="Heading4"/>
        <w:rPr>
          <w:noProof w:val="0"/>
        </w:rPr>
      </w:pPr>
      <w:r w:rsidRPr="007A3223">
        <w:rPr>
          <w:noProof w:val="0"/>
        </w:rPr>
        <w:t>Patients who have had prior immune checkpoint</w:t>
      </w:r>
      <w:r w:rsidR="007A1900" w:rsidRPr="007A3223">
        <w:rPr>
          <w:noProof w:val="0"/>
        </w:rPr>
        <w:t xml:space="preserve"> inhibitors</w:t>
      </w:r>
      <w:r w:rsidRPr="007A3223">
        <w:rPr>
          <w:noProof w:val="0"/>
        </w:rPr>
        <w:t xml:space="preserve">, such as </w:t>
      </w:r>
      <w:r w:rsidR="003747C9">
        <w:rPr>
          <w:noProof w:val="0"/>
          <w:lang w:val="en-US"/>
        </w:rPr>
        <w:t>Durvalumab</w:t>
      </w:r>
      <w:r w:rsidRPr="007A3223">
        <w:rPr>
          <w:noProof w:val="0"/>
        </w:rPr>
        <w:t xml:space="preserve"> or other PD1 or PD-L1 inhibitors or an anti-CTLA4 therapy. </w:t>
      </w:r>
    </w:p>
    <w:p w14:paraId="5BD36D53" w14:textId="51846E87" w:rsidR="00A677A8" w:rsidRPr="007A3223" w:rsidRDefault="00A677A8" w:rsidP="0044715A">
      <w:pPr>
        <w:pStyle w:val="Heading4"/>
        <w:rPr>
          <w:noProof w:val="0"/>
        </w:rPr>
      </w:pPr>
      <w:r w:rsidRPr="007A3223">
        <w:rPr>
          <w:noProof w:val="0"/>
        </w:rPr>
        <w:t xml:space="preserve">Patients receiving any medications or substances that are strong inhibitors or inducers of CYP3A4 are ineligible. A list of CYP3A4 inhibitors and inducers is provided in </w:t>
      </w:r>
      <w:r w:rsidR="00307B04" w:rsidRPr="00F33908">
        <w:fldChar w:fldCharType="begin"/>
      </w:r>
      <w:r w:rsidR="00307B04" w:rsidRPr="007A3223">
        <w:instrText xml:space="preserve"> REF _Ref408917937 \h  \* MERGEFORMAT </w:instrText>
      </w:r>
      <w:r w:rsidR="00307B04" w:rsidRPr="00F33908">
        <w:fldChar w:fldCharType="separate"/>
      </w:r>
      <w:r w:rsidR="00E47ACA" w:rsidRPr="00E47ACA">
        <w:rPr>
          <w:b/>
          <w:noProof w:val="0"/>
          <w:color w:val="0000FF"/>
        </w:rPr>
        <w:t>Appendix B</w:t>
      </w:r>
      <w:r w:rsidR="00307B04" w:rsidRPr="00F33908">
        <w:fldChar w:fldCharType="end"/>
      </w:r>
      <w:r w:rsidRPr="007A3223">
        <w:rPr>
          <w:noProof w:val="0"/>
          <w:color w:val="0000FF"/>
        </w:rPr>
        <w:t xml:space="preserve">. </w:t>
      </w:r>
      <w:r w:rsidRPr="00F33908">
        <w:rPr>
          <w:noProof w:val="0"/>
        </w:rPr>
        <w:t>Dihydropyridine calcium-channel blockers are permitted for management of hyper</w:t>
      </w:r>
      <w:r w:rsidRPr="007A3223">
        <w:rPr>
          <w:noProof w:val="0"/>
        </w:rPr>
        <w:t>tension.</w:t>
      </w:r>
    </w:p>
    <w:p w14:paraId="5915FBB7" w14:textId="76B13364" w:rsidR="00A677A8" w:rsidRPr="007A3223" w:rsidRDefault="00DF57BF" w:rsidP="00A677A8">
      <w:pPr>
        <w:pStyle w:val="Heading4"/>
        <w:rPr>
          <w:noProof w:val="0"/>
        </w:rPr>
      </w:pPr>
      <w:r w:rsidRPr="007A3223">
        <w:rPr>
          <w:noProof w:val="0"/>
          <w:lang w:val="en-US"/>
        </w:rPr>
        <w:t xml:space="preserve">Major surgical procedure (as defined by the investigator) within 30 days prior to the first dose of </w:t>
      </w:r>
      <w:r w:rsidR="003747C9">
        <w:rPr>
          <w:noProof w:val="0"/>
          <w:lang w:val="en-US"/>
        </w:rPr>
        <w:t>Durvalumab</w:t>
      </w:r>
      <w:r w:rsidRPr="007A3223">
        <w:rPr>
          <w:noProof w:val="0"/>
          <w:lang w:val="en-US"/>
        </w:rPr>
        <w:t xml:space="preserve"> or still recovering from prior surgery. </w:t>
      </w:r>
    </w:p>
    <w:p w14:paraId="3B669145" w14:textId="77777777" w:rsidR="00A677A8" w:rsidRPr="007A3223" w:rsidRDefault="00A677A8" w:rsidP="008B5BDB">
      <w:pPr>
        <w:pStyle w:val="Heading4"/>
        <w:rPr>
          <w:noProof w:val="0"/>
        </w:rPr>
      </w:pPr>
      <w:r w:rsidRPr="007A3223">
        <w:rPr>
          <w:noProof w:val="0"/>
        </w:rPr>
        <w:t>Patients with any other concomitant or prior invasive malignancies are ineligible</w:t>
      </w:r>
      <w:r w:rsidR="00D34FBE" w:rsidRPr="007A3223">
        <w:rPr>
          <w:noProof w:val="0"/>
        </w:rPr>
        <w:t>, However, p</w:t>
      </w:r>
      <w:r w:rsidRPr="007A3223">
        <w:rPr>
          <w:noProof w:val="0"/>
        </w:rPr>
        <w:t>atients with prior cancer treated with a curative intent with no evidence of recurrent disease 5 years following diagnosis and judged by the investigator to be at low risk of recurrence are eligible. Patients with treated limited stage basal cell or squamous cell carcinoma of the skin or carcinoma in situ of the breast or cervix are eligible.</w:t>
      </w:r>
    </w:p>
    <w:p w14:paraId="68DFCC38" w14:textId="77777777" w:rsidR="00A677A8" w:rsidRPr="007A3223" w:rsidRDefault="00A677A8" w:rsidP="00A677A8">
      <w:pPr>
        <w:pStyle w:val="Heading4"/>
        <w:rPr>
          <w:noProof w:val="0"/>
        </w:rPr>
      </w:pPr>
      <w:r w:rsidRPr="007A3223">
        <w:rPr>
          <w:noProof w:val="0"/>
        </w:rPr>
        <w:t xml:space="preserve">Patients with evidence of CNS metastasis, spinal cord compression, or leptomeningeal disease within one year prior to enrollment will be excluded from this clinical trial because of their poor prognosis and because they often develop progressive neurologic dysfunction that would confound the evaluation of neurologic and other adverse events. Patients with a remote history of brain metastases may be considered if they received sterilizing therapy to the CNS (resection or radiation) and have been CNS progression-free for the 1-year period. Baseline imaging to rule out brain metastases is not required for screening, but should be performed prior to study enrollment if clinically indicated. </w:t>
      </w:r>
    </w:p>
    <w:p w14:paraId="6CAA7D79" w14:textId="070D7616" w:rsidR="00A677A8" w:rsidRPr="007A3223" w:rsidRDefault="00A677A8" w:rsidP="00A677A8">
      <w:pPr>
        <w:pStyle w:val="Heading4"/>
        <w:rPr>
          <w:noProof w:val="0"/>
        </w:rPr>
      </w:pPr>
      <w:r w:rsidRPr="007A3223">
        <w:rPr>
          <w:noProof w:val="0"/>
        </w:rPr>
        <w:t>History of allergic reactions attributed to compounds of similar chemical or biologic composition to</w:t>
      </w:r>
      <w:r w:rsidRPr="007A3223">
        <w:rPr>
          <w:i/>
          <w:noProof w:val="0"/>
        </w:rPr>
        <w:t xml:space="preserve"> </w:t>
      </w:r>
      <w:r w:rsidR="00E24043">
        <w:rPr>
          <w:noProof w:val="0"/>
          <w:lang w:val="en-US"/>
        </w:rPr>
        <w:t>Durvalumab</w:t>
      </w:r>
      <w:r w:rsidRPr="007A3223">
        <w:rPr>
          <w:noProof w:val="0"/>
        </w:rPr>
        <w:t>, olaparib, cediranib, or to other humanized monoclonal antibodies. Known history of anaphylaxis, angioedema, laryngeal edema, serum sickness, or uncontrolled asthma.</w:t>
      </w:r>
    </w:p>
    <w:p w14:paraId="639C71D5" w14:textId="77777777" w:rsidR="00A677A8" w:rsidRPr="007A3223" w:rsidRDefault="00A677A8" w:rsidP="00A677A8">
      <w:pPr>
        <w:pStyle w:val="Heading4"/>
        <w:rPr>
          <w:noProof w:val="0"/>
        </w:rPr>
      </w:pPr>
      <w:r w:rsidRPr="007A3223">
        <w:rPr>
          <w:noProof w:val="0"/>
        </w:rPr>
        <w:t xml:space="preserve">History of auto-immune disease requiring steroid maintenance, or history of primary immunodeficiency. </w:t>
      </w:r>
    </w:p>
    <w:p w14:paraId="03C7E15C" w14:textId="51A66B37" w:rsidR="00A677A8" w:rsidRPr="007A3223" w:rsidRDefault="00A677A8" w:rsidP="00A677A8">
      <w:pPr>
        <w:pStyle w:val="Heading4"/>
        <w:rPr>
          <w:noProof w:val="0"/>
        </w:rPr>
      </w:pPr>
      <w:r w:rsidRPr="007A3223">
        <w:rPr>
          <w:noProof w:val="0"/>
        </w:rPr>
        <w:t xml:space="preserve">Current or prior use of immunosuppressive medication within 28 days before the first dose of </w:t>
      </w:r>
      <w:r w:rsidR="00E24043">
        <w:rPr>
          <w:noProof w:val="0"/>
          <w:lang w:val="en-US"/>
        </w:rPr>
        <w:t>Durvalumab</w:t>
      </w:r>
      <w:r w:rsidRPr="007A3223">
        <w:rPr>
          <w:noProof w:val="0"/>
        </w:rPr>
        <w:t>, with the exception of intranasal and inhaled corticosteroids or systemic corticosteroids at physiological doses, which are not to exceed 10 mg/day of prednisone or an equivalent corticosteroid.</w:t>
      </w:r>
      <w:r w:rsidR="003828FE" w:rsidRPr="007A3223">
        <w:rPr>
          <w:noProof w:val="0"/>
          <w:lang w:val="en-US"/>
        </w:rPr>
        <w:t xml:space="preserve"> </w:t>
      </w:r>
      <w:r w:rsidRPr="007A3223" w:rsidDel="00B87BCE">
        <w:rPr>
          <w:noProof w:val="0"/>
        </w:rPr>
        <w:t xml:space="preserve"> </w:t>
      </w:r>
      <w:r w:rsidR="003828FE" w:rsidRPr="007A3223">
        <w:rPr>
          <w:noProof w:val="0"/>
          <w:lang w:val="en-US"/>
        </w:rPr>
        <w:t xml:space="preserve">In the case of short term use of systemic corticosteroids (less than 24 hours within 28 days) of greater than 10 mg/day of </w:t>
      </w:r>
      <w:r w:rsidR="003828FE" w:rsidRPr="007A3223">
        <w:rPr>
          <w:noProof w:val="0"/>
          <w:lang w:val="en-US"/>
        </w:rPr>
        <w:lastRenderedPageBreak/>
        <w:t xml:space="preserve">prednisone or an equivalent corticosteroid, the required washout period prior to starting the first dose of </w:t>
      </w:r>
      <w:r w:rsidR="00E24043">
        <w:rPr>
          <w:noProof w:val="0"/>
          <w:lang w:val="en-US"/>
        </w:rPr>
        <w:t>Durvalumab</w:t>
      </w:r>
      <w:r w:rsidR="003828FE" w:rsidRPr="007A3223">
        <w:rPr>
          <w:noProof w:val="0"/>
          <w:lang w:val="en-US"/>
        </w:rPr>
        <w:t xml:space="preserve"> is 7 days.</w:t>
      </w:r>
    </w:p>
    <w:p w14:paraId="261D25E5" w14:textId="77777777" w:rsidR="00A677A8" w:rsidRPr="007A3223" w:rsidRDefault="00A677A8" w:rsidP="00A677A8">
      <w:pPr>
        <w:pStyle w:val="Heading4"/>
        <w:rPr>
          <w:noProof w:val="0"/>
        </w:rPr>
      </w:pPr>
      <w:r w:rsidRPr="007A3223">
        <w:rPr>
          <w:noProof w:val="0"/>
        </w:rPr>
        <w:t>Active or prior documented inflammatory bowel disease (</w:t>
      </w:r>
      <w:r w:rsidR="00AA51B7" w:rsidRPr="007A3223">
        <w:rPr>
          <w:noProof w:val="0"/>
        </w:rPr>
        <w:t>e.g.</w:t>
      </w:r>
      <w:r w:rsidRPr="007A3223">
        <w:rPr>
          <w:noProof w:val="0"/>
        </w:rPr>
        <w:t xml:space="preserve">, Crohn’s disease, ulcerative colitis). Eligibility for patients with asymptomatic </w:t>
      </w:r>
      <w:r w:rsidR="004E58A6" w:rsidRPr="007A3223">
        <w:rPr>
          <w:noProof w:val="0"/>
        </w:rPr>
        <w:t>and</w:t>
      </w:r>
      <w:r w:rsidRPr="007A3223">
        <w:rPr>
          <w:noProof w:val="0"/>
        </w:rPr>
        <w:t xml:space="preserve"> a previous diagnosis of immune or inflammatory colitis, </w:t>
      </w:r>
      <w:r w:rsidR="004E58A6" w:rsidRPr="007A3223">
        <w:rPr>
          <w:noProof w:val="0"/>
        </w:rPr>
        <w:t xml:space="preserve">or </w:t>
      </w:r>
      <w:r w:rsidRPr="007A3223">
        <w:rPr>
          <w:noProof w:val="0"/>
        </w:rPr>
        <w:t xml:space="preserve">patients with chronic diarrhea &gt; 1 month </w:t>
      </w:r>
      <w:r w:rsidR="004E58A6" w:rsidRPr="007A3223">
        <w:rPr>
          <w:noProof w:val="0"/>
        </w:rPr>
        <w:t xml:space="preserve">without immune or inflammatory colitis </w:t>
      </w:r>
      <w:r w:rsidRPr="007A3223">
        <w:rPr>
          <w:noProof w:val="0"/>
        </w:rPr>
        <w:t>is a PI decision on an individual patient basis.</w:t>
      </w:r>
      <w:r w:rsidRPr="007A3223" w:rsidDel="00544CCD">
        <w:rPr>
          <w:noProof w:val="0"/>
        </w:rPr>
        <w:t xml:space="preserve"> </w:t>
      </w:r>
    </w:p>
    <w:p w14:paraId="474380C2" w14:textId="786C05CD" w:rsidR="00A677A8" w:rsidRPr="007A3223" w:rsidRDefault="00A677A8" w:rsidP="00A677A8">
      <w:pPr>
        <w:pStyle w:val="Heading4"/>
        <w:rPr>
          <w:noProof w:val="0"/>
        </w:rPr>
      </w:pPr>
      <w:r w:rsidRPr="007A3223">
        <w:rPr>
          <w:noProof w:val="0"/>
        </w:rPr>
        <w:t xml:space="preserve">Receipt of live attenuated vaccination within </w:t>
      </w:r>
      <w:r w:rsidR="008D06E6" w:rsidRPr="007A3223">
        <w:rPr>
          <w:noProof w:val="0"/>
        </w:rPr>
        <w:t>30</w:t>
      </w:r>
      <w:r w:rsidRPr="007A3223">
        <w:rPr>
          <w:noProof w:val="0"/>
        </w:rPr>
        <w:t xml:space="preserve"> days before </w:t>
      </w:r>
      <w:r w:rsidR="00252232" w:rsidRPr="007A3223">
        <w:rPr>
          <w:noProof w:val="0"/>
        </w:rPr>
        <w:t>the first dose of</w:t>
      </w:r>
      <w:r w:rsidRPr="007A3223">
        <w:rPr>
          <w:noProof w:val="0"/>
        </w:rPr>
        <w:t xml:space="preserve"> </w:t>
      </w:r>
      <w:r w:rsidR="00B000CB">
        <w:rPr>
          <w:noProof w:val="0"/>
          <w:lang w:val="en-US"/>
        </w:rPr>
        <w:t>Durvalumab</w:t>
      </w:r>
      <w:r w:rsidRPr="007A3223">
        <w:rPr>
          <w:noProof w:val="0"/>
        </w:rPr>
        <w:t>.</w:t>
      </w:r>
    </w:p>
    <w:p w14:paraId="03AF5FA8" w14:textId="63D785FF" w:rsidR="00A677A8" w:rsidRPr="007A3223" w:rsidRDefault="00A677A8" w:rsidP="00A677A8">
      <w:pPr>
        <w:pStyle w:val="Heading4"/>
        <w:rPr>
          <w:noProof w:val="0"/>
        </w:rPr>
      </w:pPr>
      <w:r w:rsidRPr="007A3223">
        <w:rPr>
          <w:noProof w:val="0"/>
          <w:lang w:eastAsia="ko-KR"/>
        </w:rPr>
        <w:t xml:space="preserve">Patients who have the following clinical conditions are considered to be at increased risk for cardiac </w:t>
      </w:r>
      <w:r w:rsidRPr="007A3223">
        <w:rPr>
          <w:noProof w:val="0"/>
        </w:rPr>
        <w:t>toxicities</w:t>
      </w:r>
      <w:r w:rsidRPr="007A3223">
        <w:rPr>
          <w:noProof w:val="0"/>
          <w:lang w:eastAsia="ko-KR"/>
        </w:rPr>
        <w:t xml:space="preserve">. </w:t>
      </w:r>
      <w:r w:rsidRPr="007A3223">
        <w:rPr>
          <w:noProof w:val="0"/>
        </w:rPr>
        <w:t xml:space="preserve">Patients with any cardiac history of the following conditions within 1 year prior to </w:t>
      </w:r>
      <w:r w:rsidR="00B000CB">
        <w:rPr>
          <w:noProof w:val="0"/>
          <w:lang w:val="en-US"/>
        </w:rPr>
        <w:t>Durvalumab</w:t>
      </w:r>
      <w:r w:rsidR="004B77CD" w:rsidRPr="007A3223">
        <w:rPr>
          <w:noProof w:val="0"/>
        </w:rPr>
        <w:t xml:space="preserve">+O </w:t>
      </w:r>
      <w:r w:rsidRPr="007A3223">
        <w:rPr>
          <w:noProof w:val="0"/>
        </w:rPr>
        <w:t xml:space="preserve">study </w:t>
      </w:r>
      <w:r w:rsidR="004B77CD" w:rsidRPr="007A3223">
        <w:rPr>
          <w:noProof w:val="0"/>
        </w:rPr>
        <w:t xml:space="preserve">or within 2 years prior to </w:t>
      </w:r>
      <w:r w:rsidR="00B000CB">
        <w:rPr>
          <w:noProof w:val="0"/>
          <w:lang w:val="en-US"/>
        </w:rPr>
        <w:t>Durvalumab</w:t>
      </w:r>
      <w:r w:rsidR="004B77CD" w:rsidRPr="007A3223">
        <w:rPr>
          <w:noProof w:val="0"/>
        </w:rPr>
        <w:t xml:space="preserve">+C </w:t>
      </w:r>
      <w:r w:rsidR="00A11112" w:rsidRPr="007A3223">
        <w:rPr>
          <w:noProof w:val="0"/>
        </w:rPr>
        <w:t xml:space="preserve">or </w:t>
      </w:r>
      <w:r w:rsidR="00B000CB">
        <w:rPr>
          <w:noProof w:val="0"/>
          <w:lang w:val="en-US"/>
        </w:rPr>
        <w:t>Durvalumab</w:t>
      </w:r>
      <w:r w:rsidR="00A11112" w:rsidRPr="007A3223">
        <w:rPr>
          <w:noProof w:val="0"/>
        </w:rPr>
        <w:t xml:space="preserve">+O+C </w:t>
      </w:r>
      <w:r w:rsidRPr="007A3223">
        <w:rPr>
          <w:noProof w:val="0"/>
        </w:rPr>
        <w:t xml:space="preserve">enrollment are excluded from the study: </w:t>
      </w:r>
    </w:p>
    <w:p w14:paraId="79F566F3" w14:textId="77777777" w:rsidR="00A677A8" w:rsidRPr="007A3223" w:rsidRDefault="00A677A8" w:rsidP="00AE5A9D">
      <w:pPr>
        <w:pStyle w:val="ListParagraph"/>
        <w:numPr>
          <w:ilvl w:val="0"/>
          <w:numId w:val="6"/>
        </w:numPr>
        <w:ind w:left="1080"/>
      </w:pPr>
      <w:r w:rsidRPr="007A3223">
        <w:t xml:space="preserve">Prior events including myocardial infarction, </w:t>
      </w:r>
      <w:r w:rsidR="00F6528E" w:rsidRPr="007A3223">
        <w:t xml:space="preserve">clinically significant </w:t>
      </w:r>
      <w:r w:rsidRPr="007A3223">
        <w:t xml:space="preserve">pericardial effusion, and myocarditis.  </w:t>
      </w:r>
    </w:p>
    <w:p w14:paraId="567B7DF3" w14:textId="77777777" w:rsidR="00A677A8" w:rsidRPr="007A3223" w:rsidRDefault="00A677A8" w:rsidP="00AE5A9D">
      <w:pPr>
        <w:pStyle w:val="ListParagraph"/>
        <w:numPr>
          <w:ilvl w:val="0"/>
          <w:numId w:val="6"/>
        </w:numPr>
        <w:ind w:left="1080"/>
      </w:pPr>
      <w:r w:rsidRPr="007A3223">
        <w:t xml:space="preserve">Prior cardiac arrhythmia including atrial fibrillation and atrial flutter, or requiring concurrent use of drugs or biologics with pro-arrhythmic potential.  </w:t>
      </w:r>
    </w:p>
    <w:p w14:paraId="5A9BAEEA" w14:textId="77777777" w:rsidR="00A677A8" w:rsidRPr="007A3223" w:rsidRDefault="00A677A8" w:rsidP="00AE5A9D">
      <w:pPr>
        <w:pStyle w:val="ListParagraph"/>
        <w:numPr>
          <w:ilvl w:val="0"/>
          <w:numId w:val="6"/>
        </w:numPr>
        <w:ind w:left="1080"/>
      </w:pPr>
      <w:r w:rsidRPr="007A3223">
        <w:t xml:space="preserve">NYHA Class II or greater heart failure.  </w:t>
      </w:r>
    </w:p>
    <w:p w14:paraId="21922678" w14:textId="77777777" w:rsidR="00A677A8" w:rsidRPr="007A3223" w:rsidRDefault="00A677A8" w:rsidP="00AE5A9D">
      <w:pPr>
        <w:pStyle w:val="ListParagraph"/>
        <w:numPr>
          <w:ilvl w:val="0"/>
          <w:numId w:val="6"/>
        </w:numPr>
        <w:ind w:left="1080"/>
      </w:pPr>
      <w:r w:rsidRPr="007A3223">
        <w:t xml:space="preserve">If cardiac function assessment is clinically indicated or performed, an LVEF less than normal per institutional guidelines, or &lt;55%, if threshold for normal is not otherwise specified by institutional guidelines. </w:t>
      </w:r>
    </w:p>
    <w:p w14:paraId="7EDA8CCD" w14:textId="77777777" w:rsidR="00A677A8" w:rsidRPr="007A3223" w:rsidRDefault="004A5D10" w:rsidP="00AE5A9D">
      <w:pPr>
        <w:pStyle w:val="ListParagraph"/>
        <w:numPr>
          <w:ilvl w:val="0"/>
          <w:numId w:val="6"/>
        </w:numPr>
        <w:ind w:left="1080"/>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00A677A8" w:rsidRPr="007A3223">
        <w:t xml:space="preserve">or other significant ECG abnormality noted within 14 days of treatment.  </w:t>
      </w:r>
    </w:p>
    <w:p w14:paraId="2158920E" w14:textId="77777777" w:rsidR="00A677A8" w:rsidRPr="007A3223" w:rsidRDefault="005D4847" w:rsidP="00AE5A9D">
      <w:pPr>
        <w:pStyle w:val="ListParagraph"/>
        <w:numPr>
          <w:ilvl w:val="0"/>
          <w:numId w:val="6"/>
        </w:numPr>
        <w:ind w:left="1080"/>
      </w:pPr>
      <w:r w:rsidRPr="007A3223">
        <w:t>H</w:t>
      </w:r>
      <w:r w:rsidR="00A677A8" w:rsidRPr="007A3223">
        <w:t xml:space="preserve">ypertensive crisis or hypertensive encephalopathy. </w:t>
      </w:r>
    </w:p>
    <w:p w14:paraId="5DE7E70B" w14:textId="77777777" w:rsidR="00A677A8" w:rsidRPr="007A3223" w:rsidRDefault="00A677A8" w:rsidP="00AE5A9D">
      <w:pPr>
        <w:pStyle w:val="ListParagraph"/>
        <w:numPr>
          <w:ilvl w:val="0"/>
          <w:numId w:val="6"/>
        </w:numPr>
        <w:ind w:left="1080"/>
      </w:pPr>
      <w:r w:rsidRPr="007A3223">
        <w:t xml:space="preserve">Clinically significant peripheral vascular disease or vascular disease, including </w:t>
      </w:r>
      <w:r w:rsidR="002E0A60" w:rsidRPr="007A3223">
        <w:t xml:space="preserve">rapidly growing </w:t>
      </w:r>
      <w:r w:rsidRPr="007A3223">
        <w:t>aortic aneurysm</w:t>
      </w:r>
      <w:r w:rsidR="002E0A60" w:rsidRPr="007A3223">
        <w:t xml:space="preserve"> or abdominal aortic aneurysm &gt;5 cm</w:t>
      </w:r>
      <w:r w:rsidRPr="007A3223">
        <w:t xml:space="preserve"> or aortic dissection.  </w:t>
      </w:r>
    </w:p>
    <w:p w14:paraId="24978789" w14:textId="77777777" w:rsidR="00A677A8" w:rsidRPr="007A3223" w:rsidRDefault="00A677A8" w:rsidP="00AE5A9D">
      <w:pPr>
        <w:pStyle w:val="ListParagraph"/>
        <w:numPr>
          <w:ilvl w:val="0"/>
          <w:numId w:val="6"/>
        </w:numPr>
        <w:ind w:left="1080"/>
      </w:pPr>
      <w:r w:rsidRPr="007A3223">
        <w:t xml:space="preserve">Unstable angina.  </w:t>
      </w:r>
    </w:p>
    <w:p w14:paraId="643753E1" w14:textId="77777777" w:rsidR="00A677A8" w:rsidRPr="007A3223" w:rsidRDefault="00A677A8" w:rsidP="00A677A8">
      <w:pPr>
        <w:pStyle w:val="Heading4"/>
        <w:rPr>
          <w:noProof w:val="0"/>
        </w:rPr>
      </w:pPr>
      <w:r w:rsidRPr="007A3223">
        <w:rPr>
          <w:noProof w:val="0"/>
        </w:rPr>
        <w:t>History of cerebrovascular accident, transient ischemic attack within 1 year prior to study enrollment.</w:t>
      </w:r>
    </w:p>
    <w:p w14:paraId="3999D906" w14:textId="77777777" w:rsidR="00A677A8" w:rsidRPr="007A3223" w:rsidRDefault="00A677A8" w:rsidP="00A677A8">
      <w:pPr>
        <w:pStyle w:val="Heading4"/>
        <w:rPr>
          <w:noProof w:val="0"/>
        </w:rPr>
      </w:pPr>
      <w:r w:rsidRPr="007A3223">
        <w:rPr>
          <w:noProof w:val="0"/>
        </w:rPr>
        <w:t>History of abdominal fistula, gastrointestinal perforation, or intra-abdominal abscess within 6 months prior to study enrollment.</w:t>
      </w:r>
    </w:p>
    <w:p w14:paraId="5E277F70" w14:textId="77777777" w:rsidR="00A677A8" w:rsidRPr="007A3223" w:rsidRDefault="00A677A8" w:rsidP="00A677A8">
      <w:pPr>
        <w:pStyle w:val="Heading4"/>
        <w:rPr>
          <w:noProof w:val="0"/>
        </w:rPr>
      </w:pPr>
      <w:r w:rsidRPr="007A3223">
        <w:rPr>
          <w:noProof w:val="0"/>
        </w:rPr>
        <w:t xml:space="preserve">Significant hemorrhage (&gt; 30 mL bleeding/episode within 3 months before study enrollment) or </w:t>
      </w:r>
      <w:r w:rsidR="00AA51B7" w:rsidRPr="007A3223">
        <w:rPr>
          <w:noProof w:val="0"/>
        </w:rPr>
        <w:t>hemoptysis</w:t>
      </w:r>
      <w:r w:rsidRPr="007A3223">
        <w:rPr>
          <w:noProof w:val="0"/>
        </w:rPr>
        <w:t xml:space="preserve"> (&gt; 5mL fresh blood within </w:t>
      </w:r>
      <w:r w:rsidR="00ED76F9" w:rsidRPr="007A3223">
        <w:rPr>
          <w:noProof w:val="0"/>
        </w:rPr>
        <w:t>28</w:t>
      </w:r>
      <w:r w:rsidRPr="007A3223">
        <w:rPr>
          <w:noProof w:val="0"/>
        </w:rPr>
        <w:t xml:space="preserve"> days before study enrollment).</w:t>
      </w:r>
    </w:p>
    <w:p w14:paraId="2C50D7BC" w14:textId="77777777" w:rsidR="00A677A8" w:rsidRPr="007A3223" w:rsidRDefault="00A677A8" w:rsidP="00A677A8">
      <w:pPr>
        <w:pStyle w:val="Heading4"/>
        <w:rPr>
          <w:noProof w:val="0"/>
        </w:rPr>
      </w:pPr>
      <w:r w:rsidRPr="007A3223">
        <w:rPr>
          <w:noProof w:val="0"/>
        </w:rPr>
        <w:t xml:space="preserve">Current signs and/or symptoms of bowel obstruction or signs and/or symptoms of bowel obstruction within </w:t>
      </w:r>
      <w:r w:rsidR="00ED76F9" w:rsidRPr="007A3223">
        <w:rPr>
          <w:noProof w:val="0"/>
        </w:rPr>
        <w:t>28 days before study enrollment</w:t>
      </w:r>
      <w:r w:rsidRPr="007A3223">
        <w:rPr>
          <w:noProof w:val="0"/>
        </w:rPr>
        <w:t>.</w:t>
      </w:r>
    </w:p>
    <w:p w14:paraId="34711E4A" w14:textId="77777777" w:rsidR="00A677A8" w:rsidRPr="007A3223" w:rsidRDefault="00A677A8" w:rsidP="00A677A8">
      <w:pPr>
        <w:pStyle w:val="Heading4"/>
        <w:rPr>
          <w:noProof w:val="0"/>
        </w:rPr>
      </w:pPr>
      <w:r w:rsidRPr="007A3223">
        <w:rPr>
          <w:noProof w:val="0"/>
        </w:rPr>
        <w:t xml:space="preserve">Current dependency on </w:t>
      </w:r>
      <w:r w:rsidR="0010178D" w:rsidRPr="007A3223">
        <w:rPr>
          <w:noProof w:val="0"/>
        </w:rPr>
        <w:t>total parenteral nutrition (</w:t>
      </w:r>
      <w:r w:rsidRPr="007A3223">
        <w:rPr>
          <w:noProof w:val="0"/>
        </w:rPr>
        <w:t>TPN</w:t>
      </w:r>
      <w:r w:rsidR="0010178D" w:rsidRPr="007A3223">
        <w:rPr>
          <w:noProof w:val="0"/>
        </w:rPr>
        <w:t>)</w:t>
      </w:r>
      <w:r w:rsidRPr="007A3223">
        <w:rPr>
          <w:noProof w:val="0"/>
        </w:rPr>
        <w:t xml:space="preserve"> or IV fluid hydration.</w:t>
      </w:r>
    </w:p>
    <w:p w14:paraId="72A3D24C" w14:textId="72599D61" w:rsidR="00A677A8" w:rsidRPr="007A3223" w:rsidRDefault="00D3126B" w:rsidP="00A677A8">
      <w:pPr>
        <w:pStyle w:val="Heading4"/>
        <w:rPr>
          <w:noProof w:val="0"/>
        </w:rPr>
      </w:pPr>
      <w:r w:rsidRPr="007A3223">
        <w:rPr>
          <w:noProof w:val="0"/>
        </w:rPr>
        <w:t>Any prior g</w:t>
      </w:r>
      <w:r w:rsidR="00A677A8" w:rsidRPr="007A3223">
        <w:rPr>
          <w:noProof w:val="0"/>
        </w:rPr>
        <w:t xml:space="preserve">rade </w:t>
      </w:r>
      <w:r w:rsidR="00A677A8" w:rsidRPr="007A3223">
        <w:rPr>
          <w:rFonts w:hint="eastAsia"/>
          <w:noProof w:val="0"/>
        </w:rPr>
        <w:t>≥</w:t>
      </w:r>
      <w:r w:rsidR="00A677A8" w:rsidRPr="007A3223">
        <w:rPr>
          <w:noProof w:val="0"/>
        </w:rPr>
        <w:t xml:space="preserve"> 3 immune-related adverse event (irAE)</w:t>
      </w:r>
      <w:hyperlink w:anchor="_ENREF_160" w:tooltip="Weber, 2012 #79" w:history="1">
        <w:r w:rsidR="00F77861" w:rsidRPr="00244551">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 </w:instrText>
        </w:r>
        <w:r w:rsidR="00E27C67" w:rsidRPr="004E6D0C">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EN.CITE.DATA </w:instrText>
        </w:r>
        <w:r w:rsidR="00E27C67" w:rsidRPr="004E6D0C">
          <w:rPr>
            <w:rStyle w:val="Hyperlink"/>
            <w:noProof w:val="0"/>
          </w:rPr>
        </w:r>
        <w:r w:rsidR="00E27C67" w:rsidRPr="004E6D0C">
          <w:rPr>
            <w:rStyle w:val="Hyperlink"/>
            <w:noProof w:val="0"/>
          </w:rPr>
          <w:fldChar w:fldCharType="end"/>
        </w:r>
        <w:r w:rsidR="00F77861" w:rsidRPr="00244551">
          <w:rPr>
            <w:rStyle w:val="Hyperlink"/>
            <w:noProof w:val="0"/>
          </w:rPr>
        </w:r>
        <w:r w:rsidR="00F77861" w:rsidRPr="00244551">
          <w:rPr>
            <w:rStyle w:val="Hyperlink"/>
            <w:noProof w:val="0"/>
          </w:rPr>
          <w:fldChar w:fldCharType="separate"/>
        </w:r>
        <w:r w:rsidR="00E27C67" w:rsidRPr="00244551">
          <w:rPr>
            <w:rStyle w:val="Hyperlink"/>
            <w:vertAlign w:val="superscript"/>
          </w:rPr>
          <w:t>160</w:t>
        </w:r>
        <w:r w:rsidR="00F77861" w:rsidRPr="00244551">
          <w:rPr>
            <w:rStyle w:val="Hyperlink"/>
            <w:noProof w:val="0"/>
          </w:rPr>
          <w:fldChar w:fldCharType="end"/>
        </w:r>
      </w:hyperlink>
      <w:r w:rsidR="00A677A8" w:rsidRPr="007A3223">
        <w:rPr>
          <w:noProof w:val="0"/>
        </w:rPr>
        <w:t xml:space="preserve"> while receiving any previous immunotherapy ag</w:t>
      </w:r>
      <w:r w:rsidRPr="00F33908">
        <w:rPr>
          <w:noProof w:val="0"/>
        </w:rPr>
        <w:t>ent, or any unresolved irAE &gt; g</w:t>
      </w:r>
      <w:r w:rsidR="00A677A8" w:rsidRPr="007A3223">
        <w:rPr>
          <w:noProof w:val="0"/>
        </w:rPr>
        <w:t>rade 1. Toxicities of prior therapy, excepting alopecia, should be res</w:t>
      </w:r>
      <w:r w:rsidRPr="007A3223">
        <w:rPr>
          <w:noProof w:val="0"/>
        </w:rPr>
        <w:t>olved to less than or equal to g</w:t>
      </w:r>
      <w:r w:rsidR="00A677A8" w:rsidRPr="007A3223">
        <w:rPr>
          <w:noProof w:val="0"/>
        </w:rPr>
        <w:t>rade 1 as per NCI-CTCAE</w:t>
      </w:r>
      <w:r w:rsidR="006848BD" w:rsidRPr="007A3223">
        <w:rPr>
          <w:noProof w:val="0"/>
          <w:lang w:val="en-US"/>
        </w:rPr>
        <w:t xml:space="preserve"> </w:t>
      </w:r>
      <w:r w:rsidR="00A677A8" w:rsidRPr="007A3223">
        <w:rPr>
          <w:noProof w:val="0"/>
        </w:rPr>
        <w:t xml:space="preserve">v4.0 (located on the CTEP website at </w:t>
      </w:r>
      <w:hyperlink r:id="rId36" w:history="1">
        <w:r w:rsidR="00A677A8" w:rsidRPr="00F33908">
          <w:rPr>
            <w:rStyle w:val="Hyperlink"/>
            <w:noProof w:val="0"/>
            <w:szCs w:val="24"/>
          </w:rPr>
          <w:t>http://ctep.cancer.gov/protocolDevelopment</w:t>
        </w:r>
        <w:r w:rsidR="00A677A8" w:rsidRPr="007A3223">
          <w:rPr>
            <w:rStyle w:val="Hyperlink"/>
            <w:noProof w:val="0"/>
            <w:szCs w:val="24"/>
          </w:rPr>
          <w:t>/electronic_applications/ctc.htm</w:t>
        </w:r>
      </w:hyperlink>
      <w:r w:rsidR="00A677A8" w:rsidRPr="007A3223">
        <w:rPr>
          <w:noProof w:val="0"/>
        </w:rPr>
        <w:t xml:space="preserve">). </w:t>
      </w:r>
      <w:r w:rsidR="00A677A8" w:rsidRPr="00F33908">
        <w:rPr>
          <w:noProof w:val="0"/>
          <w:color w:val="000000"/>
        </w:rPr>
        <w:t xml:space="preserve">Patients with greater than 1+ </w:t>
      </w:r>
      <w:r w:rsidR="00A677A8" w:rsidRPr="007A3223">
        <w:rPr>
          <w:noProof w:val="0"/>
          <w:color w:val="000000"/>
        </w:rPr>
        <w:t>proteinuria at entry are ineligible.</w:t>
      </w:r>
      <w:r w:rsidR="00A677A8" w:rsidRPr="007A3223">
        <w:rPr>
          <w:noProof w:val="0"/>
        </w:rPr>
        <w:t xml:space="preserve"> </w:t>
      </w:r>
    </w:p>
    <w:p w14:paraId="11C7B083" w14:textId="77777777" w:rsidR="00A677A8" w:rsidRPr="007A3223" w:rsidRDefault="00A677A8" w:rsidP="00A677A8">
      <w:pPr>
        <w:pStyle w:val="Heading4"/>
        <w:rPr>
          <w:noProof w:val="0"/>
        </w:rPr>
      </w:pPr>
      <w:r w:rsidRPr="007A3223">
        <w:rPr>
          <w:noProof w:val="0"/>
        </w:rPr>
        <w:t>Uncontrolled intercurrent illness including, but not limited to, ongoing or active infection, symptomatic congestive heart failure, unstable angina pectoris, cardiac arrhythmia, active peptic ulcer disease, or psychiatric illness/social situations that would limit compliance with study requirements.</w:t>
      </w:r>
    </w:p>
    <w:p w14:paraId="34CB51A8" w14:textId="77777777" w:rsidR="00A677A8" w:rsidRPr="007A3223" w:rsidRDefault="00A677A8" w:rsidP="00A677A8">
      <w:pPr>
        <w:pStyle w:val="Heading4"/>
        <w:rPr>
          <w:noProof w:val="0"/>
        </w:rPr>
      </w:pPr>
      <w:r w:rsidRPr="007A3223">
        <w:rPr>
          <w:noProof w:val="0"/>
        </w:rPr>
        <w:t xml:space="preserve">Pregnant and breastfeeding women are excluded from this study. </w:t>
      </w:r>
    </w:p>
    <w:p w14:paraId="7708591E" w14:textId="2B054E97" w:rsidR="00A677A8" w:rsidRPr="007A3223" w:rsidRDefault="00A677A8" w:rsidP="007570A9">
      <w:pPr>
        <w:pStyle w:val="Heading4"/>
        <w:rPr>
          <w:noProof w:val="0"/>
        </w:rPr>
      </w:pPr>
      <w:r w:rsidRPr="007A3223">
        <w:rPr>
          <w:noProof w:val="0"/>
        </w:rPr>
        <w:t>HIV-positive patients on antiretroviral therapy are ineligible because of potential pharmacokinetic interactions with study drugs.</w:t>
      </w:r>
      <w:r w:rsidR="007570A9" w:rsidRPr="007A3223">
        <w:rPr>
          <w:noProof w:val="0"/>
        </w:rPr>
        <w:t xml:space="preserve"> </w:t>
      </w:r>
      <w:r w:rsidR="008E1CC6" w:rsidRPr="007A3223">
        <w:rPr>
          <w:noProof w:val="0"/>
        </w:rPr>
        <w:t>However, patients with long-standing (&gt;5 years) HIV on antiretroviral therapy</w:t>
      </w:r>
      <w:r w:rsidR="00D83CFB" w:rsidRPr="007A3223">
        <w:rPr>
          <w:noProof w:val="0"/>
        </w:rPr>
        <w:t xml:space="preserve"> &gt; 1 month</w:t>
      </w:r>
      <w:r w:rsidR="008E1CC6" w:rsidRPr="007A3223">
        <w:rPr>
          <w:noProof w:val="0"/>
        </w:rPr>
        <w:t xml:space="preserve"> </w:t>
      </w:r>
      <w:r w:rsidR="00D83CFB" w:rsidRPr="007A3223">
        <w:rPr>
          <w:noProof w:val="0"/>
        </w:rPr>
        <w:t xml:space="preserve">(undetectable HIV viral load and CD4 count &gt; 150 cells/µL) </w:t>
      </w:r>
      <w:r w:rsidR="008E1CC6" w:rsidRPr="007A3223">
        <w:rPr>
          <w:noProof w:val="0"/>
        </w:rPr>
        <w:t>may be eligible if the PI determines no anticipated clinically significant drug-drug interactions</w:t>
      </w:r>
      <w:r w:rsidR="007570A9" w:rsidRPr="007A3223">
        <w:rPr>
          <w:noProof w:val="0"/>
        </w:rPr>
        <w:t>.</w:t>
      </w:r>
    </w:p>
    <w:p w14:paraId="164FD1DB" w14:textId="77777777" w:rsidR="00A677A8" w:rsidRPr="007A3223" w:rsidRDefault="00A677A8" w:rsidP="00A677A8">
      <w:pPr>
        <w:pStyle w:val="Heading4"/>
        <w:rPr>
          <w:noProof w:val="0"/>
        </w:rPr>
      </w:pPr>
      <w:r w:rsidRPr="007A3223">
        <w:rPr>
          <w:noProof w:val="0"/>
        </w:rPr>
        <w:t>HBV-or HCV-positive patients are ineligible because of potential reactivation of hepatitis virus following</w:t>
      </w:r>
      <w:r w:rsidR="00D3126B" w:rsidRPr="007A3223">
        <w:rPr>
          <w:noProof w:val="0"/>
        </w:rPr>
        <w:t xml:space="preserve"> steroid</w:t>
      </w:r>
      <w:r w:rsidR="00C63222" w:rsidRPr="007A3223">
        <w:rPr>
          <w:noProof w:val="0"/>
        </w:rPr>
        <w:t>s</w:t>
      </w:r>
      <w:r w:rsidRPr="007A3223">
        <w:rPr>
          <w:noProof w:val="0"/>
        </w:rPr>
        <w:t xml:space="preserve">. </w:t>
      </w:r>
    </w:p>
    <w:p w14:paraId="0F327F13" w14:textId="77777777" w:rsidR="00A677A8" w:rsidRPr="007A3223" w:rsidRDefault="00A677A8" w:rsidP="00A677A8">
      <w:pPr>
        <w:pStyle w:val="Heading4"/>
        <w:rPr>
          <w:noProof w:val="0"/>
        </w:rPr>
      </w:pPr>
      <w:r w:rsidRPr="007A3223">
        <w:rPr>
          <w:noProof w:val="0"/>
        </w:rPr>
        <w:t>Known history of previous clinical diagnosis of tuberculosis.</w:t>
      </w:r>
    </w:p>
    <w:p w14:paraId="1F41BE71" w14:textId="77777777" w:rsidR="00A677A8" w:rsidRPr="007A3223" w:rsidRDefault="00A677A8" w:rsidP="00A677A8">
      <w:pPr>
        <w:pStyle w:val="Heading4"/>
        <w:rPr>
          <w:noProof w:val="0"/>
        </w:rPr>
      </w:pPr>
      <w:r w:rsidRPr="007A3223">
        <w:rPr>
          <w:noProof w:val="0"/>
        </w:rPr>
        <w:t xml:space="preserve">No baseline features suggestive of myelodysplastic syndrome or acute myelogenous leukemia on peripheral blood smear or bone marrow biopsy, if clinically indicated.  </w:t>
      </w:r>
    </w:p>
    <w:p w14:paraId="3833B3EB" w14:textId="77777777" w:rsidR="003800FB" w:rsidRPr="007A3223" w:rsidRDefault="00A677A8" w:rsidP="00A677A8">
      <w:pPr>
        <w:pStyle w:val="Heading4"/>
        <w:rPr>
          <w:noProof w:val="0"/>
        </w:rPr>
      </w:pPr>
      <w:r w:rsidRPr="007A3223">
        <w:rPr>
          <w:noProof w:val="0"/>
        </w:rPr>
        <w:t>No prior or current evidence of coagulopathy or bleeding diathesis. Therapeutic anticoagulation for prior thromboembolic events is permitted.</w:t>
      </w:r>
    </w:p>
    <w:p w14:paraId="328A010F" w14:textId="77777777" w:rsidR="00477A9E" w:rsidRPr="007A3223" w:rsidRDefault="003800FB" w:rsidP="00A677A8">
      <w:pPr>
        <w:pStyle w:val="Heading4"/>
        <w:rPr>
          <w:noProof w:val="0"/>
        </w:rPr>
      </w:pPr>
      <w:r w:rsidRPr="007A3223">
        <w:rPr>
          <w:noProof w:val="0"/>
          <w:lang w:val="en-US"/>
        </w:rPr>
        <w:t>Concurrent enrollment in another clinical study, unless it is an observational non-interventional clinical study or the follow-up of an interventional study</w:t>
      </w:r>
      <w:r w:rsidR="00477A9E" w:rsidRPr="007A3223">
        <w:rPr>
          <w:noProof w:val="0"/>
          <w:lang w:val="en-US"/>
        </w:rPr>
        <w:t>.</w:t>
      </w:r>
    </w:p>
    <w:p w14:paraId="7357693F" w14:textId="77777777" w:rsidR="00A677A8" w:rsidRPr="007A3223" w:rsidRDefault="00477A9E" w:rsidP="00A677A8">
      <w:pPr>
        <w:pStyle w:val="Heading4"/>
        <w:rPr>
          <w:noProof w:val="0"/>
        </w:rPr>
      </w:pPr>
      <w:r w:rsidRPr="007A3223">
        <w:rPr>
          <w:noProof w:val="0"/>
          <w:lang w:val="en-US"/>
        </w:rPr>
        <w:t>Any concurrent chemotherapy, immunotherapy, biologic or hormonal therapy for cancer treatment.  Concurrent use of hormones for non-cancer-related conditions (e.g., insulin for diabetes and hormone replacement therapy) is acceptable.  NOTE: Local treatment of isolated lesions for palliative intent is acceptable (e.g., by local surgery or radiotherapy).</w:t>
      </w:r>
      <w:r w:rsidR="00A677A8" w:rsidRPr="007A3223">
        <w:rPr>
          <w:noProof w:val="0"/>
        </w:rPr>
        <w:t xml:space="preserve"> </w:t>
      </w:r>
    </w:p>
    <w:p w14:paraId="7B6D9D0E" w14:textId="77777777" w:rsidR="00A677A8" w:rsidRPr="007A3223" w:rsidRDefault="00A677A8" w:rsidP="00A677A8"/>
    <w:p w14:paraId="372F1600" w14:textId="4C07642A" w:rsidR="00A677A8" w:rsidRPr="007A3223" w:rsidRDefault="00D84761" w:rsidP="00ED703B">
      <w:pPr>
        <w:pStyle w:val="Heading2"/>
      </w:pPr>
      <w:bookmarkStart w:id="80" w:name="_Toc82444345"/>
      <w:bookmarkStart w:id="81" w:name="_Hlk13216077"/>
      <w:r w:rsidRPr="007A3223">
        <w:t>Phase II Study</w:t>
      </w:r>
      <w:r w:rsidR="00D818E6" w:rsidRPr="007A3223">
        <w:t xml:space="preserve"> Cohort 1</w:t>
      </w:r>
      <w:r w:rsidRPr="007A3223">
        <w:t xml:space="preserve"> Ovarian Cancer Eligibility Criteria (</w:t>
      </w:r>
      <w:r w:rsidR="0026720E">
        <w:rPr>
          <w:lang w:val="en-US"/>
        </w:rPr>
        <w:t>Durvalumab</w:t>
      </w:r>
      <w:r w:rsidR="000930F6" w:rsidRPr="007A3223">
        <w:t>+</w:t>
      </w:r>
      <w:r w:rsidRPr="007A3223">
        <w:t>O</w:t>
      </w:r>
      <w:r w:rsidR="00BF6585" w:rsidRPr="007A3223">
        <w:t>,</w:t>
      </w:r>
      <w:r w:rsidRPr="007A3223">
        <w:t xml:space="preserve"> </w:t>
      </w:r>
      <w:r w:rsidR="0026720E">
        <w:rPr>
          <w:lang w:val="en-US"/>
        </w:rPr>
        <w:t>Durvalumab</w:t>
      </w:r>
      <w:r w:rsidR="000930F6" w:rsidRPr="007A3223">
        <w:t>+</w:t>
      </w:r>
      <w:r w:rsidRPr="007A3223">
        <w:t>C</w:t>
      </w:r>
      <w:r w:rsidR="00BF6585" w:rsidRPr="007A3223">
        <w:t xml:space="preserve"> AND </w:t>
      </w:r>
      <w:r w:rsidR="0026720E">
        <w:rPr>
          <w:lang w:val="en-US"/>
        </w:rPr>
        <w:t>Durvalumab</w:t>
      </w:r>
      <w:r w:rsidR="00BF6585" w:rsidRPr="007A3223">
        <w:t>+O+C</w:t>
      </w:r>
      <w:r w:rsidRPr="007A3223">
        <w:t>)</w:t>
      </w:r>
      <w:bookmarkEnd w:id="80"/>
      <w:r w:rsidRPr="007A3223">
        <w:t xml:space="preserve"> </w:t>
      </w:r>
    </w:p>
    <w:p w14:paraId="246BD7D7" w14:textId="77777777" w:rsidR="00BA1A99" w:rsidRPr="007A3223" w:rsidRDefault="00370A12" w:rsidP="000C1D10">
      <w:pPr>
        <w:pStyle w:val="Heading3"/>
      </w:pPr>
      <w:bookmarkStart w:id="82" w:name="_Toc399165745"/>
      <w:bookmarkEnd w:id="81"/>
      <w:r w:rsidRPr="007A3223">
        <w:t>Inclusion criteria</w:t>
      </w:r>
      <w:bookmarkEnd w:id="82"/>
    </w:p>
    <w:p w14:paraId="51424C2E" w14:textId="0B32E51C" w:rsidR="00866C7D" w:rsidRPr="007A3223" w:rsidRDefault="0026720E" w:rsidP="00866C7D">
      <w:pPr>
        <w:pStyle w:val="Heading4"/>
        <w:rPr>
          <w:noProof w:val="0"/>
          <w:lang w:val="en-US"/>
        </w:rPr>
      </w:pPr>
      <w:r>
        <w:rPr>
          <w:noProof w:val="0"/>
          <w:lang w:val="en-US"/>
        </w:rPr>
        <w:t>Durvalumab</w:t>
      </w:r>
      <w:r w:rsidR="00866C7D" w:rsidRPr="007A3223">
        <w:rPr>
          <w:noProof w:val="0"/>
        </w:rPr>
        <w:t xml:space="preserve">+O and </w:t>
      </w:r>
      <w:r>
        <w:rPr>
          <w:noProof w:val="0"/>
          <w:lang w:val="en-US"/>
        </w:rPr>
        <w:t>Durvalumab</w:t>
      </w:r>
      <w:r w:rsidR="00866C7D" w:rsidRPr="007A3223">
        <w:rPr>
          <w:noProof w:val="0"/>
        </w:rPr>
        <w:t xml:space="preserve">+C: </w:t>
      </w:r>
      <w:r w:rsidR="00BA1A99" w:rsidRPr="007A3223">
        <w:rPr>
          <w:noProof w:val="0"/>
        </w:rPr>
        <w:t>Patients must have histologically or cytologically confirmed persistent or recurrent ovarian, fallopian tube, or primary peritoneal cancer</w:t>
      </w:r>
      <w:r w:rsidR="001651AA" w:rsidRPr="007A3223">
        <w:rPr>
          <w:noProof w:val="0"/>
          <w:lang w:val="en-US"/>
        </w:rPr>
        <w:t xml:space="preserve"> who are </w:t>
      </w:r>
      <w:r w:rsidR="00C95365" w:rsidRPr="007A3223">
        <w:rPr>
          <w:noProof w:val="0"/>
          <w:lang w:val="en-US"/>
        </w:rPr>
        <w:t xml:space="preserve">either platinum-sensitive, </w:t>
      </w:r>
      <w:r w:rsidR="001651AA" w:rsidRPr="007A3223">
        <w:rPr>
          <w:noProof w:val="0"/>
          <w:lang w:val="en-US"/>
        </w:rPr>
        <w:t>platinum resistant or refractory during or after a first platinum containing regimen</w:t>
      </w:r>
      <w:r w:rsidR="00BA1A99" w:rsidRPr="007A3223">
        <w:rPr>
          <w:noProof w:val="0"/>
        </w:rPr>
        <w:t xml:space="preserve">. </w:t>
      </w:r>
      <w:r w:rsidR="00C95365" w:rsidRPr="007A3223">
        <w:rPr>
          <w:noProof w:val="0"/>
          <w:lang w:val="en-US"/>
        </w:rPr>
        <w:t>For platinum-sensitive recurrent disease, the patients must have received at least two prior regimens prior to study enrollment.</w:t>
      </w:r>
      <w:r w:rsidR="00866C7D" w:rsidRPr="007A3223">
        <w:rPr>
          <w:noProof w:val="0"/>
          <w:lang w:val="en-US"/>
        </w:rPr>
        <w:t xml:space="preserve"> </w:t>
      </w:r>
    </w:p>
    <w:p w14:paraId="2527DDED" w14:textId="3A8C27F5" w:rsidR="00866C7D" w:rsidRPr="007A3223" w:rsidRDefault="00011315" w:rsidP="00866C7D">
      <w:pPr>
        <w:pStyle w:val="Heading4"/>
        <w:rPr>
          <w:noProof w:val="0"/>
          <w:lang w:val="en-US"/>
        </w:rPr>
      </w:pPr>
      <w:r>
        <w:rPr>
          <w:noProof w:val="0"/>
          <w:lang w:val="en-US"/>
        </w:rPr>
        <w:t>Durvalumab</w:t>
      </w:r>
      <w:r w:rsidR="00866C7D" w:rsidRPr="007A3223">
        <w:rPr>
          <w:noProof w:val="0"/>
        </w:rPr>
        <w:t>+O+C: Patients must have histologically or cytologically confirmed persistent or recurrent non-mucinous epithelial ovarian, fallopian tube, or primary peritoneal cancer</w:t>
      </w:r>
      <w:r w:rsidR="00866C7D" w:rsidRPr="007A3223">
        <w:rPr>
          <w:noProof w:val="0"/>
          <w:lang w:val="en-US"/>
        </w:rPr>
        <w:t xml:space="preserve"> who are either platinum-sensitive, platinum resistant or refractory during or after a first platinum containing regimen</w:t>
      </w:r>
      <w:r w:rsidR="00866C7D" w:rsidRPr="007A3223">
        <w:rPr>
          <w:noProof w:val="0"/>
        </w:rPr>
        <w:t xml:space="preserve">. </w:t>
      </w:r>
      <w:r w:rsidR="00866C7D" w:rsidRPr="007A3223">
        <w:rPr>
          <w:noProof w:val="0"/>
          <w:lang w:val="en-US"/>
        </w:rPr>
        <w:t xml:space="preserve">For platinum-sensitive recurrent serous epithelial ovarian cancer, the patients must have received at least two prior regimens prior to study enrollment. </w:t>
      </w:r>
    </w:p>
    <w:p w14:paraId="4943BFAF" w14:textId="4241FBE7" w:rsidR="00F12483" w:rsidRPr="007A3223" w:rsidRDefault="00BA1A99" w:rsidP="00F12483">
      <w:pPr>
        <w:pStyle w:val="Heading4"/>
      </w:pPr>
      <w:r w:rsidRPr="007A3223">
        <w:rPr>
          <w:noProof w:val="0"/>
        </w:rPr>
        <w:lastRenderedPageBreak/>
        <w:t xml:space="preserve">Documentation of gBRCAm status </w:t>
      </w:r>
      <w:r w:rsidR="00A7694C" w:rsidRPr="007A3223">
        <w:rPr>
          <w:noProof w:val="0"/>
        </w:rPr>
        <w:t xml:space="preserve">will be </w:t>
      </w:r>
      <w:r w:rsidR="005725D2" w:rsidRPr="007A3223">
        <w:rPr>
          <w:noProof w:val="0"/>
        </w:rPr>
        <w:t>requ</w:t>
      </w:r>
      <w:r w:rsidR="00D04DA4" w:rsidRPr="007A3223">
        <w:rPr>
          <w:noProof w:val="0"/>
          <w:lang w:val="en-US"/>
        </w:rPr>
        <w:t>ested</w:t>
      </w:r>
      <w:r w:rsidRPr="007A3223">
        <w:rPr>
          <w:noProof w:val="0"/>
        </w:rPr>
        <w:t>.</w:t>
      </w:r>
      <w:r w:rsidR="0042288D" w:rsidRPr="007A3223">
        <w:t xml:space="preserve"> A documented deleterious germline BRCA1 and BRCA2 mutation (gBRCAm) obtained in a CLIA-certified laboratory</w:t>
      </w:r>
      <w:r w:rsidR="000D43DE" w:rsidRPr="007A3223">
        <w:rPr>
          <w:lang w:val="en-US"/>
        </w:rPr>
        <w:t xml:space="preserve"> </w:t>
      </w:r>
      <w:r w:rsidR="00900FD8" w:rsidRPr="007A3223">
        <w:rPr>
          <w:lang w:val="en-US"/>
        </w:rPr>
        <w:t>will be requested</w:t>
      </w:r>
      <w:r w:rsidR="000D43DE" w:rsidRPr="007A3223">
        <w:rPr>
          <w:lang w:val="en-US"/>
        </w:rPr>
        <w:t>, but it is not mandated for enrollment</w:t>
      </w:r>
      <w:r w:rsidR="0042288D" w:rsidRPr="007A3223">
        <w:t xml:space="preserve">. </w:t>
      </w:r>
      <w:r w:rsidR="00F12483" w:rsidRPr="007A3223">
        <w:t>Due to the long acceptance of BRCA testing through Myriad, Myriad testing will be accepted. If testing for BRCA is done by other organizations either by multi-gene panels or individual testing, genetic consultation report from a qualified medical professional listing the mutation and confirming that the laboratory results showed a recognized gBRCAm or germline deleterious BRCA rearrangement is required. If the patient refused genetic counseling, it should be documented in the medical records.</w:t>
      </w:r>
      <w:r w:rsidR="000D43DE" w:rsidRPr="007A3223">
        <w:rPr>
          <w:rFonts w:asciiTheme="minorHAnsi" w:eastAsiaTheme="minorEastAsia" w:hAnsiTheme="minorHAnsi" w:cstheme="minorBidi"/>
          <w:bCs w:val="0"/>
          <w:noProof w:val="0"/>
          <w:sz w:val="18"/>
          <w:szCs w:val="18"/>
          <w:lang w:val="en-US" w:eastAsia="en-US"/>
        </w:rPr>
        <w:t xml:space="preserve"> </w:t>
      </w:r>
    </w:p>
    <w:p w14:paraId="471D6ACD" w14:textId="77777777" w:rsidR="00BA1A99" w:rsidRPr="007A3223" w:rsidRDefault="0042288D" w:rsidP="00F12483">
      <w:pPr>
        <w:pStyle w:val="Heading4"/>
        <w:numPr>
          <w:ilvl w:val="0"/>
          <w:numId w:val="0"/>
        </w:numPr>
        <w:ind w:left="864"/>
      </w:pPr>
      <w:r w:rsidRPr="007A3223">
        <w:t xml:space="preserve">Variants of uncertain significance (VUS) of BRCA1 and BRCA2 are not considered deleterious.  Patients with VUS or deleterious mutation in other genes without gBRCAm or patients with </w:t>
      </w:r>
      <w:r w:rsidR="00517E60" w:rsidRPr="007A3223">
        <w:rPr>
          <w:lang w:val="en-US"/>
        </w:rPr>
        <w:t xml:space="preserve">negative </w:t>
      </w:r>
      <w:r w:rsidRPr="007A3223">
        <w:t xml:space="preserve">BRCA </w:t>
      </w:r>
      <w:r w:rsidR="00517E60" w:rsidRPr="007A3223">
        <w:rPr>
          <w:lang w:val="en-US"/>
        </w:rPr>
        <w:t>testing</w:t>
      </w:r>
      <w:r w:rsidRPr="007A3223">
        <w:t xml:space="preserve"> are still eligible.</w:t>
      </w:r>
      <w:r w:rsidR="00F12483" w:rsidRPr="007A3223">
        <w:t xml:space="preserve"> </w:t>
      </w:r>
    </w:p>
    <w:p w14:paraId="4E970639" w14:textId="36F6B64D" w:rsidR="007B229B" w:rsidRPr="007A3223" w:rsidRDefault="00BA1A99" w:rsidP="007B229B">
      <w:pPr>
        <w:pStyle w:val="Heading4"/>
        <w:rPr>
          <w:noProof w:val="0"/>
        </w:rPr>
      </w:pPr>
      <w:r w:rsidRPr="007A3223">
        <w:rPr>
          <w:noProof w:val="0"/>
        </w:rPr>
        <w:t>Patients must have measurable disease</w:t>
      </w:r>
      <w:r w:rsidR="00D96BE0" w:rsidRPr="007A3223">
        <w:rPr>
          <w:noProof w:val="0"/>
        </w:rPr>
        <w:t xml:space="preserve"> as defined by RECIST v1.1.</w:t>
      </w:r>
      <w:r w:rsidR="00D03692" w:rsidRPr="007A3223">
        <w:rPr>
          <w:noProof w:val="0"/>
        </w:rPr>
        <w:t xml:space="preserve"> See Section </w:t>
      </w:r>
      <w:r w:rsidR="00307B04" w:rsidRPr="00F33908">
        <w:fldChar w:fldCharType="begin"/>
      </w:r>
      <w:r w:rsidR="00307B04" w:rsidRPr="007A3223">
        <w:instrText xml:space="preserve"> REF _Ref405293308 \r \h  \* MERGEFORMAT </w:instrText>
      </w:r>
      <w:r w:rsidR="00307B04" w:rsidRPr="00F33908">
        <w:fldChar w:fldCharType="separate"/>
      </w:r>
      <w:r w:rsidR="00E47ACA" w:rsidRPr="00E47ACA">
        <w:rPr>
          <w:b/>
          <w:noProof w:val="0"/>
          <w:color w:val="0000FF"/>
        </w:rPr>
        <w:t>7.5</w:t>
      </w:r>
      <w:r w:rsidR="00307B04" w:rsidRPr="00F33908">
        <w:fldChar w:fldCharType="end"/>
      </w:r>
      <w:r w:rsidR="00783250" w:rsidRPr="007A3223">
        <w:rPr>
          <w:noProof w:val="0"/>
        </w:rPr>
        <w:t xml:space="preserve"> </w:t>
      </w:r>
      <w:r w:rsidRPr="00F33908">
        <w:rPr>
          <w:noProof w:val="0"/>
        </w:rPr>
        <w:t>for the evaluation of measurable disease.</w:t>
      </w:r>
    </w:p>
    <w:p w14:paraId="12D6AB0D" w14:textId="77777777" w:rsidR="00A677A8" w:rsidRPr="007A3223" w:rsidRDefault="007B229B" w:rsidP="001F11C6">
      <w:pPr>
        <w:pStyle w:val="Heading4"/>
        <w:rPr>
          <w:noProof w:val="0"/>
        </w:rPr>
      </w:pPr>
      <w:r w:rsidRPr="007A3223">
        <w:rPr>
          <w:noProof w:val="0"/>
        </w:rPr>
        <w:t>Patients must have at least one lesion deemed safe to biopsy and be willing to undergo a mandatory baseline biopsy.</w:t>
      </w:r>
    </w:p>
    <w:p w14:paraId="506CCC3E" w14:textId="77777777" w:rsidR="00E7722F" w:rsidRPr="007A3223" w:rsidRDefault="00627931" w:rsidP="00627931">
      <w:pPr>
        <w:pStyle w:val="Heading4"/>
        <w:rPr>
          <w:noProof w:val="0"/>
          <w:szCs w:val="24"/>
        </w:rPr>
      </w:pPr>
      <w:bookmarkStart w:id="83" w:name="_Ref399166457"/>
      <w:r w:rsidRPr="007A3223">
        <w:rPr>
          <w:noProof w:val="0"/>
        </w:rPr>
        <w:t xml:space="preserve">Age </w:t>
      </w:r>
      <w:r w:rsidRPr="007A3223">
        <w:rPr>
          <w:noProof w:val="0"/>
          <w:u w:val="single"/>
        </w:rPr>
        <w:t>&gt;</w:t>
      </w:r>
      <w:r w:rsidRPr="007A3223">
        <w:rPr>
          <w:noProof w:val="0"/>
        </w:rPr>
        <w:t>18 years.</w:t>
      </w:r>
    </w:p>
    <w:p w14:paraId="680D2BA2" w14:textId="77777777" w:rsidR="00E47ACA" w:rsidRPr="00E47ACA" w:rsidRDefault="00627931" w:rsidP="00E47ACA">
      <w:pPr>
        <w:pStyle w:val="Heading4"/>
        <w:rPr>
          <w:b/>
          <w:color w:val="0000FF"/>
          <w:lang w:val="en-US"/>
        </w:rPr>
      </w:pPr>
      <w:r w:rsidRPr="007A3223">
        <w:rPr>
          <w:noProof w:val="0"/>
        </w:rPr>
        <w:t xml:space="preserve">ECOG performance status </w:t>
      </w:r>
      <w:r w:rsidR="001D7E7C" w:rsidRPr="007A3223">
        <w:rPr>
          <w:rFonts w:hint="eastAsia"/>
          <w:szCs w:val="24"/>
        </w:rPr>
        <w:t>≤</w:t>
      </w:r>
      <w:r w:rsidR="001D7E7C" w:rsidRPr="007A3223">
        <w:rPr>
          <w:rFonts w:hint="eastAsia"/>
          <w:szCs w:val="24"/>
        </w:rPr>
        <w:t xml:space="preserve"> </w:t>
      </w:r>
      <w:r w:rsidRPr="007A3223">
        <w:rPr>
          <w:noProof w:val="0"/>
        </w:rPr>
        <w:t>2. (See</w:t>
      </w:r>
      <w:r w:rsidRPr="007A3223">
        <w:rPr>
          <w:b/>
          <w:noProof w:val="0"/>
          <w:color w:val="0000FF"/>
        </w:rPr>
        <w:t xml:space="preserve"> </w:t>
      </w:r>
      <w:r w:rsidR="00307B04" w:rsidRPr="00F33908">
        <w:fldChar w:fldCharType="begin"/>
      </w:r>
      <w:r w:rsidR="00307B04" w:rsidRPr="007A3223">
        <w:instrText xml:space="preserve"> REF _Ref398887943 \h  \* MERGEFORMAT </w:instrText>
      </w:r>
      <w:r w:rsidR="00307B04" w:rsidRPr="00F33908">
        <w:fldChar w:fldCharType="separate"/>
      </w:r>
      <w:r w:rsidR="00E47ACA" w:rsidRPr="00E47ACA">
        <w:rPr>
          <w:b/>
          <w:noProof w:val="0"/>
          <w:color w:val="0000FF"/>
        </w:rPr>
        <w:t>APPENDICES</w:t>
      </w:r>
    </w:p>
    <w:p w14:paraId="66B9EAA3" w14:textId="7F8FE062" w:rsidR="00627931" w:rsidRPr="00F33908" w:rsidRDefault="00E47ACA" w:rsidP="006848BD">
      <w:pPr>
        <w:pStyle w:val="Heading4"/>
        <w:rPr>
          <w:noProof w:val="0"/>
        </w:rPr>
      </w:pPr>
      <w:r w:rsidRPr="00E47ACA">
        <w:rPr>
          <w:b/>
          <w:color w:val="0000FF"/>
        </w:rPr>
        <w:t>Appendix</w:t>
      </w:r>
      <w:r w:rsidRPr="007A3223">
        <w:t xml:space="preserve"> </w:t>
      </w:r>
      <w:r>
        <w:t>A</w:t>
      </w:r>
      <w:r w:rsidR="00307B04" w:rsidRPr="00F33908">
        <w:fldChar w:fldCharType="end"/>
      </w:r>
      <w:r w:rsidR="00627931" w:rsidRPr="007A3223">
        <w:rPr>
          <w:noProof w:val="0"/>
        </w:rPr>
        <w:t>)</w:t>
      </w:r>
    </w:p>
    <w:p w14:paraId="056B60BC" w14:textId="77777777" w:rsidR="00627931" w:rsidRPr="007A3223" w:rsidRDefault="00627931" w:rsidP="00627931">
      <w:pPr>
        <w:pStyle w:val="Heading4"/>
        <w:rPr>
          <w:noProof w:val="0"/>
        </w:rPr>
      </w:pPr>
      <w:r w:rsidRPr="007A3223">
        <w:rPr>
          <w:noProof w:val="0"/>
        </w:rPr>
        <w:t xml:space="preserve">Patients must have adequate organ and marrow function as defined below: </w:t>
      </w:r>
    </w:p>
    <w:p w14:paraId="036AC6E5" w14:textId="77777777" w:rsidR="00627931" w:rsidRPr="007A3223" w:rsidRDefault="00627931" w:rsidP="00177D10">
      <w:pPr>
        <w:widowControl w:val="0"/>
        <w:numPr>
          <w:ilvl w:val="0"/>
          <w:numId w:val="6"/>
        </w:numPr>
        <w:tabs>
          <w:tab w:val="left" w:pos="1530"/>
          <w:tab w:val="left" w:pos="5040"/>
        </w:tabs>
        <w:suppressAutoHyphens/>
        <w:spacing w:after="0"/>
        <w:ind w:left="5040" w:hanging="3780"/>
        <w:rPr>
          <w:szCs w:val="24"/>
        </w:rPr>
      </w:pPr>
      <w:r w:rsidRPr="007A3223">
        <w:rPr>
          <w:szCs w:val="24"/>
        </w:rPr>
        <w:t>absolute neutrophil count</w:t>
      </w:r>
      <w:r w:rsidRPr="007A3223">
        <w:rPr>
          <w:szCs w:val="24"/>
        </w:rPr>
        <w:tab/>
      </w:r>
      <w:r w:rsidRPr="007A3223">
        <w:rPr>
          <w:rFonts w:hint="eastAsia"/>
          <w:szCs w:val="24"/>
        </w:rPr>
        <w:t>≥</w:t>
      </w:r>
      <w:r w:rsidRPr="007A3223">
        <w:rPr>
          <w:szCs w:val="24"/>
        </w:rPr>
        <w:t xml:space="preserve"> 1,500/mcL</w:t>
      </w:r>
    </w:p>
    <w:p w14:paraId="325CF451" w14:textId="77777777" w:rsidR="00627931" w:rsidRPr="007A3223" w:rsidRDefault="00627931" w:rsidP="00177D10">
      <w:pPr>
        <w:widowControl w:val="0"/>
        <w:numPr>
          <w:ilvl w:val="0"/>
          <w:numId w:val="6"/>
        </w:numPr>
        <w:tabs>
          <w:tab w:val="left" w:pos="1530"/>
          <w:tab w:val="left" w:pos="5040"/>
        </w:tabs>
        <w:suppressAutoHyphens/>
        <w:spacing w:after="0"/>
        <w:ind w:left="5040" w:hanging="3780"/>
        <w:rPr>
          <w:szCs w:val="24"/>
        </w:rPr>
      </w:pPr>
      <w:r w:rsidRPr="007A3223">
        <w:rPr>
          <w:szCs w:val="24"/>
        </w:rPr>
        <w:t>white blood cell (WBC)</w:t>
      </w:r>
      <w:r w:rsidRPr="007A3223">
        <w:rPr>
          <w:szCs w:val="24"/>
        </w:rPr>
        <w:tab/>
      </w:r>
      <w:r w:rsidRPr="007A3223">
        <w:rPr>
          <w:szCs w:val="24"/>
          <w:u w:val="single"/>
        </w:rPr>
        <w:t>&gt;</w:t>
      </w:r>
      <w:r w:rsidRPr="007A3223">
        <w:rPr>
          <w:szCs w:val="24"/>
          <w:lang w:eastAsia="ko-KR"/>
        </w:rPr>
        <w:t xml:space="preserve"> </w:t>
      </w:r>
      <w:r w:rsidRPr="007A3223">
        <w:rPr>
          <w:szCs w:val="24"/>
        </w:rPr>
        <w:t>3,000/mcL</w:t>
      </w:r>
    </w:p>
    <w:p w14:paraId="331598F3" w14:textId="77777777" w:rsidR="00627931" w:rsidRPr="007A3223" w:rsidRDefault="00627931" w:rsidP="00177D10">
      <w:pPr>
        <w:widowControl w:val="0"/>
        <w:numPr>
          <w:ilvl w:val="0"/>
          <w:numId w:val="6"/>
        </w:numPr>
        <w:tabs>
          <w:tab w:val="left" w:pos="1530"/>
          <w:tab w:val="left" w:pos="5040"/>
        </w:tabs>
        <w:suppressAutoHyphens/>
        <w:spacing w:after="0"/>
        <w:ind w:left="5040" w:hanging="3780"/>
        <w:rPr>
          <w:szCs w:val="24"/>
        </w:rPr>
      </w:pPr>
      <w:r w:rsidRPr="007A3223">
        <w:rPr>
          <w:szCs w:val="24"/>
        </w:rPr>
        <w:t>platelets</w:t>
      </w:r>
      <w:r w:rsidRPr="007A3223">
        <w:rPr>
          <w:szCs w:val="24"/>
        </w:rPr>
        <w:tab/>
      </w:r>
      <w:r w:rsidRPr="007A3223">
        <w:rPr>
          <w:rFonts w:hint="eastAsia"/>
          <w:szCs w:val="24"/>
        </w:rPr>
        <w:t>≥</w:t>
      </w:r>
      <w:r w:rsidRPr="007A3223">
        <w:rPr>
          <w:szCs w:val="24"/>
        </w:rPr>
        <w:t xml:space="preserve"> 100,000/mcL</w:t>
      </w:r>
    </w:p>
    <w:p w14:paraId="5E996DBB" w14:textId="4FB2637F" w:rsidR="00BC2034" w:rsidRPr="007A3223" w:rsidRDefault="00BC2034" w:rsidP="00177D10">
      <w:pPr>
        <w:widowControl w:val="0"/>
        <w:numPr>
          <w:ilvl w:val="0"/>
          <w:numId w:val="6"/>
        </w:numPr>
        <w:tabs>
          <w:tab w:val="left" w:pos="1530"/>
          <w:tab w:val="left" w:pos="5040"/>
        </w:tabs>
        <w:suppressAutoHyphens/>
        <w:spacing w:after="0"/>
        <w:ind w:left="5040" w:hanging="3780"/>
        <w:rPr>
          <w:szCs w:val="24"/>
        </w:rPr>
      </w:pPr>
      <w:r w:rsidRPr="007A3223">
        <w:rPr>
          <w:szCs w:val="24"/>
        </w:rPr>
        <w:t>hemoglobin (Hgb)</w:t>
      </w:r>
      <w:r w:rsidRPr="007A3223">
        <w:rPr>
          <w:szCs w:val="24"/>
        </w:rPr>
        <w:tab/>
      </w:r>
      <w:r w:rsidRPr="007A3223">
        <w:rPr>
          <w:rFonts w:hint="eastAsia"/>
          <w:szCs w:val="24"/>
        </w:rPr>
        <w:t>≥</w:t>
      </w:r>
      <w:r w:rsidRPr="007A3223">
        <w:rPr>
          <w:rFonts w:hint="eastAsia"/>
          <w:szCs w:val="24"/>
        </w:rPr>
        <w:t xml:space="preserve"> </w:t>
      </w:r>
      <w:r w:rsidR="003166DC" w:rsidRPr="007A3223">
        <w:rPr>
          <w:szCs w:val="24"/>
        </w:rPr>
        <w:t>9</w:t>
      </w:r>
      <w:r w:rsidRPr="007A3223">
        <w:rPr>
          <w:szCs w:val="24"/>
        </w:rPr>
        <w:t xml:space="preserve"> g/dL </w:t>
      </w:r>
      <w:r w:rsidR="004B5D41" w:rsidRPr="007A3223">
        <w:rPr>
          <w:szCs w:val="24"/>
        </w:rPr>
        <w:t>in the absence of packed red blood cell transfusion</w:t>
      </w:r>
      <w:r w:rsidRPr="007A3223">
        <w:rPr>
          <w:szCs w:val="24"/>
        </w:rPr>
        <w:t xml:space="preserve"> 28 days </w:t>
      </w:r>
      <w:r w:rsidR="004B5D41" w:rsidRPr="007A3223">
        <w:rPr>
          <w:szCs w:val="24"/>
        </w:rPr>
        <w:t>prior to dosing</w:t>
      </w:r>
      <w:r w:rsidRPr="007A3223">
        <w:t xml:space="preserve"> </w:t>
      </w:r>
    </w:p>
    <w:p w14:paraId="53A1F141" w14:textId="77777777" w:rsidR="00627931" w:rsidRPr="007A3223" w:rsidRDefault="00627931" w:rsidP="009C6296">
      <w:pPr>
        <w:widowControl w:val="0"/>
        <w:tabs>
          <w:tab w:val="left" w:pos="1530"/>
          <w:tab w:val="left" w:pos="5040"/>
        </w:tabs>
        <w:suppressAutoHyphens/>
        <w:spacing w:after="0"/>
        <w:rPr>
          <w:szCs w:val="24"/>
        </w:rPr>
      </w:pPr>
    </w:p>
    <w:p w14:paraId="06B12E59" w14:textId="77777777" w:rsidR="00CF2FC8" w:rsidRPr="007A3223" w:rsidRDefault="00627931" w:rsidP="00177D10">
      <w:pPr>
        <w:widowControl w:val="0"/>
        <w:numPr>
          <w:ilvl w:val="0"/>
          <w:numId w:val="6"/>
        </w:numPr>
        <w:tabs>
          <w:tab w:val="left" w:pos="1530"/>
          <w:tab w:val="left" w:pos="5040"/>
        </w:tabs>
        <w:suppressAutoHyphens/>
        <w:spacing w:after="0"/>
        <w:ind w:left="5040" w:hanging="3780"/>
        <w:rPr>
          <w:szCs w:val="24"/>
        </w:rPr>
      </w:pPr>
      <w:r w:rsidRPr="007A3223">
        <w:rPr>
          <w:szCs w:val="24"/>
        </w:rPr>
        <w:t>AST(SGOT)/ALT(SGPT)</w:t>
      </w:r>
      <w:r w:rsidRPr="007A3223">
        <w:rPr>
          <w:szCs w:val="24"/>
        </w:rPr>
        <w:tab/>
      </w:r>
      <w:r w:rsidRPr="007A3223">
        <w:rPr>
          <w:rFonts w:hint="eastAsia"/>
          <w:szCs w:val="24"/>
        </w:rPr>
        <w:t>≤</w:t>
      </w:r>
      <w:r w:rsidRPr="007A3223">
        <w:rPr>
          <w:szCs w:val="24"/>
        </w:rPr>
        <w:t xml:space="preserve">  2.5 X institutional upper limit of normal</w:t>
      </w:r>
      <w:r w:rsidR="009C6296" w:rsidRPr="007A3223">
        <w:rPr>
          <w:rFonts w:hint="eastAsia"/>
          <w:szCs w:val="24"/>
        </w:rPr>
        <w:t xml:space="preserve"> (ULN); for subjects with liver metastases, AST or ALT </w:t>
      </w:r>
      <w:r w:rsidR="009C6296" w:rsidRPr="007A3223">
        <w:rPr>
          <w:rFonts w:hint="eastAsia"/>
          <w:szCs w:val="24"/>
        </w:rPr>
        <w:t>≤</w:t>
      </w:r>
      <w:r w:rsidR="009C6296" w:rsidRPr="007A3223">
        <w:rPr>
          <w:rFonts w:hint="eastAsia"/>
          <w:szCs w:val="24"/>
        </w:rPr>
        <w:t xml:space="preserve"> 5 </w:t>
      </w:r>
      <w:r w:rsidR="009C6296" w:rsidRPr="007A3223">
        <w:rPr>
          <w:rFonts w:hint="eastAsia"/>
          <w:szCs w:val="24"/>
        </w:rPr>
        <w:t>×</w:t>
      </w:r>
      <w:r w:rsidR="009C6296" w:rsidRPr="007A3223">
        <w:rPr>
          <w:rFonts w:hint="eastAsia"/>
          <w:szCs w:val="24"/>
        </w:rPr>
        <w:t xml:space="preserve"> ULN</w:t>
      </w:r>
    </w:p>
    <w:p w14:paraId="564BB6BE" w14:textId="77777777" w:rsidR="00CF2FC8" w:rsidRPr="007A3223" w:rsidRDefault="00CF2FC8" w:rsidP="00CF2FC8">
      <w:pPr>
        <w:pStyle w:val="ListParagraph"/>
      </w:pPr>
    </w:p>
    <w:p w14:paraId="31AE6985" w14:textId="77777777" w:rsidR="00CF2FC8" w:rsidRPr="007A3223" w:rsidRDefault="00CF2FC8" w:rsidP="00177D10">
      <w:pPr>
        <w:widowControl w:val="0"/>
        <w:numPr>
          <w:ilvl w:val="0"/>
          <w:numId w:val="6"/>
        </w:numPr>
        <w:tabs>
          <w:tab w:val="left" w:pos="1530"/>
          <w:tab w:val="left" w:pos="5040"/>
        </w:tabs>
        <w:suppressAutoHyphens/>
        <w:spacing w:after="0"/>
        <w:ind w:left="5040" w:hanging="3780"/>
        <w:rPr>
          <w:szCs w:val="24"/>
        </w:rPr>
      </w:pPr>
      <w:r w:rsidRPr="007A3223">
        <w:t>Total bilirubin</w:t>
      </w:r>
      <w:r w:rsidRPr="007A3223">
        <w:tab/>
      </w:r>
      <w:r w:rsidRPr="007A3223">
        <w:rPr>
          <w:rFonts w:hint="eastAsia"/>
        </w:rPr>
        <w:t>≤</w:t>
      </w:r>
      <w:r w:rsidRPr="007A3223">
        <w:t xml:space="preserve"> 1.5 </w:t>
      </w:r>
      <w:r w:rsidRPr="007A3223">
        <w:rPr>
          <w:rFonts w:hint="eastAsia"/>
        </w:rPr>
        <w:t>×</w:t>
      </w:r>
      <w:r w:rsidRPr="007A3223">
        <w:t xml:space="preserve"> ULN; for subjects with documented/suspected Gilbert</w:t>
      </w:r>
      <w:r w:rsidRPr="007A3223">
        <w:rPr>
          <w:rFonts w:hint="eastAsia"/>
        </w:rPr>
        <w:t>’</w:t>
      </w:r>
      <w:r w:rsidRPr="007A3223">
        <w:t xml:space="preserve">s disease, bilirubin </w:t>
      </w:r>
      <w:r w:rsidRPr="007A3223">
        <w:rPr>
          <w:rFonts w:hint="eastAsia"/>
        </w:rPr>
        <w:t>≤</w:t>
      </w:r>
      <w:r w:rsidRPr="007A3223">
        <w:t xml:space="preserve"> 3 </w:t>
      </w:r>
      <w:r w:rsidRPr="007A3223">
        <w:rPr>
          <w:rFonts w:hint="eastAsia"/>
        </w:rPr>
        <w:t>×</w:t>
      </w:r>
      <w:r w:rsidRPr="007A3223">
        <w:t xml:space="preserve"> ULN</w:t>
      </w:r>
    </w:p>
    <w:p w14:paraId="0B12ECA2" w14:textId="77777777" w:rsidR="00627931" w:rsidRPr="007A3223" w:rsidRDefault="00627931" w:rsidP="00CF2FC8">
      <w:pPr>
        <w:widowControl w:val="0"/>
        <w:tabs>
          <w:tab w:val="left" w:pos="1530"/>
          <w:tab w:val="left" w:pos="5040"/>
        </w:tabs>
        <w:suppressAutoHyphens/>
        <w:spacing w:after="0"/>
        <w:ind w:left="5040"/>
        <w:rPr>
          <w:szCs w:val="24"/>
        </w:rPr>
      </w:pPr>
    </w:p>
    <w:p w14:paraId="700CCA1B" w14:textId="77777777" w:rsidR="00627931" w:rsidRPr="007A3223" w:rsidRDefault="00627931" w:rsidP="00177D10">
      <w:pPr>
        <w:widowControl w:val="0"/>
        <w:numPr>
          <w:ilvl w:val="0"/>
          <w:numId w:val="6"/>
        </w:numPr>
        <w:tabs>
          <w:tab w:val="left" w:pos="1530"/>
          <w:tab w:val="left" w:pos="5040"/>
        </w:tabs>
        <w:suppressAutoHyphens/>
        <w:spacing w:after="0"/>
        <w:ind w:left="5040" w:hanging="3780"/>
        <w:rPr>
          <w:szCs w:val="24"/>
        </w:rPr>
      </w:pPr>
      <w:r w:rsidRPr="007A3223">
        <w:rPr>
          <w:szCs w:val="24"/>
        </w:rPr>
        <w:t>creatinine</w:t>
      </w:r>
      <w:r w:rsidRPr="007A3223">
        <w:rPr>
          <w:szCs w:val="24"/>
        </w:rPr>
        <w:tab/>
      </w:r>
      <w:r w:rsidRPr="007A3223">
        <w:rPr>
          <w:rFonts w:hint="eastAsia"/>
          <w:szCs w:val="24"/>
        </w:rPr>
        <w:t>≤</w:t>
      </w:r>
      <w:r w:rsidRPr="007A3223">
        <w:rPr>
          <w:szCs w:val="24"/>
        </w:rPr>
        <w:t xml:space="preserve">  1.5 X within normal institutional limits</w:t>
      </w:r>
    </w:p>
    <w:p w14:paraId="35B2640C" w14:textId="77777777" w:rsidR="00627931" w:rsidRPr="007A3223" w:rsidRDefault="00627931" w:rsidP="00627931">
      <w:pPr>
        <w:widowControl w:val="0"/>
        <w:suppressAutoHyphens/>
        <w:spacing w:after="0"/>
        <w:jc w:val="center"/>
        <w:rPr>
          <w:szCs w:val="24"/>
        </w:rPr>
      </w:pPr>
      <w:r w:rsidRPr="007A3223">
        <w:rPr>
          <w:szCs w:val="24"/>
        </w:rPr>
        <w:t>OR</w:t>
      </w:r>
    </w:p>
    <w:p w14:paraId="17B4EC1D" w14:textId="77777777" w:rsidR="00627931" w:rsidRPr="007A3223" w:rsidRDefault="00627931" w:rsidP="00627931">
      <w:pPr>
        <w:widowControl w:val="0"/>
        <w:tabs>
          <w:tab w:val="left" w:pos="1530"/>
          <w:tab w:val="left" w:pos="4680"/>
        </w:tabs>
        <w:suppressAutoHyphens/>
        <w:spacing w:after="0"/>
        <w:ind w:left="5040" w:hanging="2520"/>
        <w:rPr>
          <w:szCs w:val="24"/>
        </w:rPr>
      </w:pPr>
      <w:r w:rsidRPr="007A3223">
        <w:rPr>
          <w:szCs w:val="24"/>
        </w:rPr>
        <w:t xml:space="preserve">measured creatinine clearance </w:t>
      </w:r>
      <w:r w:rsidRPr="007A3223">
        <w:rPr>
          <w:szCs w:val="24"/>
          <w:u w:val="single"/>
        </w:rPr>
        <w:t xml:space="preserve">&gt; </w:t>
      </w:r>
      <w:r w:rsidR="000F32F8" w:rsidRPr="007A3223">
        <w:rPr>
          <w:szCs w:val="24"/>
        </w:rPr>
        <w:t>50</w:t>
      </w:r>
      <w:r w:rsidRPr="007A3223">
        <w:rPr>
          <w:szCs w:val="24"/>
        </w:rPr>
        <w:t xml:space="preserve"> mL/min/1.73 m</w:t>
      </w:r>
      <w:r w:rsidRPr="007A3223">
        <w:rPr>
          <w:szCs w:val="24"/>
          <w:vertAlign w:val="superscript"/>
        </w:rPr>
        <w:t>2</w:t>
      </w:r>
      <w:r w:rsidRPr="007A3223">
        <w:rPr>
          <w:szCs w:val="24"/>
        </w:rPr>
        <w:t xml:space="preserve"> </w:t>
      </w:r>
    </w:p>
    <w:p w14:paraId="12D2E084" w14:textId="5FEE6FF4" w:rsidR="005F3F00" w:rsidRPr="007A3223" w:rsidRDefault="003D35BF" w:rsidP="00177D10">
      <w:pPr>
        <w:widowControl w:val="0"/>
        <w:numPr>
          <w:ilvl w:val="0"/>
          <w:numId w:val="6"/>
        </w:numPr>
        <w:tabs>
          <w:tab w:val="left" w:pos="1530"/>
          <w:tab w:val="left" w:pos="5040"/>
        </w:tabs>
        <w:suppressAutoHyphens/>
        <w:spacing w:after="0"/>
        <w:ind w:left="5040" w:hanging="3780"/>
        <w:rPr>
          <w:szCs w:val="24"/>
        </w:rPr>
      </w:pPr>
      <w:r w:rsidRPr="007A3223">
        <w:rPr>
          <w:szCs w:val="24"/>
        </w:rPr>
        <w:lastRenderedPageBreak/>
        <w:t>For OvCa</w:t>
      </w:r>
      <w:r w:rsidR="005F3F00" w:rsidRPr="007A3223">
        <w:rPr>
          <w:szCs w:val="24"/>
        </w:rPr>
        <w:t xml:space="preserve"> </w:t>
      </w:r>
      <w:r w:rsidR="00011315">
        <w:rPr>
          <w:szCs w:val="24"/>
        </w:rPr>
        <w:t>Durvalumab</w:t>
      </w:r>
      <w:r w:rsidR="0005473B" w:rsidRPr="007A3223">
        <w:rPr>
          <w:szCs w:val="24"/>
        </w:rPr>
        <w:t>+</w:t>
      </w:r>
      <w:r w:rsidR="005F3F00" w:rsidRPr="007A3223">
        <w:rPr>
          <w:szCs w:val="24"/>
        </w:rPr>
        <w:t xml:space="preserve">C </w:t>
      </w:r>
      <w:r w:rsidR="00234B58" w:rsidRPr="007A3223">
        <w:rPr>
          <w:szCs w:val="24"/>
        </w:rPr>
        <w:t xml:space="preserve">and </w:t>
      </w:r>
      <w:r w:rsidR="00011315">
        <w:rPr>
          <w:szCs w:val="24"/>
        </w:rPr>
        <w:t>Durvalumab</w:t>
      </w:r>
      <w:r w:rsidR="00234B58" w:rsidRPr="007A3223">
        <w:rPr>
          <w:szCs w:val="24"/>
        </w:rPr>
        <w:t xml:space="preserve">+O+C </w:t>
      </w:r>
      <w:r w:rsidR="005F3F00" w:rsidRPr="007A3223">
        <w:rPr>
          <w:szCs w:val="24"/>
        </w:rPr>
        <w:t>arm</w:t>
      </w:r>
      <w:r w:rsidR="00234B58" w:rsidRPr="007A3223">
        <w:rPr>
          <w:szCs w:val="24"/>
        </w:rPr>
        <w:t>s</w:t>
      </w:r>
      <w:r w:rsidRPr="007A3223">
        <w:rPr>
          <w:szCs w:val="24"/>
        </w:rPr>
        <w:t xml:space="preserve"> only: </w:t>
      </w:r>
      <w:r w:rsidR="005F3F00" w:rsidRPr="007A3223">
        <w:rPr>
          <w:szCs w:val="24"/>
        </w:rPr>
        <w:t xml:space="preserve"> </w:t>
      </w:r>
    </w:p>
    <w:p w14:paraId="3EFBE279" w14:textId="77777777" w:rsidR="00627931" w:rsidRPr="007A3223" w:rsidRDefault="003D35BF" w:rsidP="002E5486">
      <w:pPr>
        <w:widowControl w:val="0"/>
        <w:tabs>
          <w:tab w:val="left" w:pos="1530"/>
          <w:tab w:val="left" w:pos="5040"/>
        </w:tabs>
        <w:suppressAutoHyphens/>
        <w:spacing w:after="0"/>
        <w:ind w:left="1260"/>
        <w:rPr>
          <w:szCs w:val="24"/>
        </w:rPr>
      </w:pPr>
      <w:r w:rsidRPr="007A3223">
        <w:rPr>
          <w:szCs w:val="24"/>
        </w:rPr>
        <w:t xml:space="preserve">                     </w:t>
      </w:r>
      <w:r w:rsidR="00627931" w:rsidRPr="007A3223">
        <w:rPr>
          <w:szCs w:val="24"/>
        </w:rPr>
        <w:t>Spot urine protein/creatinine ratio</w:t>
      </w:r>
      <w:r w:rsidR="00627931" w:rsidRPr="007A3223">
        <w:rPr>
          <w:szCs w:val="24"/>
        </w:rPr>
        <w:tab/>
      </w:r>
      <w:r w:rsidR="00627931" w:rsidRPr="007A3223">
        <w:rPr>
          <w:rFonts w:hint="eastAsia"/>
          <w:szCs w:val="24"/>
        </w:rPr>
        <w:t>≤</w:t>
      </w:r>
      <w:r w:rsidR="00627931" w:rsidRPr="007A3223">
        <w:rPr>
          <w:szCs w:val="24"/>
        </w:rPr>
        <w:t xml:space="preserve"> 1</w:t>
      </w:r>
    </w:p>
    <w:p w14:paraId="602C1079" w14:textId="77777777" w:rsidR="00627931" w:rsidRPr="007A3223" w:rsidRDefault="00627931" w:rsidP="00627931">
      <w:pPr>
        <w:widowControl w:val="0"/>
        <w:suppressAutoHyphens/>
        <w:spacing w:after="0"/>
        <w:jc w:val="center"/>
        <w:rPr>
          <w:szCs w:val="24"/>
        </w:rPr>
      </w:pPr>
      <w:r w:rsidRPr="007A3223">
        <w:rPr>
          <w:szCs w:val="24"/>
        </w:rPr>
        <w:t>OR</w:t>
      </w:r>
    </w:p>
    <w:p w14:paraId="1580EDF7" w14:textId="77777777" w:rsidR="00627931" w:rsidRPr="007A3223" w:rsidRDefault="00627931" w:rsidP="00627931">
      <w:pPr>
        <w:widowControl w:val="0"/>
        <w:tabs>
          <w:tab w:val="left" w:pos="1530"/>
          <w:tab w:val="left" w:pos="5040"/>
        </w:tabs>
        <w:suppressAutoHyphens/>
        <w:spacing w:after="0"/>
        <w:ind w:left="5040" w:hanging="2520"/>
        <w:rPr>
          <w:szCs w:val="24"/>
        </w:rPr>
      </w:pPr>
      <w:r w:rsidRPr="007A3223">
        <w:rPr>
          <w:szCs w:val="24"/>
        </w:rPr>
        <w:t>24 hour urine protein</w:t>
      </w:r>
      <w:r w:rsidRPr="007A3223">
        <w:rPr>
          <w:szCs w:val="24"/>
        </w:rPr>
        <w:tab/>
      </w:r>
      <w:r w:rsidRPr="007A3223">
        <w:rPr>
          <w:rFonts w:hint="eastAsia"/>
          <w:szCs w:val="24"/>
        </w:rPr>
        <w:t>≤</w:t>
      </w:r>
      <w:r w:rsidRPr="007A3223">
        <w:rPr>
          <w:szCs w:val="24"/>
        </w:rPr>
        <w:t xml:space="preserve"> 1000 mg</w:t>
      </w:r>
    </w:p>
    <w:p w14:paraId="0E35E7D0" w14:textId="77777777" w:rsidR="00627931" w:rsidRPr="007A3223" w:rsidRDefault="00627931" w:rsidP="006E4D91">
      <w:pPr>
        <w:pStyle w:val="Heading4"/>
        <w:rPr>
          <w:noProof w:val="0"/>
        </w:rPr>
      </w:pPr>
      <w:r w:rsidRPr="007A3223">
        <w:rPr>
          <w:noProof w:val="0"/>
        </w:rPr>
        <w:t xml:space="preserve">Patients are allowed to have received prior PARP inhibitors (PARPi), </w:t>
      </w:r>
      <w:r w:rsidR="00F15B36" w:rsidRPr="007A3223">
        <w:rPr>
          <w:noProof w:val="0"/>
          <w:lang w:val="en-US"/>
        </w:rPr>
        <w:t>and/or</w:t>
      </w:r>
      <w:r w:rsidRPr="007A3223">
        <w:rPr>
          <w:noProof w:val="0"/>
        </w:rPr>
        <w:t xml:space="preserve"> anti-angiogenesis therapy including but not limited to thalidomide, bevacizumab, sunitinib, sorafenib, or other anti-angiogenics. </w:t>
      </w:r>
      <w:r w:rsidR="00134BB5" w:rsidRPr="007A3223">
        <w:rPr>
          <w:noProof w:val="0"/>
        </w:rPr>
        <w:t>However, patients who were treated with both olaparib and cediranib, either in combination or sequentially are not eligible.</w:t>
      </w:r>
      <w:r w:rsidR="006E4D91" w:rsidRPr="007A3223">
        <w:rPr>
          <w:noProof w:val="0"/>
        </w:rPr>
        <w:t xml:space="preserve"> </w:t>
      </w:r>
      <w:r w:rsidRPr="007A3223">
        <w:rPr>
          <w:noProof w:val="0"/>
        </w:rPr>
        <w:t xml:space="preserve">For this study, BSI-201 </w:t>
      </w:r>
      <w:r w:rsidR="0010178D" w:rsidRPr="007A3223">
        <w:rPr>
          <w:noProof w:val="0"/>
        </w:rPr>
        <w:t xml:space="preserve">(iniparib) </w:t>
      </w:r>
      <w:r w:rsidRPr="007A3223">
        <w:rPr>
          <w:noProof w:val="0"/>
        </w:rPr>
        <w:t>is not considered as PARPi.</w:t>
      </w:r>
    </w:p>
    <w:p w14:paraId="450ACA30" w14:textId="076E3501" w:rsidR="00627931" w:rsidRPr="007A3223" w:rsidRDefault="00627931" w:rsidP="00627931">
      <w:pPr>
        <w:pStyle w:val="Heading4"/>
        <w:rPr>
          <w:noProof w:val="0"/>
        </w:rPr>
      </w:pPr>
      <w:r w:rsidRPr="007A3223">
        <w:rPr>
          <w:noProof w:val="0"/>
        </w:rPr>
        <w:t>Patients must be able to swallow oral medications (capsules and tablets) without chewing, breaking, crushing, opening or otherwise altering the product formulation. They should not have gastrointestinal illnesses that would preclude the absorption of cediranib or olaparib, which are oral agents.</w:t>
      </w:r>
    </w:p>
    <w:p w14:paraId="49FB730C" w14:textId="12DDE660" w:rsidR="00627931" w:rsidRPr="007A3223" w:rsidRDefault="00627931" w:rsidP="00627931">
      <w:pPr>
        <w:pStyle w:val="Heading4"/>
        <w:rPr>
          <w:noProof w:val="0"/>
        </w:rPr>
      </w:pPr>
      <w:r w:rsidRPr="007A3223">
        <w:rPr>
          <w:noProof w:val="0"/>
        </w:rPr>
        <w:t xml:space="preserve">Adequately controlled blood pressure (SBP &lt; 140 mm Hg and DBP &lt; 90mmHg) on a maximum of three antihypertensive medications. </w:t>
      </w:r>
    </w:p>
    <w:p w14:paraId="4E796482" w14:textId="77777777" w:rsidR="00627931" w:rsidRPr="007A3223" w:rsidRDefault="00627931" w:rsidP="00627931">
      <w:pPr>
        <w:pStyle w:val="Heading4"/>
        <w:rPr>
          <w:noProof w:val="0"/>
        </w:rPr>
      </w:pPr>
      <w:r w:rsidRPr="007A3223">
        <w:rPr>
          <w:noProof w:val="0"/>
        </w:rPr>
        <w:t>Toxicities of prior therapy (excepting alopecia) should be resolved to less than or equal to Grade 1 as per CTCAE v 4.03 (</w:t>
      </w:r>
      <w:hyperlink r:id="rId37" w:history="1">
        <w:r w:rsidR="00056B48" w:rsidRPr="00F33908">
          <w:rPr>
            <w:rStyle w:val="Hyperlink"/>
            <w:noProof w:val="0"/>
          </w:rPr>
          <w:t>http://ctep.cancer.gov/protocolDevelopment/electronic_applications/ctc.htm</w:t>
        </w:r>
      </w:hyperlink>
      <w:r w:rsidRPr="007A3223">
        <w:rPr>
          <w:rFonts w:hint="eastAsia"/>
          <w:noProof w:val="0"/>
        </w:rPr>
        <w:t>)</w:t>
      </w:r>
      <w:r w:rsidR="00056B48" w:rsidRPr="00F33908">
        <w:rPr>
          <w:noProof w:val="0"/>
          <w:lang w:val="en-US"/>
        </w:rPr>
        <w:t xml:space="preserve"> </w:t>
      </w:r>
      <w:r w:rsidR="00056B48" w:rsidRPr="007A3223">
        <w:rPr>
          <w:noProof w:val="0"/>
        </w:rPr>
        <w:t>except hemoglobin as shown in 2.</w:t>
      </w:r>
      <w:r w:rsidR="00AA297A" w:rsidRPr="007A3223">
        <w:rPr>
          <w:noProof w:val="0"/>
        </w:rPr>
        <w:t>2.1.8</w:t>
      </w:r>
      <w:r w:rsidRPr="007A3223">
        <w:rPr>
          <w:noProof w:val="0"/>
        </w:rPr>
        <w:t>. Patients with long-standing stable grade 2 neuropathy may be considered after discussion with the PI.</w:t>
      </w:r>
    </w:p>
    <w:p w14:paraId="22119E34" w14:textId="77777777" w:rsidR="00627931" w:rsidRPr="007A3223" w:rsidRDefault="00627931" w:rsidP="00627931">
      <w:pPr>
        <w:pStyle w:val="Heading4"/>
        <w:rPr>
          <w:noProof w:val="0"/>
        </w:rPr>
      </w:pPr>
      <w:r w:rsidRPr="007A3223">
        <w:rPr>
          <w:noProof w:val="0"/>
        </w:rPr>
        <w:t>Ability of subject to understand and the willingness to sign a written informed consent document prior to any protocol related procedures, including screening evaluations.</w:t>
      </w:r>
    </w:p>
    <w:p w14:paraId="18EEF59A" w14:textId="7CB1EC75" w:rsidR="00627931" w:rsidRPr="007A3223" w:rsidRDefault="00627931" w:rsidP="00627931">
      <w:pPr>
        <w:pStyle w:val="Heading4"/>
        <w:rPr>
          <w:rFonts w:ascii="Times" w:hAnsi="Times"/>
          <w:noProof w:val="0"/>
        </w:rPr>
      </w:pPr>
      <w:r w:rsidRPr="007A3223">
        <w:rPr>
          <w:rFonts w:ascii="Times" w:hAnsi="Times"/>
          <w:noProof w:val="0"/>
        </w:rPr>
        <w:t xml:space="preserve">Ability of subject to understand and the willingness to record twice-daily blood pressure readings if the patient is enrolled to the </w:t>
      </w:r>
      <w:r w:rsidR="00011315">
        <w:rPr>
          <w:rFonts w:ascii="Times" w:hAnsi="Times"/>
          <w:noProof w:val="0"/>
          <w:lang w:val="en-US"/>
        </w:rPr>
        <w:t>Durvalumab</w:t>
      </w:r>
      <w:r w:rsidR="00CD104F" w:rsidRPr="007A3223">
        <w:rPr>
          <w:rFonts w:ascii="Times" w:hAnsi="Times"/>
          <w:noProof w:val="0"/>
        </w:rPr>
        <w:t>+</w:t>
      </w:r>
      <w:r w:rsidRPr="007A3223">
        <w:rPr>
          <w:rFonts w:ascii="Times" w:hAnsi="Times"/>
          <w:noProof w:val="0"/>
        </w:rPr>
        <w:t xml:space="preserve">C </w:t>
      </w:r>
      <w:r w:rsidR="00187EC9" w:rsidRPr="007A3223">
        <w:rPr>
          <w:rFonts w:ascii="Times" w:hAnsi="Times"/>
          <w:noProof w:val="0"/>
        </w:rPr>
        <w:t xml:space="preserve">or </w:t>
      </w:r>
      <w:r w:rsidR="00011315">
        <w:rPr>
          <w:rFonts w:ascii="Times" w:hAnsi="Times"/>
          <w:noProof w:val="0"/>
          <w:lang w:val="en-US"/>
        </w:rPr>
        <w:t>Durvalumab</w:t>
      </w:r>
      <w:r w:rsidR="00187EC9" w:rsidRPr="007A3223">
        <w:rPr>
          <w:rFonts w:ascii="Times" w:hAnsi="Times"/>
          <w:noProof w:val="0"/>
        </w:rPr>
        <w:t xml:space="preserve">+O+C </w:t>
      </w:r>
      <w:r w:rsidRPr="007A3223">
        <w:rPr>
          <w:rFonts w:ascii="Times" w:hAnsi="Times"/>
          <w:noProof w:val="0"/>
        </w:rPr>
        <w:t xml:space="preserve">arm. </w:t>
      </w:r>
    </w:p>
    <w:p w14:paraId="2250DE14" w14:textId="18C5A045" w:rsidR="00627931" w:rsidRPr="007A3223" w:rsidRDefault="00627931" w:rsidP="004D4C46">
      <w:pPr>
        <w:pStyle w:val="Heading4"/>
      </w:pPr>
      <w:r w:rsidRPr="007A3223">
        <w:t>Female patients must either be of non-reproductive potential (</w:t>
      </w:r>
      <w:r w:rsidR="00AA51B7" w:rsidRPr="007A3223">
        <w:t>i.e.</w:t>
      </w:r>
      <w:r w:rsidRPr="007A3223">
        <w:rPr>
          <w:rFonts w:hint="eastAsia"/>
        </w:rPr>
        <w:t xml:space="preserve">, post-menopausal by history: </w:t>
      </w:r>
      <w:r w:rsidRPr="007A3223">
        <w:rPr>
          <w:rFonts w:hint="eastAsia"/>
        </w:rPr>
        <w:t>≥</w:t>
      </w:r>
      <w:r w:rsidRPr="007A3223">
        <w:rPr>
          <w:rFonts w:hint="eastAsia"/>
        </w:rPr>
        <w:t xml:space="preserve">60 years old and no menses for </w:t>
      </w:r>
      <w:r w:rsidRPr="007A3223">
        <w:rPr>
          <w:rFonts w:hint="eastAsia"/>
        </w:rPr>
        <w:t>≥</w:t>
      </w:r>
      <w:r w:rsidRPr="007A3223">
        <w:rPr>
          <w:rFonts w:hint="eastAsia"/>
        </w:rPr>
        <w:t xml:space="preserve">1 year without an alternative medical cause; OR history of hysterectomy, OR history of bilateral tubal ligation, OR history of bilateral oophorectomy) or must have a negative serum pregnancy test upon study entry and agree to use contraception or abstinence (See Section </w:t>
      </w:r>
      <w:r w:rsidR="00C75BF9" w:rsidRPr="00F33908">
        <w:rPr>
          <w:b/>
          <w:color w:val="0000FF"/>
        </w:rPr>
        <w:fldChar w:fldCharType="begin"/>
      </w:r>
      <w:r w:rsidR="00C75BF9" w:rsidRPr="007A3223">
        <w:rPr>
          <w:b/>
          <w:color w:val="0000FF"/>
        </w:rPr>
        <w:instrText xml:space="preserve"> REF _Ref450581886 \r \h  \* MERGEFORMAT </w:instrText>
      </w:r>
      <w:r w:rsidR="00C75BF9" w:rsidRPr="00F33908">
        <w:rPr>
          <w:b/>
          <w:color w:val="0000FF"/>
        </w:rPr>
      </w:r>
      <w:r w:rsidR="00C75BF9" w:rsidRPr="00F33908">
        <w:rPr>
          <w:b/>
          <w:color w:val="0000FF"/>
        </w:rPr>
        <w:fldChar w:fldCharType="separate"/>
      </w:r>
      <w:r w:rsidR="00E47ACA">
        <w:rPr>
          <w:b/>
          <w:color w:val="0000FF"/>
        </w:rPr>
        <w:t>2.10</w:t>
      </w:r>
      <w:r w:rsidR="00C75BF9" w:rsidRPr="00F33908">
        <w:rPr>
          <w:b/>
          <w:color w:val="0000FF"/>
        </w:rPr>
        <w:fldChar w:fldCharType="end"/>
      </w:r>
      <w:r w:rsidRPr="007A3223">
        <w:t xml:space="preserve">) for female patients with reproductive potential. See Section </w:t>
      </w:r>
      <w:r w:rsidR="00C75BF9" w:rsidRPr="00F33908">
        <w:rPr>
          <w:b/>
          <w:color w:val="0000FF"/>
        </w:rPr>
        <w:fldChar w:fldCharType="begin"/>
      </w:r>
      <w:r w:rsidR="00C75BF9" w:rsidRPr="007A3223">
        <w:rPr>
          <w:b/>
          <w:color w:val="0000FF"/>
        </w:rPr>
        <w:instrText xml:space="preserve"> REF _Ref450581930 \r \h  \* MERGEFORMAT </w:instrText>
      </w:r>
      <w:r w:rsidR="00C75BF9" w:rsidRPr="00F33908">
        <w:rPr>
          <w:b/>
          <w:color w:val="0000FF"/>
        </w:rPr>
      </w:r>
      <w:r w:rsidR="00C75BF9" w:rsidRPr="00F33908">
        <w:rPr>
          <w:b/>
          <w:color w:val="0000FF"/>
        </w:rPr>
        <w:fldChar w:fldCharType="separate"/>
      </w:r>
      <w:r w:rsidR="00E47ACA">
        <w:rPr>
          <w:b/>
          <w:color w:val="0000FF"/>
        </w:rPr>
        <w:t>2.10</w:t>
      </w:r>
      <w:r w:rsidR="00C75BF9" w:rsidRPr="00F33908">
        <w:rPr>
          <w:b/>
          <w:color w:val="0000FF"/>
        </w:rPr>
        <w:fldChar w:fldCharType="end"/>
      </w:r>
      <w:r w:rsidRPr="007A3223">
        <w:t xml:space="preserve"> for m</w:t>
      </w:r>
      <w:r w:rsidRPr="00F33908">
        <w:t>ale patient</w:t>
      </w:r>
      <w:r w:rsidRPr="007A3223">
        <w:t xml:space="preserve">s for contraception while on the study. </w:t>
      </w:r>
    </w:p>
    <w:p w14:paraId="13646389" w14:textId="77777777" w:rsidR="00627931" w:rsidRPr="007A3223" w:rsidRDefault="00627931" w:rsidP="00627931"/>
    <w:p w14:paraId="0D4B3013" w14:textId="11962AD5" w:rsidR="00FA246B" w:rsidRPr="007A3223" w:rsidRDefault="005715E6" w:rsidP="000C1D10">
      <w:pPr>
        <w:pStyle w:val="Heading3"/>
      </w:pPr>
      <w:bookmarkStart w:id="84" w:name="_Toc288125060"/>
      <w:bookmarkStart w:id="85" w:name="_Toc399165747"/>
      <w:bookmarkEnd w:id="83"/>
      <w:r w:rsidRPr="007A3223">
        <w:t>Exclusion c</w:t>
      </w:r>
      <w:r w:rsidR="00FA246B" w:rsidRPr="007A3223">
        <w:t>riteria</w:t>
      </w:r>
      <w:bookmarkEnd w:id="77"/>
      <w:bookmarkEnd w:id="78"/>
      <w:bookmarkEnd w:id="79"/>
      <w:bookmarkEnd w:id="84"/>
      <w:bookmarkEnd w:id="85"/>
    </w:p>
    <w:p w14:paraId="18801050" w14:textId="77777777" w:rsidR="00627931" w:rsidRPr="007A3223" w:rsidRDefault="00627931" w:rsidP="00627931">
      <w:pPr>
        <w:pStyle w:val="Heading4"/>
        <w:rPr>
          <w:noProof w:val="0"/>
        </w:rPr>
      </w:pPr>
      <w:r w:rsidRPr="007A3223">
        <w:rPr>
          <w:noProof w:val="0"/>
        </w:rPr>
        <w:t xml:space="preserve">Patients who have received chemotherapy, radiotherapy, any other investigational agents within </w:t>
      </w:r>
      <w:r w:rsidR="00652159" w:rsidRPr="007A3223">
        <w:rPr>
          <w:noProof w:val="0"/>
        </w:rPr>
        <w:t>3</w:t>
      </w:r>
      <w:r w:rsidRPr="007A3223">
        <w:rPr>
          <w:noProof w:val="0"/>
        </w:rPr>
        <w:t xml:space="preserve"> weeks (</w:t>
      </w:r>
      <w:r w:rsidR="005B362A" w:rsidRPr="007A3223">
        <w:rPr>
          <w:noProof w:val="0"/>
        </w:rPr>
        <w:t xml:space="preserve">4 weeks for platinum agents and </w:t>
      </w:r>
      <w:r w:rsidRPr="007A3223">
        <w:rPr>
          <w:noProof w:val="0"/>
        </w:rPr>
        <w:t>6 weeks for nitrosoureas or mitomycin) prior to study enrollment.</w:t>
      </w:r>
    </w:p>
    <w:p w14:paraId="03FE8483" w14:textId="77777777" w:rsidR="00EB4521" w:rsidRPr="007A3223" w:rsidRDefault="00EB4521" w:rsidP="00EB4521">
      <w:pPr>
        <w:pStyle w:val="Heading4"/>
        <w:rPr>
          <w:noProof w:val="0"/>
        </w:rPr>
      </w:pPr>
      <w:r w:rsidRPr="007A3223">
        <w:rPr>
          <w:noProof w:val="0"/>
        </w:rPr>
        <w:t>Patients who were treated with both olaparib and cediranib, either in combination or sequentially.</w:t>
      </w:r>
    </w:p>
    <w:p w14:paraId="562E58F3" w14:textId="07051811" w:rsidR="00627931" w:rsidRPr="007A3223" w:rsidRDefault="00627931" w:rsidP="00627931">
      <w:pPr>
        <w:pStyle w:val="Heading4"/>
        <w:rPr>
          <w:noProof w:val="0"/>
        </w:rPr>
      </w:pPr>
      <w:r w:rsidRPr="007A3223">
        <w:rPr>
          <w:noProof w:val="0"/>
        </w:rPr>
        <w:t xml:space="preserve">Patients who have had </w:t>
      </w:r>
      <w:r w:rsidR="00E42005">
        <w:rPr>
          <w:noProof w:val="0"/>
          <w:lang w:val="en-US"/>
        </w:rPr>
        <w:t>D</w:t>
      </w:r>
      <w:r w:rsidR="003042DE" w:rsidRPr="007A3223">
        <w:rPr>
          <w:noProof w:val="0"/>
          <w:lang w:val="en-US"/>
        </w:rPr>
        <w:t>urvalumab.</w:t>
      </w:r>
      <w:r w:rsidR="000238FE" w:rsidRPr="007A3223">
        <w:rPr>
          <w:noProof w:val="0"/>
          <w:lang w:val="en-US"/>
        </w:rPr>
        <w:t xml:space="preserve"> </w:t>
      </w:r>
      <w:r w:rsidR="000238FE" w:rsidRPr="007A3223">
        <w:rPr>
          <w:szCs w:val="24"/>
          <w:lang w:val="en-US"/>
        </w:rPr>
        <w:t xml:space="preserve">Prior treatment with other </w:t>
      </w:r>
      <w:r w:rsidR="00FC3A92" w:rsidRPr="007A3223">
        <w:rPr>
          <w:szCs w:val="24"/>
          <w:lang w:val="en-US"/>
        </w:rPr>
        <w:t xml:space="preserve">immune </w:t>
      </w:r>
      <w:r w:rsidR="000238FE" w:rsidRPr="007A3223">
        <w:rPr>
          <w:szCs w:val="24"/>
          <w:lang w:val="en-US"/>
        </w:rPr>
        <w:t>checkpoint inhibitors is allowed</w:t>
      </w:r>
      <w:r w:rsidR="000238FE" w:rsidRPr="007A3223">
        <w:rPr>
          <w:noProof w:val="0"/>
          <w:lang w:val="en-US"/>
        </w:rPr>
        <w:t xml:space="preserve">.  </w:t>
      </w:r>
    </w:p>
    <w:p w14:paraId="4B17476E" w14:textId="1D6ADB88" w:rsidR="00627931" w:rsidRPr="007A3223" w:rsidRDefault="00627931" w:rsidP="00627931">
      <w:pPr>
        <w:pStyle w:val="Heading4"/>
        <w:rPr>
          <w:noProof w:val="0"/>
        </w:rPr>
      </w:pPr>
      <w:r w:rsidRPr="007A3223">
        <w:rPr>
          <w:noProof w:val="0"/>
        </w:rPr>
        <w:lastRenderedPageBreak/>
        <w:t xml:space="preserve">Patients receiving any medications or substances that are strong inhibitors or inducers of CYP3A4 are ineligible. A list of CYP3A4 inhibitors and inducers is provided in </w:t>
      </w:r>
      <w:r w:rsidR="00307B04" w:rsidRPr="00F33908">
        <w:fldChar w:fldCharType="begin"/>
      </w:r>
      <w:r w:rsidR="00307B04" w:rsidRPr="007A3223">
        <w:instrText xml:space="preserve"> REF _Ref408917937 \h  \* MERGEFORMAT </w:instrText>
      </w:r>
      <w:r w:rsidR="00307B04" w:rsidRPr="00F33908">
        <w:fldChar w:fldCharType="separate"/>
      </w:r>
      <w:r w:rsidR="00E47ACA" w:rsidRPr="00E47ACA">
        <w:rPr>
          <w:b/>
          <w:noProof w:val="0"/>
          <w:color w:val="0000FF"/>
        </w:rPr>
        <w:t>Appendix B</w:t>
      </w:r>
      <w:r w:rsidR="00307B04" w:rsidRPr="00F33908">
        <w:fldChar w:fldCharType="end"/>
      </w:r>
      <w:r w:rsidRPr="007A3223">
        <w:rPr>
          <w:noProof w:val="0"/>
          <w:color w:val="0000FF"/>
        </w:rPr>
        <w:t xml:space="preserve">. </w:t>
      </w:r>
      <w:r w:rsidRPr="00F33908">
        <w:rPr>
          <w:noProof w:val="0"/>
        </w:rPr>
        <w:t>Dihydropyridine calcium-channel blockers are permitted for manageme</w:t>
      </w:r>
      <w:r w:rsidRPr="007A3223">
        <w:rPr>
          <w:noProof w:val="0"/>
        </w:rPr>
        <w:t>nt of hypertension.</w:t>
      </w:r>
    </w:p>
    <w:p w14:paraId="571C290A" w14:textId="6978ED4F" w:rsidR="00627931" w:rsidRPr="007A3223" w:rsidRDefault="00B330D2" w:rsidP="00B330D2">
      <w:pPr>
        <w:pStyle w:val="Heading4"/>
        <w:rPr>
          <w:noProof w:val="0"/>
        </w:rPr>
      </w:pPr>
      <w:r w:rsidRPr="007A3223">
        <w:rPr>
          <w:noProof w:val="0"/>
        </w:rPr>
        <w:t xml:space="preserve">Major surgical procedure (as defined by the investigator) within 30 days prior to the first dose of </w:t>
      </w:r>
      <w:r w:rsidR="00E42005">
        <w:rPr>
          <w:noProof w:val="0"/>
          <w:lang w:val="en-US"/>
        </w:rPr>
        <w:t>Durvalumab</w:t>
      </w:r>
      <w:r w:rsidRPr="007A3223">
        <w:rPr>
          <w:noProof w:val="0"/>
        </w:rPr>
        <w:t xml:space="preserve"> or still recovering from prior surgery.</w:t>
      </w:r>
      <w:r w:rsidR="00627931" w:rsidRPr="007A3223">
        <w:rPr>
          <w:noProof w:val="0"/>
        </w:rPr>
        <w:t xml:space="preserve"> </w:t>
      </w:r>
    </w:p>
    <w:p w14:paraId="6E5F5BEB" w14:textId="77777777" w:rsidR="00627931" w:rsidRPr="007A3223" w:rsidRDefault="00627931" w:rsidP="009E4ED4">
      <w:pPr>
        <w:pStyle w:val="Heading4"/>
        <w:rPr>
          <w:noProof w:val="0"/>
        </w:rPr>
      </w:pPr>
      <w:r w:rsidRPr="007A3223">
        <w:rPr>
          <w:noProof w:val="0"/>
        </w:rPr>
        <w:t>Patients with any other concomitant or prior invasive malignancies are ineligible.</w:t>
      </w:r>
      <w:r w:rsidR="009E4ED4" w:rsidRPr="007A3223">
        <w:rPr>
          <w:noProof w:val="0"/>
        </w:rPr>
        <w:t xml:space="preserve"> However, p</w:t>
      </w:r>
      <w:r w:rsidRPr="007A3223">
        <w:rPr>
          <w:noProof w:val="0"/>
        </w:rPr>
        <w:t>atients with prior cancer treated with a curative intent with no evidence of recurrent disease 5 years following diagnosis and judged by the investigator to be at low risk of recurrence are eligible. Patients with treated limited stage basal cell or squamous cell carcinoma of the skin or carcinoma in situ of the breast or cervix are eligible.</w:t>
      </w:r>
    </w:p>
    <w:p w14:paraId="5B5626CD" w14:textId="44E5F262" w:rsidR="00627931" w:rsidRPr="007A3223" w:rsidRDefault="00627931" w:rsidP="00376467">
      <w:pPr>
        <w:pStyle w:val="Heading4"/>
      </w:pPr>
      <w:r w:rsidRPr="007A3223">
        <w:t>Patients with evidence of CNS metastasis, spinal cord compression, or leptomeningeal disease within one year prior to enrollment will be excluded from this clinical trial because of their poor prognosis and because they often develop progressive neurologic dysfunction that would confound the evaluation of neurologic and other adverse events. Patients with a remote history of brain metastases may be considered if they received sterilizing therapy to the CNS (resection or radiation) and have been CNS progression-free for the 1-year period. Baseline imaging to rule out brain metastases is not required for screening, but should be performed prior to study enrollment if clinically indicated.</w:t>
      </w:r>
      <w:r w:rsidR="00376467" w:rsidRPr="007A3223">
        <w:rPr>
          <w:lang w:val="en-US"/>
        </w:rPr>
        <w:t xml:space="preserve">  Patients with spinal cord compression may be considered if the condition is </w:t>
      </w:r>
      <w:r w:rsidR="00376467" w:rsidRPr="007A3223">
        <w:rPr>
          <w:noProof w:val="0"/>
          <w:lang w:val="en-US"/>
        </w:rPr>
        <w:t>medically managed and currently asymptomatic.</w:t>
      </w:r>
      <w:r w:rsidRPr="007A3223">
        <w:t xml:space="preserve"> </w:t>
      </w:r>
    </w:p>
    <w:p w14:paraId="131B7DFD" w14:textId="0B493516" w:rsidR="00627931" w:rsidRPr="007A3223" w:rsidRDefault="00627931" w:rsidP="00627931">
      <w:pPr>
        <w:pStyle w:val="Heading4"/>
        <w:rPr>
          <w:noProof w:val="0"/>
        </w:rPr>
      </w:pPr>
      <w:r w:rsidRPr="007A3223">
        <w:rPr>
          <w:noProof w:val="0"/>
        </w:rPr>
        <w:t>History of allergic reactions attributed to compounds of similar chemical or biologic composition to</w:t>
      </w:r>
      <w:r w:rsidRPr="007A3223">
        <w:rPr>
          <w:i/>
          <w:noProof w:val="0"/>
        </w:rPr>
        <w:t xml:space="preserve"> </w:t>
      </w:r>
      <w:r w:rsidR="00E42005">
        <w:rPr>
          <w:noProof w:val="0"/>
          <w:lang w:val="en-US"/>
        </w:rPr>
        <w:t>Durvalumab</w:t>
      </w:r>
      <w:r w:rsidRPr="007A3223">
        <w:rPr>
          <w:noProof w:val="0"/>
        </w:rPr>
        <w:t>, olaparib, cediranib, or to other humanized monoclonal antibodies. Known history of anaphylaxis, angioedema, laryngeal edema, serum sickness, or uncontrolled asthma.</w:t>
      </w:r>
    </w:p>
    <w:p w14:paraId="20BCFB86" w14:textId="77777777" w:rsidR="00627931" w:rsidRPr="007A3223" w:rsidRDefault="00627931" w:rsidP="00627931">
      <w:pPr>
        <w:pStyle w:val="Heading4"/>
        <w:rPr>
          <w:noProof w:val="0"/>
        </w:rPr>
      </w:pPr>
      <w:r w:rsidRPr="007A3223">
        <w:rPr>
          <w:noProof w:val="0"/>
        </w:rPr>
        <w:t xml:space="preserve">History of auto-immune disease requiring steroid maintenance, or history of primary immunodeficiency. </w:t>
      </w:r>
    </w:p>
    <w:p w14:paraId="0D0A0864" w14:textId="4566961E" w:rsidR="00627931" w:rsidRPr="007A3223" w:rsidRDefault="00627931" w:rsidP="00263E4E">
      <w:pPr>
        <w:pStyle w:val="Heading4"/>
        <w:rPr>
          <w:noProof w:val="0"/>
        </w:rPr>
      </w:pPr>
      <w:r w:rsidRPr="007A3223">
        <w:rPr>
          <w:noProof w:val="0"/>
        </w:rPr>
        <w:t xml:space="preserve">Current or prior use of immunosuppressive medication within 28 days before the first dose of </w:t>
      </w:r>
      <w:r w:rsidR="00E42005">
        <w:rPr>
          <w:noProof w:val="0"/>
          <w:lang w:val="en-US"/>
        </w:rPr>
        <w:t>Durvalumab</w:t>
      </w:r>
      <w:r w:rsidRPr="007A3223">
        <w:rPr>
          <w:noProof w:val="0"/>
        </w:rPr>
        <w:t>, with the exception of intranasal and inhaled corticosteroids or systemic corticosteroids at physiological doses, which are not to exceed 10 mg/day of prednisone or an equivalent corticosteroid.</w:t>
      </w:r>
      <w:r w:rsidR="00263E4E" w:rsidRPr="007A3223">
        <w:rPr>
          <w:noProof w:val="0"/>
        </w:rPr>
        <w:t xml:space="preserve"> </w:t>
      </w:r>
      <w:r w:rsidR="00263E4E" w:rsidRPr="007A3223">
        <w:rPr>
          <w:noProof w:val="0"/>
          <w:lang w:val="en-US"/>
        </w:rPr>
        <w:t xml:space="preserve"> </w:t>
      </w:r>
      <w:r w:rsidR="00263E4E" w:rsidRPr="007A3223">
        <w:rPr>
          <w:noProof w:val="0"/>
        </w:rPr>
        <w:t xml:space="preserve">In the case of short term use of systemic corticosteroids (less than 24 hours within 28 days) of greater than 10 mg/day of prednisone or an equivalent corticosteroid, the required washout period prior to starting the first dose of </w:t>
      </w:r>
      <w:r w:rsidR="00E42005">
        <w:rPr>
          <w:noProof w:val="0"/>
          <w:lang w:val="en-US"/>
        </w:rPr>
        <w:t>Durvalumab</w:t>
      </w:r>
      <w:r w:rsidR="00263E4E" w:rsidRPr="007A3223">
        <w:rPr>
          <w:noProof w:val="0"/>
        </w:rPr>
        <w:t xml:space="preserve"> is 7 days.</w:t>
      </w:r>
    </w:p>
    <w:p w14:paraId="54F0AD75" w14:textId="77777777" w:rsidR="00627931" w:rsidRPr="007A3223" w:rsidRDefault="00627931" w:rsidP="00627931">
      <w:pPr>
        <w:pStyle w:val="Heading4"/>
        <w:rPr>
          <w:noProof w:val="0"/>
        </w:rPr>
      </w:pPr>
      <w:r w:rsidRPr="007A3223">
        <w:rPr>
          <w:noProof w:val="0"/>
        </w:rPr>
        <w:t>Active or prior documented inflammatory bowel disease (</w:t>
      </w:r>
      <w:r w:rsidR="00C71A18" w:rsidRPr="007A3223">
        <w:rPr>
          <w:noProof w:val="0"/>
        </w:rPr>
        <w:t>e.g.</w:t>
      </w:r>
      <w:r w:rsidRPr="007A3223">
        <w:rPr>
          <w:noProof w:val="0"/>
        </w:rPr>
        <w:t>, Crohn’s disease, ulcerative colitis). Eligibility for patients with asymptomatic and a previous diagnosis of immune or inflammatory colitis, or patients with chronic diarrhea &gt; 1 month without immune or inflammatory colitis is a PI decision on an individual patient basis.</w:t>
      </w:r>
      <w:r w:rsidRPr="007A3223" w:rsidDel="00544CCD">
        <w:rPr>
          <w:noProof w:val="0"/>
        </w:rPr>
        <w:t xml:space="preserve"> </w:t>
      </w:r>
    </w:p>
    <w:p w14:paraId="303B4622" w14:textId="0B99CD86" w:rsidR="00627931" w:rsidRPr="007A3223" w:rsidRDefault="00627931" w:rsidP="00627931">
      <w:pPr>
        <w:pStyle w:val="Heading4"/>
        <w:rPr>
          <w:noProof w:val="0"/>
        </w:rPr>
      </w:pPr>
      <w:r w:rsidRPr="007A3223">
        <w:rPr>
          <w:noProof w:val="0"/>
        </w:rPr>
        <w:t xml:space="preserve">Receipt of live attenuated vaccination within </w:t>
      </w:r>
      <w:r w:rsidR="008D06E6" w:rsidRPr="007A3223">
        <w:rPr>
          <w:noProof w:val="0"/>
        </w:rPr>
        <w:t>30</w:t>
      </w:r>
      <w:r w:rsidRPr="007A3223">
        <w:rPr>
          <w:noProof w:val="0"/>
        </w:rPr>
        <w:t xml:space="preserve"> days before the first dose of </w:t>
      </w:r>
      <w:r w:rsidR="00CF6AA5">
        <w:rPr>
          <w:noProof w:val="0"/>
          <w:lang w:val="en-US"/>
        </w:rPr>
        <w:t>Durvalumab</w:t>
      </w:r>
      <w:r w:rsidRPr="007A3223">
        <w:rPr>
          <w:noProof w:val="0"/>
        </w:rPr>
        <w:t>.</w:t>
      </w:r>
    </w:p>
    <w:p w14:paraId="6CFE5E04" w14:textId="040E8C5B" w:rsidR="00627931" w:rsidRPr="007A3223" w:rsidRDefault="00627931" w:rsidP="00627931">
      <w:pPr>
        <w:pStyle w:val="Heading4"/>
        <w:rPr>
          <w:noProof w:val="0"/>
        </w:rPr>
      </w:pPr>
      <w:r w:rsidRPr="007A3223">
        <w:rPr>
          <w:noProof w:val="0"/>
          <w:lang w:eastAsia="ko-KR"/>
        </w:rPr>
        <w:t xml:space="preserve">Patients who have the following clinical conditions are considered to be at increased risk for cardiac </w:t>
      </w:r>
      <w:r w:rsidRPr="007A3223">
        <w:rPr>
          <w:noProof w:val="0"/>
        </w:rPr>
        <w:t>toxicities</w:t>
      </w:r>
      <w:r w:rsidRPr="007A3223">
        <w:rPr>
          <w:noProof w:val="0"/>
          <w:lang w:eastAsia="ko-KR"/>
        </w:rPr>
        <w:t xml:space="preserve">. </w:t>
      </w:r>
      <w:r w:rsidRPr="007A3223">
        <w:rPr>
          <w:noProof w:val="0"/>
        </w:rPr>
        <w:t xml:space="preserve">Patients with any cardiac history of the following conditions </w:t>
      </w:r>
      <w:r w:rsidRPr="007A3223">
        <w:rPr>
          <w:noProof w:val="0"/>
        </w:rPr>
        <w:lastRenderedPageBreak/>
        <w:t xml:space="preserve">within 1 year prior to </w:t>
      </w:r>
      <w:r w:rsidR="00CF6AA5">
        <w:rPr>
          <w:noProof w:val="0"/>
          <w:lang w:val="en-US"/>
        </w:rPr>
        <w:t>Durvalumab</w:t>
      </w:r>
      <w:r w:rsidR="004B77CD" w:rsidRPr="007A3223">
        <w:rPr>
          <w:noProof w:val="0"/>
        </w:rPr>
        <w:t>+O</w:t>
      </w:r>
      <w:r w:rsidR="008D4B3F" w:rsidRPr="007A3223">
        <w:rPr>
          <w:noProof w:val="0"/>
          <w:lang w:val="en-US"/>
        </w:rPr>
        <w:t xml:space="preserve"> arm</w:t>
      </w:r>
      <w:r w:rsidR="00BA7686" w:rsidRPr="007A3223">
        <w:rPr>
          <w:noProof w:val="0"/>
        </w:rPr>
        <w:t xml:space="preserve"> </w:t>
      </w:r>
      <w:r w:rsidR="004B77CD" w:rsidRPr="007A3223">
        <w:rPr>
          <w:noProof w:val="0"/>
        </w:rPr>
        <w:t xml:space="preserve">or within 2 years prior to </w:t>
      </w:r>
      <w:r w:rsidR="00CF6AA5">
        <w:rPr>
          <w:noProof w:val="0"/>
          <w:lang w:val="en-US"/>
        </w:rPr>
        <w:t>Durvalumab</w:t>
      </w:r>
      <w:r w:rsidR="004B77CD" w:rsidRPr="007A3223">
        <w:rPr>
          <w:noProof w:val="0"/>
        </w:rPr>
        <w:t xml:space="preserve">+C </w:t>
      </w:r>
      <w:r w:rsidR="00187EC9" w:rsidRPr="007A3223">
        <w:rPr>
          <w:noProof w:val="0"/>
        </w:rPr>
        <w:t xml:space="preserve">or </w:t>
      </w:r>
      <w:r w:rsidR="00CF6AA5">
        <w:rPr>
          <w:noProof w:val="0"/>
          <w:lang w:val="en-US"/>
        </w:rPr>
        <w:t>Durvalumab</w:t>
      </w:r>
      <w:r w:rsidR="00187EC9" w:rsidRPr="007A3223">
        <w:rPr>
          <w:noProof w:val="0"/>
        </w:rPr>
        <w:t xml:space="preserve">+O+C </w:t>
      </w:r>
      <w:r w:rsidR="008D4B3F" w:rsidRPr="007A3223">
        <w:rPr>
          <w:noProof w:val="0"/>
          <w:lang w:val="en-US"/>
        </w:rPr>
        <w:t>arm</w:t>
      </w:r>
      <w:r w:rsidR="00BA7686" w:rsidRPr="007A3223">
        <w:rPr>
          <w:noProof w:val="0"/>
        </w:rPr>
        <w:t xml:space="preserve"> </w:t>
      </w:r>
      <w:r w:rsidRPr="007A3223">
        <w:rPr>
          <w:noProof w:val="0"/>
        </w:rPr>
        <w:t xml:space="preserve">enrollment are excluded from the study: </w:t>
      </w:r>
    </w:p>
    <w:p w14:paraId="7569AD38" w14:textId="77777777" w:rsidR="00627931" w:rsidRPr="007A3223" w:rsidRDefault="00627931" w:rsidP="00367339">
      <w:pPr>
        <w:pStyle w:val="ListParagraph"/>
        <w:numPr>
          <w:ilvl w:val="0"/>
          <w:numId w:val="6"/>
        </w:numPr>
        <w:ind w:left="1080"/>
      </w:pPr>
      <w:r w:rsidRPr="007A3223">
        <w:t xml:space="preserve">Prior events including myocardial infarction, </w:t>
      </w:r>
      <w:r w:rsidR="008F1E43" w:rsidRPr="007A3223">
        <w:t xml:space="preserve">clinically significant </w:t>
      </w:r>
      <w:r w:rsidRPr="007A3223">
        <w:t xml:space="preserve">pericardial effusion, and myocarditis.  </w:t>
      </w:r>
    </w:p>
    <w:p w14:paraId="72274197" w14:textId="672D95C8" w:rsidR="00627931" w:rsidRPr="007A3223" w:rsidRDefault="00627931" w:rsidP="00367339">
      <w:pPr>
        <w:pStyle w:val="ListParagraph"/>
        <w:numPr>
          <w:ilvl w:val="0"/>
          <w:numId w:val="6"/>
        </w:numPr>
        <w:ind w:left="1080"/>
      </w:pPr>
      <w:r w:rsidRPr="007A3223">
        <w:t xml:space="preserve">Prior cardiac arrhythmia including atrial fibrillation </w:t>
      </w:r>
      <w:r w:rsidR="00187EC9" w:rsidRPr="007A3223">
        <w:t>(</w:t>
      </w:r>
      <w:r w:rsidR="001C4A32" w:rsidRPr="007A3223">
        <w:t>except</w:t>
      </w:r>
      <w:r w:rsidR="00187EC9" w:rsidRPr="007A3223">
        <w:t xml:space="preserve"> </w:t>
      </w:r>
      <w:r w:rsidR="001C4A32" w:rsidRPr="007A3223">
        <w:t xml:space="preserve">chronic </w:t>
      </w:r>
      <w:r w:rsidR="00187EC9" w:rsidRPr="007A3223">
        <w:t xml:space="preserve">atrial fibrillation with controlled vascular rate), </w:t>
      </w:r>
      <w:r w:rsidRPr="007A3223">
        <w:t xml:space="preserve">and atrial flutter, or requiring concurrent use of drugs or biologics with pro-arrhythmic potential.  </w:t>
      </w:r>
    </w:p>
    <w:p w14:paraId="670C2E9F" w14:textId="77777777" w:rsidR="00627931" w:rsidRPr="007A3223" w:rsidRDefault="00627931" w:rsidP="00367339">
      <w:pPr>
        <w:pStyle w:val="ListParagraph"/>
        <w:numPr>
          <w:ilvl w:val="0"/>
          <w:numId w:val="6"/>
        </w:numPr>
        <w:ind w:left="1080"/>
      </w:pPr>
      <w:r w:rsidRPr="007A3223">
        <w:t xml:space="preserve">NYHA Class II or greater heart failure.  </w:t>
      </w:r>
    </w:p>
    <w:p w14:paraId="596571D6" w14:textId="77777777" w:rsidR="00627931" w:rsidRPr="007A3223" w:rsidRDefault="00627931" w:rsidP="00367339">
      <w:pPr>
        <w:pStyle w:val="ListParagraph"/>
        <w:numPr>
          <w:ilvl w:val="0"/>
          <w:numId w:val="6"/>
        </w:numPr>
        <w:ind w:left="1080"/>
      </w:pPr>
      <w:r w:rsidRPr="007A3223">
        <w:t xml:space="preserve">If cardiac function assessment is clinically indicated or performed, an LVEF less than normal per institutional guidelines, or &lt;55%, if threshold for normal is not otherwise specified by institutional guidelines. </w:t>
      </w:r>
    </w:p>
    <w:p w14:paraId="23CD040C" w14:textId="77777777" w:rsidR="00627931" w:rsidRPr="007A3223" w:rsidRDefault="008865A3" w:rsidP="00367339">
      <w:pPr>
        <w:pStyle w:val="ListParagraph"/>
        <w:numPr>
          <w:ilvl w:val="0"/>
          <w:numId w:val="6"/>
        </w:numPr>
        <w:ind w:left="1080"/>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00627931" w:rsidRPr="007A3223">
        <w:t xml:space="preserve">or other significant ECG abnormality noted within 14 days of treatment.  </w:t>
      </w:r>
    </w:p>
    <w:p w14:paraId="0B210A04" w14:textId="77777777" w:rsidR="00627931" w:rsidRPr="007A3223" w:rsidRDefault="00627931" w:rsidP="00367339">
      <w:pPr>
        <w:pStyle w:val="ListParagraph"/>
        <w:numPr>
          <w:ilvl w:val="0"/>
          <w:numId w:val="6"/>
        </w:numPr>
        <w:ind w:left="1080"/>
      </w:pPr>
      <w:r w:rsidRPr="007A3223">
        <w:t xml:space="preserve">Hypertensive crisis or hypertensive encephalopathy. </w:t>
      </w:r>
    </w:p>
    <w:p w14:paraId="0D8A0423" w14:textId="77777777" w:rsidR="00627931" w:rsidRPr="007A3223" w:rsidRDefault="00627931" w:rsidP="00367339">
      <w:pPr>
        <w:pStyle w:val="ListParagraph"/>
        <w:numPr>
          <w:ilvl w:val="0"/>
          <w:numId w:val="6"/>
        </w:numPr>
        <w:ind w:left="1080"/>
      </w:pPr>
      <w:r w:rsidRPr="007A3223">
        <w:t xml:space="preserve">Clinically significant peripheral vascular disease or vascular disease, including rapidly growing aortic aneurysm or abdominal aortic aneurysm &gt;5 cm or aortic dissection.  </w:t>
      </w:r>
    </w:p>
    <w:p w14:paraId="02CD6D8A" w14:textId="77777777" w:rsidR="00627931" w:rsidRPr="007A3223" w:rsidRDefault="00627931" w:rsidP="00367339">
      <w:pPr>
        <w:pStyle w:val="ListParagraph"/>
        <w:numPr>
          <w:ilvl w:val="0"/>
          <w:numId w:val="6"/>
        </w:numPr>
        <w:ind w:left="1080"/>
      </w:pPr>
      <w:r w:rsidRPr="007A3223">
        <w:t xml:space="preserve">Unstable angina.  </w:t>
      </w:r>
    </w:p>
    <w:p w14:paraId="1DEFEACD" w14:textId="77777777" w:rsidR="00627931" w:rsidRPr="007A3223" w:rsidRDefault="00627931" w:rsidP="00627931">
      <w:pPr>
        <w:pStyle w:val="Heading4"/>
        <w:rPr>
          <w:noProof w:val="0"/>
        </w:rPr>
      </w:pPr>
      <w:r w:rsidRPr="007A3223">
        <w:rPr>
          <w:noProof w:val="0"/>
        </w:rPr>
        <w:t>History of cerebrovascular accident, transient ischemic attack within 1 year prior to study enrollment.</w:t>
      </w:r>
    </w:p>
    <w:p w14:paraId="180F7FA3" w14:textId="77777777" w:rsidR="00627931" w:rsidRPr="007A3223" w:rsidRDefault="00627931" w:rsidP="00627931">
      <w:pPr>
        <w:pStyle w:val="Heading4"/>
        <w:rPr>
          <w:noProof w:val="0"/>
        </w:rPr>
      </w:pPr>
      <w:r w:rsidRPr="007A3223">
        <w:rPr>
          <w:noProof w:val="0"/>
        </w:rPr>
        <w:t>History of abdominal fistula, gastrointestinal perforation, or intra-abdominal abscess within 6 months prior to study enrollment.</w:t>
      </w:r>
    </w:p>
    <w:p w14:paraId="25A04D6F" w14:textId="77777777" w:rsidR="00627931" w:rsidRPr="007A3223" w:rsidRDefault="00627931" w:rsidP="00627931">
      <w:pPr>
        <w:pStyle w:val="Heading4"/>
        <w:rPr>
          <w:noProof w:val="0"/>
        </w:rPr>
      </w:pPr>
      <w:r w:rsidRPr="007A3223">
        <w:rPr>
          <w:noProof w:val="0"/>
        </w:rPr>
        <w:t>Significant hemorrhage (&gt; 30 mL bleeding/episode within 3 months before study enrollment) or haemoptysis (&gt; 5mL fresh blood within 28 days before study enrollment).</w:t>
      </w:r>
    </w:p>
    <w:p w14:paraId="11C75E2A" w14:textId="77777777" w:rsidR="00627931" w:rsidRPr="007A3223" w:rsidRDefault="00627931" w:rsidP="00627931">
      <w:pPr>
        <w:pStyle w:val="Heading4"/>
        <w:rPr>
          <w:noProof w:val="0"/>
        </w:rPr>
      </w:pPr>
      <w:r w:rsidRPr="007A3223">
        <w:rPr>
          <w:noProof w:val="0"/>
        </w:rPr>
        <w:t>Current signs and/or symptoms of bowel obstruction or signs and/or symptoms of bowel obstruction within 28 days before study enrollment.</w:t>
      </w:r>
    </w:p>
    <w:p w14:paraId="287425A2" w14:textId="77777777" w:rsidR="00627931" w:rsidRPr="007A3223" w:rsidRDefault="00627931" w:rsidP="00627931">
      <w:pPr>
        <w:pStyle w:val="Heading4"/>
        <w:rPr>
          <w:noProof w:val="0"/>
        </w:rPr>
      </w:pPr>
      <w:r w:rsidRPr="007A3223">
        <w:rPr>
          <w:noProof w:val="0"/>
        </w:rPr>
        <w:t>Current dependency on TPN or IV fluid hydration.</w:t>
      </w:r>
    </w:p>
    <w:p w14:paraId="0AD4906C" w14:textId="384092C2" w:rsidR="00627931" w:rsidRPr="007A3223" w:rsidRDefault="00627931" w:rsidP="00627931">
      <w:pPr>
        <w:pStyle w:val="Heading4"/>
        <w:rPr>
          <w:noProof w:val="0"/>
        </w:rPr>
      </w:pPr>
      <w:r w:rsidRPr="007A3223">
        <w:rPr>
          <w:noProof w:val="0"/>
        </w:rPr>
        <w:t xml:space="preserve">Any prior grade </w:t>
      </w:r>
      <w:r w:rsidRPr="007A3223">
        <w:rPr>
          <w:rFonts w:hint="eastAsia"/>
          <w:noProof w:val="0"/>
        </w:rPr>
        <w:t>≥</w:t>
      </w:r>
      <w:r w:rsidRPr="007A3223">
        <w:rPr>
          <w:noProof w:val="0"/>
        </w:rPr>
        <w:t xml:space="preserve"> 3 immune-related adverse event (irAE)</w:t>
      </w:r>
      <w:hyperlink w:anchor="_ENREF_160" w:tooltip="Weber, 2012 #79" w:history="1">
        <w:r w:rsidR="00F77861" w:rsidRPr="00244551">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 </w:instrText>
        </w:r>
        <w:r w:rsidR="00E27C67" w:rsidRPr="004E6D0C">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EN.CITE.DATA </w:instrText>
        </w:r>
        <w:r w:rsidR="00E27C67" w:rsidRPr="004E6D0C">
          <w:rPr>
            <w:rStyle w:val="Hyperlink"/>
            <w:noProof w:val="0"/>
          </w:rPr>
        </w:r>
        <w:r w:rsidR="00E27C67" w:rsidRPr="004E6D0C">
          <w:rPr>
            <w:rStyle w:val="Hyperlink"/>
            <w:noProof w:val="0"/>
          </w:rPr>
          <w:fldChar w:fldCharType="end"/>
        </w:r>
        <w:r w:rsidR="00F77861" w:rsidRPr="00244551">
          <w:rPr>
            <w:rStyle w:val="Hyperlink"/>
            <w:noProof w:val="0"/>
          </w:rPr>
        </w:r>
        <w:r w:rsidR="00F77861" w:rsidRPr="00244551">
          <w:rPr>
            <w:rStyle w:val="Hyperlink"/>
            <w:noProof w:val="0"/>
          </w:rPr>
          <w:fldChar w:fldCharType="separate"/>
        </w:r>
        <w:r w:rsidR="00E27C67" w:rsidRPr="00244551">
          <w:rPr>
            <w:rStyle w:val="Hyperlink"/>
            <w:vertAlign w:val="superscript"/>
          </w:rPr>
          <w:t>160</w:t>
        </w:r>
        <w:r w:rsidR="00F77861" w:rsidRPr="00244551">
          <w:rPr>
            <w:rStyle w:val="Hyperlink"/>
            <w:noProof w:val="0"/>
          </w:rPr>
          <w:fldChar w:fldCharType="end"/>
        </w:r>
      </w:hyperlink>
      <w:r w:rsidRPr="007A3223">
        <w:rPr>
          <w:noProof w:val="0"/>
        </w:rPr>
        <w:t xml:space="preserve"> while receiving any previous immunotherapy ag</w:t>
      </w:r>
      <w:r w:rsidRPr="00F33908">
        <w:rPr>
          <w:noProof w:val="0"/>
        </w:rPr>
        <w:t>ent, or any unresolved irAE &gt; g</w:t>
      </w:r>
      <w:r w:rsidRPr="007A3223">
        <w:rPr>
          <w:noProof w:val="0"/>
        </w:rPr>
        <w:t xml:space="preserve">rade 1. Toxicities of prior therapy, excepting alopecia, should be resolved to less than or equal to grade 1 as per NCI-CTCAEv4.0 (located on the CTEP website at </w:t>
      </w:r>
      <w:hyperlink r:id="rId38" w:history="1">
        <w:r w:rsidRPr="00F33908">
          <w:rPr>
            <w:rStyle w:val="Hyperlink"/>
            <w:noProof w:val="0"/>
            <w:szCs w:val="24"/>
          </w:rPr>
          <w:t>http://ctep.cancer.gov/protocolDevelopment/</w:t>
        </w:r>
        <w:r w:rsidRPr="007A3223">
          <w:rPr>
            <w:rStyle w:val="Hyperlink"/>
            <w:noProof w:val="0"/>
            <w:szCs w:val="24"/>
          </w:rPr>
          <w:t>electronic_applications/ctc.htm</w:t>
        </w:r>
      </w:hyperlink>
      <w:r w:rsidRPr="007A3223">
        <w:rPr>
          <w:noProof w:val="0"/>
        </w:rPr>
        <w:t xml:space="preserve">). </w:t>
      </w:r>
      <w:r w:rsidRPr="00F33908">
        <w:rPr>
          <w:noProof w:val="0"/>
          <w:color w:val="000000"/>
        </w:rPr>
        <w:t>Patients with greater than 1</w:t>
      </w:r>
      <w:r w:rsidRPr="007A3223">
        <w:rPr>
          <w:noProof w:val="0"/>
          <w:color w:val="000000"/>
        </w:rPr>
        <w:t>+ proteinuria at entry are ineligible.</w:t>
      </w:r>
      <w:r w:rsidRPr="007A3223">
        <w:rPr>
          <w:noProof w:val="0"/>
        </w:rPr>
        <w:t xml:space="preserve"> </w:t>
      </w:r>
    </w:p>
    <w:p w14:paraId="17B5272D" w14:textId="10ED9CE6" w:rsidR="00627931" w:rsidRPr="007A3223" w:rsidRDefault="00627931" w:rsidP="00627931">
      <w:pPr>
        <w:pStyle w:val="Heading4"/>
        <w:rPr>
          <w:noProof w:val="0"/>
        </w:rPr>
      </w:pPr>
      <w:r w:rsidRPr="007A3223">
        <w:rPr>
          <w:noProof w:val="0"/>
        </w:rPr>
        <w:t>Uncontrolled intercurrent illness including, but not limited to, ongoing or active infection, symptomatic congestive heart failure, unstable angina pectoris, cardiac arrhythmia</w:t>
      </w:r>
      <w:r w:rsidR="001C4A32" w:rsidRPr="007A3223">
        <w:rPr>
          <w:noProof w:val="0"/>
        </w:rPr>
        <w:t xml:space="preserve"> (</w:t>
      </w:r>
      <w:r w:rsidR="001C4A32" w:rsidRPr="007A3223">
        <w:t>except</w:t>
      </w:r>
      <w:r w:rsidR="001C4A32" w:rsidRPr="007A3223">
        <w:rPr>
          <w:noProof w:val="0"/>
        </w:rPr>
        <w:t xml:space="preserve"> </w:t>
      </w:r>
      <w:r w:rsidR="001C4A32" w:rsidRPr="007A3223">
        <w:t xml:space="preserve">chronic </w:t>
      </w:r>
      <w:r w:rsidR="001C4A32" w:rsidRPr="007A3223">
        <w:rPr>
          <w:noProof w:val="0"/>
        </w:rPr>
        <w:t>atrial fibrillation with controlled vascular rate)</w:t>
      </w:r>
      <w:r w:rsidRPr="007A3223">
        <w:rPr>
          <w:noProof w:val="0"/>
        </w:rPr>
        <w:t>, active peptic ulcer disease, or psychiatric illness/social situations that would limit compliance with study requirements.</w:t>
      </w:r>
    </w:p>
    <w:p w14:paraId="1BAC95B5" w14:textId="77777777" w:rsidR="00627931" w:rsidRPr="007A3223" w:rsidRDefault="00627931" w:rsidP="00627931">
      <w:pPr>
        <w:pStyle w:val="Heading4"/>
        <w:rPr>
          <w:noProof w:val="0"/>
        </w:rPr>
      </w:pPr>
      <w:r w:rsidRPr="007A3223">
        <w:rPr>
          <w:noProof w:val="0"/>
        </w:rPr>
        <w:t xml:space="preserve">Pregnant and breastfeeding women are excluded from this study. </w:t>
      </w:r>
    </w:p>
    <w:p w14:paraId="46F8089C" w14:textId="52853EC2" w:rsidR="00627931" w:rsidRPr="007A3223" w:rsidRDefault="00627931" w:rsidP="00D83CFB">
      <w:pPr>
        <w:pStyle w:val="Heading4"/>
        <w:rPr>
          <w:noProof w:val="0"/>
        </w:rPr>
      </w:pPr>
      <w:r w:rsidRPr="007A3223">
        <w:rPr>
          <w:noProof w:val="0"/>
        </w:rPr>
        <w:lastRenderedPageBreak/>
        <w:t>HIV-positive patients on antiretroviral therapy are ineligible because of potential pharmacokinetic interactions with study drugs.</w:t>
      </w:r>
      <w:r w:rsidR="00DA5D34" w:rsidRPr="007A3223">
        <w:rPr>
          <w:noProof w:val="0"/>
        </w:rPr>
        <w:t xml:space="preserve"> </w:t>
      </w:r>
      <w:r w:rsidR="00D83CFB" w:rsidRPr="007A3223">
        <w:rPr>
          <w:noProof w:val="0"/>
        </w:rPr>
        <w:t>However, patients with long-standing (&gt;5 years) HIV on antiretroviral therapy &gt; 1 month (undetectable HIV viral load and CD4 count &gt; 150 cells/µL) may be eligible if the PI determines no anticipated clinically significant drug-drug interactions.</w:t>
      </w:r>
    </w:p>
    <w:p w14:paraId="346F29EE" w14:textId="77777777" w:rsidR="00627931" w:rsidRPr="007A3223" w:rsidRDefault="00627931" w:rsidP="00627931">
      <w:pPr>
        <w:pStyle w:val="Heading4"/>
        <w:rPr>
          <w:noProof w:val="0"/>
        </w:rPr>
      </w:pPr>
      <w:r w:rsidRPr="007A3223">
        <w:rPr>
          <w:noProof w:val="0"/>
        </w:rPr>
        <w:t xml:space="preserve">HBV-or HCV-positive patients are ineligible because of potential reactivation of hepatitis virus following steroids. </w:t>
      </w:r>
    </w:p>
    <w:p w14:paraId="27A86076" w14:textId="77777777" w:rsidR="00627931" w:rsidRPr="007A3223" w:rsidRDefault="00627931" w:rsidP="00627931">
      <w:pPr>
        <w:pStyle w:val="Heading4"/>
        <w:rPr>
          <w:noProof w:val="0"/>
        </w:rPr>
      </w:pPr>
      <w:r w:rsidRPr="007A3223">
        <w:rPr>
          <w:noProof w:val="0"/>
        </w:rPr>
        <w:t>Known history of previous clinical diagnosis of tuberculosis.</w:t>
      </w:r>
    </w:p>
    <w:p w14:paraId="01894FE9" w14:textId="77777777" w:rsidR="00627931" w:rsidRPr="007A3223" w:rsidRDefault="00627931" w:rsidP="00627931">
      <w:pPr>
        <w:pStyle w:val="Heading4"/>
        <w:rPr>
          <w:noProof w:val="0"/>
        </w:rPr>
      </w:pPr>
      <w:r w:rsidRPr="007A3223">
        <w:rPr>
          <w:noProof w:val="0"/>
        </w:rPr>
        <w:t xml:space="preserve">No baseline features suggestive of myelodysplastic syndrome or acute myelogenous leukemia on peripheral blood smear or bone marrow biopsy, if clinically indicated.  </w:t>
      </w:r>
    </w:p>
    <w:p w14:paraId="0BCB443C" w14:textId="77777777" w:rsidR="00791C63" w:rsidRPr="007A3223" w:rsidRDefault="00627931" w:rsidP="00627931">
      <w:pPr>
        <w:pStyle w:val="Heading4"/>
        <w:rPr>
          <w:noProof w:val="0"/>
        </w:rPr>
      </w:pPr>
      <w:r w:rsidRPr="007A3223">
        <w:rPr>
          <w:noProof w:val="0"/>
        </w:rPr>
        <w:t>No prior or current evidence of coagulopathy or bleeding diathesis. Therapeutic anticoagulation for prior thromboembolic events is permitted.</w:t>
      </w:r>
    </w:p>
    <w:p w14:paraId="10057A2F" w14:textId="77777777" w:rsidR="00477A9E" w:rsidRPr="007A3223" w:rsidRDefault="00791C63" w:rsidP="00627931">
      <w:pPr>
        <w:pStyle w:val="Heading4"/>
        <w:rPr>
          <w:noProof w:val="0"/>
        </w:rPr>
      </w:pPr>
      <w:r w:rsidRPr="007A3223">
        <w:rPr>
          <w:noProof w:val="0"/>
          <w:lang w:val="en-US"/>
        </w:rPr>
        <w:t>Concurrent enrollment in another clinical study, unless it is an observational non-interventional clinical study or the follow-up of an interventional study</w:t>
      </w:r>
      <w:r w:rsidR="00477A9E" w:rsidRPr="007A3223">
        <w:rPr>
          <w:noProof w:val="0"/>
          <w:lang w:val="en-US"/>
        </w:rPr>
        <w:t>.</w:t>
      </w:r>
    </w:p>
    <w:p w14:paraId="3D2D0786" w14:textId="77777777" w:rsidR="00627931" w:rsidRPr="007A3223" w:rsidRDefault="00477A9E" w:rsidP="00627931">
      <w:pPr>
        <w:pStyle w:val="Heading4"/>
        <w:rPr>
          <w:noProof w:val="0"/>
        </w:rPr>
      </w:pPr>
      <w:r w:rsidRPr="007A3223">
        <w:rPr>
          <w:noProof w:val="0"/>
          <w:lang w:val="en-US"/>
        </w:rPr>
        <w:t>Any concurrent chemotherapy, immunotherapy, biologic or hormonal therapy for cancer treatment.  Concurrent use of hormones for non-cancer-related conditions (e.g., insulin for diabetes and hormone replacement therapy) is acceptable.  NOTE: Local treatment of isolated lesions for palliative intent is acceptable (e.g., by local surgery or radiotherapy).</w:t>
      </w:r>
      <w:r w:rsidR="00627931" w:rsidRPr="007A3223">
        <w:rPr>
          <w:noProof w:val="0"/>
        </w:rPr>
        <w:t xml:space="preserve"> </w:t>
      </w:r>
    </w:p>
    <w:p w14:paraId="1386B4CD" w14:textId="77777777" w:rsidR="003C534E" w:rsidRPr="007A3223" w:rsidRDefault="003C534E" w:rsidP="0086609F"/>
    <w:p w14:paraId="557CCCB8" w14:textId="3D2B2FB0" w:rsidR="00B647A3" w:rsidRPr="007A3223" w:rsidRDefault="00D84761" w:rsidP="00ED703B">
      <w:pPr>
        <w:pStyle w:val="Heading2"/>
      </w:pPr>
      <w:bookmarkStart w:id="86" w:name="_Toc82444346"/>
      <w:r w:rsidRPr="007A3223">
        <w:t xml:space="preserve">Phase II Study </w:t>
      </w:r>
      <w:r w:rsidR="00BB46AD" w:rsidRPr="007A3223">
        <w:t xml:space="preserve">cohort 5 </w:t>
      </w:r>
      <w:r w:rsidRPr="007A3223">
        <w:t>Triple Negative Breast Cancer Eligibility Criteria (</w:t>
      </w:r>
      <w:r w:rsidR="001C46CC">
        <w:rPr>
          <w:lang w:val="en-US"/>
        </w:rPr>
        <w:t>Durvalumab</w:t>
      </w:r>
      <w:r w:rsidR="00FE6A48" w:rsidRPr="007A3223">
        <w:t>+</w:t>
      </w:r>
      <w:r w:rsidRPr="007A3223">
        <w:t>O Only)</w:t>
      </w:r>
      <w:bookmarkEnd w:id="86"/>
      <w:r w:rsidRPr="007A3223">
        <w:t xml:space="preserve"> </w:t>
      </w:r>
    </w:p>
    <w:p w14:paraId="2FC685FD" w14:textId="522C6BEC" w:rsidR="00B647A3" w:rsidRPr="007A3223" w:rsidRDefault="00B647A3" w:rsidP="000C1D10">
      <w:pPr>
        <w:pStyle w:val="Heading3"/>
      </w:pPr>
      <w:bookmarkStart w:id="87" w:name="_Toc425867804"/>
      <w:r w:rsidRPr="007A3223">
        <w:t>Inclusion criteria</w:t>
      </w:r>
      <w:bookmarkEnd w:id="87"/>
    </w:p>
    <w:p w14:paraId="6E0EF7E6" w14:textId="77777777" w:rsidR="00B647A3" w:rsidRPr="007A3223" w:rsidRDefault="00B647A3" w:rsidP="00B647A3">
      <w:pPr>
        <w:pStyle w:val="Heading4"/>
      </w:pPr>
      <w:r w:rsidRPr="007A3223">
        <w:rPr>
          <w:noProof w:val="0"/>
        </w:rPr>
        <w:t>Patients must have histologically confirmed persistent or recurrent triple-negative breast cancer</w:t>
      </w:r>
      <w:r w:rsidR="0073744A" w:rsidRPr="007A3223">
        <w:rPr>
          <w:noProof w:val="0"/>
        </w:rPr>
        <w:t xml:space="preserve"> (TNBC)</w:t>
      </w:r>
      <w:r w:rsidRPr="007A3223">
        <w:rPr>
          <w:noProof w:val="0"/>
          <w:lang w:val="en-US"/>
        </w:rPr>
        <w:t xml:space="preserve"> </w:t>
      </w:r>
      <w:r w:rsidRPr="007A3223">
        <w:t xml:space="preserve">for which standard curative measures do not exist or are no longer effective. ER/PR/HER2 status needs to be documented either by an outside source or at NCI. </w:t>
      </w:r>
    </w:p>
    <w:p w14:paraId="4F492D36" w14:textId="1EB35A7A" w:rsidR="00B647A3" w:rsidRPr="007A3223" w:rsidRDefault="00B647A3" w:rsidP="00B647A3">
      <w:pPr>
        <w:pStyle w:val="Heading4"/>
        <w:rPr>
          <w:noProof w:val="0"/>
        </w:rPr>
      </w:pPr>
      <w:r w:rsidRPr="007A3223">
        <w:rPr>
          <w:noProof w:val="0"/>
        </w:rPr>
        <w:t xml:space="preserve">Documentation of </w:t>
      </w:r>
      <w:r w:rsidR="0073744A" w:rsidRPr="007A3223">
        <w:rPr>
          <w:noProof w:val="0"/>
        </w:rPr>
        <w:t xml:space="preserve">germline </w:t>
      </w:r>
      <w:r w:rsidR="0073744A" w:rsidRPr="007A3223">
        <w:rPr>
          <w:i/>
          <w:noProof w:val="0"/>
        </w:rPr>
        <w:t>BRCA1</w:t>
      </w:r>
      <w:r w:rsidR="0073744A" w:rsidRPr="007A3223">
        <w:rPr>
          <w:noProof w:val="0"/>
        </w:rPr>
        <w:t xml:space="preserve"> and </w:t>
      </w:r>
      <w:r w:rsidR="0073744A" w:rsidRPr="007A3223">
        <w:rPr>
          <w:i/>
          <w:noProof w:val="0"/>
        </w:rPr>
        <w:t>BRCA2</w:t>
      </w:r>
      <w:r w:rsidR="0073744A" w:rsidRPr="007A3223">
        <w:rPr>
          <w:noProof w:val="0"/>
        </w:rPr>
        <w:t xml:space="preserve"> mutation (</w:t>
      </w:r>
      <w:r w:rsidRPr="007A3223">
        <w:rPr>
          <w:noProof w:val="0"/>
        </w:rPr>
        <w:t>gBRCAm</w:t>
      </w:r>
      <w:r w:rsidR="0073744A" w:rsidRPr="007A3223">
        <w:rPr>
          <w:noProof w:val="0"/>
        </w:rPr>
        <w:t>)</w:t>
      </w:r>
      <w:r w:rsidRPr="007A3223">
        <w:rPr>
          <w:noProof w:val="0"/>
        </w:rPr>
        <w:t xml:space="preserve"> status will be </w:t>
      </w:r>
      <w:r w:rsidR="009E66C6" w:rsidRPr="007A3223">
        <w:rPr>
          <w:noProof w:val="0"/>
        </w:rPr>
        <w:t>re</w:t>
      </w:r>
      <w:r w:rsidR="006C6CAC" w:rsidRPr="007A3223">
        <w:rPr>
          <w:noProof w:val="0"/>
        </w:rPr>
        <w:t xml:space="preserve">quested </w:t>
      </w:r>
      <w:r w:rsidR="009E66C6" w:rsidRPr="007A3223">
        <w:rPr>
          <w:noProof w:val="0"/>
        </w:rPr>
        <w:t>for eligibility</w:t>
      </w:r>
      <w:r w:rsidRPr="007A3223">
        <w:rPr>
          <w:noProof w:val="0"/>
        </w:rPr>
        <w:t>.</w:t>
      </w:r>
      <w:r w:rsidRPr="007A3223">
        <w:t xml:space="preserve"> A documented deleterious gBRCAm obtained in a CLIA-certified laboratory, including but not limited to Myriad Genetics, either by multi-gene panels or individual testing, </w:t>
      </w:r>
      <w:r w:rsidRPr="007A3223">
        <w:rPr>
          <w:lang w:val="en-US"/>
        </w:rPr>
        <w:t>will be req</w:t>
      </w:r>
      <w:r w:rsidR="009E66C6" w:rsidRPr="007A3223">
        <w:rPr>
          <w:lang w:val="en-US"/>
        </w:rPr>
        <w:t>uired</w:t>
      </w:r>
      <w:r w:rsidRPr="007A3223">
        <w:rPr>
          <w:lang w:val="en-US"/>
        </w:rPr>
        <w:t xml:space="preserve"> </w:t>
      </w:r>
      <w:r w:rsidRPr="007A3223">
        <w:t>prior to study enrollment. Variants of uncertain significance (VUS) of BRCA1 and BRCA2 are not considered deleterious</w:t>
      </w:r>
      <w:r w:rsidR="009E66C6" w:rsidRPr="007A3223">
        <w:t xml:space="preserve"> mutation</w:t>
      </w:r>
      <w:r w:rsidRPr="007A3223">
        <w:t xml:space="preserve">. Patients with VUS or deleterious mutation in other genes without gBRCAm or patients with </w:t>
      </w:r>
      <w:r w:rsidRPr="007A3223">
        <w:rPr>
          <w:lang w:val="en-US"/>
        </w:rPr>
        <w:t xml:space="preserve">negative </w:t>
      </w:r>
      <w:r w:rsidRPr="007A3223">
        <w:t xml:space="preserve">BRCA </w:t>
      </w:r>
      <w:r w:rsidRPr="007A3223">
        <w:rPr>
          <w:lang w:val="en-US"/>
        </w:rPr>
        <w:t>testing</w:t>
      </w:r>
      <w:r w:rsidRPr="007A3223">
        <w:t xml:space="preserve"> are still eligible.</w:t>
      </w:r>
      <w:r w:rsidR="00626A2C" w:rsidRPr="007A3223">
        <w:t xml:space="preserve"> </w:t>
      </w:r>
    </w:p>
    <w:p w14:paraId="455857CB" w14:textId="42A5B0EB" w:rsidR="00B647A3" w:rsidRPr="00F33908" w:rsidRDefault="00B647A3" w:rsidP="00B647A3">
      <w:pPr>
        <w:pStyle w:val="Heading4"/>
        <w:rPr>
          <w:noProof w:val="0"/>
        </w:rPr>
      </w:pPr>
      <w:r w:rsidRPr="007A3223">
        <w:rPr>
          <w:noProof w:val="0"/>
        </w:rPr>
        <w:t xml:space="preserve">Patients must have measurable disease as defined by RECIST v1.1. See Section </w:t>
      </w:r>
      <w:r w:rsidRPr="00F33908">
        <w:rPr>
          <w:color w:val="0000FF"/>
        </w:rPr>
        <w:fldChar w:fldCharType="begin"/>
      </w:r>
      <w:r w:rsidRPr="007A3223">
        <w:rPr>
          <w:color w:val="0000FF"/>
        </w:rPr>
        <w:instrText xml:space="preserve"> REF _Ref405293308 \r \h  \* MERGEFORMAT </w:instrText>
      </w:r>
      <w:r w:rsidRPr="00F33908">
        <w:rPr>
          <w:color w:val="0000FF"/>
        </w:rPr>
      </w:r>
      <w:r w:rsidRPr="00F33908">
        <w:rPr>
          <w:color w:val="0000FF"/>
        </w:rPr>
        <w:fldChar w:fldCharType="separate"/>
      </w:r>
      <w:r w:rsidR="00E47ACA" w:rsidRPr="00E47ACA">
        <w:rPr>
          <w:b/>
          <w:color w:val="0000FF"/>
        </w:rPr>
        <w:t>7.5</w:t>
      </w:r>
      <w:r w:rsidRPr="00F33908">
        <w:rPr>
          <w:color w:val="0000FF"/>
        </w:rPr>
        <w:fldChar w:fldCharType="end"/>
      </w:r>
      <w:r w:rsidRPr="007A3223">
        <w:rPr>
          <w:noProof w:val="0"/>
        </w:rPr>
        <w:t xml:space="preserve"> for the evaluation of measurable disease.</w:t>
      </w:r>
    </w:p>
    <w:p w14:paraId="692CE527" w14:textId="77777777" w:rsidR="00B647A3" w:rsidRPr="007A3223" w:rsidRDefault="00B647A3" w:rsidP="00B647A3">
      <w:pPr>
        <w:pStyle w:val="Heading4"/>
        <w:rPr>
          <w:noProof w:val="0"/>
        </w:rPr>
      </w:pPr>
      <w:r w:rsidRPr="00F33908">
        <w:rPr>
          <w:noProof w:val="0"/>
        </w:rPr>
        <w:t>Patients must have at least one lesion deemed s</w:t>
      </w:r>
      <w:r w:rsidRPr="007A3223">
        <w:rPr>
          <w:noProof w:val="0"/>
        </w:rPr>
        <w:t>afe to biopsy and be willing to undergo a mandatory baseline biopsy.</w:t>
      </w:r>
    </w:p>
    <w:p w14:paraId="7A600446" w14:textId="77777777" w:rsidR="00B647A3" w:rsidRPr="007A3223" w:rsidRDefault="00B647A3" w:rsidP="00B647A3">
      <w:pPr>
        <w:pStyle w:val="Heading4"/>
        <w:rPr>
          <w:noProof w:val="0"/>
          <w:szCs w:val="24"/>
        </w:rPr>
      </w:pPr>
      <w:r w:rsidRPr="007A3223">
        <w:rPr>
          <w:noProof w:val="0"/>
        </w:rPr>
        <w:t xml:space="preserve">Age </w:t>
      </w:r>
      <w:r w:rsidRPr="007A3223">
        <w:rPr>
          <w:noProof w:val="0"/>
          <w:u w:val="single"/>
        </w:rPr>
        <w:t>&gt;</w:t>
      </w:r>
      <w:r w:rsidRPr="007A3223">
        <w:rPr>
          <w:noProof w:val="0"/>
        </w:rPr>
        <w:t>18 years.</w:t>
      </w:r>
    </w:p>
    <w:p w14:paraId="6053EB0C" w14:textId="456D84F3" w:rsidR="00B647A3" w:rsidRPr="007A3223" w:rsidRDefault="00B647A3" w:rsidP="00B647A3">
      <w:pPr>
        <w:pStyle w:val="Heading4"/>
        <w:rPr>
          <w:noProof w:val="0"/>
        </w:rPr>
      </w:pPr>
      <w:r w:rsidRPr="007A3223">
        <w:rPr>
          <w:noProof w:val="0"/>
        </w:rPr>
        <w:t xml:space="preserve">ECOG performance status </w:t>
      </w:r>
      <w:r w:rsidR="001D7E7C" w:rsidRPr="007A3223">
        <w:rPr>
          <w:rFonts w:hint="eastAsia"/>
          <w:szCs w:val="24"/>
        </w:rPr>
        <w:t>≤</w:t>
      </w:r>
      <w:r w:rsidR="0050728E" w:rsidRPr="007A3223">
        <w:rPr>
          <w:noProof w:val="0"/>
        </w:rPr>
        <w:t xml:space="preserve"> </w:t>
      </w:r>
      <w:r w:rsidRPr="007A3223">
        <w:rPr>
          <w:noProof w:val="0"/>
        </w:rPr>
        <w:t>2. (See</w:t>
      </w:r>
      <w:r w:rsidRPr="007A3223">
        <w:rPr>
          <w:b/>
          <w:noProof w:val="0"/>
          <w:color w:val="0000FF"/>
        </w:rPr>
        <w:t xml:space="preserve"> </w:t>
      </w:r>
      <w:r w:rsidR="006D69D9" w:rsidRPr="00F33908">
        <w:rPr>
          <w:b/>
          <w:color w:val="0000FF"/>
        </w:rPr>
        <w:fldChar w:fldCharType="begin"/>
      </w:r>
      <w:r w:rsidR="006D69D9" w:rsidRPr="007A3223">
        <w:rPr>
          <w:b/>
          <w:noProof w:val="0"/>
          <w:color w:val="0000FF"/>
        </w:rPr>
        <w:instrText xml:space="preserve"> REF _Ref505946550 \h </w:instrText>
      </w:r>
      <w:r w:rsidR="006D69D9" w:rsidRPr="007A3223">
        <w:rPr>
          <w:b/>
          <w:color w:val="0000FF"/>
        </w:rPr>
        <w:instrText xml:space="preserve"> \* MERGEFORMAT </w:instrText>
      </w:r>
      <w:r w:rsidR="006D69D9" w:rsidRPr="00F33908">
        <w:rPr>
          <w:b/>
          <w:color w:val="0000FF"/>
        </w:rPr>
      </w:r>
      <w:r w:rsidR="006D69D9" w:rsidRPr="00F33908">
        <w:rPr>
          <w:b/>
          <w:color w:val="0000FF"/>
        </w:rPr>
        <w:fldChar w:fldCharType="separate"/>
      </w:r>
      <w:r w:rsidR="00E47ACA" w:rsidRPr="00E47ACA">
        <w:rPr>
          <w:b/>
          <w:color w:val="0000FF"/>
        </w:rPr>
        <w:t>Appendix A – Performance Status Criteria</w:t>
      </w:r>
      <w:r w:rsidR="006D69D9" w:rsidRPr="00F33908">
        <w:rPr>
          <w:b/>
          <w:color w:val="0000FF"/>
        </w:rPr>
        <w:fldChar w:fldCharType="end"/>
      </w:r>
      <w:r w:rsidRPr="007A3223">
        <w:t>.</w:t>
      </w:r>
      <w:r w:rsidRPr="00F33908">
        <w:rPr>
          <w:noProof w:val="0"/>
        </w:rPr>
        <w:t>)</w:t>
      </w:r>
    </w:p>
    <w:p w14:paraId="0E6D146A" w14:textId="77777777" w:rsidR="00B647A3" w:rsidRPr="007A3223" w:rsidRDefault="00B647A3" w:rsidP="00B647A3">
      <w:pPr>
        <w:pStyle w:val="Heading4"/>
        <w:rPr>
          <w:noProof w:val="0"/>
        </w:rPr>
      </w:pPr>
      <w:r w:rsidRPr="007A3223">
        <w:rPr>
          <w:noProof w:val="0"/>
        </w:rPr>
        <w:t xml:space="preserve">Patients must have adequate organ and marrow function as defined below: </w:t>
      </w:r>
    </w:p>
    <w:p w14:paraId="09B4CCF3" w14:textId="77777777" w:rsidR="00B647A3" w:rsidRPr="007A3223" w:rsidRDefault="00B647A3" w:rsidP="00367339">
      <w:pPr>
        <w:widowControl w:val="0"/>
        <w:numPr>
          <w:ilvl w:val="0"/>
          <w:numId w:val="6"/>
        </w:numPr>
        <w:tabs>
          <w:tab w:val="left" w:pos="1530"/>
          <w:tab w:val="left" w:pos="5040"/>
        </w:tabs>
        <w:suppressAutoHyphens/>
        <w:spacing w:after="0"/>
        <w:ind w:left="5040" w:hanging="3780"/>
      </w:pPr>
      <w:r w:rsidRPr="007A3223">
        <w:lastRenderedPageBreak/>
        <w:t>absolute neutrophil count</w:t>
      </w:r>
      <w:r w:rsidRPr="007A3223">
        <w:tab/>
      </w:r>
      <w:r w:rsidRPr="007A3223">
        <w:rPr>
          <w:rFonts w:hint="eastAsia"/>
        </w:rPr>
        <w:t>≥</w:t>
      </w:r>
      <w:r w:rsidRPr="007A3223">
        <w:t xml:space="preserve"> 1,500/mcL</w:t>
      </w:r>
    </w:p>
    <w:p w14:paraId="782740B8" w14:textId="77777777" w:rsidR="00B647A3" w:rsidRPr="007A3223" w:rsidRDefault="00B647A3" w:rsidP="00367339">
      <w:pPr>
        <w:widowControl w:val="0"/>
        <w:numPr>
          <w:ilvl w:val="0"/>
          <w:numId w:val="6"/>
        </w:numPr>
        <w:tabs>
          <w:tab w:val="left" w:pos="1530"/>
          <w:tab w:val="left" w:pos="5040"/>
        </w:tabs>
        <w:suppressAutoHyphens/>
        <w:spacing w:after="0"/>
        <w:ind w:left="5040" w:hanging="3780"/>
      </w:pPr>
      <w:r w:rsidRPr="007A3223">
        <w:t>white blood cell (WBC)</w:t>
      </w:r>
      <w:r w:rsidRPr="007A3223">
        <w:tab/>
      </w:r>
      <w:r w:rsidRPr="007A3223">
        <w:rPr>
          <w:u w:val="single"/>
        </w:rPr>
        <w:t>&gt;</w:t>
      </w:r>
      <w:r w:rsidRPr="007A3223">
        <w:rPr>
          <w:lang w:eastAsia="ko-KR"/>
        </w:rPr>
        <w:t xml:space="preserve"> </w:t>
      </w:r>
      <w:r w:rsidRPr="007A3223">
        <w:t>3,000/mcL</w:t>
      </w:r>
    </w:p>
    <w:p w14:paraId="14EAC6C3" w14:textId="77777777" w:rsidR="00B647A3" w:rsidRPr="007A3223" w:rsidRDefault="00B647A3" w:rsidP="00367339">
      <w:pPr>
        <w:widowControl w:val="0"/>
        <w:numPr>
          <w:ilvl w:val="0"/>
          <w:numId w:val="6"/>
        </w:numPr>
        <w:tabs>
          <w:tab w:val="left" w:pos="1530"/>
          <w:tab w:val="left" w:pos="5040"/>
        </w:tabs>
        <w:suppressAutoHyphens/>
        <w:spacing w:after="0"/>
        <w:ind w:left="5040" w:hanging="3780"/>
      </w:pPr>
      <w:r w:rsidRPr="007A3223">
        <w:t>platelets</w:t>
      </w:r>
      <w:r w:rsidRPr="007A3223">
        <w:tab/>
      </w:r>
      <w:r w:rsidRPr="007A3223">
        <w:rPr>
          <w:rFonts w:hint="eastAsia"/>
        </w:rPr>
        <w:t>≥</w:t>
      </w:r>
      <w:r w:rsidRPr="007A3223">
        <w:t xml:space="preserve"> 100,000/mcL</w:t>
      </w:r>
    </w:p>
    <w:p w14:paraId="07EBC37A" w14:textId="56F82D53" w:rsidR="00B647A3" w:rsidRPr="007A3223" w:rsidRDefault="00B647A3" w:rsidP="00367339">
      <w:pPr>
        <w:widowControl w:val="0"/>
        <w:numPr>
          <w:ilvl w:val="0"/>
          <w:numId w:val="6"/>
        </w:numPr>
        <w:tabs>
          <w:tab w:val="left" w:pos="1530"/>
          <w:tab w:val="left" w:pos="5040"/>
        </w:tabs>
        <w:suppressAutoHyphens/>
        <w:spacing w:after="0"/>
        <w:ind w:left="5040" w:hanging="3780"/>
      </w:pPr>
      <w:r w:rsidRPr="007A3223">
        <w:t>hemoglobin (Hgb)</w:t>
      </w:r>
      <w:r w:rsidRPr="007A3223">
        <w:tab/>
      </w:r>
      <w:r w:rsidRPr="007A3223">
        <w:rPr>
          <w:rFonts w:hint="eastAsia"/>
        </w:rPr>
        <w:t>≥</w:t>
      </w:r>
      <w:r w:rsidRPr="007A3223">
        <w:rPr>
          <w:rFonts w:hint="eastAsia"/>
        </w:rPr>
        <w:t xml:space="preserve"> </w:t>
      </w:r>
      <w:r w:rsidR="00B5558B" w:rsidRPr="007A3223">
        <w:t>9</w:t>
      </w:r>
      <w:r w:rsidRPr="007A3223">
        <w:t xml:space="preserve"> g/dL in the absence of packed red blood cell transfusion 28 days prior to dosing </w:t>
      </w:r>
    </w:p>
    <w:p w14:paraId="7AB6C72E" w14:textId="77777777" w:rsidR="00C66B1C" w:rsidRPr="007A3223" w:rsidRDefault="00B647A3" w:rsidP="00367339">
      <w:pPr>
        <w:widowControl w:val="0"/>
        <w:numPr>
          <w:ilvl w:val="0"/>
          <w:numId w:val="6"/>
        </w:numPr>
        <w:tabs>
          <w:tab w:val="left" w:pos="1530"/>
          <w:tab w:val="left" w:pos="5040"/>
        </w:tabs>
        <w:suppressAutoHyphens/>
        <w:ind w:left="5040" w:hanging="3780"/>
      </w:pPr>
      <w:r w:rsidRPr="007A3223">
        <w:t>AST(SGOT)/ALT(SGPT)</w:t>
      </w:r>
      <w:r w:rsidRPr="007A3223">
        <w:tab/>
      </w:r>
      <w:r w:rsidRPr="007A3223">
        <w:rPr>
          <w:rFonts w:hint="eastAsia"/>
        </w:rPr>
        <w:t>≤</w:t>
      </w:r>
      <w:r w:rsidRPr="007A3223">
        <w:rPr>
          <w:rFonts w:hint="eastAsia"/>
        </w:rPr>
        <w:t xml:space="preserve">  </w:t>
      </w:r>
      <w:r w:rsidR="00C66B1C" w:rsidRPr="007A3223">
        <w:t>2.5</w:t>
      </w:r>
      <w:r w:rsidRPr="007A3223">
        <w:t xml:space="preserve"> X institutional upper limit of normal</w:t>
      </w:r>
      <w:r w:rsidR="00C66B1C" w:rsidRPr="007A3223">
        <w:rPr>
          <w:rFonts w:hint="eastAsia"/>
        </w:rPr>
        <w:t xml:space="preserve"> (ULN); for subjects with liver metastases, AST or ALT </w:t>
      </w:r>
      <w:r w:rsidR="00C66B1C" w:rsidRPr="007A3223">
        <w:rPr>
          <w:rFonts w:hint="eastAsia"/>
        </w:rPr>
        <w:t>≤</w:t>
      </w:r>
      <w:r w:rsidR="00C66B1C" w:rsidRPr="007A3223">
        <w:rPr>
          <w:rFonts w:hint="eastAsia"/>
        </w:rPr>
        <w:t xml:space="preserve"> 5 </w:t>
      </w:r>
      <w:r w:rsidR="00C66B1C" w:rsidRPr="007A3223">
        <w:rPr>
          <w:rFonts w:hint="eastAsia"/>
        </w:rPr>
        <w:t>×</w:t>
      </w:r>
      <w:r w:rsidR="00C66B1C" w:rsidRPr="007A3223">
        <w:rPr>
          <w:rFonts w:hint="eastAsia"/>
        </w:rPr>
        <w:t xml:space="preserve"> ULN</w:t>
      </w:r>
    </w:p>
    <w:p w14:paraId="510421D3" w14:textId="77777777" w:rsidR="00C66B1C" w:rsidRPr="007A3223" w:rsidRDefault="00C66B1C" w:rsidP="00FB66BA">
      <w:pPr>
        <w:pStyle w:val="BodyText"/>
        <w:widowControl w:val="0"/>
        <w:numPr>
          <w:ilvl w:val="4"/>
          <w:numId w:val="66"/>
        </w:numPr>
        <w:tabs>
          <w:tab w:val="left" w:pos="1459"/>
          <w:tab w:val="left" w:pos="4207"/>
        </w:tabs>
        <w:spacing w:before="15" w:line="244" w:lineRule="exact"/>
        <w:ind w:right="305" w:hanging="2961"/>
      </w:pPr>
      <w:r w:rsidRPr="007A3223">
        <w:rPr>
          <w:rFonts w:ascii="Times New Roman" w:eastAsia="Batang" w:hAnsi="Times New Roman"/>
          <w:szCs w:val="22"/>
          <w:lang w:val="en-US" w:eastAsia="en-US"/>
        </w:rPr>
        <w:t>Total bilirubin</w:t>
      </w:r>
      <w:r w:rsidRPr="007A3223">
        <w:tab/>
      </w:r>
      <w:r w:rsidRPr="007A3223">
        <w:rPr>
          <w:rFonts w:ascii="Batang" w:eastAsia="Batang" w:hAnsi="Batang" w:cs="Batang"/>
        </w:rPr>
        <w:t>≤</w:t>
      </w:r>
      <w:r w:rsidRPr="007A3223">
        <w:rPr>
          <w:rFonts w:ascii="Batang" w:eastAsia="Batang" w:hAnsi="Batang" w:cs="Batang"/>
          <w:spacing w:val="-24"/>
        </w:rPr>
        <w:t xml:space="preserve"> </w:t>
      </w:r>
      <w:r w:rsidRPr="007A3223">
        <w:t>1.5</w:t>
      </w:r>
      <w:r w:rsidRPr="007A3223">
        <w:rPr>
          <w:spacing w:val="-8"/>
        </w:rPr>
        <w:t xml:space="preserve"> </w:t>
      </w:r>
      <w:r w:rsidRPr="007A3223">
        <w:rPr>
          <w:rFonts w:ascii="Batang" w:eastAsia="Batang" w:hAnsi="Batang" w:cs="Batang"/>
        </w:rPr>
        <w:t>×</w:t>
      </w:r>
      <w:r w:rsidRPr="007A3223">
        <w:rPr>
          <w:rFonts w:ascii="Batang" w:eastAsia="Batang" w:hAnsi="Batang" w:cs="Batang"/>
          <w:spacing w:val="-24"/>
        </w:rPr>
        <w:t xml:space="preserve"> </w:t>
      </w:r>
      <w:r w:rsidRPr="007A3223">
        <w:t>ULN;</w:t>
      </w:r>
      <w:r w:rsidRPr="007A3223">
        <w:rPr>
          <w:spacing w:val="-8"/>
        </w:rPr>
        <w:t xml:space="preserve"> </w:t>
      </w:r>
      <w:r w:rsidRPr="007A3223">
        <w:t>for</w:t>
      </w:r>
      <w:r w:rsidRPr="007A3223">
        <w:rPr>
          <w:spacing w:val="-9"/>
        </w:rPr>
        <w:t xml:space="preserve"> </w:t>
      </w:r>
      <w:r w:rsidRPr="007A3223">
        <w:t>subjects</w:t>
      </w:r>
      <w:r w:rsidRPr="007A3223">
        <w:rPr>
          <w:spacing w:val="-8"/>
        </w:rPr>
        <w:t xml:space="preserve"> </w:t>
      </w:r>
      <w:r w:rsidRPr="007A3223">
        <w:t>with</w:t>
      </w:r>
      <w:r w:rsidRPr="007A3223">
        <w:rPr>
          <w:w w:val="98"/>
        </w:rPr>
        <w:t xml:space="preserve"> </w:t>
      </w:r>
      <w:r w:rsidRPr="007A3223">
        <w:t>documented/suspected</w:t>
      </w:r>
      <w:r w:rsidRPr="007A3223">
        <w:rPr>
          <w:spacing w:val="-31"/>
        </w:rPr>
        <w:t xml:space="preserve"> </w:t>
      </w:r>
      <w:r w:rsidRPr="007A3223">
        <w:t>Gilbert</w:t>
      </w:r>
      <w:r w:rsidRPr="007A3223">
        <w:rPr>
          <w:rFonts w:ascii="Batang" w:eastAsia="Batang" w:hAnsi="Batang" w:cs="Batang"/>
        </w:rPr>
        <w:t>’</w:t>
      </w:r>
      <w:r w:rsidRPr="007A3223">
        <w:t>s</w:t>
      </w:r>
      <w:r w:rsidRPr="007A3223">
        <w:rPr>
          <w:spacing w:val="-31"/>
        </w:rPr>
        <w:t xml:space="preserve"> </w:t>
      </w:r>
      <w:r w:rsidRPr="007A3223">
        <w:t>disease,</w:t>
      </w:r>
      <w:r w:rsidRPr="007A3223">
        <w:rPr>
          <w:w w:val="98"/>
        </w:rPr>
        <w:t xml:space="preserve"> </w:t>
      </w:r>
      <w:r w:rsidRPr="007A3223">
        <w:t>bilirubin</w:t>
      </w:r>
      <w:r w:rsidRPr="007A3223">
        <w:rPr>
          <w:spacing w:val="-9"/>
        </w:rPr>
        <w:t xml:space="preserve"> </w:t>
      </w:r>
      <w:r w:rsidRPr="007A3223">
        <w:rPr>
          <w:rFonts w:ascii="Batang" w:eastAsia="Batang" w:hAnsi="Batang" w:cs="Batang"/>
        </w:rPr>
        <w:t>≤</w:t>
      </w:r>
      <w:r w:rsidRPr="007A3223">
        <w:rPr>
          <w:rFonts w:ascii="Batang" w:eastAsia="Batang" w:hAnsi="Batang" w:cs="Batang"/>
          <w:spacing w:val="-24"/>
        </w:rPr>
        <w:t xml:space="preserve"> </w:t>
      </w:r>
      <w:r w:rsidRPr="007A3223">
        <w:t>3</w:t>
      </w:r>
      <w:r w:rsidRPr="007A3223">
        <w:rPr>
          <w:spacing w:val="-8"/>
        </w:rPr>
        <w:t xml:space="preserve"> </w:t>
      </w:r>
      <w:r w:rsidRPr="007A3223">
        <w:rPr>
          <w:rFonts w:ascii="Batang" w:eastAsia="Batang" w:hAnsi="Batang" w:cs="Batang"/>
        </w:rPr>
        <w:t>×</w:t>
      </w:r>
      <w:r w:rsidRPr="007A3223">
        <w:rPr>
          <w:rFonts w:ascii="Batang" w:eastAsia="Batang" w:hAnsi="Batang" w:cs="Batang"/>
          <w:spacing w:val="-24"/>
        </w:rPr>
        <w:t xml:space="preserve"> </w:t>
      </w:r>
      <w:r w:rsidRPr="007A3223">
        <w:t>ULN</w:t>
      </w:r>
    </w:p>
    <w:p w14:paraId="26928E12" w14:textId="77777777" w:rsidR="00B647A3" w:rsidRPr="007A3223" w:rsidRDefault="00B647A3" w:rsidP="00C66B1C">
      <w:pPr>
        <w:widowControl w:val="0"/>
        <w:tabs>
          <w:tab w:val="left" w:pos="1530"/>
          <w:tab w:val="left" w:pos="5040"/>
        </w:tabs>
        <w:suppressAutoHyphens/>
        <w:spacing w:after="0"/>
        <w:ind w:left="5040"/>
      </w:pPr>
    </w:p>
    <w:p w14:paraId="5F610A06" w14:textId="77777777" w:rsidR="00B647A3" w:rsidRPr="007A3223" w:rsidRDefault="00B647A3" w:rsidP="00367339">
      <w:pPr>
        <w:widowControl w:val="0"/>
        <w:numPr>
          <w:ilvl w:val="0"/>
          <w:numId w:val="6"/>
        </w:numPr>
        <w:tabs>
          <w:tab w:val="left" w:pos="1530"/>
          <w:tab w:val="left" w:pos="5040"/>
        </w:tabs>
        <w:suppressAutoHyphens/>
        <w:spacing w:after="0"/>
        <w:ind w:left="5040" w:hanging="3780"/>
      </w:pPr>
      <w:r w:rsidRPr="007A3223">
        <w:t>creatinine</w:t>
      </w:r>
      <w:r w:rsidRPr="007A3223">
        <w:tab/>
      </w:r>
      <w:r w:rsidRPr="007A3223">
        <w:rPr>
          <w:rFonts w:hint="eastAsia"/>
        </w:rPr>
        <w:t>≤</w:t>
      </w:r>
      <w:r w:rsidRPr="007A3223">
        <w:t xml:space="preserve">  1.5 X within normal institutional limits</w:t>
      </w:r>
    </w:p>
    <w:p w14:paraId="28CA7EF1" w14:textId="77777777" w:rsidR="00B647A3" w:rsidRPr="007A3223" w:rsidRDefault="00B647A3" w:rsidP="00B647A3">
      <w:pPr>
        <w:widowControl w:val="0"/>
        <w:suppressAutoHyphens/>
        <w:jc w:val="center"/>
      </w:pPr>
      <w:r w:rsidRPr="007A3223">
        <w:t>OR</w:t>
      </w:r>
    </w:p>
    <w:p w14:paraId="7B74B991" w14:textId="77777777" w:rsidR="00443C13" w:rsidRPr="007A3223" w:rsidRDefault="00443C13" w:rsidP="00176B44">
      <w:pPr>
        <w:pStyle w:val="Heading4"/>
        <w:numPr>
          <w:ilvl w:val="0"/>
          <w:numId w:val="0"/>
        </w:numPr>
        <w:ind w:left="864"/>
        <w:rPr>
          <w:noProof w:val="0"/>
        </w:rPr>
      </w:pPr>
      <w:r w:rsidRPr="007A3223">
        <w:rPr>
          <w:lang w:val="en-US"/>
        </w:rPr>
        <w:tab/>
      </w:r>
      <w:r w:rsidRPr="007A3223">
        <w:rPr>
          <w:lang w:val="en-US"/>
        </w:rPr>
        <w:tab/>
      </w:r>
      <w:r w:rsidRPr="007A3223">
        <w:rPr>
          <w:lang w:val="en-US"/>
        </w:rPr>
        <w:tab/>
      </w:r>
      <w:r w:rsidRPr="007A3223">
        <w:rPr>
          <w:lang w:val="en-US"/>
        </w:rPr>
        <w:tab/>
      </w:r>
      <w:r w:rsidRPr="007A3223">
        <w:rPr>
          <w:lang w:val="en-US"/>
        </w:rPr>
        <w:tab/>
      </w:r>
      <w:r w:rsidR="00B647A3" w:rsidRPr="007A3223">
        <w:t xml:space="preserve">measured creatinine clearance </w:t>
      </w:r>
      <w:r w:rsidR="00B647A3" w:rsidRPr="007A3223">
        <w:rPr>
          <w:u w:val="single"/>
        </w:rPr>
        <w:t xml:space="preserve">&gt; </w:t>
      </w:r>
      <w:r w:rsidR="00B647A3" w:rsidRPr="007A3223">
        <w:t>50 mL/min/1.73 m</w:t>
      </w:r>
      <w:r w:rsidR="00B647A3" w:rsidRPr="007A3223">
        <w:rPr>
          <w:vertAlign w:val="superscript"/>
        </w:rPr>
        <w:t>2</w:t>
      </w:r>
      <w:r w:rsidR="00B647A3" w:rsidRPr="007A3223">
        <w:t xml:space="preserve"> </w:t>
      </w:r>
    </w:p>
    <w:p w14:paraId="47FFDD98" w14:textId="77777777" w:rsidR="00B647A3" w:rsidRPr="007A3223" w:rsidRDefault="00B647A3" w:rsidP="00B647A3">
      <w:pPr>
        <w:pStyle w:val="Heading4"/>
        <w:rPr>
          <w:noProof w:val="0"/>
        </w:rPr>
      </w:pPr>
      <w:r w:rsidRPr="007A3223">
        <w:rPr>
          <w:noProof w:val="0"/>
        </w:rPr>
        <w:t>Patients must be able to swallow oral medications (capsules and tablets) without chewing, breaking, crushing, opening or otherwise altering the product formulation. They should not have gastrointestinal illnesses that would preclude the absorption of cediranib or olaparib, which are oral agents.</w:t>
      </w:r>
    </w:p>
    <w:p w14:paraId="3DE4FC0A" w14:textId="77777777" w:rsidR="00B647A3" w:rsidRPr="007A3223" w:rsidRDefault="00B647A3" w:rsidP="00B647A3">
      <w:pPr>
        <w:pStyle w:val="Heading4"/>
        <w:rPr>
          <w:noProof w:val="0"/>
        </w:rPr>
      </w:pPr>
      <w:r w:rsidRPr="007A3223">
        <w:rPr>
          <w:noProof w:val="0"/>
        </w:rPr>
        <w:t>Toxicities of prior therapy (excepting alopecia) should be resolved to less than or equal to Grade 1 as per CTCAE v 4.03 (</w:t>
      </w:r>
      <w:hyperlink r:id="rId39" w:history="1">
        <w:r w:rsidR="0073744A" w:rsidRPr="00F33908">
          <w:rPr>
            <w:rStyle w:val="Hyperlink"/>
            <w:noProof w:val="0"/>
          </w:rPr>
          <w:t>http://ctep.cancer.gov/protocolDevelopment/electroni</w:t>
        </w:r>
        <w:r w:rsidR="0073744A" w:rsidRPr="007A3223">
          <w:rPr>
            <w:rStyle w:val="Hyperlink"/>
            <w:noProof w:val="0"/>
          </w:rPr>
          <w:t>c_applications/ctc.htm</w:t>
        </w:r>
      </w:hyperlink>
      <w:r w:rsidRPr="007A3223">
        <w:rPr>
          <w:rFonts w:hint="eastAsia"/>
          <w:noProof w:val="0"/>
        </w:rPr>
        <w:t>)</w:t>
      </w:r>
      <w:r w:rsidR="0073744A" w:rsidRPr="00F33908">
        <w:rPr>
          <w:noProof w:val="0"/>
          <w:lang w:val="en-US"/>
        </w:rPr>
        <w:t xml:space="preserve"> </w:t>
      </w:r>
      <w:r w:rsidR="0073744A" w:rsidRPr="007A3223">
        <w:rPr>
          <w:noProof w:val="0"/>
        </w:rPr>
        <w:t xml:space="preserve">except hemoglobin as shown in </w:t>
      </w:r>
      <w:r w:rsidR="00C45E6D" w:rsidRPr="007A3223">
        <w:rPr>
          <w:noProof w:val="0"/>
        </w:rPr>
        <w:t>2.3</w:t>
      </w:r>
      <w:r w:rsidR="0073744A" w:rsidRPr="007A3223">
        <w:rPr>
          <w:noProof w:val="0"/>
        </w:rPr>
        <w:t>.1.</w:t>
      </w:r>
      <w:r w:rsidR="00AA297A" w:rsidRPr="007A3223">
        <w:rPr>
          <w:noProof w:val="0"/>
        </w:rPr>
        <w:t>8</w:t>
      </w:r>
      <w:r w:rsidRPr="007A3223">
        <w:rPr>
          <w:noProof w:val="0"/>
        </w:rPr>
        <w:t>. Patients with long-standing stable grade 2 neuropathy may be considered after discussion with the PI.</w:t>
      </w:r>
    </w:p>
    <w:p w14:paraId="14A5F416" w14:textId="77777777" w:rsidR="00B647A3" w:rsidRPr="007A3223" w:rsidRDefault="00B647A3" w:rsidP="00B647A3">
      <w:pPr>
        <w:pStyle w:val="Heading4"/>
        <w:rPr>
          <w:noProof w:val="0"/>
        </w:rPr>
      </w:pPr>
      <w:r w:rsidRPr="007A3223">
        <w:rPr>
          <w:noProof w:val="0"/>
        </w:rPr>
        <w:t>Ability of subject to understand and the willingness to sign a written informed consent document prior to any protocol related procedures, including screening evaluations.</w:t>
      </w:r>
    </w:p>
    <w:p w14:paraId="3D91AB69" w14:textId="5EAB17A2" w:rsidR="00B647A3" w:rsidRPr="00F33908" w:rsidRDefault="00B647A3" w:rsidP="004C03C8">
      <w:pPr>
        <w:pStyle w:val="Heading4"/>
        <w:rPr>
          <w:noProof w:val="0"/>
        </w:rPr>
      </w:pPr>
      <w:r w:rsidRPr="007A3223">
        <w:rPr>
          <w:rFonts w:hint="eastAsia"/>
          <w:noProof w:val="0"/>
        </w:rPr>
        <w:t xml:space="preserve">Female patients must either be of non-reproductive potential (i.e., post-menopausal by history: </w:t>
      </w:r>
      <w:r w:rsidRPr="007A3223">
        <w:rPr>
          <w:rFonts w:hint="eastAsia"/>
          <w:noProof w:val="0"/>
        </w:rPr>
        <w:t>≥</w:t>
      </w:r>
      <w:r w:rsidRPr="007A3223">
        <w:rPr>
          <w:rFonts w:hint="eastAsia"/>
          <w:noProof w:val="0"/>
        </w:rPr>
        <w:t xml:space="preserve">60 years old and no menses for </w:t>
      </w:r>
      <w:r w:rsidRPr="007A3223">
        <w:rPr>
          <w:rFonts w:hint="eastAsia"/>
          <w:noProof w:val="0"/>
        </w:rPr>
        <w:t>≥</w:t>
      </w:r>
      <w:r w:rsidRPr="007A3223">
        <w:rPr>
          <w:rFonts w:hint="eastAsia"/>
          <w:noProof w:val="0"/>
        </w:rPr>
        <w:t xml:space="preserve">1 year without an alternative medical cause; OR history of hysterectomy, OR history of bilateral tubal ligation, OR history of bilateral oophorectomy) or must have a negative serum pregnancy test upon study entry and agree to use contraception or abstinence (See Section </w:t>
      </w:r>
      <w:r w:rsidR="00436B9D" w:rsidRPr="00F33908">
        <w:rPr>
          <w:b/>
          <w:noProof w:val="0"/>
          <w:color w:val="0000FF"/>
        </w:rPr>
        <w:fldChar w:fldCharType="begin"/>
      </w:r>
      <w:r w:rsidR="00436B9D" w:rsidRPr="007A3223">
        <w:rPr>
          <w:b/>
          <w:noProof w:val="0"/>
          <w:color w:val="0000FF"/>
        </w:rPr>
        <w:instrText xml:space="preserve"> REF _Ref450582104 \r \h  \* MERGEFORMAT </w:instrText>
      </w:r>
      <w:r w:rsidR="00436B9D" w:rsidRPr="00F33908">
        <w:rPr>
          <w:b/>
          <w:noProof w:val="0"/>
          <w:color w:val="0000FF"/>
        </w:rPr>
      </w:r>
      <w:r w:rsidR="00436B9D" w:rsidRPr="00F33908">
        <w:rPr>
          <w:b/>
          <w:noProof w:val="0"/>
          <w:color w:val="0000FF"/>
        </w:rPr>
        <w:fldChar w:fldCharType="separate"/>
      </w:r>
      <w:r w:rsidR="00E47ACA">
        <w:rPr>
          <w:b/>
          <w:noProof w:val="0"/>
          <w:color w:val="0000FF"/>
        </w:rPr>
        <w:t>2.10</w:t>
      </w:r>
      <w:r w:rsidR="00436B9D" w:rsidRPr="00F33908">
        <w:rPr>
          <w:b/>
          <w:noProof w:val="0"/>
          <w:color w:val="0000FF"/>
        </w:rPr>
        <w:fldChar w:fldCharType="end"/>
      </w:r>
      <w:r w:rsidRPr="007A3223">
        <w:rPr>
          <w:noProof w:val="0"/>
        </w:rPr>
        <w:t xml:space="preserve">) for female patients with reproductive potential. See Section </w:t>
      </w:r>
      <w:r w:rsidR="00436B9D" w:rsidRPr="00F33908">
        <w:rPr>
          <w:b/>
          <w:noProof w:val="0"/>
          <w:color w:val="0000FF"/>
        </w:rPr>
        <w:fldChar w:fldCharType="begin"/>
      </w:r>
      <w:r w:rsidR="00436B9D" w:rsidRPr="007A3223">
        <w:rPr>
          <w:b/>
          <w:noProof w:val="0"/>
          <w:color w:val="0000FF"/>
        </w:rPr>
        <w:instrText xml:space="preserve"> REF _Ref450582130 \r \h  \* MERGEFORMAT </w:instrText>
      </w:r>
      <w:r w:rsidR="00436B9D" w:rsidRPr="00F33908">
        <w:rPr>
          <w:b/>
          <w:noProof w:val="0"/>
          <w:color w:val="0000FF"/>
        </w:rPr>
      </w:r>
      <w:r w:rsidR="00436B9D" w:rsidRPr="00F33908">
        <w:rPr>
          <w:b/>
          <w:noProof w:val="0"/>
          <w:color w:val="0000FF"/>
        </w:rPr>
        <w:fldChar w:fldCharType="separate"/>
      </w:r>
      <w:r w:rsidR="00E47ACA">
        <w:rPr>
          <w:b/>
          <w:noProof w:val="0"/>
          <w:color w:val="0000FF"/>
        </w:rPr>
        <w:t>2.10</w:t>
      </w:r>
      <w:r w:rsidR="00436B9D" w:rsidRPr="00F33908">
        <w:rPr>
          <w:b/>
          <w:noProof w:val="0"/>
          <w:color w:val="0000FF"/>
        </w:rPr>
        <w:fldChar w:fldCharType="end"/>
      </w:r>
      <w:r w:rsidRPr="007A3223">
        <w:rPr>
          <w:noProof w:val="0"/>
        </w:rPr>
        <w:t xml:space="preserve"> for male patients for contraception while on the study. </w:t>
      </w:r>
    </w:p>
    <w:p w14:paraId="2A8D5681" w14:textId="77777777" w:rsidR="00B647A3" w:rsidRPr="007A3223" w:rsidRDefault="00B647A3" w:rsidP="000C1D10">
      <w:pPr>
        <w:pStyle w:val="Heading3"/>
      </w:pPr>
      <w:bookmarkStart w:id="88" w:name="_Toc489625637"/>
      <w:bookmarkStart w:id="89" w:name="_Toc425867805"/>
      <w:bookmarkEnd w:id="88"/>
      <w:r w:rsidRPr="00F33908">
        <w:t>Exclusion criteria</w:t>
      </w:r>
      <w:bookmarkEnd w:id="89"/>
    </w:p>
    <w:p w14:paraId="0B3C6271" w14:textId="77777777" w:rsidR="00B647A3" w:rsidRPr="007A3223" w:rsidRDefault="00B647A3" w:rsidP="00B647A3">
      <w:pPr>
        <w:pStyle w:val="Heading4"/>
        <w:rPr>
          <w:noProof w:val="0"/>
        </w:rPr>
      </w:pPr>
      <w:r w:rsidRPr="007A3223">
        <w:rPr>
          <w:noProof w:val="0"/>
        </w:rPr>
        <w:t>Patients who have received chemotherapy in the previous 3 weeks (</w:t>
      </w:r>
      <w:r w:rsidRPr="007A3223">
        <w:rPr>
          <w:noProof w:val="0"/>
          <w:lang w:val="en-US"/>
        </w:rPr>
        <w:t>6 weeks for nitrosoureas or mitomycin)</w:t>
      </w:r>
      <w:r w:rsidRPr="007A3223">
        <w:rPr>
          <w:noProof w:val="0"/>
        </w:rPr>
        <w:t xml:space="preserve">; or who received radiotherapy or any other investigational agents within </w:t>
      </w:r>
      <w:r w:rsidR="00B71371" w:rsidRPr="007A3223">
        <w:rPr>
          <w:noProof w:val="0"/>
        </w:rPr>
        <w:t>3</w:t>
      </w:r>
      <w:r w:rsidRPr="007A3223">
        <w:rPr>
          <w:noProof w:val="0"/>
        </w:rPr>
        <w:t xml:space="preserve"> weeks prior to study enrollment.</w:t>
      </w:r>
    </w:p>
    <w:p w14:paraId="5F241F2E" w14:textId="77777777" w:rsidR="009E66C6" w:rsidRPr="007A3223" w:rsidRDefault="00BE28A8" w:rsidP="00BE28A8">
      <w:pPr>
        <w:pStyle w:val="Heading4"/>
        <w:rPr>
          <w:noProof w:val="0"/>
        </w:rPr>
      </w:pPr>
      <w:r w:rsidRPr="007A3223">
        <w:rPr>
          <w:noProof w:val="0"/>
        </w:rPr>
        <w:t>Patients who have received prior PARP inhibitors (PARPi) are ineligible. For this study, BSI-201 (iniparib) is not considered as PARPi.</w:t>
      </w:r>
    </w:p>
    <w:p w14:paraId="64BE933E" w14:textId="63B00844" w:rsidR="006103DA" w:rsidRPr="007A3223" w:rsidRDefault="006103DA" w:rsidP="006103DA">
      <w:pPr>
        <w:pStyle w:val="Heading4"/>
        <w:rPr>
          <w:noProof w:val="0"/>
        </w:rPr>
      </w:pPr>
      <w:r w:rsidRPr="007A3223">
        <w:rPr>
          <w:noProof w:val="0"/>
        </w:rPr>
        <w:lastRenderedPageBreak/>
        <w:t xml:space="preserve">Patients who have had </w:t>
      </w:r>
      <w:r w:rsidR="001C46CC">
        <w:rPr>
          <w:noProof w:val="0"/>
          <w:lang w:val="en-US"/>
        </w:rPr>
        <w:t>D</w:t>
      </w:r>
      <w:r w:rsidRPr="007A3223">
        <w:rPr>
          <w:noProof w:val="0"/>
          <w:lang w:val="en-US"/>
        </w:rPr>
        <w:t xml:space="preserve">urvalumab. </w:t>
      </w:r>
      <w:r w:rsidRPr="007A3223">
        <w:rPr>
          <w:szCs w:val="24"/>
          <w:lang w:val="en-US"/>
        </w:rPr>
        <w:t>Prior treatment with other immune checkpoint inhibitors is allowed</w:t>
      </w:r>
      <w:r w:rsidRPr="007A3223">
        <w:rPr>
          <w:noProof w:val="0"/>
          <w:lang w:val="en-US"/>
        </w:rPr>
        <w:t xml:space="preserve">.  </w:t>
      </w:r>
    </w:p>
    <w:p w14:paraId="60D23819" w14:textId="0FD9A642" w:rsidR="00B647A3" w:rsidRPr="007A3223" w:rsidRDefault="00B647A3" w:rsidP="00B647A3">
      <w:pPr>
        <w:pStyle w:val="Heading4"/>
        <w:rPr>
          <w:noProof w:val="0"/>
        </w:rPr>
      </w:pPr>
      <w:r w:rsidRPr="007A3223">
        <w:rPr>
          <w:noProof w:val="0"/>
        </w:rPr>
        <w:t xml:space="preserve">Patients receiving any medications or substances that are strong inhibitors or inducers of CYP3A4 are ineligible. A list of CYP3A4 inhibitors and inducers is provided in </w:t>
      </w:r>
      <w:r w:rsidRPr="00F33908">
        <w:rPr>
          <w:color w:val="0000FF"/>
        </w:rPr>
        <w:fldChar w:fldCharType="begin"/>
      </w:r>
      <w:r w:rsidRPr="007A3223">
        <w:rPr>
          <w:color w:val="0000FF"/>
        </w:rPr>
        <w:instrText xml:space="preserve"> REF _Ref408917937 \h  \* MERGEFORMAT </w:instrText>
      </w:r>
      <w:r w:rsidRPr="00F33908">
        <w:rPr>
          <w:color w:val="0000FF"/>
        </w:rPr>
      </w:r>
      <w:r w:rsidRPr="00F33908">
        <w:rPr>
          <w:color w:val="0000FF"/>
        </w:rPr>
        <w:fldChar w:fldCharType="separate"/>
      </w:r>
      <w:r w:rsidR="00E47ACA" w:rsidRPr="00E47ACA">
        <w:rPr>
          <w:b/>
          <w:color w:val="0000FF"/>
        </w:rPr>
        <w:t>Appendix B</w:t>
      </w:r>
      <w:r w:rsidRPr="00F33908">
        <w:rPr>
          <w:color w:val="0000FF"/>
        </w:rPr>
        <w:fldChar w:fldCharType="end"/>
      </w:r>
      <w:r w:rsidRPr="007A3223">
        <w:rPr>
          <w:noProof w:val="0"/>
          <w:color w:val="0000FF"/>
        </w:rPr>
        <w:t xml:space="preserve">. </w:t>
      </w:r>
      <w:r w:rsidRPr="00F33908">
        <w:rPr>
          <w:noProof w:val="0"/>
        </w:rPr>
        <w:t>Dihydropyridine calcium-chan</w:t>
      </w:r>
      <w:r w:rsidRPr="007A3223">
        <w:rPr>
          <w:noProof w:val="0"/>
        </w:rPr>
        <w:t>nel blockers are permitted for management of hypertension.</w:t>
      </w:r>
    </w:p>
    <w:p w14:paraId="7BBEF976" w14:textId="7339FF80" w:rsidR="00B647A3" w:rsidRPr="007A3223" w:rsidRDefault="00B647A3" w:rsidP="00B647A3">
      <w:pPr>
        <w:pStyle w:val="Heading4"/>
        <w:rPr>
          <w:noProof w:val="0"/>
        </w:rPr>
      </w:pPr>
      <w:r w:rsidRPr="007A3223">
        <w:rPr>
          <w:noProof w:val="0"/>
        </w:rPr>
        <w:t xml:space="preserve">Major surgical procedure (as defined by the investigator) within 30 days prior to the first dose of </w:t>
      </w:r>
      <w:r w:rsidR="00104CC2">
        <w:rPr>
          <w:noProof w:val="0"/>
          <w:lang w:val="en-US"/>
        </w:rPr>
        <w:t>Durvalumab</w:t>
      </w:r>
      <w:r w:rsidRPr="007A3223">
        <w:rPr>
          <w:noProof w:val="0"/>
        </w:rPr>
        <w:t xml:space="preserve"> or still recovering from prior surgery. </w:t>
      </w:r>
    </w:p>
    <w:p w14:paraId="687510A9" w14:textId="77777777" w:rsidR="00B647A3" w:rsidRPr="007A3223" w:rsidRDefault="00B647A3" w:rsidP="00B647A3">
      <w:pPr>
        <w:pStyle w:val="Heading4"/>
        <w:rPr>
          <w:noProof w:val="0"/>
        </w:rPr>
      </w:pPr>
      <w:r w:rsidRPr="007A3223">
        <w:rPr>
          <w:noProof w:val="0"/>
        </w:rPr>
        <w:t>Patients with any other concomitant or prior invasive malignancies are ineligible. However, patients with prior cancer treated with a curative intent with no evidence of recurrent disease 5 years following diagnosis and judged by the investigator to be at low risk of recurrence are eligible. Patients with treated limited stage basal cell or squamous cell carcinoma of the skin or carcinoma in situ of the breast or cervix are eligible.</w:t>
      </w:r>
    </w:p>
    <w:p w14:paraId="6E0D19B4" w14:textId="1CF62369" w:rsidR="00D41E2F" w:rsidRPr="007A3223" w:rsidRDefault="00B647A3" w:rsidP="008E6357">
      <w:pPr>
        <w:pStyle w:val="Heading4"/>
        <w:rPr>
          <w:noProof w:val="0"/>
        </w:rPr>
      </w:pPr>
      <w:r w:rsidRPr="007A3223">
        <w:rPr>
          <w:noProof w:val="0"/>
        </w:rPr>
        <w:t xml:space="preserve">Patients with evidence of CNS metastasis, spinal cord compression, or leptomeningeal disease within </w:t>
      </w:r>
      <w:r w:rsidR="00155D35" w:rsidRPr="007A3223">
        <w:rPr>
          <w:noProof w:val="0"/>
        </w:rPr>
        <w:t>six months</w:t>
      </w:r>
      <w:r w:rsidRPr="007A3223">
        <w:rPr>
          <w:noProof w:val="0"/>
        </w:rPr>
        <w:t xml:space="preserve"> prior to enrollment will be excluded from this clinical trial because of their poor prognosis and because they often develop progressive neurologic dysfunction that would confound the evaluation of neurologic and other adverse events. Patients with a remote history of brain metastases may be considered if they received sterilizing therapy to the CNS (resection or radiation) and have been CNS progression-free for the </w:t>
      </w:r>
      <w:r w:rsidR="00155D35" w:rsidRPr="007A3223">
        <w:rPr>
          <w:noProof w:val="0"/>
        </w:rPr>
        <w:t>six months</w:t>
      </w:r>
      <w:r w:rsidRPr="007A3223">
        <w:rPr>
          <w:noProof w:val="0"/>
        </w:rPr>
        <w:t xml:space="preserve"> period. Baseline imaging to rule out brain metastases is not required for screening, but should be performed prior to study enrollment if clinically indicated. </w:t>
      </w:r>
      <w:r w:rsidR="00C54067" w:rsidRPr="007A3223">
        <w:rPr>
          <w:lang w:val="en-US"/>
        </w:rPr>
        <w:t xml:space="preserve">Patients with spinal cord compression may be considered if the condition is </w:t>
      </w:r>
      <w:r w:rsidR="00C54067" w:rsidRPr="007A3223">
        <w:rPr>
          <w:noProof w:val="0"/>
          <w:lang w:val="en-US"/>
        </w:rPr>
        <w:t>medically managed and currently asymptomatic.</w:t>
      </w:r>
      <w:r w:rsidR="00C54067" w:rsidRPr="007A3223">
        <w:t xml:space="preserve"> </w:t>
      </w:r>
    </w:p>
    <w:p w14:paraId="07A00754" w14:textId="130BD9CC" w:rsidR="00B647A3" w:rsidRPr="007A3223" w:rsidRDefault="00B647A3" w:rsidP="00B647A3">
      <w:pPr>
        <w:pStyle w:val="Heading4"/>
        <w:rPr>
          <w:noProof w:val="0"/>
        </w:rPr>
      </w:pPr>
      <w:r w:rsidRPr="007A3223">
        <w:rPr>
          <w:noProof w:val="0"/>
        </w:rPr>
        <w:t>History of allergic reactions attributed to compounds of similar chemical or biologic composition to</w:t>
      </w:r>
      <w:r w:rsidRPr="007A3223">
        <w:rPr>
          <w:i/>
          <w:noProof w:val="0"/>
        </w:rPr>
        <w:t xml:space="preserve"> </w:t>
      </w:r>
      <w:r w:rsidR="00104CC2">
        <w:rPr>
          <w:noProof w:val="0"/>
          <w:lang w:val="en-US"/>
        </w:rPr>
        <w:t>Durvalumab</w:t>
      </w:r>
      <w:r w:rsidRPr="007A3223">
        <w:rPr>
          <w:noProof w:val="0"/>
        </w:rPr>
        <w:t>, olaparib</w:t>
      </w:r>
      <w:r w:rsidR="000376E4" w:rsidRPr="007A3223">
        <w:rPr>
          <w:noProof w:val="0"/>
        </w:rPr>
        <w:t xml:space="preserve"> </w:t>
      </w:r>
      <w:r w:rsidRPr="007A3223">
        <w:rPr>
          <w:noProof w:val="0"/>
        </w:rPr>
        <w:t>or to other humanized monoclonal antibodies. Known history of anaphylaxis, angioedema, laryngeal edema, serum sickness, or uncontrolled asthma.</w:t>
      </w:r>
    </w:p>
    <w:p w14:paraId="2145DB96" w14:textId="77777777" w:rsidR="00B647A3" w:rsidRPr="007A3223" w:rsidRDefault="00B647A3" w:rsidP="00B647A3">
      <w:pPr>
        <w:pStyle w:val="Heading4"/>
        <w:rPr>
          <w:noProof w:val="0"/>
        </w:rPr>
      </w:pPr>
      <w:r w:rsidRPr="007A3223">
        <w:rPr>
          <w:noProof w:val="0"/>
        </w:rPr>
        <w:t xml:space="preserve">History of auto-immune disease requiring steroid maintenance, or history of primary immunodeficiency. </w:t>
      </w:r>
    </w:p>
    <w:p w14:paraId="1005DA91" w14:textId="02F1A345" w:rsidR="00B647A3" w:rsidRPr="007A3223" w:rsidRDefault="00B647A3" w:rsidP="00B272D0">
      <w:pPr>
        <w:pStyle w:val="Heading4"/>
        <w:rPr>
          <w:noProof w:val="0"/>
        </w:rPr>
      </w:pPr>
      <w:r w:rsidRPr="007A3223">
        <w:rPr>
          <w:noProof w:val="0"/>
        </w:rPr>
        <w:t xml:space="preserve">Current or prior use of immunosuppressive medication within 28 days before the first dose of </w:t>
      </w:r>
      <w:r w:rsidR="00104CC2">
        <w:rPr>
          <w:noProof w:val="0"/>
          <w:lang w:val="en-US"/>
        </w:rPr>
        <w:t>Durvalumab</w:t>
      </w:r>
      <w:r w:rsidRPr="007A3223">
        <w:rPr>
          <w:noProof w:val="0"/>
        </w:rPr>
        <w:t>, with the exception of intranasal and inhaled corticosteroids or systemic corticosteroids at physiological doses, which are not to exceed 10 mg/day of prednisone or an equivalent corticosteroid.</w:t>
      </w:r>
      <w:r w:rsidR="00B272D0" w:rsidRPr="007A3223">
        <w:rPr>
          <w:noProof w:val="0"/>
          <w:lang w:val="en-US"/>
        </w:rPr>
        <w:t xml:space="preserve"> </w:t>
      </w:r>
      <w:r w:rsidRPr="007A3223" w:rsidDel="00B87BCE">
        <w:rPr>
          <w:noProof w:val="0"/>
        </w:rPr>
        <w:t xml:space="preserve"> </w:t>
      </w:r>
      <w:r w:rsidR="00B272D0" w:rsidRPr="007A3223">
        <w:rPr>
          <w:noProof w:val="0"/>
        </w:rPr>
        <w:t xml:space="preserve">In the case of short term use of systemic corticosteroids (less than 24 hours within 28 days) of greater than 10 mg/day of prednisone or an equivalent corticosteroid, the required washout period prior to starting the first dose of </w:t>
      </w:r>
      <w:r w:rsidR="00104CC2">
        <w:rPr>
          <w:noProof w:val="0"/>
          <w:lang w:val="en-US"/>
        </w:rPr>
        <w:t>Durvalumab</w:t>
      </w:r>
      <w:r w:rsidR="00B272D0" w:rsidRPr="007A3223">
        <w:rPr>
          <w:noProof w:val="0"/>
        </w:rPr>
        <w:t xml:space="preserve"> is 7 days.</w:t>
      </w:r>
    </w:p>
    <w:p w14:paraId="4B9EB4AE" w14:textId="77777777" w:rsidR="00B647A3" w:rsidRPr="007A3223" w:rsidRDefault="00B647A3" w:rsidP="00B647A3">
      <w:pPr>
        <w:pStyle w:val="Heading4"/>
        <w:rPr>
          <w:noProof w:val="0"/>
        </w:rPr>
      </w:pPr>
      <w:r w:rsidRPr="007A3223">
        <w:rPr>
          <w:noProof w:val="0"/>
        </w:rPr>
        <w:t>Active or prior documented inflammatory bowel disease (e.g., Crohn’s disease, ulcerative colitis). Eligibility for patients with asymptomatic and a previous diagnosis of immune or inflammatory colitis, or patients with chronic diarrhea &gt; 1 month without immune or inflammatory colitis is a PI decision on an individual patient basis.</w:t>
      </w:r>
      <w:r w:rsidRPr="007A3223" w:rsidDel="00544CCD">
        <w:rPr>
          <w:noProof w:val="0"/>
        </w:rPr>
        <w:t xml:space="preserve"> </w:t>
      </w:r>
    </w:p>
    <w:p w14:paraId="22866668" w14:textId="0B1133E9" w:rsidR="00B647A3" w:rsidRPr="007A3223" w:rsidRDefault="00B647A3" w:rsidP="00B647A3">
      <w:pPr>
        <w:pStyle w:val="Heading4"/>
        <w:rPr>
          <w:noProof w:val="0"/>
        </w:rPr>
      </w:pPr>
      <w:r w:rsidRPr="007A3223">
        <w:rPr>
          <w:noProof w:val="0"/>
        </w:rPr>
        <w:t xml:space="preserve">Receipt of live attenuated vaccination within 30 days before the first dose of </w:t>
      </w:r>
      <w:r w:rsidR="00C56D0B">
        <w:rPr>
          <w:noProof w:val="0"/>
          <w:lang w:val="en-US"/>
        </w:rPr>
        <w:t>Durvalumab</w:t>
      </w:r>
      <w:r w:rsidRPr="007A3223">
        <w:rPr>
          <w:noProof w:val="0"/>
        </w:rPr>
        <w:t>.</w:t>
      </w:r>
    </w:p>
    <w:p w14:paraId="19136C8A" w14:textId="77777777" w:rsidR="00B647A3" w:rsidRPr="007A3223" w:rsidRDefault="00B647A3" w:rsidP="00B647A3">
      <w:pPr>
        <w:pStyle w:val="Heading4"/>
        <w:rPr>
          <w:noProof w:val="0"/>
        </w:rPr>
      </w:pPr>
      <w:r w:rsidRPr="007A3223">
        <w:rPr>
          <w:noProof w:val="0"/>
          <w:lang w:eastAsia="ko-KR"/>
        </w:rPr>
        <w:lastRenderedPageBreak/>
        <w:t xml:space="preserve">Patients who have the following clinical conditions are considered to be at increased risk for cardiac </w:t>
      </w:r>
      <w:r w:rsidRPr="007A3223">
        <w:rPr>
          <w:noProof w:val="0"/>
        </w:rPr>
        <w:t>toxicities</w:t>
      </w:r>
      <w:r w:rsidRPr="007A3223">
        <w:rPr>
          <w:noProof w:val="0"/>
          <w:lang w:eastAsia="ko-KR"/>
        </w:rPr>
        <w:t xml:space="preserve">. </w:t>
      </w:r>
      <w:r w:rsidRPr="007A3223">
        <w:rPr>
          <w:noProof w:val="0"/>
        </w:rPr>
        <w:t xml:space="preserve">Patients with any cardiac history of the following conditions within 1 year prior to study enrollment are excluded from the study: </w:t>
      </w:r>
    </w:p>
    <w:p w14:paraId="1937ABEC" w14:textId="77777777" w:rsidR="00B647A3" w:rsidRPr="007A3223" w:rsidRDefault="00B647A3" w:rsidP="00367339">
      <w:pPr>
        <w:pStyle w:val="ListParagraph"/>
        <w:numPr>
          <w:ilvl w:val="0"/>
          <w:numId w:val="6"/>
        </w:numPr>
        <w:ind w:left="1080"/>
      </w:pPr>
      <w:r w:rsidRPr="007A3223">
        <w:t xml:space="preserve">Prior events including myocardial infarction, </w:t>
      </w:r>
      <w:r w:rsidR="003754FF" w:rsidRPr="007A3223">
        <w:t xml:space="preserve">clinically significant </w:t>
      </w:r>
      <w:r w:rsidRPr="007A3223">
        <w:t xml:space="preserve">pericardial effusion, and myocarditis.  </w:t>
      </w:r>
    </w:p>
    <w:p w14:paraId="07CB42A5" w14:textId="19F175AE" w:rsidR="00B647A3" w:rsidRPr="007A3223" w:rsidRDefault="00B647A3" w:rsidP="00367339">
      <w:pPr>
        <w:pStyle w:val="ListParagraph"/>
        <w:numPr>
          <w:ilvl w:val="0"/>
          <w:numId w:val="6"/>
        </w:numPr>
        <w:ind w:left="1080"/>
      </w:pPr>
      <w:r w:rsidRPr="007A3223">
        <w:t>Prior cardiac arrhythmia including atrial fibrillation</w:t>
      </w:r>
      <w:r w:rsidR="001C4A32" w:rsidRPr="007A3223">
        <w:t xml:space="preserve"> (except chronic atrial fibrillation with controlled vascular rate)</w:t>
      </w:r>
      <w:r w:rsidRPr="007A3223">
        <w:t xml:space="preserve"> and atrial flutter, or requiring concurrent use of drugs or biologics with pro-arrhythmic potential.  </w:t>
      </w:r>
    </w:p>
    <w:p w14:paraId="1BC8797A" w14:textId="77777777" w:rsidR="00B647A3" w:rsidRPr="007A3223" w:rsidRDefault="00B647A3" w:rsidP="00367339">
      <w:pPr>
        <w:pStyle w:val="ListParagraph"/>
        <w:numPr>
          <w:ilvl w:val="0"/>
          <w:numId w:val="6"/>
        </w:numPr>
        <w:ind w:left="1080"/>
      </w:pPr>
      <w:r w:rsidRPr="007A3223">
        <w:t xml:space="preserve">NYHA Class II or greater heart failure.  </w:t>
      </w:r>
    </w:p>
    <w:p w14:paraId="74E9065F" w14:textId="77777777" w:rsidR="00B647A3" w:rsidRPr="007A3223" w:rsidRDefault="00B647A3" w:rsidP="00367339">
      <w:pPr>
        <w:pStyle w:val="ListParagraph"/>
        <w:numPr>
          <w:ilvl w:val="0"/>
          <w:numId w:val="6"/>
        </w:numPr>
        <w:ind w:left="1080"/>
      </w:pPr>
      <w:r w:rsidRPr="007A3223">
        <w:t xml:space="preserve">If cardiac function assessment is clinically indicated or performed, an LVEF less than normal per institutional guidelines, or &lt;55%, if threshold for normal is not otherwise specified by institutional guidelines. </w:t>
      </w:r>
    </w:p>
    <w:p w14:paraId="2AA66E89" w14:textId="77777777" w:rsidR="00B647A3" w:rsidRPr="007A3223" w:rsidRDefault="00415161" w:rsidP="00367339">
      <w:pPr>
        <w:pStyle w:val="ListParagraph"/>
        <w:numPr>
          <w:ilvl w:val="0"/>
          <w:numId w:val="6"/>
        </w:numPr>
        <w:ind w:left="1080"/>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00B647A3" w:rsidRPr="007A3223">
        <w:t xml:space="preserve">or other significant ECG abnormality noted within 14 days of treatment.  </w:t>
      </w:r>
    </w:p>
    <w:p w14:paraId="4DEB59B5" w14:textId="77777777" w:rsidR="00B647A3" w:rsidRPr="007A3223" w:rsidRDefault="00B647A3" w:rsidP="00367339">
      <w:pPr>
        <w:pStyle w:val="ListParagraph"/>
        <w:numPr>
          <w:ilvl w:val="0"/>
          <w:numId w:val="6"/>
        </w:numPr>
        <w:ind w:left="1080"/>
      </w:pPr>
      <w:r w:rsidRPr="007A3223">
        <w:t xml:space="preserve">Clinically significant peripheral vascular disease or vascular disease, including rapidly growing aortic aneurysm or abdominal aortic aneurysm &gt;5 cm or aortic dissection.  </w:t>
      </w:r>
    </w:p>
    <w:p w14:paraId="58DD49B9" w14:textId="77777777" w:rsidR="00B647A3" w:rsidRPr="007A3223" w:rsidRDefault="00B647A3" w:rsidP="00367339">
      <w:pPr>
        <w:pStyle w:val="ListParagraph"/>
        <w:numPr>
          <w:ilvl w:val="0"/>
          <w:numId w:val="6"/>
        </w:numPr>
        <w:ind w:left="1080"/>
      </w:pPr>
      <w:r w:rsidRPr="007A3223">
        <w:t xml:space="preserve">Unstable angina.  </w:t>
      </w:r>
    </w:p>
    <w:p w14:paraId="3C62174C" w14:textId="77777777" w:rsidR="00B647A3" w:rsidRPr="007A3223" w:rsidRDefault="00B647A3" w:rsidP="00B647A3">
      <w:pPr>
        <w:pStyle w:val="Heading4"/>
        <w:rPr>
          <w:noProof w:val="0"/>
        </w:rPr>
      </w:pPr>
      <w:r w:rsidRPr="007A3223">
        <w:rPr>
          <w:noProof w:val="0"/>
        </w:rPr>
        <w:t>History of cerebrovascular accident, transient ischemic attack within 1 year prior to study enrollment.</w:t>
      </w:r>
    </w:p>
    <w:p w14:paraId="1A249754" w14:textId="77777777" w:rsidR="00B647A3" w:rsidRPr="007A3223" w:rsidRDefault="00B647A3" w:rsidP="00B647A3">
      <w:pPr>
        <w:pStyle w:val="Heading4"/>
        <w:rPr>
          <w:noProof w:val="0"/>
        </w:rPr>
      </w:pPr>
      <w:r w:rsidRPr="007A3223">
        <w:rPr>
          <w:noProof w:val="0"/>
        </w:rPr>
        <w:t>Significant hemorrhage (&gt; 30 mL bleeding/episode within 3 months before study enrollment) or haemoptysis (&gt; 5mL fresh blood within 28 days before study enrollment).</w:t>
      </w:r>
    </w:p>
    <w:p w14:paraId="08CE2765" w14:textId="77777777" w:rsidR="00B647A3" w:rsidRPr="007A3223" w:rsidRDefault="00B647A3" w:rsidP="00B647A3">
      <w:pPr>
        <w:pStyle w:val="Heading4"/>
        <w:rPr>
          <w:noProof w:val="0"/>
        </w:rPr>
      </w:pPr>
      <w:r w:rsidRPr="007A3223">
        <w:rPr>
          <w:noProof w:val="0"/>
        </w:rPr>
        <w:t>Current dependency on TPN or IV fluid hydration.</w:t>
      </w:r>
    </w:p>
    <w:p w14:paraId="67C9F1CE" w14:textId="20C5F9D0" w:rsidR="00B647A3" w:rsidRPr="007A3223" w:rsidRDefault="00B647A3" w:rsidP="00B647A3">
      <w:pPr>
        <w:pStyle w:val="Heading4"/>
        <w:rPr>
          <w:noProof w:val="0"/>
        </w:rPr>
      </w:pPr>
      <w:r w:rsidRPr="007A3223">
        <w:rPr>
          <w:noProof w:val="0"/>
        </w:rPr>
        <w:t xml:space="preserve">Any prior grade </w:t>
      </w:r>
      <w:r w:rsidRPr="007A3223">
        <w:rPr>
          <w:rFonts w:hint="eastAsia"/>
          <w:noProof w:val="0"/>
        </w:rPr>
        <w:t>≥</w:t>
      </w:r>
      <w:r w:rsidRPr="007A3223">
        <w:rPr>
          <w:noProof w:val="0"/>
        </w:rPr>
        <w:t xml:space="preserve"> 3 immune-related adverse event (irAE)</w:t>
      </w:r>
      <w:hyperlink w:anchor="_ENREF_160" w:tooltip="Weber, 2012 #79" w:history="1">
        <w:r w:rsidR="00F77861" w:rsidRPr="00244551">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 </w:instrText>
        </w:r>
        <w:r w:rsidR="00E27C67" w:rsidRPr="00F4501E">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EN.CITE.DATA </w:instrText>
        </w:r>
        <w:r w:rsidR="00E27C67" w:rsidRPr="00F4501E">
          <w:rPr>
            <w:rStyle w:val="Hyperlink"/>
            <w:noProof w:val="0"/>
          </w:rPr>
        </w:r>
        <w:r w:rsidR="00E27C67" w:rsidRPr="00F4501E">
          <w:rPr>
            <w:rStyle w:val="Hyperlink"/>
            <w:noProof w:val="0"/>
          </w:rPr>
          <w:fldChar w:fldCharType="end"/>
        </w:r>
        <w:r w:rsidR="00F77861" w:rsidRPr="00244551">
          <w:rPr>
            <w:rStyle w:val="Hyperlink"/>
            <w:noProof w:val="0"/>
          </w:rPr>
        </w:r>
        <w:r w:rsidR="00F77861" w:rsidRPr="00244551">
          <w:rPr>
            <w:rStyle w:val="Hyperlink"/>
            <w:noProof w:val="0"/>
          </w:rPr>
          <w:fldChar w:fldCharType="separate"/>
        </w:r>
        <w:r w:rsidR="00E27C67" w:rsidRPr="00244551">
          <w:rPr>
            <w:rStyle w:val="Hyperlink"/>
            <w:vertAlign w:val="superscript"/>
          </w:rPr>
          <w:t>160</w:t>
        </w:r>
        <w:r w:rsidR="00F77861" w:rsidRPr="00244551">
          <w:rPr>
            <w:rStyle w:val="Hyperlink"/>
            <w:noProof w:val="0"/>
          </w:rPr>
          <w:fldChar w:fldCharType="end"/>
        </w:r>
      </w:hyperlink>
      <w:r w:rsidRPr="007A3223">
        <w:rPr>
          <w:noProof w:val="0"/>
        </w:rPr>
        <w:t xml:space="preserve"> while receiving any previous immunotherapy ag</w:t>
      </w:r>
      <w:r w:rsidRPr="00F33908">
        <w:rPr>
          <w:noProof w:val="0"/>
        </w:rPr>
        <w:t>ent, or any unresolved irAE &gt; g</w:t>
      </w:r>
      <w:r w:rsidRPr="007A3223">
        <w:rPr>
          <w:noProof w:val="0"/>
        </w:rPr>
        <w:t xml:space="preserve">rade 1. Toxicities of prior therapy, excepting alopecia, should be resolved to less than or equal to grade 1 as per NCI-CTCAEv4.0 (located on the CTEP website at </w:t>
      </w:r>
      <w:hyperlink r:id="rId40" w:history="1">
        <w:r w:rsidRPr="00F33908">
          <w:rPr>
            <w:rStyle w:val="Hyperlink"/>
            <w:noProof w:val="0"/>
            <w:szCs w:val="24"/>
          </w:rPr>
          <w:t>http://ctep.cancer.gov/protocolDevelopment/</w:t>
        </w:r>
        <w:r w:rsidRPr="007A3223">
          <w:rPr>
            <w:rStyle w:val="Hyperlink"/>
            <w:noProof w:val="0"/>
            <w:szCs w:val="24"/>
          </w:rPr>
          <w:t>electronic_applications/ctc.htm</w:t>
        </w:r>
      </w:hyperlink>
      <w:r w:rsidRPr="007A3223">
        <w:rPr>
          <w:noProof w:val="0"/>
        </w:rPr>
        <w:t>)</w:t>
      </w:r>
      <w:r w:rsidR="00C45E6D" w:rsidRPr="00F33908">
        <w:rPr>
          <w:noProof w:val="0"/>
        </w:rPr>
        <w:t xml:space="preserve">. </w:t>
      </w:r>
    </w:p>
    <w:p w14:paraId="494E5ACE" w14:textId="27A53074" w:rsidR="00B647A3" w:rsidRPr="007A3223" w:rsidRDefault="00B647A3" w:rsidP="00B647A3">
      <w:pPr>
        <w:pStyle w:val="Heading4"/>
        <w:rPr>
          <w:noProof w:val="0"/>
        </w:rPr>
      </w:pPr>
      <w:r w:rsidRPr="007A3223">
        <w:rPr>
          <w:noProof w:val="0"/>
        </w:rPr>
        <w:t>Uncontrolled intercurrent illness including, but not limited to, ongoing or active infection, symptomatic congestive heart failure, unstable angina pectoris, cardiac arrhythmia</w:t>
      </w:r>
      <w:r w:rsidR="001C4A32" w:rsidRPr="007A3223">
        <w:rPr>
          <w:noProof w:val="0"/>
        </w:rPr>
        <w:t xml:space="preserve"> (</w:t>
      </w:r>
      <w:r w:rsidR="001C4A32" w:rsidRPr="007A3223">
        <w:t>except</w:t>
      </w:r>
      <w:r w:rsidR="001C4A32" w:rsidRPr="007A3223">
        <w:rPr>
          <w:noProof w:val="0"/>
        </w:rPr>
        <w:t xml:space="preserve"> </w:t>
      </w:r>
      <w:r w:rsidR="001C4A32" w:rsidRPr="007A3223">
        <w:t xml:space="preserve">chronic </w:t>
      </w:r>
      <w:r w:rsidR="001C4A32" w:rsidRPr="007A3223">
        <w:rPr>
          <w:noProof w:val="0"/>
        </w:rPr>
        <w:t>atrial fibrillation with controlled vascular rate)</w:t>
      </w:r>
      <w:r w:rsidRPr="007A3223">
        <w:rPr>
          <w:noProof w:val="0"/>
        </w:rPr>
        <w:t>, active peptic ulcer disease, or psychiatric illness/social situations that would limit compliance with study requirements.</w:t>
      </w:r>
    </w:p>
    <w:p w14:paraId="5DFE6B0C" w14:textId="77777777" w:rsidR="00B647A3" w:rsidRPr="007A3223" w:rsidRDefault="00B647A3" w:rsidP="00B647A3">
      <w:pPr>
        <w:pStyle w:val="Heading4"/>
        <w:rPr>
          <w:noProof w:val="0"/>
        </w:rPr>
      </w:pPr>
      <w:r w:rsidRPr="007A3223">
        <w:rPr>
          <w:noProof w:val="0"/>
        </w:rPr>
        <w:t xml:space="preserve">Pregnant and breastfeeding women are excluded from this study. </w:t>
      </w:r>
    </w:p>
    <w:p w14:paraId="045D9FE0" w14:textId="1F14EDAD" w:rsidR="00B647A3" w:rsidRPr="007A3223" w:rsidRDefault="00B647A3" w:rsidP="002E57D6">
      <w:pPr>
        <w:pStyle w:val="Heading4"/>
        <w:rPr>
          <w:noProof w:val="0"/>
        </w:rPr>
      </w:pPr>
      <w:r w:rsidRPr="007A3223">
        <w:rPr>
          <w:noProof w:val="0"/>
        </w:rPr>
        <w:t>HIV-positive patients on antiretroviral therapy are ineligible because of potential pharmacokinetic interactions with study drugs.</w:t>
      </w:r>
      <w:r w:rsidR="00044B11" w:rsidRPr="007A3223">
        <w:rPr>
          <w:noProof w:val="0"/>
        </w:rPr>
        <w:t xml:space="preserve"> </w:t>
      </w:r>
      <w:r w:rsidR="002E57D6" w:rsidRPr="007A3223">
        <w:rPr>
          <w:noProof w:val="0"/>
        </w:rPr>
        <w:t>However, patients with long-standing (&gt;5 years) HIV on antiretroviral therapy &gt; 1 month (undetectable HIV viral load and CD4 count &gt; 150 cells/µL) may be eligible if the PI determines no anticipated clinically significant drug-drug interactions.</w:t>
      </w:r>
    </w:p>
    <w:p w14:paraId="16CB1929" w14:textId="77777777" w:rsidR="00B647A3" w:rsidRPr="007A3223" w:rsidRDefault="00B647A3" w:rsidP="00B647A3">
      <w:pPr>
        <w:pStyle w:val="Heading4"/>
        <w:rPr>
          <w:noProof w:val="0"/>
        </w:rPr>
      </w:pPr>
      <w:r w:rsidRPr="007A3223">
        <w:rPr>
          <w:noProof w:val="0"/>
        </w:rPr>
        <w:t xml:space="preserve">HBV-or HCV-positive patients are ineligible because of potential reactivation of hepatitis virus following steroids. </w:t>
      </w:r>
    </w:p>
    <w:p w14:paraId="089109FF" w14:textId="77777777" w:rsidR="00B647A3" w:rsidRPr="007A3223" w:rsidRDefault="00B647A3" w:rsidP="00B647A3">
      <w:pPr>
        <w:pStyle w:val="Heading4"/>
        <w:rPr>
          <w:noProof w:val="0"/>
        </w:rPr>
      </w:pPr>
      <w:r w:rsidRPr="007A3223">
        <w:rPr>
          <w:noProof w:val="0"/>
        </w:rPr>
        <w:lastRenderedPageBreak/>
        <w:t>Known history of previous clinical diagnosis of tuberculosis.</w:t>
      </w:r>
    </w:p>
    <w:p w14:paraId="3F3935C8" w14:textId="77777777" w:rsidR="00B647A3" w:rsidRPr="007A3223" w:rsidRDefault="00B647A3" w:rsidP="00B647A3">
      <w:pPr>
        <w:pStyle w:val="Heading4"/>
        <w:rPr>
          <w:noProof w:val="0"/>
        </w:rPr>
      </w:pPr>
      <w:r w:rsidRPr="007A3223">
        <w:rPr>
          <w:noProof w:val="0"/>
        </w:rPr>
        <w:t xml:space="preserve">No baseline features suggestive of myelodysplastic syndrome or acute myelogenous leukemia on peripheral blood smear or bone marrow biopsy, if clinically indicated.  </w:t>
      </w:r>
    </w:p>
    <w:p w14:paraId="10D111B3" w14:textId="77777777" w:rsidR="00B647A3" w:rsidRPr="007A3223" w:rsidRDefault="00B647A3" w:rsidP="00B647A3">
      <w:pPr>
        <w:pStyle w:val="Heading4"/>
        <w:rPr>
          <w:noProof w:val="0"/>
        </w:rPr>
      </w:pPr>
      <w:r w:rsidRPr="007A3223">
        <w:rPr>
          <w:noProof w:val="0"/>
        </w:rPr>
        <w:t>No prior or current evidence of coagulopathy or bleeding diathesis. Therapeutic anticoagulation for prior thromboembolic events is permitted.</w:t>
      </w:r>
    </w:p>
    <w:p w14:paraId="3FA0C3EA" w14:textId="77777777" w:rsidR="00B647A3" w:rsidRPr="007A3223" w:rsidRDefault="00B647A3" w:rsidP="00B647A3">
      <w:pPr>
        <w:pStyle w:val="Heading4"/>
        <w:rPr>
          <w:noProof w:val="0"/>
        </w:rPr>
      </w:pPr>
      <w:r w:rsidRPr="007A3223">
        <w:rPr>
          <w:noProof w:val="0"/>
          <w:lang w:val="en-US"/>
        </w:rPr>
        <w:t>Concurrent enrollment in another clinical study, unless it is an observational non-interventional clinical study or the follow-up of an interventional study.</w:t>
      </w:r>
    </w:p>
    <w:p w14:paraId="1588B137" w14:textId="77777777" w:rsidR="00B647A3" w:rsidRPr="007A3223" w:rsidRDefault="00B647A3" w:rsidP="00B647A3">
      <w:pPr>
        <w:pStyle w:val="Heading4"/>
        <w:rPr>
          <w:noProof w:val="0"/>
        </w:rPr>
      </w:pPr>
      <w:r w:rsidRPr="007A3223">
        <w:rPr>
          <w:noProof w:val="0"/>
          <w:lang w:val="en-US"/>
        </w:rPr>
        <w:t>Any concurrent chemotherapy, immunotherapy, biologic or hormonal therapy for cancer treatment.  Concurrent use of hormones for non-cancer-related conditions (e.g., insulin for diabetes and hormone replacement therapy) is acceptable.  NOTE: Local treatment of isolated lesions for palliative intent is acceptable (e.g., by local surgery or radiotherapy).</w:t>
      </w:r>
      <w:r w:rsidRPr="007A3223">
        <w:rPr>
          <w:noProof w:val="0"/>
        </w:rPr>
        <w:t xml:space="preserve"> </w:t>
      </w:r>
    </w:p>
    <w:p w14:paraId="38035037" w14:textId="77777777" w:rsidR="00E0465D" w:rsidRPr="007A3223" w:rsidRDefault="00E0465D" w:rsidP="00E0465D"/>
    <w:p w14:paraId="72292186" w14:textId="3D7A32BC" w:rsidR="007F51A4" w:rsidRPr="007A3223" w:rsidRDefault="00D84761" w:rsidP="00ED703B">
      <w:pPr>
        <w:pStyle w:val="Heading2"/>
      </w:pPr>
      <w:bookmarkStart w:id="90" w:name="_Toc82444347"/>
      <w:r w:rsidRPr="007A3223">
        <w:t>Phase</w:t>
      </w:r>
      <w:r w:rsidR="005B5328" w:rsidRPr="007A3223">
        <w:t xml:space="preserve"> II </w:t>
      </w:r>
      <w:r w:rsidRPr="007A3223">
        <w:t>Study Non-Small Cell Lung Cancer (</w:t>
      </w:r>
      <w:r w:rsidR="00BB46AD" w:rsidRPr="007A3223">
        <w:t xml:space="preserve">cohort 2; </w:t>
      </w:r>
      <w:r w:rsidR="00C56D0B">
        <w:rPr>
          <w:lang w:val="en-US"/>
        </w:rPr>
        <w:t>Durvalumab</w:t>
      </w:r>
      <w:r w:rsidR="003F37EE" w:rsidRPr="007A3223">
        <w:t>+</w:t>
      </w:r>
      <w:r w:rsidRPr="007A3223">
        <w:t xml:space="preserve">O And </w:t>
      </w:r>
      <w:r w:rsidR="00C56D0B">
        <w:rPr>
          <w:lang w:val="en-US"/>
        </w:rPr>
        <w:t>Durvalumab</w:t>
      </w:r>
      <w:r w:rsidR="003F37EE" w:rsidRPr="007A3223">
        <w:t>+</w:t>
      </w:r>
      <w:r w:rsidRPr="007A3223">
        <w:t>C) And Small Cell Lung Cancer (</w:t>
      </w:r>
      <w:r w:rsidR="00BB46AD" w:rsidRPr="007A3223">
        <w:t xml:space="preserve">cohort 3; </w:t>
      </w:r>
      <w:r w:rsidR="00C56D0B">
        <w:rPr>
          <w:lang w:val="en-US"/>
        </w:rPr>
        <w:t>Durvalumab</w:t>
      </w:r>
      <w:r w:rsidR="003F37EE" w:rsidRPr="007A3223">
        <w:t>+</w:t>
      </w:r>
      <w:r w:rsidRPr="007A3223">
        <w:t>O Only) Eligibility Criteria</w:t>
      </w:r>
      <w:bookmarkEnd w:id="90"/>
      <w:r w:rsidRPr="007A3223">
        <w:t xml:space="preserve"> </w:t>
      </w:r>
    </w:p>
    <w:p w14:paraId="2EF7FFD3" w14:textId="3336BA72" w:rsidR="00744832" w:rsidRPr="007A3223" w:rsidRDefault="003E19FC" w:rsidP="000C1D10">
      <w:pPr>
        <w:pStyle w:val="Heading3"/>
      </w:pPr>
      <w:r w:rsidRPr="007A3223">
        <w:t xml:space="preserve">Inclusion Criteria </w:t>
      </w:r>
    </w:p>
    <w:p w14:paraId="7B1E1C16" w14:textId="77777777" w:rsidR="00744832" w:rsidRPr="007A3223" w:rsidRDefault="007F51A4" w:rsidP="00EA1DA8">
      <w:pPr>
        <w:spacing w:before="60" w:after="60"/>
        <w:rPr>
          <w:b/>
          <w:bCs/>
        </w:rPr>
      </w:pPr>
      <w:r w:rsidRPr="007A3223">
        <w:rPr>
          <w:b/>
        </w:rPr>
        <w:t>Inclusion criteria</w:t>
      </w:r>
      <w:r w:rsidR="00744832" w:rsidRPr="007A3223">
        <w:rPr>
          <w:b/>
        </w:rPr>
        <w:t xml:space="preserve"> </w:t>
      </w:r>
      <w:r w:rsidR="00744832" w:rsidRPr="007A3223">
        <w:rPr>
          <w:b/>
          <w:bCs/>
        </w:rPr>
        <w:t>(specific criteria for the NSCLC cohort)</w:t>
      </w:r>
    </w:p>
    <w:p w14:paraId="4D288169" w14:textId="3B2CBE26" w:rsidR="007B23FF" w:rsidRPr="007A3223" w:rsidRDefault="007F51A4" w:rsidP="00EA1DA8">
      <w:pPr>
        <w:pStyle w:val="Heading4"/>
        <w:rPr>
          <w:bCs w:val="0"/>
        </w:rPr>
      </w:pPr>
      <w:r w:rsidRPr="007A3223">
        <w:rPr>
          <w:bCs w:val="0"/>
        </w:rPr>
        <w:t>Histologically or cytologically confirmed advanced NSCLC with at least one prior line of platinum-based chemotherapy (or treatment with EGFR</w:t>
      </w:r>
      <w:r w:rsidR="00564485" w:rsidRPr="007A3223">
        <w:rPr>
          <w:bCs w:val="0"/>
          <w:lang w:val="en-US"/>
        </w:rPr>
        <w:t>,</w:t>
      </w:r>
      <w:r w:rsidRPr="007A3223">
        <w:rPr>
          <w:bCs w:val="0"/>
        </w:rPr>
        <w:t xml:space="preserve"> ALK</w:t>
      </w:r>
      <w:r w:rsidR="00564485" w:rsidRPr="007A3223">
        <w:rPr>
          <w:bCs w:val="0"/>
          <w:lang w:val="en-US"/>
        </w:rPr>
        <w:t>, or BRAF-targeted</w:t>
      </w:r>
      <w:r w:rsidRPr="007A3223">
        <w:rPr>
          <w:bCs w:val="0"/>
        </w:rPr>
        <w:t xml:space="preserve"> tyrosine kinase inhibitors if tumors harbor an EGFR-sensitizing mutation</w:t>
      </w:r>
      <w:r w:rsidR="00AF4DEF" w:rsidRPr="007A3223">
        <w:rPr>
          <w:bCs w:val="0"/>
          <w:lang w:val="en-US"/>
        </w:rPr>
        <w:t>,</w:t>
      </w:r>
      <w:r w:rsidRPr="007A3223">
        <w:rPr>
          <w:bCs w:val="0"/>
        </w:rPr>
        <w:t xml:space="preserve"> ALK translocation</w:t>
      </w:r>
      <w:r w:rsidR="006E7B9F" w:rsidRPr="007A3223">
        <w:rPr>
          <w:bCs w:val="0"/>
          <w:lang w:val="en-US"/>
        </w:rPr>
        <w:t xml:space="preserve">, </w:t>
      </w:r>
      <w:r w:rsidR="00DD37B4" w:rsidRPr="007A3223">
        <w:rPr>
          <w:bCs w:val="0"/>
          <w:lang w:val="en-US"/>
        </w:rPr>
        <w:t>or BRAF V600E mutation,</w:t>
      </w:r>
      <w:r w:rsidRPr="007A3223">
        <w:rPr>
          <w:bCs w:val="0"/>
        </w:rPr>
        <w:t xml:space="preserve"> respectively).</w:t>
      </w:r>
    </w:p>
    <w:p w14:paraId="24F48FCD" w14:textId="406BA246" w:rsidR="005B74DB" w:rsidRPr="007A3223" w:rsidRDefault="005B74DB" w:rsidP="005B74DB">
      <w:pPr>
        <w:pStyle w:val="Heading4"/>
      </w:pPr>
      <w:r w:rsidRPr="007A3223">
        <w:t xml:space="preserve">For </w:t>
      </w:r>
      <w:r w:rsidR="00C56D0B">
        <w:rPr>
          <w:lang w:val="en-US"/>
        </w:rPr>
        <w:t>Durvalumab</w:t>
      </w:r>
      <w:r w:rsidRPr="007A3223">
        <w:t xml:space="preserve">+C NSCLC arm only, adequately controlled blood pressure (SBP &lt; 140 mm Hg and DBP &lt; 90mmHg) on a maximum of three antihypertensive medications. </w:t>
      </w:r>
    </w:p>
    <w:p w14:paraId="38CE7534" w14:textId="7C3D23A1" w:rsidR="007C5AB6" w:rsidRPr="007A3223" w:rsidRDefault="007C5AB6" w:rsidP="007C5AB6">
      <w:pPr>
        <w:pStyle w:val="Heading4"/>
      </w:pPr>
      <w:r w:rsidRPr="007A3223">
        <w:t xml:space="preserve">Ability of subject to understand and the willingness to record twice-daily blood pressure readings if the patient is enrolled to the </w:t>
      </w:r>
      <w:r w:rsidR="00C56D0B">
        <w:rPr>
          <w:lang w:val="en-US"/>
        </w:rPr>
        <w:t>Durvalumab</w:t>
      </w:r>
      <w:r w:rsidRPr="007A3223">
        <w:t>+C arm (NSCLC patients only</w:t>
      </w:r>
    </w:p>
    <w:p w14:paraId="58435FE0" w14:textId="77777777" w:rsidR="005B74DB" w:rsidRPr="007A3223" w:rsidRDefault="005B74DB" w:rsidP="005B74DB">
      <w:pPr>
        <w:rPr>
          <w:lang w:val="x-none" w:eastAsia="x-none"/>
        </w:rPr>
      </w:pPr>
    </w:p>
    <w:p w14:paraId="25F97815" w14:textId="77777777" w:rsidR="007B23FF" w:rsidRPr="007A3223" w:rsidRDefault="00744832" w:rsidP="00EA1DA8">
      <w:pPr>
        <w:spacing w:before="60" w:after="60"/>
        <w:rPr>
          <w:b/>
          <w:bCs/>
        </w:rPr>
      </w:pPr>
      <w:r w:rsidRPr="007A3223">
        <w:rPr>
          <w:b/>
        </w:rPr>
        <w:t>Inclusion criteria</w:t>
      </w:r>
      <w:r w:rsidR="007B23FF" w:rsidRPr="007A3223">
        <w:rPr>
          <w:b/>
          <w:bCs/>
        </w:rPr>
        <w:t xml:space="preserve"> (specific criteria for the SCLC cohort)</w:t>
      </w:r>
    </w:p>
    <w:p w14:paraId="6E80766C" w14:textId="77777777" w:rsidR="00D07592" w:rsidRPr="007A3223" w:rsidRDefault="007B23FF" w:rsidP="00815CD5">
      <w:pPr>
        <w:pStyle w:val="Heading4"/>
        <w:rPr>
          <w:bCs w:val="0"/>
          <w:i/>
        </w:rPr>
      </w:pPr>
      <w:r w:rsidRPr="007A3223">
        <w:rPr>
          <w:bCs w:val="0"/>
        </w:rPr>
        <w:t>Histologically or cytologically confirmed SCLC with at least one prior line of platinum-  based chemotherapy are eligible. Patients with both platinum-sensitive and platinum-refrac</w:t>
      </w:r>
      <w:r w:rsidR="00744832" w:rsidRPr="007A3223">
        <w:rPr>
          <w:bCs w:val="0"/>
        </w:rPr>
        <w:t>tory disease will be eligible</w:t>
      </w:r>
      <w:r w:rsidR="00E0465D" w:rsidRPr="007A3223">
        <w:rPr>
          <w:bCs w:val="0"/>
        </w:rPr>
        <w:t xml:space="preserve">. </w:t>
      </w:r>
    </w:p>
    <w:p w14:paraId="514C014C" w14:textId="77777777" w:rsidR="00744832" w:rsidRPr="007A3223" w:rsidRDefault="00744832" w:rsidP="00D07592">
      <w:pPr>
        <w:pStyle w:val="Heading4"/>
        <w:numPr>
          <w:ilvl w:val="0"/>
          <w:numId w:val="0"/>
        </w:numPr>
        <w:ind w:left="864"/>
        <w:rPr>
          <w:bCs w:val="0"/>
          <w:i/>
        </w:rPr>
      </w:pPr>
      <w:r w:rsidRPr="007A3223">
        <w:rPr>
          <w:bCs w:val="0"/>
          <w:i/>
        </w:rPr>
        <w:t xml:space="preserve"> </w:t>
      </w:r>
    </w:p>
    <w:p w14:paraId="6BDAA862" w14:textId="77777777" w:rsidR="007B23FF" w:rsidRPr="007A3223" w:rsidRDefault="00744832" w:rsidP="00EA1DA8">
      <w:pPr>
        <w:spacing w:before="60" w:after="60"/>
        <w:rPr>
          <w:b/>
        </w:rPr>
      </w:pPr>
      <w:r w:rsidRPr="007A3223">
        <w:rPr>
          <w:b/>
        </w:rPr>
        <w:t xml:space="preserve">Inclusion criteria </w:t>
      </w:r>
      <w:r w:rsidR="00032535" w:rsidRPr="007A3223">
        <w:rPr>
          <w:b/>
        </w:rPr>
        <w:t>f</w:t>
      </w:r>
      <w:r w:rsidR="007B23FF" w:rsidRPr="007A3223">
        <w:rPr>
          <w:b/>
        </w:rPr>
        <w:t>or both NSCLC and SCLC Cohorts</w:t>
      </w:r>
    </w:p>
    <w:p w14:paraId="3E7AA765" w14:textId="47680DBC" w:rsidR="007B23FF" w:rsidRPr="00F33908" w:rsidRDefault="007B23FF" w:rsidP="00815CD5">
      <w:pPr>
        <w:pStyle w:val="Heading4"/>
        <w:rPr>
          <w:bCs w:val="0"/>
        </w:rPr>
      </w:pPr>
      <w:r w:rsidRPr="007A3223">
        <w:rPr>
          <w:bCs w:val="0"/>
        </w:rPr>
        <w:t xml:space="preserve">Presence of measurable disease as defined by RECIST v1.1. See Section </w:t>
      </w:r>
      <w:r w:rsidRPr="00F33908">
        <w:rPr>
          <w:b/>
          <w:bCs w:val="0"/>
          <w:color w:val="0000FF"/>
        </w:rPr>
        <w:fldChar w:fldCharType="begin"/>
      </w:r>
      <w:r w:rsidRPr="007A3223">
        <w:rPr>
          <w:b/>
          <w:bCs w:val="0"/>
          <w:color w:val="0000FF"/>
        </w:rPr>
        <w:instrText xml:space="preserve"> REF _Ref405293308 \r \h  \* MERGEFORMAT </w:instrText>
      </w:r>
      <w:r w:rsidRPr="00F33908">
        <w:rPr>
          <w:b/>
          <w:bCs w:val="0"/>
          <w:color w:val="0000FF"/>
        </w:rPr>
      </w:r>
      <w:r w:rsidRPr="00F33908">
        <w:rPr>
          <w:b/>
          <w:bCs w:val="0"/>
          <w:color w:val="0000FF"/>
        </w:rPr>
        <w:fldChar w:fldCharType="separate"/>
      </w:r>
      <w:r w:rsidR="00E47ACA">
        <w:rPr>
          <w:b/>
          <w:bCs w:val="0"/>
          <w:color w:val="0000FF"/>
        </w:rPr>
        <w:t>7.5</w:t>
      </w:r>
      <w:r w:rsidRPr="00F33908">
        <w:rPr>
          <w:b/>
          <w:bCs w:val="0"/>
          <w:color w:val="0000FF"/>
        </w:rPr>
        <w:fldChar w:fldCharType="end"/>
      </w:r>
      <w:r w:rsidRPr="007A3223">
        <w:rPr>
          <w:bCs w:val="0"/>
        </w:rPr>
        <w:t xml:space="preserve"> for the evaluation of measurable disease. </w:t>
      </w:r>
    </w:p>
    <w:p w14:paraId="0274A7D6" w14:textId="77777777" w:rsidR="00F8571B" w:rsidRPr="007A3223" w:rsidRDefault="00F8571B" w:rsidP="009E1E3D">
      <w:pPr>
        <w:pStyle w:val="Heading4"/>
        <w:rPr>
          <w:noProof w:val="0"/>
        </w:rPr>
      </w:pPr>
      <w:r w:rsidRPr="007A3223">
        <w:rPr>
          <w:noProof w:val="0"/>
        </w:rPr>
        <w:t>Patients must have at least one lesion deemed safe to biopsy and be willing to undergo a mandatory baseline biopsy.</w:t>
      </w:r>
    </w:p>
    <w:p w14:paraId="50575D8F" w14:textId="77777777" w:rsidR="007F51A4" w:rsidRPr="007A3223" w:rsidRDefault="007F51A4" w:rsidP="009E1E3D">
      <w:pPr>
        <w:pStyle w:val="Heading4"/>
        <w:rPr>
          <w:noProof w:val="0"/>
          <w:szCs w:val="24"/>
        </w:rPr>
      </w:pPr>
      <w:r w:rsidRPr="007A3223">
        <w:rPr>
          <w:noProof w:val="0"/>
        </w:rPr>
        <w:t xml:space="preserve">Age </w:t>
      </w:r>
      <w:r w:rsidRPr="007A3223">
        <w:rPr>
          <w:noProof w:val="0"/>
          <w:u w:val="single"/>
        </w:rPr>
        <w:t>&gt;</w:t>
      </w:r>
      <w:r w:rsidRPr="007A3223">
        <w:rPr>
          <w:noProof w:val="0"/>
        </w:rPr>
        <w:t>18 years.</w:t>
      </w:r>
    </w:p>
    <w:p w14:paraId="738B806D" w14:textId="77777777" w:rsidR="00E47ACA" w:rsidRPr="00E47ACA" w:rsidRDefault="007F51A4" w:rsidP="00E47ACA">
      <w:pPr>
        <w:pStyle w:val="Heading4"/>
        <w:rPr>
          <w:lang w:val="en-US"/>
        </w:rPr>
      </w:pPr>
      <w:r w:rsidRPr="007A3223">
        <w:rPr>
          <w:noProof w:val="0"/>
        </w:rPr>
        <w:lastRenderedPageBreak/>
        <w:t xml:space="preserve">ECOG performance status </w:t>
      </w:r>
      <w:r w:rsidR="001D7E7C" w:rsidRPr="007A3223">
        <w:rPr>
          <w:rFonts w:hint="eastAsia"/>
          <w:szCs w:val="24"/>
        </w:rPr>
        <w:t>≤</w:t>
      </w:r>
      <w:r w:rsidR="00E0465D" w:rsidRPr="007A3223">
        <w:rPr>
          <w:noProof w:val="0"/>
        </w:rPr>
        <w:t xml:space="preserve"> </w:t>
      </w:r>
      <w:r w:rsidRPr="007A3223">
        <w:rPr>
          <w:noProof w:val="0"/>
        </w:rPr>
        <w:t>2. (See</w:t>
      </w:r>
      <w:r w:rsidRPr="007A3223">
        <w:rPr>
          <w:b/>
          <w:noProof w:val="0"/>
          <w:color w:val="0000FF"/>
        </w:rPr>
        <w:t xml:space="preserve"> </w:t>
      </w:r>
      <w:r w:rsidRPr="00F33908">
        <w:fldChar w:fldCharType="begin"/>
      </w:r>
      <w:r w:rsidRPr="007A3223">
        <w:instrText xml:space="preserve"> REF _Ref398887943 \h  \* MERGEFORMAT </w:instrText>
      </w:r>
      <w:r w:rsidRPr="00F33908">
        <w:fldChar w:fldCharType="separate"/>
      </w:r>
      <w:r w:rsidR="00E47ACA" w:rsidRPr="00E47ACA">
        <w:rPr>
          <w:b/>
          <w:noProof w:val="0"/>
          <w:color w:val="0000FF"/>
        </w:rPr>
        <w:t>APPENDICES</w:t>
      </w:r>
    </w:p>
    <w:p w14:paraId="07A01913" w14:textId="060E6480" w:rsidR="007F51A4" w:rsidRPr="00F33908" w:rsidRDefault="00E47ACA" w:rsidP="006D69D9">
      <w:pPr>
        <w:pStyle w:val="Heading4"/>
        <w:rPr>
          <w:noProof w:val="0"/>
        </w:rPr>
      </w:pPr>
      <w:r w:rsidRPr="00E47ACA">
        <w:rPr>
          <w:b/>
          <w:color w:val="0000FF"/>
        </w:rPr>
        <w:t>Appendix</w:t>
      </w:r>
      <w:r w:rsidRPr="007A3223">
        <w:t xml:space="preserve"> </w:t>
      </w:r>
      <w:r>
        <w:t>A</w:t>
      </w:r>
      <w:r w:rsidR="007F51A4" w:rsidRPr="00F33908">
        <w:fldChar w:fldCharType="end"/>
      </w:r>
      <w:r w:rsidR="007F51A4" w:rsidRPr="007A3223">
        <w:rPr>
          <w:noProof w:val="0"/>
        </w:rPr>
        <w:t>)</w:t>
      </w:r>
    </w:p>
    <w:p w14:paraId="23EEA281" w14:textId="77777777" w:rsidR="007F51A4" w:rsidRPr="007A3223" w:rsidRDefault="007F51A4" w:rsidP="009E1E3D">
      <w:pPr>
        <w:pStyle w:val="Heading4"/>
        <w:rPr>
          <w:noProof w:val="0"/>
        </w:rPr>
      </w:pPr>
      <w:bookmarkStart w:id="91" w:name="_Ref505946771"/>
      <w:r w:rsidRPr="007A3223">
        <w:rPr>
          <w:noProof w:val="0"/>
        </w:rPr>
        <w:t>Patients must have adequate organ and marrow function as defined below:</w:t>
      </w:r>
      <w:bookmarkEnd w:id="91"/>
      <w:r w:rsidRPr="007A3223">
        <w:rPr>
          <w:noProof w:val="0"/>
        </w:rPr>
        <w:t xml:space="preserve"> </w:t>
      </w:r>
    </w:p>
    <w:p w14:paraId="14DCF5F9" w14:textId="77777777" w:rsidR="007F51A4" w:rsidRPr="007A3223" w:rsidRDefault="007F51A4" w:rsidP="008F5C45">
      <w:pPr>
        <w:widowControl w:val="0"/>
        <w:numPr>
          <w:ilvl w:val="0"/>
          <w:numId w:val="6"/>
        </w:numPr>
        <w:tabs>
          <w:tab w:val="left" w:pos="1170"/>
          <w:tab w:val="left" w:pos="4410"/>
        </w:tabs>
        <w:suppressAutoHyphens/>
        <w:spacing w:before="60" w:after="60"/>
        <w:ind w:left="5040" w:hanging="4140"/>
        <w:rPr>
          <w:szCs w:val="24"/>
        </w:rPr>
      </w:pPr>
      <w:r w:rsidRPr="007A3223">
        <w:rPr>
          <w:szCs w:val="24"/>
        </w:rPr>
        <w:t>absolute neutrophil count</w:t>
      </w:r>
      <w:r w:rsidRPr="007A3223">
        <w:rPr>
          <w:szCs w:val="24"/>
        </w:rPr>
        <w:tab/>
      </w:r>
      <w:r w:rsidRPr="007A3223">
        <w:rPr>
          <w:rFonts w:hint="eastAsia"/>
          <w:szCs w:val="24"/>
        </w:rPr>
        <w:t>≥</w:t>
      </w:r>
      <w:r w:rsidRPr="007A3223">
        <w:rPr>
          <w:szCs w:val="24"/>
        </w:rPr>
        <w:t xml:space="preserve"> 1,500/mcL</w:t>
      </w:r>
    </w:p>
    <w:p w14:paraId="7BD51364" w14:textId="77777777" w:rsidR="007F51A4" w:rsidRPr="007A3223" w:rsidRDefault="007F51A4" w:rsidP="008F5C45">
      <w:pPr>
        <w:widowControl w:val="0"/>
        <w:numPr>
          <w:ilvl w:val="0"/>
          <w:numId w:val="6"/>
        </w:numPr>
        <w:tabs>
          <w:tab w:val="left" w:pos="1170"/>
          <w:tab w:val="left" w:pos="4410"/>
        </w:tabs>
        <w:suppressAutoHyphens/>
        <w:spacing w:before="60" w:after="60"/>
        <w:ind w:left="5040" w:hanging="4140"/>
        <w:rPr>
          <w:szCs w:val="24"/>
        </w:rPr>
      </w:pPr>
      <w:r w:rsidRPr="007A3223">
        <w:rPr>
          <w:szCs w:val="24"/>
        </w:rPr>
        <w:t>white blood cell (WBC)</w:t>
      </w:r>
      <w:r w:rsidRPr="007A3223">
        <w:rPr>
          <w:szCs w:val="24"/>
        </w:rPr>
        <w:tab/>
      </w:r>
      <w:r w:rsidRPr="007A3223">
        <w:rPr>
          <w:szCs w:val="24"/>
          <w:u w:val="single"/>
        </w:rPr>
        <w:t>&gt;</w:t>
      </w:r>
      <w:r w:rsidRPr="007A3223">
        <w:rPr>
          <w:szCs w:val="24"/>
          <w:lang w:eastAsia="ko-KR"/>
        </w:rPr>
        <w:t xml:space="preserve"> </w:t>
      </w:r>
      <w:r w:rsidRPr="007A3223">
        <w:rPr>
          <w:szCs w:val="24"/>
        </w:rPr>
        <w:t>3,000/mcL</w:t>
      </w:r>
    </w:p>
    <w:p w14:paraId="3855DD89" w14:textId="77777777" w:rsidR="007F51A4" w:rsidRPr="007A3223" w:rsidRDefault="007F51A4" w:rsidP="008F5C45">
      <w:pPr>
        <w:widowControl w:val="0"/>
        <w:numPr>
          <w:ilvl w:val="0"/>
          <w:numId w:val="6"/>
        </w:numPr>
        <w:tabs>
          <w:tab w:val="left" w:pos="1170"/>
          <w:tab w:val="left" w:pos="4410"/>
        </w:tabs>
        <w:suppressAutoHyphens/>
        <w:spacing w:before="60" w:after="60"/>
        <w:ind w:left="5040" w:hanging="4140"/>
        <w:rPr>
          <w:szCs w:val="24"/>
        </w:rPr>
      </w:pPr>
      <w:r w:rsidRPr="007A3223">
        <w:rPr>
          <w:szCs w:val="24"/>
        </w:rPr>
        <w:t>platelets</w:t>
      </w:r>
      <w:r w:rsidRPr="007A3223">
        <w:rPr>
          <w:szCs w:val="24"/>
        </w:rPr>
        <w:tab/>
      </w:r>
      <w:r w:rsidRPr="007A3223">
        <w:rPr>
          <w:rFonts w:hint="eastAsia"/>
          <w:szCs w:val="24"/>
        </w:rPr>
        <w:t>≥</w:t>
      </w:r>
      <w:r w:rsidRPr="007A3223">
        <w:rPr>
          <w:szCs w:val="24"/>
        </w:rPr>
        <w:t xml:space="preserve"> 100,000/mcL</w:t>
      </w:r>
    </w:p>
    <w:p w14:paraId="1307CB7D" w14:textId="65DA5309" w:rsidR="007F51A4" w:rsidRPr="007A3223" w:rsidRDefault="007F51A4" w:rsidP="008F5C45">
      <w:pPr>
        <w:widowControl w:val="0"/>
        <w:numPr>
          <w:ilvl w:val="0"/>
          <w:numId w:val="6"/>
        </w:numPr>
        <w:tabs>
          <w:tab w:val="left" w:pos="1170"/>
          <w:tab w:val="left" w:pos="4410"/>
        </w:tabs>
        <w:suppressAutoHyphens/>
        <w:spacing w:before="60" w:after="60"/>
        <w:ind w:left="4590" w:hanging="3690"/>
        <w:rPr>
          <w:szCs w:val="24"/>
        </w:rPr>
      </w:pPr>
      <w:r w:rsidRPr="007A3223">
        <w:rPr>
          <w:szCs w:val="24"/>
        </w:rPr>
        <w:t>hemoglobin (Hgb)</w:t>
      </w:r>
      <w:r w:rsidRPr="007A3223">
        <w:rPr>
          <w:szCs w:val="24"/>
        </w:rPr>
        <w:tab/>
      </w:r>
      <w:r w:rsidRPr="007A3223">
        <w:rPr>
          <w:rFonts w:hint="eastAsia"/>
          <w:szCs w:val="24"/>
        </w:rPr>
        <w:t>≥</w:t>
      </w:r>
      <w:r w:rsidRPr="007A3223">
        <w:rPr>
          <w:rFonts w:hint="eastAsia"/>
          <w:szCs w:val="24"/>
        </w:rPr>
        <w:t xml:space="preserve"> </w:t>
      </w:r>
      <w:r w:rsidR="00A4464B" w:rsidRPr="007A3223">
        <w:rPr>
          <w:szCs w:val="24"/>
        </w:rPr>
        <w:t>9</w:t>
      </w:r>
      <w:r w:rsidRPr="007A3223">
        <w:rPr>
          <w:szCs w:val="24"/>
        </w:rPr>
        <w:t xml:space="preserve"> g/dL in the absence of packed red blood cell transfusion 28 days prior to dosing</w:t>
      </w:r>
      <w:r w:rsidRPr="007A3223">
        <w:t xml:space="preserve"> </w:t>
      </w:r>
    </w:p>
    <w:p w14:paraId="2D1648A3" w14:textId="77777777" w:rsidR="00E668D1" w:rsidRPr="007A3223" w:rsidRDefault="007F51A4" w:rsidP="008F5C45">
      <w:pPr>
        <w:numPr>
          <w:ilvl w:val="0"/>
          <w:numId w:val="6"/>
        </w:numPr>
        <w:tabs>
          <w:tab w:val="left" w:pos="1170"/>
          <w:tab w:val="left" w:pos="4410"/>
        </w:tabs>
        <w:suppressAutoHyphens/>
        <w:spacing w:before="60" w:after="60"/>
        <w:ind w:left="5040" w:hanging="4140"/>
        <w:rPr>
          <w:szCs w:val="24"/>
        </w:rPr>
      </w:pPr>
      <w:r w:rsidRPr="007A3223">
        <w:rPr>
          <w:szCs w:val="24"/>
        </w:rPr>
        <w:t>AST(SGOT)/ALT(SGPT)</w:t>
      </w:r>
      <w:r w:rsidRPr="007A3223">
        <w:rPr>
          <w:szCs w:val="24"/>
        </w:rPr>
        <w:tab/>
      </w:r>
      <w:r w:rsidRPr="007A3223">
        <w:rPr>
          <w:rFonts w:hint="eastAsia"/>
          <w:szCs w:val="24"/>
        </w:rPr>
        <w:t>≤</w:t>
      </w:r>
      <w:r w:rsidRPr="007A3223">
        <w:rPr>
          <w:rFonts w:hint="eastAsia"/>
          <w:szCs w:val="24"/>
        </w:rPr>
        <w:t xml:space="preserve">  </w:t>
      </w:r>
      <w:r w:rsidR="00E668D1" w:rsidRPr="007A3223">
        <w:rPr>
          <w:szCs w:val="24"/>
        </w:rPr>
        <w:t>2.5</w:t>
      </w:r>
      <w:r w:rsidRPr="007A3223">
        <w:rPr>
          <w:szCs w:val="24"/>
        </w:rPr>
        <w:t xml:space="preserve"> X institutional upper limit of normal</w:t>
      </w:r>
      <w:r w:rsidR="00E668D1" w:rsidRPr="007A3223">
        <w:rPr>
          <w:szCs w:val="24"/>
        </w:rPr>
        <w:t xml:space="preserve"> (ULN);</w:t>
      </w:r>
    </w:p>
    <w:p w14:paraId="4AED60F8" w14:textId="77777777" w:rsidR="00F602DF" w:rsidRPr="007A3223" w:rsidRDefault="00E668D1" w:rsidP="00F602DF">
      <w:pPr>
        <w:widowControl w:val="0"/>
        <w:tabs>
          <w:tab w:val="left" w:pos="1170"/>
          <w:tab w:val="left" w:pos="4410"/>
        </w:tabs>
        <w:suppressAutoHyphens/>
        <w:spacing w:before="60" w:after="60"/>
        <w:ind w:left="5040"/>
        <w:rPr>
          <w:szCs w:val="24"/>
        </w:rPr>
      </w:pPr>
      <w:r w:rsidRPr="007A3223">
        <w:rPr>
          <w:szCs w:val="24"/>
        </w:rPr>
        <w:t xml:space="preserve">for subjects with liver metastases, AST or ALT </w:t>
      </w:r>
      <w:r w:rsidRPr="007A3223">
        <w:rPr>
          <w:rFonts w:hint="eastAsia"/>
          <w:szCs w:val="24"/>
        </w:rPr>
        <w:t>≤</w:t>
      </w:r>
      <w:r w:rsidRPr="007A3223">
        <w:rPr>
          <w:szCs w:val="24"/>
        </w:rPr>
        <w:t xml:space="preserve"> 5 × ULN</w:t>
      </w:r>
    </w:p>
    <w:p w14:paraId="0FADD613" w14:textId="77777777" w:rsidR="00F602DF" w:rsidRPr="007A3223" w:rsidRDefault="00F602DF" w:rsidP="00F602DF">
      <w:pPr>
        <w:widowControl w:val="0"/>
        <w:tabs>
          <w:tab w:val="left" w:pos="1170"/>
          <w:tab w:val="left" w:pos="4410"/>
        </w:tabs>
        <w:suppressAutoHyphens/>
        <w:spacing w:before="60" w:after="60"/>
        <w:ind w:left="5040"/>
        <w:rPr>
          <w:szCs w:val="24"/>
        </w:rPr>
      </w:pPr>
    </w:p>
    <w:p w14:paraId="1AFA516D" w14:textId="77777777" w:rsidR="003F0978" w:rsidRPr="007A3223" w:rsidRDefault="003F0978" w:rsidP="008F5C45">
      <w:pPr>
        <w:pStyle w:val="ListParagraph"/>
        <w:widowControl w:val="0"/>
        <w:numPr>
          <w:ilvl w:val="2"/>
          <w:numId w:val="6"/>
        </w:numPr>
        <w:spacing w:before="49" w:line="244" w:lineRule="exact"/>
        <w:ind w:left="1170" w:right="111" w:hanging="270"/>
        <w:rPr>
          <w:rFonts w:eastAsia="Times New Roman"/>
        </w:rPr>
      </w:pPr>
      <w:r w:rsidRPr="007A3223">
        <w:t>Total bilirubin</w:t>
      </w:r>
      <w:r w:rsidRPr="007A3223">
        <w:rPr>
          <w:rFonts w:eastAsia="Times New Roman"/>
          <w:color w:val="32C528"/>
          <w:sz w:val="19"/>
          <w:szCs w:val="19"/>
        </w:rPr>
        <w:tab/>
      </w:r>
      <w:r w:rsidR="00973183" w:rsidRPr="007A3223">
        <w:rPr>
          <w:rFonts w:eastAsia="Times New Roman"/>
          <w:color w:val="32C528"/>
          <w:sz w:val="19"/>
          <w:szCs w:val="19"/>
        </w:rPr>
        <w:tab/>
      </w:r>
      <w:r w:rsidR="00973183" w:rsidRPr="007A3223">
        <w:rPr>
          <w:rFonts w:eastAsia="Times New Roman"/>
          <w:color w:val="32C528"/>
          <w:sz w:val="19"/>
          <w:szCs w:val="19"/>
        </w:rPr>
        <w:tab/>
      </w:r>
      <w:r w:rsidRPr="007A3223">
        <w:rPr>
          <w:rFonts w:hint="eastAsia"/>
        </w:rPr>
        <w:t>≤</w:t>
      </w:r>
      <w:r w:rsidRPr="007A3223">
        <w:rPr>
          <w:spacing w:val="-24"/>
        </w:rPr>
        <w:t xml:space="preserve"> </w:t>
      </w:r>
      <w:r w:rsidRPr="007A3223">
        <w:rPr>
          <w:rFonts w:eastAsia="Times New Roman"/>
        </w:rPr>
        <w:t>1.5</w:t>
      </w:r>
      <w:r w:rsidRPr="007A3223">
        <w:rPr>
          <w:rFonts w:eastAsia="Times New Roman"/>
          <w:spacing w:val="-8"/>
        </w:rPr>
        <w:t xml:space="preserve"> </w:t>
      </w:r>
      <w:r w:rsidRPr="007A3223">
        <w:t>×</w:t>
      </w:r>
      <w:r w:rsidRPr="007A3223">
        <w:rPr>
          <w:spacing w:val="-24"/>
        </w:rPr>
        <w:t xml:space="preserve"> </w:t>
      </w:r>
      <w:r w:rsidRPr="007A3223">
        <w:rPr>
          <w:rFonts w:eastAsia="Times New Roman"/>
        </w:rPr>
        <w:t>ULN;</w:t>
      </w:r>
      <w:r w:rsidRPr="007A3223">
        <w:rPr>
          <w:rFonts w:eastAsia="Times New Roman"/>
          <w:spacing w:val="-8"/>
        </w:rPr>
        <w:t xml:space="preserve"> </w:t>
      </w:r>
      <w:r w:rsidRPr="007A3223">
        <w:rPr>
          <w:rFonts w:eastAsia="Times New Roman"/>
        </w:rPr>
        <w:t>for</w:t>
      </w:r>
      <w:r w:rsidRPr="007A3223">
        <w:rPr>
          <w:rFonts w:eastAsia="Times New Roman"/>
          <w:spacing w:val="-9"/>
        </w:rPr>
        <w:t xml:space="preserve"> </w:t>
      </w:r>
      <w:r w:rsidRPr="007A3223">
        <w:rPr>
          <w:rFonts w:eastAsia="Times New Roman"/>
        </w:rPr>
        <w:t>subjects</w:t>
      </w:r>
      <w:r w:rsidRPr="007A3223">
        <w:rPr>
          <w:rFonts w:eastAsia="Times New Roman"/>
          <w:spacing w:val="-8"/>
        </w:rPr>
        <w:t xml:space="preserve"> </w:t>
      </w:r>
      <w:r w:rsidRPr="007A3223">
        <w:rPr>
          <w:rFonts w:eastAsia="Times New Roman"/>
        </w:rPr>
        <w:t>with</w:t>
      </w:r>
      <w:r w:rsidRPr="007A3223">
        <w:rPr>
          <w:rFonts w:eastAsia="Times New Roman"/>
          <w:w w:val="98"/>
          <w:lang w:val="en-US"/>
        </w:rPr>
        <w:t xml:space="preserve"> </w:t>
      </w:r>
      <w:r w:rsidRPr="007A3223">
        <w:rPr>
          <w:rFonts w:eastAsia="Times New Roman"/>
        </w:rPr>
        <w:t>documented/suspected</w:t>
      </w:r>
      <w:r w:rsidRPr="007A3223">
        <w:rPr>
          <w:rFonts w:eastAsia="Times New Roman"/>
          <w:spacing w:val="-26"/>
        </w:rPr>
        <w:t xml:space="preserve"> </w:t>
      </w:r>
      <w:r w:rsidRPr="007A3223">
        <w:rPr>
          <w:rFonts w:eastAsia="Times New Roman"/>
        </w:rPr>
        <w:t>Gilbert</w:t>
      </w:r>
      <w:r w:rsidRPr="007A3223">
        <w:t>’</w:t>
      </w:r>
      <w:r w:rsidRPr="007A3223">
        <w:rPr>
          <w:rFonts w:eastAsia="Times New Roman"/>
        </w:rPr>
        <w:t>s</w:t>
      </w:r>
      <w:r w:rsidRPr="007A3223">
        <w:rPr>
          <w:rFonts w:eastAsia="Times New Roman"/>
          <w:spacing w:val="-25"/>
        </w:rPr>
        <w:t xml:space="preserve"> </w:t>
      </w:r>
      <w:r w:rsidRPr="007A3223">
        <w:rPr>
          <w:rFonts w:eastAsia="Times New Roman"/>
        </w:rPr>
        <w:t>disease,</w:t>
      </w:r>
      <w:r w:rsidRPr="007A3223">
        <w:rPr>
          <w:rFonts w:eastAsia="Times New Roman"/>
          <w:spacing w:val="-25"/>
        </w:rPr>
        <w:t xml:space="preserve"> </w:t>
      </w:r>
      <w:r w:rsidRPr="007A3223">
        <w:rPr>
          <w:rFonts w:eastAsia="Times New Roman"/>
        </w:rPr>
        <w:t>bilirubin</w:t>
      </w:r>
      <w:r w:rsidRPr="007A3223">
        <w:rPr>
          <w:rFonts w:eastAsia="Times New Roman"/>
          <w:lang w:val="en-US"/>
        </w:rPr>
        <w:t xml:space="preserve"> </w:t>
      </w:r>
      <w:r w:rsidRPr="007A3223">
        <w:rPr>
          <w:rFonts w:hint="eastAsia"/>
        </w:rPr>
        <w:t>≤</w:t>
      </w:r>
      <w:r w:rsidRPr="007A3223">
        <w:rPr>
          <w:spacing w:val="-22"/>
        </w:rPr>
        <w:t xml:space="preserve"> </w:t>
      </w:r>
      <w:r w:rsidRPr="007A3223">
        <w:rPr>
          <w:rFonts w:eastAsia="Times New Roman"/>
        </w:rPr>
        <w:t>3</w:t>
      </w:r>
      <w:r w:rsidRPr="007A3223">
        <w:rPr>
          <w:rFonts w:eastAsia="Times New Roman"/>
          <w:spacing w:val="-7"/>
        </w:rPr>
        <w:t xml:space="preserve"> </w:t>
      </w:r>
      <w:r w:rsidRPr="007A3223">
        <w:t>×</w:t>
      </w:r>
      <w:r w:rsidRPr="007A3223">
        <w:rPr>
          <w:spacing w:val="-22"/>
        </w:rPr>
        <w:t xml:space="preserve"> </w:t>
      </w:r>
      <w:r w:rsidRPr="007A3223">
        <w:rPr>
          <w:rFonts w:eastAsia="Times New Roman"/>
        </w:rPr>
        <w:t>ULN</w:t>
      </w:r>
    </w:p>
    <w:p w14:paraId="101270C2" w14:textId="77777777" w:rsidR="003F0978" w:rsidRPr="007A3223" w:rsidRDefault="003F0978" w:rsidP="003F0978">
      <w:pPr>
        <w:widowControl w:val="0"/>
        <w:tabs>
          <w:tab w:val="left" w:pos="1170"/>
          <w:tab w:val="left" w:pos="4410"/>
        </w:tabs>
        <w:suppressAutoHyphens/>
        <w:spacing w:before="60" w:after="60"/>
        <w:rPr>
          <w:szCs w:val="24"/>
        </w:rPr>
      </w:pPr>
    </w:p>
    <w:p w14:paraId="2E7C71C2" w14:textId="77777777" w:rsidR="007F51A4" w:rsidRPr="007A3223" w:rsidRDefault="007F51A4" w:rsidP="008F5C45">
      <w:pPr>
        <w:widowControl w:val="0"/>
        <w:numPr>
          <w:ilvl w:val="0"/>
          <w:numId w:val="6"/>
        </w:numPr>
        <w:tabs>
          <w:tab w:val="left" w:pos="1170"/>
          <w:tab w:val="left" w:pos="4410"/>
        </w:tabs>
        <w:suppressAutoHyphens/>
        <w:spacing w:before="60" w:after="60"/>
        <w:ind w:left="5040" w:hanging="4140"/>
        <w:rPr>
          <w:szCs w:val="24"/>
        </w:rPr>
      </w:pPr>
      <w:r w:rsidRPr="007A3223">
        <w:rPr>
          <w:szCs w:val="24"/>
        </w:rPr>
        <w:t>creatinine</w:t>
      </w:r>
      <w:r w:rsidRPr="007A3223">
        <w:rPr>
          <w:szCs w:val="24"/>
        </w:rPr>
        <w:tab/>
      </w:r>
      <w:r w:rsidRPr="007A3223">
        <w:rPr>
          <w:rFonts w:hint="eastAsia"/>
          <w:szCs w:val="24"/>
        </w:rPr>
        <w:t>≤</w:t>
      </w:r>
      <w:r w:rsidRPr="007A3223">
        <w:rPr>
          <w:szCs w:val="24"/>
        </w:rPr>
        <w:t xml:space="preserve">  1.5 X within normal institutional limits</w:t>
      </w:r>
    </w:p>
    <w:p w14:paraId="7724EA8D" w14:textId="77777777" w:rsidR="007F51A4" w:rsidRPr="007A3223" w:rsidRDefault="009E1E3D" w:rsidP="00EA1DA8">
      <w:pPr>
        <w:widowControl w:val="0"/>
        <w:tabs>
          <w:tab w:val="left" w:pos="1170"/>
          <w:tab w:val="left" w:pos="4410"/>
        </w:tabs>
        <w:suppressAutoHyphens/>
        <w:spacing w:before="60" w:after="60"/>
        <w:ind w:hanging="4140"/>
        <w:jc w:val="center"/>
        <w:rPr>
          <w:szCs w:val="24"/>
        </w:rPr>
      </w:pPr>
      <w:r w:rsidRPr="007A3223">
        <w:rPr>
          <w:szCs w:val="24"/>
        </w:rPr>
        <w:tab/>
      </w:r>
      <w:r w:rsidR="007F51A4" w:rsidRPr="007A3223">
        <w:rPr>
          <w:szCs w:val="24"/>
        </w:rPr>
        <w:t>OR</w:t>
      </w:r>
    </w:p>
    <w:p w14:paraId="5E472393" w14:textId="77777777" w:rsidR="007F51A4" w:rsidRPr="007A3223" w:rsidRDefault="009E1E3D" w:rsidP="00973183">
      <w:pPr>
        <w:widowControl w:val="0"/>
        <w:tabs>
          <w:tab w:val="left" w:pos="1170"/>
        </w:tabs>
        <w:suppressAutoHyphens/>
        <w:spacing w:before="60" w:after="60"/>
        <w:ind w:left="4230" w:hanging="3330"/>
        <w:rPr>
          <w:szCs w:val="24"/>
        </w:rPr>
      </w:pPr>
      <w:r w:rsidRPr="007A3223">
        <w:rPr>
          <w:szCs w:val="24"/>
        </w:rPr>
        <w:tab/>
      </w:r>
      <w:r w:rsidR="00E1246A" w:rsidRPr="007A3223">
        <w:rPr>
          <w:szCs w:val="24"/>
        </w:rPr>
        <w:tab/>
      </w:r>
      <w:r w:rsidR="007F51A4" w:rsidRPr="007A3223">
        <w:rPr>
          <w:szCs w:val="24"/>
        </w:rPr>
        <w:t xml:space="preserve">measured creatinine clearance </w:t>
      </w:r>
      <w:r w:rsidR="007F51A4" w:rsidRPr="007A3223">
        <w:rPr>
          <w:szCs w:val="24"/>
          <w:u w:val="single"/>
        </w:rPr>
        <w:t xml:space="preserve">&gt; </w:t>
      </w:r>
      <w:r w:rsidR="007F51A4" w:rsidRPr="007A3223">
        <w:rPr>
          <w:szCs w:val="24"/>
        </w:rPr>
        <w:t>50 mL/min/1.73 m</w:t>
      </w:r>
      <w:r w:rsidR="007F51A4" w:rsidRPr="007A3223">
        <w:rPr>
          <w:szCs w:val="24"/>
          <w:vertAlign w:val="superscript"/>
        </w:rPr>
        <w:t>2</w:t>
      </w:r>
      <w:r w:rsidR="007F51A4" w:rsidRPr="007A3223">
        <w:rPr>
          <w:szCs w:val="24"/>
        </w:rPr>
        <w:t xml:space="preserve"> </w:t>
      </w:r>
    </w:p>
    <w:p w14:paraId="6A2C9E15" w14:textId="508CCD46" w:rsidR="007F51A4" w:rsidRPr="007A3223" w:rsidRDefault="00E1246A" w:rsidP="008F5C45">
      <w:pPr>
        <w:widowControl w:val="0"/>
        <w:numPr>
          <w:ilvl w:val="0"/>
          <w:numId w:val="6"/>
        </w:numPr>
        <w:tabs>
          <w:tab w:val="left" w:pos="1170"/>
          <w:tab w:val="left" w:pos="4410"/>
        </w:tabs>
        <w:suppressAutoHyphens/>
        <w:spacing w:before="60" w:after="60"/>
        <w:ind w:left="5040" w:hanging="4140"/>
        <w:rPr>
          <w:szCs w:val="24"/>
        </w:rPr>
      </w:pPr>
      <w:r w:rsidRPr="007A3223">
        <w:t>For</w:t>
      </w:r>
      <w:r w:rsidRPr="007A3223">
        <w:rPr>
          <w:spacing w:val="-13"/>
        </w:rPr>
        <w:t xml:space="preserve"> </w:t>
      </w:r>
      <w:r w:rsidRPr="007A3223">
        <w:t>NSCLC</w:t>
      </w:r>
      <w:r w:rsidRPr="007A3223">
        <w:rPr>
          <w:spacing w:val="-12"/>
        </w:rPr>
        <w:t xml:space="preserve"> </w:t>
      </w:r>
      <w:r w:rsidRPr="007A3223">
        <w:t>cohort</w:t>
      </w:r>
      <w:r w:rsidRPr="007A3223">
        <w:rPr>
          <w:spacing w:val="-13"/>
        </w:rPr>
        <w:t xml:space="preserve"> </w:t>
      </w:r>
      <w:r w:rsidR="00C56D0B">
        <w:rPr>
          <w:spacing w:val="-13"/>
        </w:rPr>
        <w:t>Durvalumab</w:t>
      </w:r>
      <w:r w:rsidRPr="007A3223">
        <w:rPr>
          <w:spacing w:val="-1"/>
        </w:rPr>
        <w:t>-C</w:t>
      </w:r>
      <w:r w:rsidRPr="007A3223">
        <w:rPr>
          <w:spacing w:val="-12"/>
        </w:rPr>
        <w:t xml:space="preserve"> </w:t>
      </w:r>
      <w:r w:rsidRPr="007A3223">
        <w:t>arm</w:t>
      </w:r>
      <w:r w:rsidRPr="007A3223">
        <w:rPr>
          <w:spacing w:val="-13"/>
        </w:rPr>
        <w:t xml:space="preserve"> </w:t>
      </w:r>
      <w:r w:rsidRPr="007A3223">
        <w:t>only:</w:t>
      </w:r>
      <w:r w:rsidRPr="007A3223">
        <w:rPr>
          <w:color w:val="32C528"/>
          <w:spacing w:val="-12"/>
        </w:rPr>
        <w:t xml:space="preserve"> </w:t>
      </w:r>
      <w:r w:rsidRPr="007A3223">
        <w:rPr>
          <w:color w:val="32C528"/>
          <w:spacing w:val="-12"/>
        </w:rPr>
        <w:tab/>
      </w:r>
      <w:r w:rsidR="007F51A4" w:rsidRPr="007A3223">
        <w:rPr>
          <w:szCs w:val="24"/>
        </w:rPr>
        <w:t>Spot urine protein/creatinine ratio</w:t>
      </w:r>
      <w:r w:rsidR="007F51A4" w:rsidRPr="007A3223">
        <w:rPr>
          <w:szCs w:val="24"/>
        </w:rPr>
        <w:tab/>
      </w:r>
      <w:r w:rsidR="007F51A4" w:rsidRPr="007A3223">
        <w:rPr>
          <w:rFonts w:hint="eastAsia"/>
          <w:szCs w:val="24"/>
        </w:rPr>
        <w:t>≤</w:t>
      </w:r>
      <w:r w:rsidR="007F51A4" w:rsidRPr="007A3223">
        <w:rPr>
          <w:szCs w:val="24"/>
        </w:rPr>
        <w:t xml:space="preserve"> 1</w:t>
      </w:r>
    </w:p>
    <w:p w14:paraId="4CB98A1B" w14:textId="77777777" w:rsidR="007F51A4" w:rsidRPr="007A3223" w:rsidRDefault="009E1E3D" w:rsidP="00EA1DA8">
      <w:pPr>
        <w:widowControl w:val="0"/>
        <w:tabs>
          <w:tab w:val="left" w:pos="1170"/>
          <w:tab w:val="left" w:pos="4410"/>
        </w:tabs>
        <w:suppressAutoHyphens/>
        <w:spacing w:before="60" w:after="60"/>
        <w:ind w:hanging="4140"/>
        <w:jc w:val="center"/>
        <w:rPr>
          <w:szCs w:val="24"/>
        </w:rPr>
      </w:pPr>
      <w:r w:rsidRPr="007A3223">
        <w:rPr>
          <w:szCs w:val="24"/>
        </w:rPr>
        <w:tab/>
      </w:r>
      <w:r w:rsidR="007F51A4" w:rsidRPr="007A3223">
        <w:rPr>
          <w:szCs w:val="24"/>
        </w:rPr>
        <w:t>OR</w:t>
      </w:r>
    </w:p>
    <w:p w14:paraId="04F41F07" w14:textId="77777777" w:rsidR="007F51A4" w:rsidRPr="007A3223" w:rsidRDefault="00E1246A" w:rsidP="00EA1DA8">
      <w:pPr>
        <w:widowControl w:val="0"/>
        <w:tabs>
          <w:tab w:val="left" w:pos="1530"/>
          <w:tab w:val="left" w:pos="5040"/>
        </w:tabs>
        <w:suppressAutoHyphens/>
        <w:spacing w:before="60" w:after="60"/>
        <w:ind w:left="5040" w:hanging="2520"/>
        <w:rPr>
          <w:szCs w:val="24"/>
        </w:rPr>
      </w:pPr>
      <w:r w:rsidRPr="007A3223">
        <w:rPr>
          <w:szCs w:val="24"/>
        </w:rPr>
        <w:tab/>
      </w:r>
      <w:r w:rsidR="007F51A4" w:rsidRPr="007A3223">
        <w:rPr>
          <w:szCs w:val="24"/>
        </w:rPr>
        <w:t>24 hour urine protein</w:t>
      </w:r>
      <w:r w:rsidR="007F51A4" w:rsidRPr="007A3223">
        <w:rPr>
          <w:szCs w:val="24"/>
        </w:rPr>
        <w:tab/>
      </w:r>
      <w:r w:rsidR="007F51A4" w:rsidRPr="007A3223">
        <w:rPr>
          <w:rFonts w:hint="eastAsia"/>
          <w:szCs w:val="24"/>
        </w:rPr>
        <w:t>≤</w:t>
      </w:r>
      <w:r w:rsidR="007F51A4" w:rsidRPr="007A3223">
        <w:rPr>
          <w:szCs w:val="24"/>
        </w:rPr>
        <w:t xml:space="preserve"> 1000 mg</w:t>
      </w:r>
    </w:p>
    <w:p w14:paraId="245714A1" w14:textId="77777777" w:rsidR="007F51A4" w:rsidRPr="007A3223" w:rsidRDefault="007F51A4" w:rsidP="009E1E3D">
      <w:pPr>
        <w:pStyle w:val="Heading4"/>
        <w:rPr>
          <w:noProof w:val="0"/>
        </w:rPr>
      </w:pPr>
      <w:r w:rsidRPr="007A3223">
        <w:rPr>
          <w:noProof w:val="0"/>
        </w:rPr>
        <w:t xml:space="preserve">Patients </w:t>
      </w:r>
      <w:r w:rsidR="00744832" w:rsidRPr="007A3223">
        <w:rPr>
          <w:noProof w:val="0"/>
        </w:rPr>
        <w:t>who</w:t>
      </w:r>
      <w:r w:rsidRPr="007A3223">
        <w:rPr>
          <w:noProof w:val="0"/>
        </w:rPr>
        <w:t xml:space="preserve"> have received anti-angiogenesis therapy</w:t>
      </w:r>
      <w:r w:rsidR="00EA4842" w:rsidRPr="007A3223">
        <w:rPr>
          <w:noProof w:val="0"/>
        </w:rPr>
        <w:t xml:space="preserve"> are eligibl</w:t>
      </w:r>
      <w:r w:rsidR="00744832" w:rsidRPr="007A3223">
        <w:rPr>
          <w:noProof w:val="0"/>
        </w:rPr>
        <w:t xml:space="preserve">e, </w:t>
      </w:r>
      <w:r w:rsidRPr="007A3223">
        <w:rPr>
          <w:noProof w:val="0"/>
        </w:rPr>
        <w:t xml:space="preserve">including but not limited to thalidomide, bevacizumab, sunitinib, sorafenib, or other anti-angiogenics. However, patients who were treated with cediranib, either in combination or </w:t>
      </w:r>
      <w:r w:rsidR="00744832" w:rsidRPr="007A3223">
        <w:rPr>
          <w:noProof w:val="0"/>
        </w:rPr>
        <w:t>monotherapy</w:t>
      </w:r>
      <w:r w:rsidRPr="007A3223">
        <w:rPr>
          <w:noProof w:val="0"/>
        </w:rPr>
        <w:t xml:space="preserve"> are not eligible. </w:t>
      </w:r>
    </w:p>
    <w:p w14:paraId="3BBF2A19" w14:textId="77777777" w:rsidR="007F51A4" w:rsidRPr="007A3223" w:rsidRDefault="007F51A4" w:rsidP="009E1E3D">
      <w:pPr>
        <w:pStyle w:val="Heading4"/>
        <w:rPr>
          <w:noProof w:val="0"/>
        </w:rPr>
      </w:pPr>
      <w:r w:rsidRPr="007A3223">
        <w:rPr>
          <w:noProof w:val="0"/>
        </w:rPr>
        <w:t>Patients must be able to swallow oral medications (capsules and tablets) without chewing, breaking, crushing, opening or otherwise altering the product formulation. They should not have gastrointestinal illnesses that would preclude the absorption of cediranib or olaparib, which are oral agents.</w:t>
      </w:r>
    </w:p>
    <w:p w14:paraId="4668D259" w14:textId="2BE9450A" w:rsidR="007F51A4" w:rsidRPr="007A3223" w:rsidRDefault="007F51A4" w:rsidP="009E1E3D">
      <w:pPr>
        <w:pStyle w:val="Heading4"/>
        <w:rPr>
          <w:noProof w:val="0"/>
        </w:rPr>
      </w:pPr>
      <w:r w:rsidRPr="007A3223">
        <w:rPr>
          <w:noProof w:val="0"/>
        </w:rPr>
        <w:t>Toxicities of prior therapy (excepting alopecia) should be resolved to less than or equal to Grade 1 as per CTCAE v 4.03 (http://ctep.cancer.gov/protocolDevelopment/electronic_applications/ctc.htm)</w:t>
      </w:r>
      <w:r w:rsidR="00C45E6D" w:rsidRPr="007A3223">
        <w:rPr>
          <w:noProof w:val="0"/>
        </w:rPr>
        <w:t xml:space="preserve"> except hemoglobin as shown in </w:t>
      </w:r>
      <w:r w:rsidR="006D69D9" w:rsidRPr="00F33908">
        <w:rPr>
          <w:b/>
          <w:noProof w:val="0"/>
          <w:color w:val="0000FF"/>
        </w:rPr>
        <w:fldChar w:fldCharType="begin"/>
      </w:r>
      <w:r w:rsidR="006D69D9" w:rsidRPr="007A3223">
        <w:rPr>
          <w:b/>
          <w:noProof w:val="0"/>
          <w:color w:val="0000FF"/>
        </w:rPr>
        <w:instrText xml:space="preserve"> REF _Ref505946771 \r \h  \* MERGEFORMAT </w:instrText>
      </w:r>
      <w:r w:rsidR="006D69D9" w:rsidRPr="00F33908">
        <w:rPr>
          <w:b/>
          <w:noProof w:val="0"/>
          <w:color w:val="0000FF"/>
        </w:rPr>
      </w:r>
      <w:r w:rsidR="006D69D9" w:rsidRPr="00F33908">
        <w:rPr>
          <w:b/>
          <w:noProof w:val="0"/>
          <w:color w:val="0000FF"/>
        </w:rPr>
        <w:fldChar w:fldCharType="separate"/>
      </w:r>
      <w:r w:rsidR="00E47ACA">
        <w:rPr>
          <w:b/>
          <w:noProof w:val="0"/>
          <w:color w:val="0000FF"/>
        </w:rPr>
        <w:t>2.4.1.10</w:t>
      </w:r>
      <w:r w:rsidR="006D69D9" w:rsidRPr="00F33908">
        <w:rPr>
          <w:b/>
          <w:noProof w:val="0"/>
          <w:color w:val="0000FF"/>
        </w:rPr>
        <w:fldChar w:fldCharType="end"/>
      </w:r>
      <w:r w:rsidRPr="007A3223">
        <w:rPr>
          <w:noProof w:val="0"/>
        </w:rPr>
        <w:t>.</w:t>
      </w:r>
      <w:r w:rsidRPr="00F33908">
        <w:rPr>
          <w:noProof w:val="0"/>
        </w:rPr>
        <w:t xml:space="preserve"> Patients with long-standing stable gra</w:t>
      </w:r>
      <w:r w:rsidRPr="007A3223">
        <w:rPr>
          <w:noProof w:val="0"/>
        </w:rPr>
        <w:t>de 2 neuropathy may be considered after discussion with the PI.</w:t>
      </w:r>
    </w:p>
    <w:p w14:paraId="3066D7A6" w14:textId="34B08449" w:rsidR="007F51A4" w:rsidRPr="007A3223" w:rsidRDefault="007F51A4" w:rsidP="00927FBA">
      <w:pPr>
        <w:pStyle w:val="Heading4"/>
        <w:rPr>
          <w:rFonts w:ascii="Times" w:hAnsi="Times"/>
          <w:noProof w:val="0"/>
        </w:rPr>
      </w:pPr>
      <w:r w:rsidRPr="007A3223">
        <w:rPr>
          <w:noProof w:val="0"/>
        </w:rPr>
        <w:t>Ability of subject to understand and the willingness to sign a written informed consent document prior to any protocol related procedures, including screening evaluation</w:t>
      </w:r>
      <w:r w:rsidR="00E607DB" w:rsidRPr="007A3223">
        <w:rPr>
          <w:rFonts w:ascii="Times" w:hAnsi="Times"/>
          <w:noProof w:val="0"/>
        </w:rPr>
        <w:t>.</w:t>
      </w:r>
    </w:p>
    <w:p w14:paraId="746BC807" w14:textId="789E2A94" w:rsidR="007F51A4" w:rsidRPr="007A3223" w:rsidRDefault="007F51A4" w:rsidP="00E51FCE">
      <w:pPr>
        <w:pStyle w:val="Heading4"/>
        <w:rPr>
          <w:rFonts w:ascii="Times" w:hAnsi="Times"/>
          <w:noProof w:val="0"/>
        </w:rPr>
      </w:pPr>
      <w:r w:rsidRPr="007A3223">
        <w:rPr>
          <w:rFonts w:ascii="Times" w:hAnsi="Times"/>
          <w:noProof w:val="0"/>
        </w:rPr>
        <w:t xml:space="preserve">Female patients must either be of non-reproductive potential (i.e., post-menopausal by history: </w:t>
      </w:r>
      <w:r w:rsidRPr="007A3223">
        <w:rPr>
          <w:rFonts w:ascii="Times" w:hAnsi="Times" w:hint="eastAsia"/>
          <w:noProof w:val="0"/>
        </w:rPr>
        <w:t>≥</w:t>
      </w:r>
      <w:r w:rsidRPr="007A3223">
        <w:rPr>
          <w:rFonts w:ascii="Times" w:hAnsi="Times" w:hint="eastAsia"/>
          <w:noProof w:val="0"/>
        </w:rPr>
        <w:t>60</w:t>
      </w:r>
      <w:r w:rsidRPr="007A3223">
        <w:rPr>
          <w:rFonts w:ascii="Times" w:hAnsi="Times"/>
          <w:noProof w:val="0"/>
        </w:rPr>
        <w:t xml:space="preserve"> years old and no menses for </w:t>
      </w:r>
      <w:r w:rsidRPr="007A3223">
        <w:rPr>
          <w:rFonts w:ascii="Times" w:hAnsi="Times" w:hint="eastAsia"/>
          <w:noProof w:val="0"/>
        </w:rPr>
        <w:t>≥</w:t>
      </w:r>
      <w:r w:rsidR="00E0465D" w:rsidRPr="007A3223">
        <w:rPr>
          <w:rFonts w:ascii="Times" w:hAnsi="Times"/>
          <w:noProof w:val="0"/>
        </w:rPr>
        <w:t xml:space="preserve"> </w:t>
      </w:r>
      <w:r w:rsidRPr="007A3223">
        <w:rPr>
          <w:rFonts w:ascii="Times" w:hAnsi="Times"/>
          <w:noProof w:val="0"/>
        </w:rPr>
        <w:t xml:space="preserve">1 year without an alternative medical cause; OR history of hysterectomy, OR history of bilateral tubal ligation, OR history of </w:t>
      </w:r>
      <w:r w:rsidRPr="007A3223">
        <w:rPr>
          <w:rFonts w:ascii="Times" w:hAnsi="Times"/>
          <w:noProof w:val="0"/>
        </w:rPr>
        <w:lastRenderedPageBreak/>
        <w:t xml:space="preserve">bilateral oophorectomy) or must have a negative serum pregnancy test upon study entry and agree to use contraception or abstinence (See Section </w:t>
      </w:r>
      <w:r w:rsidR="003E4C84" w:rsidRPr="00F33908">
        <w:rPr>
          <w:rFonts w:ascii="Times" w:hAnsi="Times"/>
          <w:b/>
          <w:noProof w:val="0"/>
          <w:color w:val="0000FF"/>
        </w:rPr>
        <w:fldChar w:fldCharType="begin"/>
      </w:r>
      <w:r w:rsidR="003E4C84" w:rsidRPr="007A3223">
        <w:rPr>
          <w:rFonts w:ascii="Times" w:hAnsi="Times"/>
          <w:b/>
          <w:noProof w:val="0"/>
          <w:color w:val="0000FF"/>
        </w:rPr>
        <w:instrText xml:space="preserve"> REF _Ref450582253 \r \h  \* MERGEFORMAT </w:instrText>
      </w:r>
      <w:r w:rsidR="003E4C84" w:rsidRPr="00F33908">
        <w:rPr>
          <w:rFonts w:ascii="Times" w:hAnsi="Times"/>
          <w:b/>
          <w:noProof w:val="0"/>
          <w:color w:val="0000FF"/>
        </w:rPr>
      </w:r>
      <w:r w:rsidR="003E4C84" w:rsidRPr="00F33908">
        <w:rPr>
          <w:rFonts w:ascii="Times" w:hAnsi="Times"/>
          <w:b/>
          <w:noProof w:val="0"/>
          <w:color w:val="0000FF"/>
        </w:rPr>
        <w:fldChar w:fldCharType="separate"/>
      </w:r>
      <w:r w:rsidR="00E47ACA">
        <w:rPr>
          <w:rFonts w:ascii="Times" w:hAnsi="Times"/>
          <w:b/>
          <w:noProof w:val="0"/>
          <w:color w:val="0000FF"/>
        </w:rPr>
        <w:t>2.10</w:t>
      </w:r>
      <w:r w:rsidR="003E4C84" w:rsidRPr="00F33908">
        <w:rPr>
          <w:rFonts w:ascii="Times" w:hAnsi="Times"/>
          <w:b/>
          <w:noProof w:val="0"/>
          <w:color w:val="0000FF"/>
        </w:rPr>
        <w:fldChar w:fldCharType="end"/>
      </w:r>
      <w:r w:rsidRPr="007A3223">
        <w:rPr>
          <w:rFonts w:ascii="Times" w:hAnsi="Times"/>
          <w:noProof w:val="0"/>
        </w:rPr>
        <w:t>) for female patients with reproductive potential</w:t>
      </w:r>
      <w:r w:rsidRPr="00F33908">
        <w:rPr>
          <w:rFonts w:ascii="Times" w:hAnsi="Times"/>
          <w:noProof w:val="0"/>
        </w:rPr>
        <w:t>.</w:t>
      </w:r>
      <w:r w:rsidRPr="007A3223">
        <w:rPr>
          <w:rFonts w:ascii="Times" w:hAnsi="Times"/>
          <w:noProof w:val="0"/>
        </w:rPr>
        <w:t xml:space="preserve"> See Section</w:t>
      </w:r>
      <w:r w:rsidR="003E4C84" w:rsidRPr="007A3223">
        <w:rPr>
          <w:rFonts w:ascii="Times" w:hAnsi="Times"/>
          <w:noProof w:val="0"/>
          <w:lang w:val="en-US"/>
        </w:rPr>
        <w:t xml:space="preserve"> </w:t>
      </w:r>
      <w:r w:rsidR="003E4C84" w:rsidRPr="00F33908">
        <w:rPr>
          <w:rFonts w:ascii="Times" w:hAnsi="Times"/>
          <w:b/>
          <w:noProof w:val="0"/>
          <w:color w:val="0000FF"/>
        </w:rPr>
        <w:fldChar w:fldCharType="begin"/>
      </w:r>
      <w:r w:rsidR="003E4C84" w:rsidRPr="007A3223">
        <w:rPr>
          <w:rFonts w:ascii="Times" w:hAnsi="Times"/>
          <w:b/>
          <w:noProof w:val="0"/>
          <w:color w:val="0000FF"/>
        </w:rPr>
        <w:instrText xml:space="preserve"> REF _Ref450582273 \r \h  \* MERGEFORMAT </w:instrText>
      </w:r>
      <w:r w:rsidR="003E4C84" w:rsidRPr="00F33908">
        <w:rPr>
          <w:rFonts w:ascii="Times" w:hAnsi="Times"/>
          <w:b/>
          <w:noProof w:val="0"/>
          <w:color w:val="0000FF"/>
        </w:rPr>
      </w:r>
      <w:r w:rsidR="003E4C84" w:rsidRPr="00F33908">
        <w:rPr>
          <w:rFonts w:ascii="Times" w:hAnsi="Times"/>
          <w:b/>
          <w:noProof w:val="0"/>
          <w:color w:val="0000FF"/>
        </w:rPr>
        <w:fldChar w:fldCharType="separate"/>
      </w:r>
      <w:r w:rsidR="00E47ACA">
        <w:rPr>
          <w:rFonts w:ascii="Times" w:hAnsi="Times"/>
          <w:b/>
          <w:noProof w:val="0"/>
          <w:color w:val="0000FF"/>
        </w:rPr>
        <w:t>2.10</w:t>
      </w:r>
      <w:r w:rsidR="003E4C84" w:rsidRPr="00F33908">
        <w:rPr>
          <w:rFonts w:ascii="Times" w:hAnsi="Times"/>
          <w:b/>
          <w:noProof w:val="0"/>
          <w:color w:val="0000FF"/>
        </w:rPr>
        <w:fldChar w:fldCharType="end"/>
      </w:r>
      <w:r w:rsidRPr="007A3223">
        <w:rPr>
          <w:rFonts w:ascii="Times" w:hAnsi="Times"/>
          <w:noProof w:val="0"/>
        </w:rPr>
        <w:t xml:space="preserve"> for male patients for</w:t>
      </w:r>
      <w:r w:rsidRPr="00F33908">
        <w:rPr>
          <w:rFonts w:ascii="Times" w:hAnsi="Times"/>
          <w:noProof w:val="0"/>
        </w:rPr>
        <w:t xml:space="preserve"> contraception while on</w:t>
      </w:r>
      <w:r w:rsidRPr="007A3223">
        <w:rPr>
          <w:rFonts w:ascii="Times" w:hAnsi="Times"/>
          <w:noProof w:val="0"/>
        </w:rPr>
        <w:t xml:space="preserve"> the study. </w:t>
      </w:r>
    </w:p>
    <w:p w14:paraId="65E5B4BE" w14:textId="77777777" w:rsidR="00E0465D" w:rsidRPr="007A3223" w:rsidRDefault="00E0465D" w:rsidP="00E0465D"/>
    <w:p w14:paraId="3853D522" w14:textId="77777777" w:rsidR="007F51A4" w:rsidRPr="007A3223" w:rsidRDefault="007F51A4" w:rsidP="000C1D10">
      <w:pPr>
        <w:pStyle w:val="Heading3"/>
      </w:pPr>
      <w:bookmarkStart w:id="92" w:name="_Hlk504749127"/>
      <w:r w:rsidRPr="007A3223">
        <w:t xml:space="preserve">Exclusion criteria </w:t>
      </w:r>
      <w:r w:rsidR="00D3360C" w:rsidRPr="007A3223">
        <w:t>for both NSCLC and SCLC cohorts</w:t>
      </w:r>
    </w:p>
    <w:bookmarkEnd w:id="92"/>
    <w:p w14:paraId="24926539" w14:textId="77777777" w:rsidR="008B2563" w:rsidRPr="007A3223" w:rsidRDefault="008B2563" w:rsidP="008B2563">
      <w:pPr>
        <w:pStyle w:val="Heading4"/>
        <w:rPr>
          <w:noProof w:val="0"/>
        </w:rPr>
      </w:pPr>
      <w:r w:rsidRPr="007A3223">
        <w:rPr>
          <w:noProof w:val="0"/>
        </w:rPr>
        <w:t>Patients who have had prior PARP inhibitors. For this study, BSI-201 (iniparib) is not considered as PARPi.</w:t>
      </w:r>
    </w:p>
    <w:p w14:paraId="43337C33" w14:textId="77777777" w:rsidR="00306A47" w:rsidRPr="007A3223" w:rsidRDefault="00306A47" w:rsidP="009E1E3D">
      <w:pPr>
        <w:pStyle w:val="Heading4"/>
        <w:rPr>
          <w:noProof w:val="0"/>
        </w:rPr>
      </w:pPr>
      <w:r w:rsidRPr="007A3223">
        <w:rPr>
          <w:noProof w:val="0"/>
        </w:rPr>
        <w:t xml:space="preserve">Patients who have received chemotherapy, </w:t>
      </w:r>
      <w:r w:rsidR="00AA297A" w:rsidRPr="007A3223">
        <w:rPr>
          <w:noProof w:val="0"/>
        </w:rPr>
        <w:t xml:space="preserve">radiotherapy </w:t>
      </w:r>
      <w:r w:rsidRPr="007A3223">
        <w:rPr>
          <w:noProof w:val="0"/>
        </w:rPr>
        <w:t xml:space="preserve">any other investigational agents within </w:t>
      </w:r>
      <w:r w:rsidR="00985F89" w:rsidRPr="007A3223">
        <w:rPr>
          <w:noProof w:val="0"/>
        </w:rPr>
        <w:t>3</w:t>
      </w:r>
      <w:r w:rsidRPr="007A3223">
        <w:rPr>
          <w:noProof w:val="0"/>
        </w:rPr>
        <w:t xml:space="preserve"> weeks (6 weeks for nitrosoureas or mitomycin) prior to study enrollment</w:t>
      </w:r>
      <w:r w:rsidR="009843E3" w:rsidRPr="007A3223">
        <w:rPr>
          <w:noProof w:val="0"/>
          <w:lang w:val="en-US"/>
        </w:rPr>
        <w:t xml:space="preserve"> are ineligible with the following exceptions:</w:t>
      </w:r>
    </w:p>
    <w:p w14:paraId="29309A1A" w14:textId="77777777" w:rsidR="009843E3" w:rsidRPr="007A3223" w:rsidRDefault="00AA297A" w:rsidP="00036CFF">
      <w:pPr>
        <w:pStyle w:val="Heading5"/>
        <w:ind w:left="2340"/>
        <w:rPr>
          <w:lang w:val="en-US"/>
        </w:rPr>
      </w:pPr>
      <w:r w:rsidRPr="007A3223">
        <w:t>SCLC p</w:t>
      </w:r>
      <w:r w:rsidR="00306A47" w:rsidRPr="007A3223">
        <w:t xml:space="preserve">atients </w:t>
      </w:r>
      <w:r w:rsidRPr="007A3223">
        <w:t xml:space="preserve">who have received radiation therapy </w:t>
      </w:r>
      <w:r w:rsidR="00306A47" w:rsidRPr="007A3223">
        <w:t>within 14 days before the first dose of study treatment</w:t>
      </w:r>
      <w:r w:rsidRPr="007A3223">
        <w:t xml:space="preserve">. </w:t>
      </w:r>
    </w:p>
    <w:p w14:paraId="4894AEA9" w14:textId="77777777" w:rsidR="009843E3" w:rsidRPr="007A3223" w:rsidRDefault="009843E3" w:rsidP="00036CFF">
      <w:pPr>
        <w:pStyle w:val="Heading5"/>
        <w:ind w:left="2340"/>
      </w:pPr>
      <w:r w:rsidRPr="007A3223">
        <w:t>NSCLC patients who have received Erlotinib, Afatinib, Osimertinib, Crizotinib, or Ceritinib within 14 days of the first dose of study treatment.</w:t>
      </w:r>
    </w:p>
    <w:p w14:paraId="0AFD73B9" w14:textId="7C5549BF" w:rsidR="007F51A4" w:rsidRPr="007A3223" w:rsidRDefault="007F51A4" w:rsidP="009E1E3D">
      <w:pPr>
        <w:pStyle w:val="Heading4"/>
        <w:rPr>
          <w:noProof w:val="0"/>
        </w:rPr>
      </w:pPr>
      <w:r w:rsidRPr="007A3223">
        <w:rPr>
          <w:noProof w:val="0"/>
        </w:rPr>
        <w:t xml:space="preserve">Patients receiving any medications or substances that are strong inhibitors or inducers of CYP3A4 are ineligible. A list of CYP3A4 inhibitors and inducers is provided in </w:t>
      </w:r>
      <w:r w:rsidRPr="00F33908">
        <w:fldChar w:fldCharType="begin"/>
      </w:r>
      <w:r w:rsidRPr="007A3223">
        <w:instrText xml:space="preserve"> REF _Ref408917937 \h  \* MERGEFORMAT </w:instrText>
      </w:r>
      <w:r w:rsidRPr="00F33908">
        <w:fldChar w:fldCharType="separate"/>
      </w:r>
      <w:r w:rsidR="00E47ACA" w:rsidRPr="00E47ACA">
        <w:rPr>
          <w:b/>
          <w:noProof w:val="0"/>
          <w:color w:val="0000FF"/>
        </w:rPr>
        <w:t>Appendix B</w:t>
      </w:r>
      <w:r w:rsidRPr="00F33908">
        <w:fldChar w:fldCharType="end"/>
      </w:r>
      <w:r w:rsidRPr="007A3223">
        <w:rPr>
          <w:noProof w:val="0"/>
          <w:color w:val="0000FF"/>
        </w:rPr>
        <w:t xml:space="preserve">. </w:t>
      </w:r>
      <w:r w:rsidRPr="00F33908">
        <w:rPr>
          <w:noProof w:val="0"/>
        </w:rPr>
        <w:t>Dihydropyridine calcium-channel blockers are permitted for manage</w:t>
      </w:r>
      <w:r w:rsidRPr="007A3223">
        <w:rPr>
          <w:noProof w:val="0"/>
        </w:rPr>
        <w:t>ment of hypertension.</w:t>
      </w:r>
    </w:p>
    <w:p w14:paraId="384D2A05" w14:textId="44ABE4F3" w:rsidR="007F51A4" w:rsidRPr="007A3223" w:rsidRDefault="007F51A4" w:rsidP="009E1E3D">
      <w:pPr>
        <w:pStyle w:val="Heading4"/>
        <w:rPr>
          <w:noProof w:val="0"/>
        </w:rPr>
      </w:pPr>
      <w:r w:rsidRPr="007A3223">
        <w:rPr>
          <w:noProof w:val="0"/>
          <w:lang w:val="en-US"/>
        </w:rPr>
        <w:t xml:space="preserve">Major surgical procedure (as defined by the investigator) within 30 days prior to the first dose of </w:t>
      </w:r>
      <w:r w:rsidR="00C56D0B">
        <w:rPr>
          <w:noProof w:val="0"/>
          <w:lang w:val="en-US"/>
        </w:rPr>
        <w:t>Durvalumab</w:t>
      </w:r>
      <w:r w:rsidRPr="007A3223">
        <w:rPr>
          <w:noProof w:val="0"/>
          <w:lang w:val="en-US"/>
        </w:rPr>
        <w:t xml:space="preserve"> or still recovering from prior surgery. </w:t>
      </w:r>
    </w:p>
    <w:p w14:paraId="0351C2EF" w14:textId="77777777" w:rsidR="007A6E3F" w:rsidRPr="007A3223" w:rsidRDefault="00306A47" w:rsidP="009E1E3D">
      <w:pPr>
        <w:pStyle w:val="Heading4"/>
        <w:rPr>
          <w:noProof w:val="0"/>
        </w:rPr>
      </w:pPr>
      <w:r w:rsidRPr="007A3223">
        <w:t>Patients</w:t>
      </w:r>
      <w:r w:rsidR="007F51A4" w:rsidRPr="007A3223">
        <w:t xml:space="preserve"> with symptomatic brain metastases will be excluded from trial secondary to poor prognosis. However, </w:t>
      </w:r>
      <w:r w:rsidR="007A3D1A" w:rsidRPr="007A3223">
        <w:t>patients</w:t>
      </w:r>
      <w:r w:rsidR="007F51A4" w:rsidRPr="007A3223">
        <w:t xml:space="preserve"> who have had treatment for their brain metastasis and whose brain disease is stab</w:t>
      </w:r>
      <w:r w:rsidRPr="007A3223">
        <w:t xml:space="preserve">le without steroid therapy for </w:t>
      </w:r>
      <w:r w:rsidR="002A107C" w:rsidRPr="007A3223">
        <w:t>2</w:t>
      </w:r>
      <w:r w:rsidR="007F51A4" w:rsidRPr="007A3223">
        <w:t xml:space="preserve"> weeks may be enrolled. Baseline imaging to rule out brain metastases is not required for screening, but should be performed prior to study enrollment if clinically indicated. </w:t>
      </w:r>
    </w:p>
    <w:p w14:paraId="72AFF861" w14:textId="6E13D9C3" w:rsidR="007F51A4" w:rsidRPr="007A3223" w:rsidRDefault="007A6E3F" w:rsidP="00031E40">
      <w:pPr>
        <w:pStyle w:val="Heading4"/>
      </w:pPr>
      <w:r w:rsidRPr="007A3223">
        <w:t>Patients with history of a previous malignancy within the last 2 years</w:t>
      </w:r>
      <w:r w:rsidR="009843E3" w:rsidRPr="007A3223">
        <w:rPr>
          <w:lang w:val="en-US"/>
        </w:rPr>
        <w:t xml:space="preserve"> are ineligible</w:t>
      </w:r>
      <w:r w:rsidRPr="007A3223">
        <w:t xml:space="preserve">, except non-melanoma skin cancer, papillary carcinoma of the thyroid or non-invasive cancer of the uterine cervix. </w:t>
      </w:r>
      <w:r w:rsidR="00165B82" w:rsidRPr="007A3223">
        <w:t xml:space="preserve">Eligibility of </w:t>
      </w:r>
      <w:r w:rsidR="00031E40" w:rsidRPr="007A3223">
        <w:rPr>
          <w:lang w:val="en-US"/>
        </w:rPr>
        <w:t xml:space="preserve">SCLC patients with </w:t>
      </w:r>
      <w:r w:rsidR="00165B82" w:rsidRPr="007A3223">
        <w:rPr>
          <w:lang w:val="en-US"/>
        </w:rPr>
        <w:t xml:space="preserve">inactive </w:t>
      </w:r>
      <w:r w:rsidR="00031E40" w:rsidRPr="007A3223">
        <w:rPr>
          <w:lang w:val="en-US"/>
        </w:rPr>
        <w:t xml:space="preserve">prior malignancy </w:t>
      </w:r>
      <w:r w:rsidR="00165B82" w:rsidRPr="007A3223">
        <w:rPr>
          <w:lang w:val="en-US"/>
        </w:rPr>
        <w:t>is</w:t>
      </w:r>
      <w:r w:rsidR="0084276B" w:rsidRPr="007A3223">
        <w:rPr>
          <w:lang w:val="en-US"/>
        </w:rPr>
        <w:t xml:space="preserve"> </w:t>
      </w:r>
      <w:r w:rsidR="00165B82" w:rsidRPr="007A3223">
        <w:rPr>
          <w:noProof w:val="0"/>
        </w:rPr>
        <w:t>a PI decision on an individual patient basis</w:t>
      </w:r>
      <w:r w:rsidR="00031E40" w:rsidRPr="007A3223">
        <w:rPr>
          <w:lang w:val="en-US"/>
        </w:rPr>
        <w:t xml:space="preserve">. </w:t>
      </w:r>
    </w:p>
    <w:p w14:paraId="63D88BDD" w14:textId="117B150C" w:rsidR="007F51A4" w:rsidRPr="007A3223" w:rsidRDefault="007F51A4" w:rsidP="009E1E3D">
      <w:pPr>
        <w:pStyle w:val="Heading4"/>
        <w:rPr>
          <w:noProof w:val="0"/>
        </w:rPr>
      </w:pPr>
      <w:r w:rsidRPr="007A3223">
        <w:rPr>
          <w:noProof w:val="0"/>
        </w:rPr>
        <w:t>History of allergic reactions attributed to compounds of similar chemical or biologic composition to</w:t>
      </w:r>
      <w:r w:rsidRPr="007A3223">
        <w:rPr>
          <w:i/>
          <w:noProof w:val="0"/>
        </w:rPr>
        <w:t xml:space="preserve"> </w:t>
      </w:r>
      <w:r w:rsidR="00C56D0B" w:rsidRPr="00CC2182">
        <w:rPr>
          <w:iCs/>
          <w:noProof w:val="0"/>
          <w:lang w:val="en-US"/>
        </w:rPr>
        <w:t>Durvalumab</w:t>
      </w:r>
      <w:r w:rsidRPr="007A3223">
        <w:rPr>
          <w:noProof w:val="0"/>
        </w:rPr>
        <w:t>4736, olaparib, cediranib, or to other humanized monoclonal antibodies. Known history of anaphylaxis, angioedema, laryngeal edema, serum sickness, or uncontrolled asthma.</w:t>
      </w:r>
    </w:p>
    <w:p w14:paraId="057A79FA" w14:textId="77777777" w:rsidR="007F51A4" w:rsidRPr="007A3223" w:rsidRDefault="007F51A4" w:rsidP="009E1E3D">
      <w:pPr>
        <w:pStyle w:val="Heading4"/>
        <w:rPr>
          <w:noProof w:val="0"/>
        </w:rPr>
      </w:pPr>
      <w:r w:rsidRPr="007A3223">
        <w:rPr>
          <w:noProof w:val="0"/>
        </w:rPr>
        <w:t>History of auto-immune disease requiring steroid maintenance, or history of primary immunodeficiency.</w:t>
      </w:r>
    </w:p>
    <w:p w14:paraId="46A61362" w14:textId="77777777" w:rsidR="007F51A4" w:rsidRPr="007A3223" w:rsidRDefault="007F51A4" w:rsidP="009E1E3D">
      <w:pPr>
        <w:pStyle w:val="Heading4"/>
        <w:rPr>
          <w:noProof w:val="0"/>
        </w:rPr>
      </w:pPr>
      <w:r w:rsidRPr="007A3223">
        <w:t>Patients with prior history of pneumonitis and/or interstitial lung disease will be excluded.</w:t>
      </w:r>
      <w:r w:rsidRPr="007A3223">
        <w:rPr>
          <w:noProof w:val="0"/>
        </w:rPr>
        <w:t xml:space="preserve"> </w:t>
      </w:r>
    </w:p>
    <w:p w14:paraId="6C426CD7" w14:textId="5B63ACE9" w:rsidR="007F51A4" w:rsidRPr="007A3223" w:rsidRDefault="007F51A4" w:rsidP="00B272D0">
      <w:pPr>
        <w:pStyle w:val="Heading4"/>
        <w:rPr>
          <w:noProof w:val="0"/>
        </w:rPr>
      </w:pPr>
      <w:r w:rsidRPr="007A3223">
        <w:rPr>
          <w:noProof w:val="0"/>
        </w:rPr>
        <w:t xml:space="preserve">Current or prior use of immunosuppressive medication within 28 days before the first dose of </w:t>
      </w:r>
      <w:r w:rsidR="005E4DEA">
        <w:rPr>
          <w:noProof w:val="0"/>
          <w:lang w:val="en-US"/>
        </w:rPr>
        <w:t>Durvalumab</w:t>
      </w:r>
      <w:r w:rsidRPr="007A3223">
        <w:rPr>
          <w:noProof w:val="0"/>
        </w:rPr>
        <w:t xml:space="preserve">, with the exception of intranasal and inhaled corticosteroids or </w:t>
      </w:r>
      <w:r w:rsidRPr="007A3223">
        <w:rPr>
          <w:noProof w:val="0"/>
        </w:rPr>
        <w:lastRenderedPageBreak/>
        <w:t>systemic corticosteroids at physiological doses, which are not to exceed 10 mg/day of prednisone or an equivalent corticosteroid.</w:t>
      </w:r>
      <w:r w:rsidRPr="007A3223" w:rsidDel="00B87BCE">
        <w:rPr>
          <w:noProof w:val="0"/>
        </w:rPr>
        <w:t xml:space="preserve"> </w:t>
      </w:r>
      <w:r w:rsidR="00B272D0" w:rsidRPr="007A3223">
        <w:rPr>
          <w:noProof w:val="0"/>
          <w:lang w:val="en-US"/>
        </w:rPr>
        <w:t xml:space="preserve"> </w:t>
      </w:r>
      <w:r w:rsidR="00B272D0" w:rsidRPr="007A3223">
        <w:rPr>
          <w:noProof w:val="0"/>
        </w:rPr>
        <w:t xml:space="preserve">In the case of short term use of systemic corticosteroids (less than 24 hours within 28 days) of greater than 10 mg/day of prednisone or an equivalent corticosteroid, the required washout period prior to starting the first dose of </w:t>
      </w:r>
      <w:r w:rsidR="005E4DEA">
        <w:rPr>
          <w:noProof w:val="0"/>
          <w:lang w:val="en-US"/>
        </w:rPr>
        <w:t>Durvalumab</w:t>
      </w:r>
      <w:r w:rsidR="00B272D0" w:rsidRPr="007A3223">
        <w:rPr>
          <w:noProof w:val="0"/>
        </w:rPr>
        <w:t xml:space="preserve"> is 7 days.</w:t>
      </w:r>
    </w:p>
    <w:p w14:paraId="4B5676EE" w14:textId="77777777" w:rsidR="007F51A4" w:rsidRPr="007A3223" w:rsidRDefault="007F51A4" w:rsidP="009E1E3D">
      <w:pPr>
        <w:pStyle w:val="Heading4"/>
        <w:rPr>
          <w:noProof w:val="0"/>
        </w:rPr>
      </w:pPr>
      <w:r w:rsidRPr="007A3223">
        <w:rPr>
          <w:noProof w:val="0"/>
        </w:rPr>
        <w:t>Active or prior documented inflammatory bowel disease (e.g., Crohn’s disease, ulcerative colitis). Eligibility for patients with asymptomatic and a previous diagnosis of immune or inflammatory colitis, or patients with chronic diarrhea &gt; 1 month without immune or inflammatory colitis is a PI decision on an individual patient basis.</w:t>
      </w:r>
      <w:r w:rsidRPr="007A3223" w:rsidDel="00544CCD">
        <w:rPr>
          <w:noProof w:val="0"/>
        </w:rPr>
        <w:t xml:space="preserve"> </w:t>
      </w:r>
    </w:p>
    <w:p w14:paraId="4F1D67FE" w14:textId="19ED4BE0" w:rsidR="007F51A4" w:rsidRPr="007A3223" w:rsidRDefault="007F51A4" w:rsidP="009E1E3D">
      <w:pPr>
        <w:pStyle w:val="Heading4"/>
        <w:rPr>
          <w:noProof w:val="0"/>
        </w:rPr>
      </w:pPr>
      <w:r w:rsidRPr="007A3223">
        <w:rPr>
          <w:noProof w:val="0"/>
        </w:rPr>
        <w:t xml:space="preserve">Receipt of live attenuated vaccination within 30 days before the first dose of </w:t>
      </w:r>
      <w:r w:rsidR="005E4DEA">
        <w:rPr>
          <w:noProof w:val="0"/>
          <w:lang w:val="en-US"/>
        </w:rPr>
        <w:t>Durvalumab</w:t>
      </w:r>
      <w:r w:rsidRPr="007A3223">
        <w:rPr>
          <w:noProof w:val="0"/>
        </w:rPr>
        <w:t>.</w:t>
      </w:r>
    </w:p>
    <w:p w14:paraId="362B6BD1" w14:textId="5C0A999D" w:rsidR="007F51A4" w:rsidRPr="007A3223" w:rsidRDefault="007F51A4" w:rsidP="009E1E3D">
      <w:pPr>
        <w:pStyle w:val="Heading4"/>
        <w:rPr>
          <w:noProof w:val="0"/>
        </w:rPr>
      </w:pPr>
      <w:r w:rsidRPr="007A3223">
        <w:rPr>
          <w:noProof w:val="0"/>
          <w:lang w:eastAsia="ko-KR"/>
        </w:rPr>
        <w:t xml:space="preserve">Patients who have the following clinical conditions are considered to be at increased risk for cardiac </w:t>
      </w:r>
      <w:r w:rsidRPr="007A3223">
        <w:rPr>
          <w:noProof w:val="0"/>
        </w:rPr>
        <w:t>toxicities</w:t>
      </w:r>
      <w:r w:rsidRPr="007A3223">
        <w:rPr>
          <w:noProof w:val="0"/>
          <w:lang w:eastAsia="ko-KR"/>
        </w:rPr>
        <w:t xml:space="preserve">. </w:t>
      </w:r>
      <w:r w:rsidRPr="007A3223">
        <w:rPr>
          <w:noProof w:val="0"/>
        </w:rPr>
        <w:t xml:space="preserve">Patients with any cardiac history of the following conditions within 1 year prior to </w:t>
      </w:r>
      <w:r w:rsidR="005E4DEA">
        <w:rPr>
          <w:noProof w:val="0"/>
          <w:lang w:val="en-US"/>
        </w:rPr>
        <w:t>Durvalumab</w:t>
      </w:r>
      <w:r w:rsidR="004B77CD" w:rsidRPr="007A3223">
        <w:rPr>
          <w:noProof w:val="0"/>
        </w:rPr>
        <w:t xml:space="preserve">+O </w:t>
      </w:r>
      <w:r w:rsidR="00501137" w:rsidRPr="007A3223">
        <w:rPr>
          <w:noProof w:val="0"/>
          <w:lang w:val="en-US"/>
        </w:rPr>
        <w:t>arm</w:t>
      </w:r>
      <w:r w:rsidR="00BA7686" w:rsidRPr="007A3223">
        <w:rPr>
          <w:noProof w:val="0"/>
        </w:rPr>
        <w:t xml:space="preserve"> </w:t>
      </w:r>
      <w:r w:rsidR="004B77CD" w:rsidRPr="007A3223">
        <w:rPr>
          <w:noProof w:val="0"/>
        </w:rPr>
        <w:t xml:space="preserve">or within 2 years prior to </w:t>
      </w:r>
      <w:r w:rsidR="005E4DEA">
        <w:rPr>
          <w:noProof w:val="0"/>
          <w:lang w:val="en-US"/>
        </w:rPr>
        <w:t>Durvalumab</w:t>
      </w:r>
      <w:r w:rsidR="004B77CD" w:rsidRPr="007A3223">
        <w:rPr>
          <w:noProof w:val="0"/>
        </w:rPr>
        <w:t xml:space="preserve">+C </w:t>
      </w:r>
      <w:r w:rsidR="00501137" w:rsidRPr="007A3223">
        <w:rPr>
          <w:noProof w:val="0"/>
          <w:lang w:val="en-US"/>
        </w:rPr>
        <w:t>arm</w:t>
      </w:r>
      <w:r w:rsidR="00BA7686" w:rsidRPr="007A3223">
        <w:rPr>
          <w:noProof w:val="0"/>
        </w:rPr>
        <w:t xml:space="preserve"> </w:t>
      </w:r>
      <w:r w:rsidRPr="007A3223">
        <w:rPr>
          <w:noProof w:val="0"/>
        </w:rPr>
        <w:t xml:space="preserve">enrollment are excluded from the study: </w:t>
      </w:r>
    </w:p>
    <w:p w14:paraId="3AD40406" w14:textId="77777777" w:rsidR="007F51A4" w:rsidRPr="007A3223" w:rsidRDefault="007F51A4" w:rsidP="008F5C45">
      <w:pPr>
        <w:pStyle w:val="ListParagraph"/>
        <w:numPr>
          <w:ilvl w:val="0"/>
          <w:numId w:val="6"/>
        </w:numPr>
        <w:spacing w:before="60" w:after="60"/>
        <w:ind w:left="1080"/>
      </w:pPr>
      <w:r w:rsidRPr="007A3223">
        <w:t xml:space="preserve">Prior events including myocardial infarction, </w:t>
      </w:r>
      <w:r w:rsidR="003754FF" w:rsidRPr="007A3223">
        <w:t xml:space="preserve">clinically signficant </w:t>
      </w:r>
      <w:r w:rsidRPr="007A3223">
        <w:t xml:space="preserve">pericardial effusion, and myocarditis.  </w:t>
      </w:r>
    </w:p>
    <w:p w14:paraId="72AB1E83" w14:textId="51312114" w:rsidR="007F51A4" w:rsidRPr="007A3223" w:rsidRDefault="007F51A4" w:rsidP="008F5C45">
      <w:pPr>
        <w:pStyle w:val="ListParagraph"/>
        <w:numPr>
          <w:ilvl w:val="0"/>
          <w:numId w:val="6"/>
        </w:numPr>
        <w:spacing w:before="60" w:after="60"/>
        <w:ind w:left="1080"/>
      </w:pPr>
      <w:r w:rsidRPr="007A3223">
        <w:t xml:space="preserve">Prior cardiac arrhythmia including atrial </w:t>
      </w:r>
      <w:bookmarkStart w:id="93" w:name="_Hlk504749304"/>
      <w:r w:rsidRPr="007A3223">
        <w:t xml:space="preserve">fibrillation </w:t>
      </w:r>
      <w:r w:rsidR="00807F7E" w:rsidRPr="007A3223">
        <w:t xml:space="preserve">(except chronic atrial fibrillation with controlled vascular rate) </w:t>
      </w:r>
      <w:bookmarkEnd w:id="93"/>
      <w:r w:rsidRPr="007A3223">
        <w:t xml:space="preserve">and atrial flutter, or requiring concurrent use of drugs or biologics with pro-arrhythmic potential.  </w:t>
      </w:r>
    </w:p>
    <w:p w14:paraId="29BE7A9B" w14:textId="77777777" w:rsidR="007F51A4" w:rsidRPr="007A3223" w:rsidRDefault="007F51A4" w:rsidP="008F5C45">
      <w:pPr>
        <w:pStyle w:val="ListParagraph"/>
        <w:numPr>
          <w:ilvl w:val="0"/>
          <w:numId w:val="6"/>
        </w:numPr>
        <w:spacing w:before="60" w:after="60"/>
        <w:ind w:left="1080"/>
      </w:pPr>
      <w:r w:rsidRPr="007A3223">
        <w:t xml:space="preserve">NYHA Class II or greater heart failure.  </w:t>
      </w:r>
    </w:p>
    <w:p w14:paraId="0B725F42" w14:textId="77777777" w:rsidR="007F51A4" w:rsidRPr="007A3223" w:rsidRDefault="007F51A4" w:rsidP="008F5C45">
      <w:pPr>
        <w:pStyle w:val="ListParagraph"/>
        <w:numPr>
          <w:ilvl w:val="0"/>
          <w:numId w:val="6"/>
        </w:numPr>
        <w:spacing w:before="60" w:after="60"/>
        <w:ind w:left="1080"/>
      </w:pPr>
      <w:r w:rsidRPr="007A3223">
        <w:t xml:space="preserve">If cardiac function assessment is clinically indicated or performed, an LVEF less than normal per institutional guidelines, or &lt;55%, if threshold for normal is not otherwise specified by institutional guidelines. </w:t>
      </w:r>
    </w:p>
    <w:p w14:paraId="3DBD1D60" w14:textId="77777777" w:rsidR="007F51A4" w:rsidRPr="007A3223" w:rsidRDefault="00415161" w:rsidP="008F5C45">
      <w:pPr>
        <w:pStyle w:val="ListParagraph"/>
        <w:numPr>
          <w:ilvl w:val="0"/>
          <w:numId w:val="6"/>
        </w:numPr>
        <w:spacing w:before="60" w:after="60"/>
        <w:ind w:left="1080"/>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007F51A4" w:rsidRPr="007A3223">
        <w:t xml:space="preserve">or other significant ECG abnormality noted within 14 days of treatment.  </w:t>
      </w:r>
    </w:p>
    <w:p w14:paraId="1B1CC0C5" w14:textId="77777777" w:rsidR="007F51A4" w:rsidRPr="007A3223" w:rsidRDefault="007F51A4" w:rsidP="008F5C45">
      <w:pPr>
        <w:pStyle w:val="ListParagraph"/>
        <w:numPr>
          <w:ilvl w:val="0"/>
          <w:numId w:val="6"/>
        </w:numPr>
        <w:spacing w:before="60" w:after="60"/>
        <w:ind w:left="1080"/>
      </w:pPr>
      <w:r w:rsidRPr="007A3223">
        <w:t xml:space="preserve">Hypertensive crisis or hypertensive encephalopathy. </w:t>
      </w:r>
    </w:p>
    <w:p w14:paraId="391C17B0" w14:textId="77777777" w:rsidR="007F51A4" w:rsidRPr="007A3223" w:rsidRDefault="007F51A4" w:rsidP="008F5C45">
      <w:pPr>
        <w:pStyle w:val="ListParagraph"/>
        <w:numPr>
          <w:ilvl w:val="0"/>
          <w:numId w:val="6"/>
        </w:numPr>
        <w:spacing w:before="60" w:after="60"/>
        <w:ind w:left="1080"/>
      </w:pPr>
      <w:r w:rsidRPr="007A3223">
        <w:t xml:space="preserve">Clinically significant peripheral vascular disease or vascular disease, including rapidly growing aortic aneurysm or abdominal aortic aneurysm &gt;5 cm or aortic dissection.  </w:t>
      </w:r>
    </w:p>
    <w:p w14:paraId="05C597C7" w14:textId="77777777" w:rsidR="007F51A4" w:rsidRPr="007A3223" w:rsidRDefault="007F51A4" w:rsidP="008F5C45">
      <w:pPr>
        <w:pStyle w:val="ListParagraph"/>
        <w:numPr>
          <w:ilvl w:val="0"/>
          <w:numId w:val="6"/>
        </w:numPr>
        <w:spacing w:before="60" w:after="60"/>
        <w:ind w:left="1080"/>
      </w:pPr>
      <w:r w:rsidRPr="007A3223">
        <w:t xml:space="preserve">Unstable angina.  </w:t>
      </w:r>
    </w:p>
    <w:p w14:paraId="085C62CC" w14:textId="77777777" w:rsidR="007F51A4" w:rsidRPr="007A3223" w:rsidRDefault="007F51A4" w:rsidP="009E1E3D">
      <w:pPr>
        <w:pStyle w:val="Heading4"/>
        <w:rPr>
          <w:noProof w:val="0"/>
        </w:rPr>
      </w:pPr>
      <w:r w:rsidRPr="007A3223">
        <w:rPr>
          <w:noProof w:val="0"/>
        </w:rPr>
        <w:t>History of cerebrovascular accident, transient ischemic attack within 1 year prior to study enrollment.</w:t>
      </w:r>
    </w:p>
    <w:p w14:paraId="5B46D3BF" w14:textId="77777777" w:rsidR="007F51A4" w:rsidRPr="007A3223" w:rsidRDefault="007F51A4" w:rsidP="009E1E3D">
      <w:pPr>
        <w:pStyle w:val="Heading4"/>
        <w:rPr>
          <w:noProof w:val="0"/>
        </w:rPr>
      </w:pPr>
      <w:r w:rsidRPr="007A3223">
        <w:rPr>
          <w:noProof w:val="0"/>
        </w:rPr>
        <w:t>History of abdominal fistula, gastrointestinal perforation, or intra-abdominal abscess within 6 months prior to study enrollment.</w:t>
      </w:r>
    </w:p>
    <w:p w14:paraId="47362399" w14:textId="77777777" w:rsidR="007F51A4" w:rsidRPr="007A3223" w:rsidRDefault="007F51A4" w:rsidP="009E1E3D">
      <w:pPr>
        <w:pStyle w:val="Heading4"/>
        <w:rPr>
          <w:noProof w:val="0"/>
        </w:rPr>
      </w:pPr>
      <w:r w:rsidRPr="007A3223">
        <w:rPr>
          <w:noProof w:val="0"/>
        </w:rPr>
        <w:t>Significant hemorrhage (&gt; 30 mL bleeding/episode within 3 months before study enrollment) or hemoptysis (&gt; 5mL fresh blood within 28 days before study enrollment).</w:t>
      </w:r>
    </w:p>
    <w:p w14:paraId="03007CED" w14:textId="77777777" w:rsidR="007F51A4" w:rsidRPr="007A3223" w:rsidRDefault="007F51A4" w:rsidP="009E1E3D">
      <w:pPr>
        <w:pStyle w:val="Heading4"/>
        <w:rPr>
          <w:noProof w:val="0"/>
        </w:rPr>
      </w:pPr>
      <w:r w:rsidRPr="007A3223">
        <w:rPr>
          <w:noProof w:val="0"/>
        </w:rPr>
        <w:t>Current signs and/or symptoms of bowel obstruction or signs and/or symptoms of bowel obstruction within 28 days before study enrollment.</w:t>
      </w:r>
    </w:p>
    <w:p w14:paraId="44C5497E" w14:textId="77777777" w:rsidR="007F51A4" w:rsidRPr="007A3223" w:rsidRDefault="007F51A4" w:rsidP="009E1E3D">
      <w:pPr>
        <w:pStyle w:val="Heading4"/>
        <w:rPr>
          <w:noProof w:val="0"/>
        </w:rPr>
      </w:pPr>
      <w:r w:rsidRPr="007A3223">
        <w:rPr>
          <w:noProof w:val="0"/>
        </w:rPr>
        <w:t>Current dependency on total parenteral nutrition (TPN) or IV fluid hydration.</w:t>
      </w:r>
    </w:p>
    <w:p w14:paraId="5FA145DC" w14:textId="1D799729" w:rsidR="007F51A4" w:rsidRPr="007A3223" w:rsidRDefault="007F51A4" w:rsidP="009E1E3D">
      <w:pPr>
        <w:pStyle w:val="Heading4"/>
        <w:rPr>
          <w:noProof w:val="0"/>
        </w:rPr>
      </w:pPr>
      <w:r w:rsidRPr="007A3223">
        <w:rPr>
          <w:noProof w:val="0"/>
        </w:rPr>
        <w:lastRenderedPageBreak/>
        <w:t xml:space="preserve">Any prior grade </w:t>
      </w:r>
      <w:r w:rsidRPr="007A3223">
        <w:rPr>
          <w:rFonts w:hint="eastAsia"/>
          <w:noProof w:val="0"/>
        </w:rPr>
        <w:t>≥</w:t>
      </w:r>
      <w:r w:rsidRPr="007A3223">
        <w:rPr>
          <w:noProof w:val="0"/>
        </w:rPr>
        <w:t xml:space="preserve"> 3 immune-related adverse event (irAE)</w:t>
      </w:r>
      <w:hyperlink w:anchor="_ENREF_160" w:tooltip="Weber, 2012 #79" w:history="1">
        <w:r w:rsidR="00F77861" w:rsidRPr="00244551">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 </w:instrText>
        </w:r>
        <w:r w:rsidR="00E27C67" w:rsidRPr="00F4501E">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EN.CITE.DATA </w:instrText>
        </w:r>
        <w:r w:rsidR="00E27C67" w:rsidRPr="00F4501E">
          <w:rPr>
            <w:rStyle w:val="Hyperlink"/>
            <w:noProof w:val="0"/>
          </w:rPr>
        </w:r>
        <w:r w:rsidR="00E27C67" w:rsidRPr="00F4501E">
          <w:rPr>
            <w:rStyle w:val="Hyperlink"/>
            <w:noProof w:val="0"/>
          </w:rPr>
          <w:fldChar w:fldCharType="end"/>
        </w:r>
        <w:r w:rsidR="00F77861" w:rsidRPr="00244551">
          <w:rPr>
            <w:rStyle w:val="Hyperlink"/>
            <w:noProof w:val="0"/>
          </w:rPr>
        </w:r>
        <w:r w:rsidR="00F77861" w:rsidRPr="00244551">
          <w:rPr>
            <w:rStyle w:val="Hyperlink"/>
            <w:noProof w:val="0"/>
          </w:rPr>
          <w:fldChar w:fldCharType="separate"/>
        </w:r>
        <w:r w:rsidR="00E27C67" w:rsidRPr="00244551">
          <w:rPr>
            <w:rStyle w:val="Hyperlink"/>
            <w:vertAlign w:val="superscript"/>
          </w:rPr>
          <w:t>160</w:t>
        </w:r>
        <w:r w:rsidR="00F77861" w:rsidRPr="00244551">
          <w:rPr>
            <w:rStyle w:val="Hyperlink"/>
            <w:noProof w:val="0"/>
          </w:rPr>
          <w:fldChar w:fldCharType="end"/>
        </w:r>
      </w:hyperlink>
      <w:r w:rsidRPr="007A3223">
        <w:rPr>
          <w:noProof w:val="0"/>
        </w:rPr>
        <w:t xml:space="preserve"> while receiving any previous immunotherapy ag</w:t>
      </w:r>
      <w:r w:rsidRPr="00F33908">
        <w:rPr>
          <w:noProof w:val="0"/>
        </w:rPr>
        <w:t>ent, or any unresolved irAE &gt; g</w:t>
      </w:r>
      <w:r w:rsidRPr="007A3223">
        <w:rPr>
          <w:noProof w:val="0"/>
        </w:rPr>
        <w:t xml:space="preserve">rade 1. Toxicities of prior therapy, excepting alopecia, should be resolved to less than or equal to grade 1 as per NCI-CTCAEv4.0 (located on the CTEP website at </w:t>
      </w:r>
      <w:hyperlink r:id="rId41" w:history="1">
        <w:r w:rsidRPr="00F33908">
          <w:rPr>
            <w:rStyle w:val="Hyperlink"/>
            <w:noProof w:val="0"/>
            <w:szCs w:val="24"/>
          </w:rPr>
          <w:t>http://ctep.cancer.gov/protocolDevelopment/</w:t>
        </w:r>
        <w:r w:rsidRPr="007A3223">
          <w:rPr>
            <w:rStyle w:val="Hyperlink"/>
            <w:noProof w:val="0"/>
            <w:szCs w:val="24"/>
          </w:rPr>
          <w:t>electronic_applications/ctc.htm</w:t>
        </w:r>
      </w:hyperlink>
      <w:r w:rsidRPr="007A3223">
        <w:rPr>
          <w:noProof w:val="0"/>
        </w:rPr>
        <w:t xml:space="preserve">). </w:t>
      </w:r>
      <w:r w:rsidRPr="00F33908">
        <w:rPr>
          <w:noProof w:val="0"/>
          <w:color w:val="000000"/>
        </w:rPr>
        <w:t>Patients with greater than 1+ proteinuria at entry are ineligible.</w:t>
      </w:r>
      <w:r w:rsidRPr="007A3223">
        <w:rPr>
          <w:noProof w:val="0"/>
        </w:rPr>
        <w:t xml:space="preserve"> </w:t>
      </w:r>
    </w:p>
    <w:p w14:paraId="4901E6A8" w14:textId="6F0F6EEF" w:rsidR="007F51A4" w:rsidRPr="007A3223" w:rsidRDefault="007F51A4" w:rsidP="009E1E3D">
      <w:pPr>
        <w:pStyle w:val="Heading4"/>
        <w:rPr>
          <w:noProof w:val="0"/>
        </w:rPr>
      </w:pPr>
      <w:r w:rsidRPr="007A3223">
        <w:rPr>
          <w:noProof w:val="0"/>
        </w:rPr>
        <w:t>Uncontrolled intercurrent illness including, but not limited to, ongoing or active infection, symptomatic congestive heart failure, unstable angina pectoris, cardiac arrhythmia</w:t>
      </w:r>
      <w:r w:rsidR="00807F7E" w:rsidRPr="007A3223">
        <w:rPr>
          <w:noProof w:val="0"/>
        </w:rPr>
        <w:t xml:space="preserve"> </w:t>
      </w:r>
      <w:bookmarkStart w:id="94" w:name="_Hlk504749843"/>
      <w:r w:rsidR="00807F7E" w:rsidRPr="007A3223">
        <w:rPr>
          <w:noProof w:val="0"/>
        </w:rPr>
        <w:t>(</w:t>
      </w:r>
      <w:r w:rsidR="00807F7E" w:rsidRPr="007A3223">
        <w:t>except</w:t>
      </w:r>
      <w:r w:rsidR="00807F7E" w:rsidRPr="007A3223">
        <w:rPr>
          <w:noProof w:val="0"/>
        </w:rPr>
        <w:t xml:space="preserve"> </w:t>
      </w:r>
      <w:r w:rsidR="00807F7E" w:rsidRPr="007A3223">
        <w:t xml:space="preserve">chronic </w:t>
      </w:r>
      <w:r w:rsidR="00807F7E" w:rsidRPr="007A3223">
        <w:rPr>
          <w:noProof w:val="0"/>
        </w:rPr>
        <w:t>atrial fibrillation with controlled vascular rate</w:t>
      </w:r>
      <w:bookmarkEnd w:id="94"/>
      <w:r w:rsidR="00807F7E" w:rsidRPr="007A3223">
        <w:rPr>
          <w:noProof w:val="0"/>
        </w:rPr>
        <w:t>)</w:t>
      </w:r>
      <w:r w:rsidRPr="007A3223">
        <w:rPr>
          <w:noProof w:val="0"/>
        </w:rPr>
        <w:t>, active peptic ulcer disease, or psychiatric illness/social situations that would limit compliance with study requirements.</w:t>
      </w:r>
    </w:p>
    <w:p w14:paraId="68FA9DC9" w14:textId="77777777" w:rsidR="007F51A4" w:rsidRPr="007A3223" w:rsidRDefault="007F51A4" w:rsidP="009E1E3D">
      <w:pPr>
        <w:pStyle w:val="Heading4"/>
        <w:rPr>
          <w:noProof w:val="0"/>
        </w:rPr>
      </w:pPr>
      <w:r w:rsidRPr="007A3223">
        <w:rPr>
          <w:noProof w:val="0"/>
        </w:rPr>
        <w:t xml:space="preserve">Pregnant and breastfeeding women are excluded from this study. </w:t>
      </w:r>
    </w:p>
    <w:p w14:paraId="3A854CCB" w14:textId="77777777" w:rsidR="006F522B" w:rsidRPr="007A3223" w:rsidRDefault="007F51A4" w:rsidP="006F522B">
      <w:pPr>
        <w:pStyle w:val="Heading4"/>
        <w:rPr>
          <w:noProof w:val="0"/>
        </w:rPr>
      </w:pPr>
      <w:r w:rsidRPr="007A3223">
        <w:rPr>
          <w:noProof w:val="0"/>
        </w:rPr>
        <w:t>HIV-positive patients on antiretroviral therapy are ineligible because of potential pharmacokinetic interactions with study drugs.</w:t>
      </w:r>
      <w:r w:rsidR="000A0AA8" w:rsidRPr="007A3223">
        <w:rPr>
          <w:noProof w:val="0"/>
        </w:rPr>
        <w:t xml:space="preserve"> </w:t>
      </w:r>
      <w:bookmarkStart w:id="95" w:name="_Hlk504750365"/>
      <w:r w:rsidR="006F522B" w:rsidRPr="007A3223">
        <w:rPr>
          <w:noProof w:val="0"/>
        </w:rPr>
        <w:t>However, patients with long-standing (&gt;5 years) HIV on antiretroviral therapy &gt; 1 month (undetectable HIV viral load and CD4 count &gt; 150 cells/µL) may be eligible if the PI determines no anticipated clinically significant drug-drug interactions.</w:t>
      </w:r>
    </w:p>
    <w:bookmarkEnd w:id="95"/>
    <w:p w14:paraId="72984BF3" w14:textId="77777777" w:rsidR="007F51A4" w:rsidRPr="007A3223" w:rsidRDefault="007F51A4" w:rsidP="00D44590">
      <w:pPr>
        <w:pStyle w:val="Heading4"/>
        <w:rPr>
          <w:noProof w:val="0"/>
        </w:rPr>
      </w:pPr>
      <w:r w:rsidRPr="007A3223">
        <w:rPr>
          <w:noProof w:val="0"/>
        </w:rPr>
        <w:t xml:space="preserve">HBV-or HCV-positive patients are ineligible because of potential reactivation of hepatitis virus following steroids. </w:t>
      </w:r>
    </w:p>
    <w:p w14:paraId="57A6A415" w14:textId="77777777" w:rsidR="007F51A4" w:rsidRPr="007A3223" w:rsidRDefault="007F51A4" w:rsidP="009E1E3D">
      <w:pPr>
        <w:pStyle w:val="Heading4"/>
        <w:rPr>
          <w:noProof w:val="0"/>
        </w:rPr>
      </w:pPr>
      <w:r w:rsidRPr="007A3223">
        <w:rPr>
          <w:noProof w:val="0"/>
        </w:rPr>
        <w:t>Known history of previous clinical diagnosis of tuberculosis.</w:t>
      </w:r>
    </w:p>
    <w:p w14:paraId="2EF1AEBE" w14:textId="77777777" w:rsidR="007F51A4" w:rsidRPr="007A3223" w:rsidRDefault="007F51A4" w:rsidP="009E1E3D">
      <w:pPr>
        <w:pStyle w:val="Heading4"/>
        <w:rPr>
          <w:noProof w:val="0"/>
        </w:rPr>
      </w:pPr>
      <w:r w:rsidRPr="007A3223">
        <w:rPr>
          <w:noProof w:val="0"/>
        </w:rPr>
        <w:t xml:space="preserve">No baseline features suggestive of myelodysplastic syndrome or acute myelogenous leukemia on peripheral blood smear or bone marrow biopsy, if clinically indicated.  </w:t>
      </w:r>
    </w:p>
    <w:p w14:paraId="08C98532" w14:textId="77777777" w:rsidR="007F51A4" w:rsidRPr="007A3223" w:rsidRDefault="007F51A4" w:rsidP="009E1E3D">
      <w:pPr>
        <w:pStyle w:val="Heading4"/>
        <w:rPr>
          <w:noProof w:val="0"/>
        </w:rPr>
      </w:pPr>
      <w:r w:rsidRPr="007A3223">
        <w:rPr>
          <w:noProof w:val="0"/>
        </w:rPr>
        <w:t>No prior or current evidence of coagulopathy or bleeding diathesis. Therapeutic anticoagulation for prior thromboembolic events is permitted.</w:t>
      </w:r>
    </w:p>
    <w:p w14:paraId="36077E4B" w14:textId="77777777" w:rsidR="00C22F6A" w:rsidRPr="007A3223" w:rsidRDefault="007F51A4" w:rsidP="009E1E3D">
      <w:pPr>
        <w:pStyle w:val="Heading4"/>
        <w:rPr>
          <w:szCs w:val="24"/>
        </w:rPr>
      </w:pPr>
      <w:r w:rsidRPr="007A3223">
        <w:rPr>
          <w:noProof w:val="0"/>
          <w:lang w:val="en-US"/>
        </w:rPr>
        <w:t xml:space="preserve">Concurrent enrollment in another clinical study, unless it is an observational non-interventional clinical study or the follow-up of an interventional study. </w:t>
      </w:r>
      <w:r w:rsidRPr="007A3223">
        <w:t>Any concurrent chemotherapy, immunotherapy, biologic or hormonal therapy for cancer</w:t>
      </w:r>
      <w:r w:rsidRPr="007A3223">
        <w:rPr>
          <w:lang w:val="en-US"/>
        </w:rPr>
        <w:t xml:space="preserve"> </w:t>
      </w:r>
      <w:r w:rsidRPr="007A3223">
        <w:t>treatment.  Concurrent use of hormones for non-cancer-related conditions (e.g., insulin for diabetes and hormone replacement therapy) is acceptable.  NOTE: Local treatment of isolated lesions for palliative intent is acceptable (e.g., by local surgery or radiotherapy).</w:t>
      </w:r>
      <w:r w:rsidR="00C45E6D" w:rsidRPr="007A3223">
        <w:rPr>
          <w:szCs w:val="24"/>
        </w:rPr>
        <w:t xml:space="preserve"> </w:t>
      </w:r>
    </w:p>
    <w:p w14:paraId="5884E6C0" w14:textId="77777777" w:rsidR="00D05E49" w:rsidRPr="007A3223" w:rsidRDefault="00D05E49" w:rsidP="009E1E3D">
      <w:pPr>
        <w:spacing w:after="0"/>
      </w:pPr>
    </w:p>
    <w:p w14:paraId="7D9535FA" w14:textId="1DB3FCD8" w:rsidR="00D05E49" w:rsidRPr="007A3223" w:rsidRDefault="00D84761" w:rsidP="00ED703B">
      <w:pPr>
        <w:pStyle w:val="Heading2"/>
      </w:pPr>
      <w:bookmarkStart w:id="96" w:name="_Hlk3213034"/>
      <w:bookmarkStart w:id="97" w:name="_Toc82444348"/>
      <w:r w:rsidRPr="007A3223">
        <w:t xml:space="preserve">Phase </w:t>
      </w:r>
      <w:r w:rsidR="005B5328" w:rsidRPr="007A3223">
        <w:rPr>
          <w:sz w:val="22"/>
        </w:rPr>
        <w:t>II</w:t>
      </w:r>
      <w:r w:rsidRPr="007A3223">
        <w:t xml:space="preserve"> Study Metastatic Castrate-Resistant Prostate Cancer </w:t>
      </w:r>
      <w:r w:rsidR="00BB46AD" w:rsidRPr="007A3223">
        <w:t xml:space="preserve">cohort 4 </w:t>
      </w:r>
      <w:bookmarkEnd w:id="96"/>
      <w:r w:rsidRPr="007A3223">
        <w:t>Eligibility Criteria (</w:t>
      </w:r>
      <w:r w:rsidR="005E4DEA">
        <w:rPr>
          <w:lang w:val="en-US"/>
        </w:rPr>
        <w:t>Durvalumab</w:t>
      </w:r>
      <w:r w:rsidR="001B7815" w:rsidRPr="007A3223">
        <w:t>+</w:t>
      </w:r>
      <w:r w:rsidRPr="007A3223">
        <w:t>O Only)</w:t>
      </w:r>
      <w:bookmarkEnd w:id="97"/>
      <w:r w:rsidRPr="007A3223">
        <w:t xml:space="preserve"> </w:t>
      </w:r>
    </w:p>
    <w:p w14:paraId="6044BD0B" w14:textId="77777777" w:rsidR="007F51A4" w:rsidRPr="007A3223" w:rsidRDefault="007F51A4" w:rsidP="000C1D10">
      <w:pPr>
        <w:pStyle w:val="Heading3"/>
      </w:pPr>
      <w:r w:rsidRPr="007A3223">
        <w:t>Inclusion Criteria</w:t>
      </w:r>
    </w:p>
    <w:p w14:paraId="48152756" w14:textId="64680D1D" w:rsidR="007F51A4" w:rsidRPr="007A3223" w:rsidRDefault="007F51A4" w:rsidP="00235383">
      <w:pPr>
        <w:pStyle w:val="Heading4"/>
        <w:rPr>
          <w:noProof w:val="0"/>
          <w:lang w:val="en-US"/>
        </w:rPr>
      </w:pPr>
      <w:bookmarkStart w:id="98" w:name="_Ref332619979"/>
      <w:r w:rsidRPr="007A3223">
        <w:rPr>
          <w:noProof w:val="0"/>
          <w:lang w:val="en-US"/>
        </w:rPr>
        <w:t xml:space="preserve">Must have metastatic, progressive, castrate resistant prostate cancer (mCRPC). </w:t>
      </w:r>
      <w:bookmarkEnd w:id="98"/>
    </w:p>
    <w:p w14:paraId="6E92EDFF" w14:textId="77777777" w:rsidR="007F51A4" w:rsidRPr="007A3223" w:rsidRDefault="007F51A4" w:rsidP="00235383">
      <w:pPr>
        <w:pStyle w:val="Heading4"/>
      </w:pPr>
      <w:r w:rsidRPr="007A3223">
        <w:t xml:space="preserve">Histopathological confirmation of prostate cancer by the Laboratory of Pathology of the NCI or Pathology Department of the Walter Reed National Military Medical Center is required prior to entering this study.  Patients whose pathology specimens are no longer available may be enrolled if the patient has a clinical course that is consistent with prostate cancer and available documentation from an outside pathology laboratory of </w:t>
      </w:r>
      <w:r w:rsidRPr="007A3223">
        <w:lastRenderedPageBreak/>
        <w:t>the diagnosis.  All efforts should be made to have the material forwarded to the research team for use in correlative studies in cases where original tissue blocks or archival biopsy material is available.</w:t>
      </w:r>
    </w:p>
    <w:p w14:paraId="15C15516" w14:textId="77777777" w:rsidR="007F51A4" w:rsidRPr="007A3223" w:rsidRDefault="007F51A4" w:rsidP="00235383">
      <w:pPr>
        <w:pStyle w:val="Heading4"/>
      </w:pPr>
      <w:r w:rsidRPr="007A3223">
        <w:t xml:space="preserve">All patients must have at least one lesion deemed safe to biopsy and be willing to undergo a mandatory baseline biopsy. </w:t>
      </w:r>
    </w:p>
    <w:p w14:paraId="34E9F3CD" w14:textId="77777777" w:rsidR="007F51A4" w:rsidRPr="007A3223" w:rsidRDefault="007F51A4" w:rsidP="00FB467D">
      <w:pPr>
        <w:pStyle w:val="Heading4"/>
      </w:pPr>
      <w:r w:rsidRPr="007A3223">
        <w:t>Patients must have received prior treatment with enzalutamide and/or abiraterone</w:t>
      </w:r>
      <w:r w:rsidR="00FB467D" w:rsidRPr="007A3223">
        <w:rPr>
          <w:lang w:val="en-US"/>
        </w:rPr>
        <w:t xml:space="preserve"> with the exception of patients who were treated with docetaxel and androgen deprivation therapy for </w:t>
      </w:r>
      <w:r w:rsidR="00FB467D" w:rsidRPr="007A3223">
        <w:t xml:space="preserve">metastatic castrate-sensitive prostate cancer </w:t>
      </w:r>
      <w:r w:rsidR="00FB467D" w:rsidRPr="007A3223">
        <w:rPr>
          <w:lang w:val="en-US"/>
        </w:rPr>
        <w:t xml:space="preserve">and progressed on </w:t>
      </w:r>
      <w:r w:rsidR="00FB467D" w:rsidRPr="007A3223">
        <w:t>docetaxel treatment or who progress within one month of the last docetaxel dose.</w:t>
      </w:r>
    </w:p>
    <w:p w14:paraId="00AD1AE3" w14:textId="5C6F7AB4" w:rsidR="007F51A4" w:rsidRPr="007A3223" w:rsidRDefault="007F51A4" w:rsidP="00235383">
      <w:pPr>
        <w:pStyle w:val="Heading4"/>
      </w:pPr>
      <w:r w:rsidRPr="007A3223">
        <w:t>Patients must have castrate levels of testosterone (&lt;50 ng/dl [1.74 nmol/l])</w:t>
      </w:r>
      <w:r w:rsidR="00AB5D84" w:rsidRPr="007A3223">
        <w:rPr>
          <w:lang w:val="en-US"/>
        </w:rPr>
        <w:t>.</w:t>
      </w:r>
    </w:p>
    <w:p w14:paraId="0BED3243" w14:textId="77777777" w:rsidR="007F51A4" w:rsidRPr="007A3223" w:rsidRDefault="007F51A4" w:rsidP="00235383">
      <w:pPr>
        <w:pStyle w:val="Heading4"/>
      </w:pPr>
      <w:r w:rsidRPr="007A3223">
        <w:t>Patients must have undergone bilateral surgical castration or must agree to continue on GnRH agonists/antagonists for the duration of the study.</w:t>
      </w:r>
    </w:p>
    <w:p w14:paraId="5DAEE359" w14:textId="77777777" w:rsidR="00E47ACA" w:rsidRPr="00E47ACA" w:rsidRDefault="000376E4" w:rsidP="00E47ACA">
      <w:pPr>
        <w:pStyle w:val="Heading4"/>
        <w:rPr>
          <w:b/>
          <w:noProof w:val="0"/>
          <w:color w:val="0000FF"/>
          <w:lang w:val="en-US"/>
        </w:rPr>
      </w:pPr>
      <w:r w:rsidRPr="007A3223">
        <w:t xml:space="preserve">ECOG </w:t>
      </w:r>
      <w:r w:rsidR="00DE61EB" w:rsidRPr="007A3223">
        <w:rPr>
          <w:noProof w:val="0"/>
        </w:rPr>
        <w:t>performance status</w:t>
      </w:r>
      <w:r w:rsidRPr="007A3223">
        <w:t xml:space="preserve"> </w:t>
      </w:r>
      <w:r w:rsidR="00DE61EB" w:rsidRPr="007A3223">
        <w:rPr>
          <w:rFonts w:hint="eastAsia"/>
          <w:szCs w:val="24"/>
        </w:rPr>
        <w:t>≤</w:t>
      </w:r>
      <w:r w:rsidR="00D05E49" w:rsidRPr="007A3223">
        <w:t xml:space="preserve"> </w:t>
      </w:r>
      <w:r w:rsidRPr="007A3223">
        <w:t>2</w:t>
      </w:r>
      <w:r w:rsidR="007F51A4" w:rsidRPr="007A3223">
        <w:t xml:space="preserve"> </w:t>
      </w:r>
      <w:r w:rsidR="00DE61EB" w:rsidRPr="007A3223">
        <w:rPr>
          <w:noProof w:val="0"/>
        </w:rPr>
        <w:t>(See</w:t>
      </w:r>
      <w:r w:rsidR="00DE61EB" w:rsidRPr="007A3223">
        <w:rPr>
          <w:b/>
          <w:noProof w:val="0"/>
          <w:color w:val="0000FF"/>
        </w:rPr>
        <w:t xml:space="preserve"> </w:t>
      </w:r>
      <w:r w:rsidR="00DE61EB" w:rsidRPr="00F33908">
        <w:fldChar w:fldCharType="begin"/>
      </w:r>
      <w:r w:rsidR="00DE61EB" w:rsidRPr="007A3223">
        <w:instrText xml:space="preserve"> REF _Ref398887943 \h  \* MERGEFORMAT </w:instrText>
      </w:r>
      <w:r w:rsidR="00DE61EB" w:rsidRPr="00F33908">
        <w:fldChar w:fldCharType="separate"/>
      </w:r>
      <w:r w:rsidR="00E47ACA" w:rsidRPr="00E47ACA">
        <w:rPr>
          <w:b/>
          <w:noProof w:val="0"/>
          <w:color w:val="0000FF"/>
        </w:rPr>
        <w:t>APPENDICES</w:t>
      </w:r>
    </w:p>
    <w:p w14:paraId="25ADE5DF" w14:textId="62DCCF47" w:rsidR="007F51A4" w:rsidRPr="00F33908" w:rsidRDefault="00E47ACA" w:rsidP="0042056D">
      <w:pPr>
        <w:pStyle w:val="Heading4"/>
        <w:rPr>
          <w:noProof w:val="0"/>
        </w:rPr>
      </w:pPr>
      <w:r w:rsidRPr="00E47ACA">
        <w:rPr>
          <w:b/>
          <w:color w:val="0000FF"/>
        </w:rPr>
        <w:t>Appendix</w:t>
      </w:r>
      <w:r w:rsidRPr="007A3223">
        <w:t xml:space="preserve"> </w:t>
      </w:r>
      <w:r>
        <w:t>A</w:t>
      </w:r>
      <w:r w:rsidR="00DE61EB" w:rsidRPr="00F33908">
        <w:fldChar w:fldCharType="end"/>
      </w:r>
      <w:r w:rsidR="00DE61EB" w:rsidRPr="007A3223">
        <w:rPr>
          <w:noProof w:val="0"/>
        </w:rPr>
        <w:t>)</w:t>
      </w:r>
    </w:p>
    <w:p w14:paraId="1B585D77" w14:textId="77777777" w:rsidR="007F51A4" w:rsidRPr="007A3223" w:rsidRDefault="007F51A4" w:rsidP="00235383">
      <w:pPr>
        <w:pStyle w:val="Heading4"/>
      </w:pPr>
      <w:bookmarkStart w:id="99" w:name="_Ref332813336"/>
      <w:r w:rsidRPr="007A3223">
        <w:t>Patients must have adequate bone marrow, hepatic, and renal function with:</w:t>
      </w:r>
      <w:bookmarkEnd w:id="99"/>
    </w:p>
    <w:p w14:paraId="280657F7" w14:textId="77777777" w:rsidR="00977449" w:rsidRPr="007A3223" w:rsidRDefault="00977449" w:rsidP="00FB66BA">
      <w:pPr>
        <w:widowControl w:val="0"/>
        <w:numPr>
          <w:ilvl w:val="0"/>
          <w:numId w:val="63"/>
        </w:numPr>
        <w:tabs>
          <w:tab w:val="left" w:pos="1080"/>
          <w:tab w:val="left" w:pos="4860"/>
          <w:tab w:val="left" w:pos="5040"/>
        </w:tabs>
        <w:suppressAutoHyphens/>
        <w:spacing w:before="60" w:after="60"/>
        <w:ind w:left="630" w:firstLine="0"/>
        <w:rPr>
          <w:szCs w:val="24"/>
        </w:rPr>
      </w:pPr>
      <w:r w:rsidRPr="007A3223">
        <w:rPr>
          <w:szCs w:val="24"/>
        </w:rPr>
        <w:t>absolute neutrophil count</w:t>
      </w:r>
      <w:r w:rsidRPr="007A3223">
        <w:rPr>
          <w:szCs w:val="24"/>
        </w:rPr>
        <w:tab/>
      </w:r>
      <w:r w:rsidRPr="007A3223">
        <w:rPr>
          <w:rFonts w:hint="eastAsia"/>
          <w:szCs w:val="24"/>
        </w:rPr>
        <w:t>≥</w:t>
      </w:r>
      <w:r w:rsidRPr="007A3223">
        <w:rPr>
          <w:szCs w:val="24"/>
        </w:rPr>
        <w:t xml:space="preserve"> 1,500/mcL</w:t>
      </w:r>
    </w:p>
    <w:p w14:paraId="166963A1" w14:textId="77777777" w:rsidR="00977449" w:rsidRPr="007A3223" w:rsidRDefault="00977449" w:rsidP="00FB66BA">
      <w:pPr>
        <w:widowControl w:val="0"/>
        <w:numPr>
          <w:ilvl w:val="0"/>
          <w:numId w:val="63"/>
        </w:numPr>
        <w:tabs>
          <w:tab w:val="left" w:pos="1080"/>
          <w:tab w:val="left" w:pos="4860"/>
        </w:tabs>
        <w:suppressAutoHyphens/>
        <w:spacing w:before="60" w:after="60"/>
        <w:ind w:left="630" w:firstLine="0"/>
        <w:rPr>
          <w:szCs w:val="24"/>
        </w:rPr>
      </w:pPr>
      <w:r w:rsidRPr="007A3223">
        <w:rPr>
          <w:szCs w:val="24"/>
        </w:rPr>
        <w:t>white blood cell (WBC)</w:t>
      </w:r>
      <w:r w:rsidRPr="007A3223">
        <w:rPr>
          <w:szCs w:val="24"/>
        </w:rPr>
        <w:tab/>
      </w:r>
      <w:r w:rsidRPr="007A3223">
        <w:rPr>
          <w:szCs w:val="24"/>
          <w:u w:val="single"/>
        </w:rPr>
        <w:t>&gt;</w:t>
      </w:r>
      <w:r w:rsidRPr="007A3223">
        <w:rPr>
          <w:szCs w:val="24"/>
          <w:lang w:eastAsia="ko-KR"/>
        </w:rPr>
        <w:t xml:space="preserve"> </w:t>
      </w:r>
      <w:r w:rsidRPr="007A3223">
        <w:rPr>
          <w:szCs w:val="24"/>
        </w:rPr>
        <w:t>3,000/mcL</w:t>
      </w:r>
    </w:p>
    <w:p w14:paraId="641FDEDB" w14:textId="77777777" w:rsidR="00977449" w:rsidRPr="007A3223" w:rsidRDefault="00977449" w:rsidP="00FB66BA">
      <w:pPr>
        <w:widowControl w:val="0"/>
        <w:numPr>
          <w:ilvl w:val="0"/>
          <w:numId w:val="63"/>
        </w:numPr>
        <w:tabs>
          <w:tab w:val="left" w:pos="1080"/>
          <w:tab w:val="left" w:pos="4860"/>
        </w:tabs>
        <w:suppressAutoHyphens/>
        <w:spacing w:before="60" w:after="60"/>
        <w:ind w:left="630" w:firstLine="0"/>
        <w:rPr>
          <w:szCs w:val="24"/>
        </w:rPr>
      </w:pPr>
      <w:r w:rsidRPr="007A3223">
        <w:rPr>
          <w:szCs w:val="24"/>
        </w:rPr>
        <w:t>platelets</w:t>
      </w:r>
      <w:r w:rsidRPr="007A3223">
        <w:rPr>
          <w:szCs w:val="24"/>
        </w:rPr>
        <w:tab/>
      </w:r>
      <w:r w:rsidRPr="007A3223">
        <w:rPr>
          <w:rFonts w:hint="eastAsia"/>
          <w:szCs w:val="24"/>
        </w:rPr>
        <w:t>≥</w:t>
      </w:r>
      <w:r w:rsidRPr="007A3223">
        <w:rPr>
          <w:szCs w:val="24"/>
        </w:rPr>
        <w:t xml:space="preserve"> 100,000/mcL</w:t>
      </w:r>
    </w:p>
    <w:p w14:paraId="35B56511" w14:textId="72CFC314" w:rsidR="00977449" w:rsidRPr="007A3223" w:rsidRDefault="00977449" w:rsidP="00FB66BA">
      <w:pPr>
        <w:widowControl w:val="0"/>
        <w:numPr>
          <w:ilvl w:val="0"/>
          <w:numId w:val="63"/>
        </w:numPr>
        <w:tabs>
          <w:tab w:val="left" w:pos="1080"/>
          <w:tab w:val="left" w:pos="5040"/>
        </w:tabs>
        <w:suppressAutoHyphens/>
        <w:spacing w:before="60" w:after="60"/>
        <w:ind w:left="4860" w:hanging="4230"/>
        <w:rPr>
          <w:szCs w:val="24"/>
        </w:rPr>
      </w:pPr>
      <w:r w:rsidRPr="007A3223">
        <w:rPr>
          <w:szCs w:val="24"/>
        </w:rPr>
        <w:t>hemoglobin (Hgb)</w:t>
      </w:r>
      <w:r w:rsidRPr="007A3223">
        <w:rPr>
          <w:szCs w:val="24"/>
        </w:rPr>
        <w:tab/>
      </w:r>
      <w:r w:rsidRPr="007A3223">
        <w:rPr>
          <w:rFonts w:hint="eastAsia"/>
          <w:szCs w:val="24"/>
        </w:rPr>
        <w:t>≥</w:t>
      </w:r>
      <w:r w:rsidRPr="007A3223">
        <w:rPr>
          <w:rFonts w:hint="eastAsia"/>
          <w:szCs w:val="24"/>
        </w:rPr>
        <w:t xml:space="preserve"> </w:t>
      </w:r>
      <w:r w:rsidR="00E368B2" w:rsidRPr="007A3223">
        <w:rPr>
          <w:szCs w:val="24"/>
        </w:rPr>
        <w:t>9</w:t>
      </w:r>
      <w:r w:rsidRPr="007A3223">
        <w:rPr>
          <w:szCs w:val="24"/>
        </w:rPr>
        <w:t xml:space="preserve"> g/dL in the absence of packed red blood cell transfusion 28 days prior to dosing</w:t>
      </w:r>
      <w:r w:rsidRPr="007A3223">
        <w:t xml:space="preserve"> </w:t>
      </w:r>
    </w:p>
    <w:p w14:paraId="2A95E853" w14:textId="19D6516B" w:rsidR="00977449" w:rsidRPr="007A3223" w:rsidRDefault="009E1E3D" w:rsidP="00ED5300">
      <w:pPr>
        <w:pStyle w:val="ListParagraph"/>
        <w:widowControl w:val="0"/>
        <w:tabs>
          <w:tab w:val="left" w:pos="1080"/>
          <w:tab w:val="left" w:pos="5040"/>
        </w:tabs>
        <w:suppressAutoHyphens/>
        <w:spacing w:before="60" w:after="60"/>
        <w:ind w:left="630"/>
      </w:pPr>
      <w:r w:rsidRPr="007A3223">
        <w:tab/>
      </w:r>
      <w:r w:rsidRPr="007A3223">
        <w:tab/>
      </w:r>
    </w:p>
    <w:p w14:paraId="53FE8ADF" w14:textId="77777777" w:rsidR="00977449" w:rsidRPr="007A3223" w:rsidRDefault="00977449" w:rsidP="00FB66BA">
      <w:pPr>
        <w:widowControl w:val="0"/>
        <w:numPr>
          <w:ilvl w:val="0"/>
          <w:numId w:val="63"/>
        </w:numPr>
        <w:tabs>
          <w:tab w:val="left" w:pos="1080"/>
          <w:tab w:val="left" w:pos="4860"/>
        </w:tabs>
        <w:suppressAutoHyphens/>
        <w:spacing w:before="60" w:after="60"/>
        <w:ind w:left="4860" w:hanging="4230"/>
        <w:rPr>
          <w:szCs w:val="24"/>
        </w:rPr>
      </w:pPr>
      <w:r w:rsidRPr="007A3223">
        <w:rPr>
          <w:szCs w:val="24"/>
        </w:rPr>
        <w:t>AST(SGOT)/ALT(SGPT)</w:t>
      </w:r>
      <w:r w:rsidRPr="007A3223">
        <w:rPr>
          <w:szCs w:val="24"/>
        </w:rPr>
        <w:tab/>
      </w:r>
      <w:r w:rsidRPr="007A3223">
        <w:rPr>
          <w:rFonts w:hint="eastAsia"/>
          <w:szCs w:val="24"/>
        </w:rPr>
        <w:t>≤</w:t>
      </w:r>
      <w:r w:rsidRPr="007A3223">
        <w:rPr>
          <w:rFonts w:hint="eastAsia"/>
          <w:szCs w:val="24"/>
        </w:rPr>
        <w:t xml:space="preserve">  </w:t>
      </w:r>
      <w:r w:rsidR="00095364" w:rsidRPr="007A3223">
        <w:rPr>
          <w:szCs w:val="24"/>
        </w:rPr>
        <w:t>2.5</w:t>
      </w:r>
      <w:r w:rsidRPr="007A3223">
        <w:rPr>
          <w:szCs w:val="24"/>
        </w:rPr>
        <w:t xml:space="preserve"> X institutional upper limit of normal</w:t>
      </w:r>
      <w:r w:rsidR="00CC4C4A" w:rsidRPr="007A3223">
        <w:rPr>
          <w:rFonts w:hint="eastAsia"/>
          <w:szCs w:val="24"/>
        </w:rPr>
        <w:t xml:space="preserve"> (ULN); for subjects with liver metastases, AST or ALT </w:t>
      </w:r>
      <w:r w:rsidR="00CC4C4A" w:rsidRPr="007A3223">
        <w:rPr>
          <w:rFonts w:hint="eastAsia"/>
          <w:szCs w:val="24"/>
        </w:rPr>
        <w:t>≤</w:t>
      </w:r>
      <w:r w:rsidR="00CC4C4A" w:rsidRPr="007A3223">
        <w:rPr>
          <w:rFonts w:hint="eastAsia"/>
          <w:szCs w:val="24"/>
        </w:rPr>
        <w:t xml:space="preserve"> 5 </w:t>
      </w:r>
      <w:r w:rsidR="00CC4C4A" w:rsidRPr="007A3223">
        <w:rPr>
          <w:rFonts w:hint="eastAsia"/>
          <w:szCs w:val="24"/>
        </w:rPr>
        <w:t>×</w:t>
      </w:r>
      <w:r w:rsidR="00CC4C4A" w:rsidRPr="007A3223">
        <w:rPr>
          <w:rFonts w:hint="eastAsia"/>
          <w:szCs w:val="24"/>
        </w:rPr>
        <w:t xml:space="preserve"> ULN</w:t>
      </w:r>
    </w:p>
    <w:p w14:paraId="67227B3B" w14:textId="77777777" w:rsidR="007D2850" w:rsidRPr="007A3223" w:rsidRDefault="0006612D" w:rsidP="00FB66BA">
      <w:pPr>
        <w:pStyle w:val="BodyText"/>
        <w:widowControl w:val="0"/>
        <w:numPr>
          <w:ilvl w:val="0"/>
          <w:numId w:val="63"/>
        </w:numPr>
        <w:tabs>
          <w:tab w:val="left" w:pos="840"/>
          <w:tab w:val="left" w:pos="1105"/>
          <w:tab w:val="left" w:pos="4066"/>
        </w:tabs>
        <w:spacing w:before="37" w:line="254" w:lineRule="exact"/>
        <w:ind w:left="4860" w:right="73" w:hanging="4230"/>
      </w:pPr>
      <w:r w:rsidRPr="007A3223">
        <w:t xml:space="preserve">    </w:t>
      </w:r>
      <w:r w:rsidR="007D2850" w:rsidRPr="007A3223">
        <w:t>Total</w:t>
      </w:r>
      <w:r w:rsidR="007D2850" w:rsidRPr="007A3223">
        <w:rPr>
          <w:spacing w:val="-23"/>
        </w:rPr>
        <w:t xml:space="preserve"> </w:t>
      </w:r>
      <w:r w:rsidR="007D2850" w:rsidRPr="007A3223">
        <w:t>bilirubin</w:t>
      </w:r>
      <w:r w:rsidR="007D2850" w:rsidRPr="007A3223">
        <w:tab/>
      </w:r>
      <w:r w:rsidR="007D2850" w:rsidRPr="007A3223">
        <w:tab/>
      </w:r>
      <w:r w:rsidR="007D2850" w:rsidRPr="007A3223">
        <w:rPr>
          <w:rFonts w:ascii="Batang" w:eastAsia="Batang" w:hAnsi="Batang" w:cs="Batang"/>
        </w:rPr>
        <w:t>≤</w:t>
      </w:r>
      <w:r w:rsidR="007D2850" w:rsidRPr="007A3223">
        <w:rPr>
          <w:rFonts w:ascii="Batang" w:eastAsia="Batang" w:hAnsi="Batang" w:cs="Batang"/>
          <w:spacing w:val="-23"/>
        </w:rPr>
        <w:t xml:space="preserve"> </w:t>
      </w:r>
      <w:r w:rsidR="007D2850" w:rsidRPr="007A3223">
        <w:t>1.5</w:t>
      </w:r>
      <w:r w:rsidR="007D2850" w:rsidRPr="007A3223">
        <w:rPr>
          <w:spacing w:val="-9"/>
        </w:rPr>
        <w:t xml:space="preserve"> </w:t>
      </w:r>
      <w:r w:rsidR="007D2850" w:rsidRPr="007A3223">
        <w:rPr>
          <w:rFonts w:ascii="Batang" w:eastAsia="Batang" w:hAnsi="Batang" w:cs="Batang"/>
        </w:rPr>
        <w:t>×</w:t>
      </w:r>
      <w:r w:rsidR="007D2850" w:rsidRPr="007A3223">
        <w:rPr>
          <w:rFonts w:ascii="Batang" w:eastAsia="Batang" w:hAnsi="Batang" w:cs="Batang"/>
          <w:spacing w:val="-24"/>
        </w:rPr>
        <w:t xml:space="preserve"> </w:t>
      </w:r>
      <w:r w:rsidR="007D2850" w:rsidRPr="007A3223">
        <w:t>ULN;</w:t>
      </w:r>
      <w:r w:rsidR="007D2850" w:rsidRPr="007A3223">
        <w:rPr>
          <w:spacing w:val="-8"/>
        </w:rPr>
        <w:t xml:space="preserve"> </w:t>
      </w:r>
      <w:r w:rsidR="007D2850" w:rsidRPr="007A3223">
        <w:t>for</w:t>
      </w:r>
      <w:r w:rsidR="007D2850" w:rsidRPr="007A3223">
        <w:rPr>
          <w:spacing w:val="-8"/>
        </w:rPr>
        <w:t xml:space="preserve"> </w:t>
      </w:r>
      <w:r w:rsidR="007D2850" w:rsidRPr="007A3223">
        <w:t>subjects</w:t>
      </w:r>
      <w:r w:rsidR="007D2850" w:rsidRPr="007A3223">
        <w:rPr>
          <w:spacing w:val="-8"/>
        </w:rPr>
        <w:t xml:space="preserve"> </w:t>
      </w:r>
      <w:r w:rsidR="007D2850" w:rsidRPr="007A3223">
        <w:t>with</w:t>
      </w:r>
    </w:p>
    <w:p w14:paraId="30DE67B1" w14:textId="77777777" w:rsidR="007D2850" w:rsidRPr="007A3223" w:rsidRDefault="00D202A9" w:rsidP="00FD7030">
      <w:pPr>
        <w:pStyle w:val="BodyText"/>
        <w:spacing w:before="17" w:line="244" w:lineRule="exact"/>
        <w:ind w:left="5040" w:right="102"/>
      </w:pPr>
      <w:r w:rsidRPr="007A3223">
        <w:t>d</w:t>
      </w:r>
      <w:r w:rsidR="007D2850" w:rsidRPr="007A3223">
        <w:t>ocumented</w:t>
      </w:r>
      <w:r w:rsidRPr="007A3223">
        <w:t xml:space="preserve"> or </w:t>
      </w:r>
      <w:r w:rsidR="007D2850" w:rsidRPr="007A3223">
        <w:t>suspected</w:t>
      </w:r>
      <w:r w:rsidR="007D2850" w:rsidRPr="007A3223">
        <w:rPr>
          <w:spacing w:val="-31"/>
        </w:rPr>
        <w:t xml:space="preserve"> </w:t>
      </w:r>
      <w:r w:rsidR="007D2850" w:rsidRPr="007A3223">
        <w:t>Gilbert</w:t>
      </w:r>
      <w:r w:rsidR="007D2850" w:rsidRPr="007A3223">
        <w:rPr>
          <w:rFonts w:ascii="Batang" w:eastAsia="Batang" w:hAnsi="Batang" w:cs="Batang"/>
        </w:rPr>
        <w:t>’</w:t>
      </w:r>
      <w:r w:rsidR="007D2850" w:rsidRPr="007A3223">
        <w:t>s</w:t>
      </w:r>
      <w:r w:rsidR="007D2850" w:rsidRPr="007A3223">
        <w:rPr>
          <w:spacing w:val="-31"/>
        </w:rPr>
        <w:t xml:space="preserve"> </w:t>
      </w:r>
      <w:r w:rsidR="007D2850" w:rsidRPr="007A3223">
        <w:t>disease,</w:t>
      </w:r>
      <w:r w:rsidR="007D2850" w:rsidRPr="007A3223">
        <w:rPr>
          <w:w w:val="98"/>
        </w:rPr>
        <w:t xml:space="preserve"> </w:t>
      </w:r>
      <w:r w:rsidR="007D2850" w:rsidRPr="007A3223">
        <w:t>bilirubin</w:t>
      </w:r>
      <w:r w:rsidR="007D2850" w:rsidRPr="007A3223">
        <w:rPr>
          <w:spacing w:val="-9"/>
        </w:rPr>
        <w:t xml:space="preserve"> </w:t>
      </w:r>
      <w:r w:rsidR="007D2850" w:rsidRPr="007A3223">
        <w:rPr>
          <w:rFonts w:ascii="Batang" w:eastAsia="Batang" w:hAnsi="Batang" w:cs="Batang"/>
        </w:rPr>
        <w:t>≤</w:t>
      </w:r>
      <w:r w:rsidR="007D2850" w:rsidRPr="007A3223">
        <w:rPr>
          <w:rFonts w:ascii="Batang" w:eastAsia="Batang" w:hAnsi="Batang" w:cs="Batang"/>
          <w:spacing w:val="-24"/>
        </w:rPr>
        <w:t xml:space="preserve"> </w:t>
      </w:r>
      <w:r w:rsidR="007D2850" w:rsidRPr="007A3223">
        <w:t>3</w:t>
      </w:r>
      <w:r w:rsidR="007D2850" w:rsidRPr="007A3223">
        <w:rPr>
          <w:spacing w:val="-8"/>
        </w:rPr>
        <w:t xml:space="preserve"> </w:t>
      </w:r>
      <w:r w:rsidR="007D2850" w:rsidRPr="007A3223">
        <w:rPr>
          <w:rFonts w:ascii="Batang" w:eastAsia="Batang" w:hAnsi="Batang" w:cs="Batang"/>
        </w:rPr>
        <w:t>×</w:t>
      </w:r>
      <w:r w:rsidR="007D2850" w:rsidRPr="007A3223">
        <w:rPr>
          <w:rFonts w:ascii="Batang" w:eastAsia="Batang" w:hAnsi="Batang" w:cs="Batang"/>
          <w:spacing w:val="-24"/>
        </w:rPr>
        <w:t xml:space="preserve"> </w:t>
      </w:r>
      <w:r w:rsidR="007D2850" w:rsidRPr="007A3223">
        <w:t>ULN</w:t>
      </w:r>
    </w:p>
    <w:p w14:paraId="5F3CC24C" w14:textId="77777777" w:rsidR="007D2850" w:rsidRPr="007A3223" w:rsidRDefault="007D2850" w:rsidP="0057405D">
      <w:pPr>
        <w:widowControl w:val="0"/>
        <w:tabs>
          <w:tab w:val="left" w:pos="1080"/>
          <w:tab w:val="left" w:pos="4860"/>
        </w:tabs>
        <w:suppressAutoHyphens/>
        <w:spacing w:before="60" w:after="60"/>
        <w:ind w:left="630"/>
        <w:rPr>
          <w:szCs w:val="24"/>
        </w:rPr>
      </w:pPr>
    </w:p>
    <w:p w14:paraId="38F6C503" w14:textId="77777777" w:rsidR="00977449" w:rsidRPr="007A3223" w:rsidRDefault="00977449" w:rsidP="00FB66BA">
      <w:pPr>
        <w:widowControl w:val="0"/>
        <w:numPr>
          <w:ilvl w:val="0"/>
          <w:numId w:val="63"/>
        </w:numPr>
        <w:tabs>
          <w:tab w:val="left" w:pos="1080"/>
          <w:tab w:val="left" w:pos="4860"/>
        </w:tabs>
        <w:suppressAutoHyphens/>
        <w:spacing w:before="60" w:after="60"/>
        <w:ind w:left="630" w:firstLine="0"/>
        <w:rPr>
          <w:szCs w:val="24"/>
        </w:rPr>
      </w:pPr>
      <w:r w:rsidRPr="007A3223">
        <w:rPr>
          <w:szCs w:val="24"/>
        </w:rPr>
        <w:t>creatinine</w:t>
      </w:r>
      <w:r w:rsidRPr="007A3223">
        <w:rPr>
          <w:szCs w:val="24"/>
        </w:rPr>
        <w:tab/>
      </w:r>
      <w:r w:rsidRPr="007A3223">
        <w:rPr>
          <w:rFonts w:hint="eastAsia"/>
          <w:szCs w:val="24"/>
        </w:rPr>
        <w:t>≤</w:t>
      </w:r>
      <w:r w:rsidRPr="007A3223">
        <w:rPr>
          <w:szCs w:val="24"/>
        </w:rPr>
        <w:t xml:space="preserve">  1.5 X within normal institutional limits</w:t>
      </w:r>
    </w:p>
    <w:p w14:paraId="6DF0D10A" w14:textId="77777777" w:rsidR="00977449" w:rsidRPr="007A3223" w:rsidRDefault="009E1E3D" w:rsidP="006F2234">
      <w:pPr>
        <w:pStyle w:val="ListParagraph"/>
        <w:widowControl w:val="0"/>
        <w:tabs>
          <w:tab w:val="left" w:pos="1080"/>
        </w:tabs>
        <w:suppressAutoHyphens/>
        <w:spacing w:before="60" w:after="60"/>
        <w:ind w:left="630"/>
      </w:pPr>
      <w:r w:rsidRPr="007A3223">
        <w:tab/>
      </w:r>
      <w:r w:rsidRPr="007A3223">
        <w:tab/>
      </w:r>
      <w:r w:rsidRPr="007A3223">
        <w:tab/>
      </w:r>
      <w:r w:rsidRPr="007A3223">
        <w:tab/>
      </w:r>
      <w:r w:rsidRPr="007A3223">
        <w:tab/>
      </w:r>
      <w:r w:rsidRPr="007A3223">
        <w:tab/>
      </w:r>
      <w:r w:rsidRPr="007A3223">
        <w:tab/>
      </w:r>
      <w:r w:rsidR="00977449" w:rsidRPr="007A3223">
        <w:t>OR</w:t>
      </w:r>
    </w:p>
    <w:p w14:paraId="4A905B60" w14:textId="77777777" w:rsidR="00977449" w:rsidRPr="007A3223" w:rsidRDefault="00977449" w:rsidP="0057405D">
      <w:pPr>
        <w:pStyle w:val="ListParagraph"/>
        <w:widowControl w:val="0"/>
        <w:tabs>
          <w:tab w:val="left" w:pos="1080"/>
          <w:tab w:val="left" w:pos="4680"/>
        </w:tabs>
        <w:suppressAutoHyphens/>
        <w:spacing w:before="60" w:after="60"/>
        <w:ind w:left="5040"/>
      </w:pPr>
      <w:r w:rsidRPr="007A3223">
        <w:t xml:space="preserve">measured creatinine clearance </w:t>
      </w:r>
      <w:r w:rsidRPr="007A3223">
        <w:rPr>
          <w:u w:val="single"/>
        </w:rPr>
        <w:t xml:space="preserve">&gt; </w:t>
      </w:r>
      <w:r w:rsidRPr="007A3223">
        <w:t>50 mL/min/1.73 m</w:t>
      </w:r>
      <w:r w:rsidRPr="007A3223">
        <w:rPr>
          <w:vertAlign w:val="superscript"/>
        </w:rPr>
        <w:t>2</w:t>
      </w:r>
      <w:r w:rsidRPr="007A3223">
        <w:t xml:space="preserve"> </w:t>
      </w:r>
    </w:p>
    <w:p w14:paraId="1F0E5DB3" w14:textId="77777777" w:rsidR="007F51A4" w:rsidRPr="007A3223" w:rsidRDefault="007F51A4" w:rsidP="00235383">
      <w:pPr>
        <w:pStyle w:val="Heading4"/>
      </w:pPr>
      <w:r w:rsidRPr="007A3223">
        <w:t xml:space="preserve">Men must be at least 18 years of age.  </w:t>
      </w:r>
    </w:p>
    <w:p w14:paraId="052D5E1E" w14:textId="77777777" w:rsidR="007F51A4" w:rsidRPr="007A3223" w:rsidRDefault="007F51A4" w:rsidP="00235383">
      <w:pPr>
        <w:pStyle w:val="Heading4"/>
      </w:pPr>
      <w:r w:rsidRPr="007A3223">
        <w:t>Patient must be capable of understanding and complying with protocol requirements and is willing to give informed consent.</w:t>
      </w:r>
    </w:p>
    <w:p w14:paraId="38806051" w14:textId="77777777" w:rsidR="007F51A4" w:rsidRPr="007A3223" w:rsidRDefault="007F51A4" w:rsidP="00235383">
      <w:pPr>
        <w:pStyle w:val="Heading4"/>
        <w:rPr>
          <w:szCs w:val="24"/>
          <w:lang w:val="en-US"/>
        </w:rPr>
      </w:pPr>
      <w:r w:rsidRPr="007A3223">
        <w:t xml:space="preserve">Men treated or enrolled on this protocol must also agree to use adequate contraception prior to the study and for the duration of study participation and for </w:t>
      </w:r>
      <w:r w:rsidR="009A371D" w:rsidRPr="007A3223">
        <w:rPr>
          <w:lang w:val="en-US"/>
        </w:rPr>
        <w:t>3</w:t>
      </w:r>
      <w:r w:rsidRPr="007A3223">
        <w:t xml:space="preserve"> months after last dose of study drug.</w:t>
      </w:r>
      <w:r w:rsidRPr="007A3223">
        <w:rPr>
          <w:szCs w:val="24"/>
        </w:rPr>
        <w:t xml:space="preserve"> Sexually active subjects and their female partners must agree to use medically accepted barrier methods of contraception (eg, male or female condom) during the course of the study and for </w:t>
      </w:r>
      <w:r w:rsidR="009A371D" w:rsidRPr="007A3223">
        <w:rPr>
          <w:szCs w:val="24"/>
          <w:lang w:val="en-US"/>
        </w:rPr>
        <w:t>3</w:t>
      </w:r>
      <w:r w:rsidRPr="007A3223">
        <w:rPr>
          <w:szCs w:val="24"/>
        </w:rPr>
        <w:t xml:space="preserve"> months after the last dose of study drug(s), even if oral contraceptives are also used. All subjects of reproductive potential must also </w:t>
      </w:r>
      <w:r w:rsidRPr="007A3223">
        <w:rPr>
          <w:szCs w:val="24"/>
        </w:rPr>
        <w:lastRenderedPageBreak/>
        <w:t xml:space="preserve">agree to use both a barrier method and a second method of birth control during the course of the study and for </w:t>
      </w:r>
      <w:r w:rsidR="009A371D" w:rsidRPr="007A3223">
        <w:rPr>
          <w:szCs w:val="24"/>
          <w:lang w:val="en-US"/>
        </w:rPr>
        <w:t>3</w:t>
      </w:r>
      <w:r w:rsidRPr="007A3223">
        <w:rPr>
          <w:szCs w:val="24"/>
        </w:rPr>
        <w:t xml:space="preserve"> months after the last dose of study drug(s). Should a woman become pregnant or suspect she is pregnant while her partner is participating in this study, she should inform her treating physician immediately</w:t>
      </w:r>
      <w:bookmarkStart w:id="100" w:name="_Toc307223232"/>
      <w:bookmarkStart w:id="101" w:name="_Ref414968354"/>
      <w:r w:rsidR="00235383" w:rsidRPr="007A3223">
        <w:rPr>
          <w:szCs w:val="24"/>
          <w:lang w:val="en-US"/>
        </w:rPr>
        <w:t>.</w:t>
      </w:r>
    </w:p>
    <w:p w14:paraId="2FFBDED7" w14:textId="77777777" w:rsidR="007B7F45" w:rsidRPr="007A3223" w:rsidRDefault="00FB467D" w:rsidP="00FB4633">
      <w:pPr>
        <w:pStyle w:val="Heading4"/>
      </w:pPr>
      <w:r w:rsidRPr="007A3223">
        <w:t>Patients who were treated for</w:t>
      </w:r>
      <w:r w:rsidR="007B7F45" w:rsidRPr="007A3223">
        <w:t xml:space="preserve"> metastatic castrate-sensitive prostate cancer </w:t>
      </w:r>
      <w:r w:rsidRPr="007A3223">
        <w:t xml:space="preserve">with docetaxel and androgen deprivation therapy </w:t>
      </w:r>
      <w:r w:rsidR="007B7F45" w:rsidRPr="007A3223">
        <w:t>who progress on docetaxel</w:t>
      </w:r>
      <w:r w:rsidR="00B36120" w:rsidRPr="007A3223">
        <w:t xml:space="preserve"> </w:t>
      </w:r>
      <w:r w:rsidR="007B7F45" w:rsidRPr="007A3223">
        <w:t>treatment or who progress within one month of the last docetaxel dose are eligible.</w:t>
      </w:r>
    </w:p>
    <w:p w14:paraId="6CA0A8A8" w14:textId="77777777" w:rsidR="007F51A4" w:rsidRPr="007A3223" w:rsidRDefault="007F51A4" w:rsidP="006F2234">
      <w:pPr>
        <w:spacing w:before="60" w:after="60"/>
        <w:ind w:left="1080"/>
        <w:rPr>
          <w:szCs w:val="24"/>
        </w:rPr>
      </w:pPr>
    </w:p>
    <w:p w14:paraId="6A732AF7" w14:textId="77777777" w:rsidR="007F51A4" w:rsidRPr="007A3223" w:rsidRDefault="007F51A4" w:rsidP="000C1D10">
      <w:pPr>
        <w:pStyle w:val="Heading3"/>
      </w:pPr>
      <w:r w:rsidRPr="007A3223">
        <w:t>Exclusion Criteri</w:t>
      </w:r>
      <w:bookmarkEnd w:id="100"/>
      <w:bookmarkEnd w:id="101"/>
      <w:r w:rsidRPr="007A3223">
        <w:t>a</w:t>
      </w:r>
    </w:p>
    <w:p w14:paraId="5F444256" w14:textId="77777777" w:rsidR="007F51A4" w:rsidRPr="007A3223" w:rsidRDefault="007F51A4" w:rsidP="00283A77">
      <w:pPr>
        <w:pStyle w:val="Heading4"/>
        <w:rPr>
          <w:rFonts w:eastAsia="Times New Roman"/>
          <w:szCs w:val="20"/>
        </w:rPr>
      </w:pPr>
      <w:r w:rsidRPr="007A3223">
        <w:t>Patients who have had prior treatment with olaparib or other PARP inhibitor</w:t>
      </w:r>
      <w:r w:rsidR="00BF17E5" w:rsidRPr="007A3223">
        <w:t>s</w:t>
      </w:r>
      <w:r w:rsidRPr="007A3223">
        <w:t>.</w:t>
      </w:r>
    </w:p>
    <w:p w14:paraId="58B1B9B4" w14:textId="6873AB43" w:rsidR="007F51A4" w:rsidRPr="007A3223" w:rsidRDefault="007F51A4" w:rsidP="00283A77">
      <w:pPr>
        <w:pStyle w:val="Heading4"/>
        <w:rPr>
          <w:i/>
          <w:szCs w:val="24"/>
        </w:rPr>
      </w:pPr>
      <w:r w:rsidRPr="007A3223">
        <w:rPr>
          <w:szCs w:val="24"/>
        </w:rPr>
        <w:t xml:space="preserve">Patients who have had prior </w:t>
      </w:r>
      <w:r w:rsidR="00B74DBC">
        <w:rPr>
          <w:szCs w:val="24"/>
          <w:lang w:val="en-US"/>
        </w:rPr>
        <w:t>D</w:t>
      </w:r>
      <w:r w:rsidR="00C97D8F" w:rsidRPr="007A3223">
        <w:rPr>
          <w:szCs w:val="24"/>
          <w:lang w:val="en-US"/>
        </w:rPr>
        <w:t>urvalumab</w:t>
      </w:r>
      <w:r w:rsidRPr="007A3223">
        <w:rPr>
          <w:szCs w:val="24"/>
        </w:rPr>
        <w:t xml:space="preserve">. </w:t>
      </w:r>
      <w:r w:rsidR="000238FE" w:rsidRPr="007A3223">
        <w:rPr>
          <w:szCs w:val="24"/>
          <w:lang w:val="en-US"/>
        </w:rPr>
        <w:t xml:space="preserve">Prior treatment with other </w:t>
      </w:r>
      <w:r w:rsidR="00FC3A92" w:rsidRPr="007A3223">
        <w:rPr>
          <w:szCs w:val="24"/>
          <w:lang w:val="en-US"/>
        </w:rPr>
        <w:t xml:space="preserve">immune </w:t>
      </w:r>
      <w:r w:rsidR="000238FE" w:rsidRPr="007A3223">
        <w:rPr>
          <w:szCs w:val="24"/>
          <w:lang w:val="en-US"/>
        </w:rPr>
        <w:t>checkpoint inhibitors is allowed.</w:t>
      </w:r>
    </w:p>
    <w:p w14:paraId="352E0DC6" w14:textId="77777777" w:rsidR="00921EFD" w:rsidRPr="007A3223" w:rsidRDefault="00921EFD" w:rsidP="00283A77">
      <w:pPr>
        <w:pStyle w:val="Heading4"/>
        <w:rPr>
          <w:szCs w:val="24"/>
        </w:rPr>
      </w:pPr>
      <w:r w:rsidRPr="007A3223">
        <w:rPr>
          <w:szCs w:val="24"/>
        </w:rPr>
        <w:t>The patient has received chemotherapy</w:t>
      </w:r>
      <w:r w:rsidR="00AA297A" w:rsidRPr="007A3223">
        <w:rPr>
          <w:szCs w:val="24"/>
        </w:rPr>
        <w:t>,</w:t>
      </w:r>
      <w:r w:rsidR="006F2234" w:rsidRPr="007A3223">
        <w:rPr>
          <w:szCs w:val="24"/>
        </w:rPr>
        <w:t xml:space="preserve"> </w:t>
      </w:r>
      <w:r w:rsidR="00AA297A" w:rsidRPr="007A3223">
        <w:rPr>
          <w:szCs w:val="24"/>
        </w:rPr>
        <w:t xml:space="preserve">radiotherapy, </w:t>
      </w:r>
      <w:r w:rsidRPr="007A3223">
        <w:rPr>
          <w:szCs w:val="24"/>
        </w:rPr>
        <w:t xml:space="preserve">biologic agents </w:t>
      </w:r>
      <w:r w:rsidR="006F2234" w:rsidRPr="007A3223">
        <w:rPr>
          <w:szCs w:val="24"/>
        </w:rPr>
        <w:t xml:space="preserve">or enzalutamide within </w:t>
      </w:r>
      <w:r w:rsidR="0070527D" w:rsidRPr="007A3223">
        <w:rPr>
          <w:szCs w:val="24"/>
        </w:rPr>
        <w:t>3</w:t>
      </w:r>
      <w:r w:rsidR="006F2234" w:rsidRPr="007A3223">
        <w:rPr>
          <w:szCs w:val="24"/>
        </w:rPr>
        <w:t xml:space="preserve"> weeks before the first dose of study treatment </w:t>
      </w:r>
      <w:r w:rsidRPr="007A3223">
        <w:rPr>
          <w:szCs w:val="24"/>
        </w:rPr>
        <w:t>(</w:t>
      </w:r>
      <w:r w:rsidR="006F2234" w:rsidRPr="007A3223">
        <w:rPr>
          <w:szCs w:val="24"/>
        </w:rPr>
        <w:t>nitrosoureas or mitomycin within 6 weeks</w:t>
      </w:r>
      <w:r w:rsidRPr="007A3223">
        <w:rPr>
          <w:szCs w:val="24"/>
        </w:rPr>
        <w:t>).</w:t>
      </w:r>
      <w:r w:rsidR="00AA297A" w:rsidRPr="007A3223">
        <w:rPr>
          <w:szCs w:val="24"/>
        </w:rPr>
        <w:t xml:space="preserve"> However, for </w:t>
      </w:r>
      <w:r w:rsidRPr="007A3223">
        <w:rPr>
          <w:szCs w:val="24"/>
        </w:rPr>
        <w:t>patients receiving abiraterone</w:t>
      </w:r>
      <w:r w:rsidR="00AA297A" w:rsidRPr="007A3223">
        <w:rPr>
          <w:szCs w:val="24"/>
        </w:rPr>
        <w:t>,</w:t>
      </w:r>
      <w:r w:rsidRPr="007A3223">
        <w:rPr>
          <w:szCs w:val="24"/>
        </w:rPr>
        <w:t xml:space="preserve"> they must discontinue the medication</w:t>
      </w:r>
      <w:r w:rsidR="006F2234" w:rsidRPr="007A3223">
        <w:rPr>
          <w:szCs w:val="24"/>
        </w:rPr>
        <w:t xml:space="preserve"> at least</w:t>
      </w:r>
      <w:r w:rsidRPr="007A3223">
        <w:rPr>
          <w:szCs w:val="24"/>
        </w:rPr>
        <w:t xml:space="preserve"> 14 days before the first dose of study treatment.  </w:t>
      </w:r>
    </w:p>
    <w:p w14:paraId="42D34789" w14:textId="77777777" w:rsidR="00921EFD" w:rsidRPr="007A3223" w:rsidRDefault="00921EFD" w:rsidP="00283A77">
      <w:pPr>
        <w:pStyle w:val="Heading4"/>
        <w:rPr>
          <w:szCs w:val="24"/>
        </w:rPr>
      </w:pPr>
      <w:r w:rsidRPr="007A3223">
        <w:rPr>
          <w:szCs w:val="24"/>
        </w:rPr>
        <w:t xml:space="preserve">The patient has received any other type of investigational agent within 28 days before the first dose of study treatment. </w:t>
      </w:r>
    </w:p>
    <w:p w14:paraId="3E6C2E1C" w14:textId="77777777" w:rsidR="00921EFD" w:rsidRPr="007A3223" w:rsidRDefault="00921EFD" w:rsidP="0067175D">
      <w:pPr>
        <w:pStyle w:val="Heading4"/>
      </w:pPr>
      <w:r w:rsidRPr="007A3223">
        <w:t>The patient has received radionuclide treatment within 6 weeks prior to the first dose of the study treatment</w:t>
      </w:r>
    </w:p>
    <w:p w14:paraId="5731ABC2" w14:textId="77777777" w:rsidR="00921EFD" w:rsidRPr="007A3223" w:rsidRDefault="00921EFD" w:rsidP="0067175D">
      <w:pPr>
        <w:pStyle w:val="Heading4"/>
        <w:rPr>
          <w:i/>
          <w:szCs w:val="26"/>
        </w:rPr>
      </w:pPr>
      <w:r w:rsidRPr="007A3223">
        <w:t xml:space="preserve">The patient is unable to swallow tablets or capsules. </w:t>
      </w:r>
    </w:p>
    <w:p w14:paraId="2797052C" w14:textId="77777777" w:rsidR="007F51A4" w:rsidRPr="007A3223" w:rsidRDefault="007F51A4" w:rsidP="0067175D">
      <w:pPr>
        <w:pStyle w:val="Heading4"/>
        <w:rPr>
          <w:i/>
        </w:rPr>
      </w:pPr>
      <w:r w:rsidRPr="007A3223">
        <w:t xml:space="preserve">History of allergic reactions (known history of anaphylaxis, angioedema, laryngeal </w:t>
      </w:r>
    </w:p>
    <w:p w14:paraId="67AE3EB3" w14:textId="387E1949" w:rsidR="00921EFD" w:rsidRPr="007A3223" w:rsidRDefault="00921EFD" w:rsidP="00F14150">
      <w:pPr>
        <w:pStyle w:val="Heading4"/>
        <w:numPr>
          <w:ilvl w:val="0"/>
          <w:numId w:val="0"/>
        </w:numPr>
        <w:ind w:left="864"/>
        <w:rPr>
          <w:i/>
        </w:rPr>
      </w:pPr>
      <w:r w:rsidRPr="007A3223">
        <w:t>edema, serum sickness, or uncontrolled asthma)</w:t>
      </w:r>
      <w:r w:rsidRPr="007A3223">
        <w:rPr>
          <w:i/>
        </w:rPr>
        <w:t xml:space="preserve"> </w:t>
      </w:r>
      <w:r w:rsidRPr="007A3223">
        <w:t>attributed to compounds of similar chemical or biologic composition to</w:t>
      </w:r>
      <w:r w:rsidRPr="007A3223">
        <w:rPr>
          <w:i/>
        </w:rPr>
        <w:t xml:space="preserve"> </w:t>
      </w:r>
      <w:r w:rsidR="00B74DBC">
        <w:rPr>
          <w:lang w:val="en-US"/>
        </w:rPr>
        <w:t>Durvalumab</w:t>
      </w:r>
      <w:r w:rsidRPr="007A3223">
        <w:t xml:space="preserve">, olaparib, or to other humanized monoclonal antibodies. </w:t>
      </w:r>
    </w:p>
    <w:p w14:paraId="22A85170" w14:textId="77777777" w:rsidR="00921EFD" w:rsidRPr="007A3223" w:rsidRDefault="00921EFD" w:rsidP="0067175D">
      <w:pPr>
        <w:pStyle w:val="Heading4"/>
        <w:rPr>
          <w:i/>
        </w:rPr>
      </w:pPr>
      <w:r w:rsidRPr="007A3223">
        <w:t xml:space="preserve">History of auto-immune disease requiring steroid maintenance, or history of primary immunodeficiency. </w:t>
      </w:r>
    </w:p>
    <w:p w14:paraId="2E490B8F" w14:textId="119407BD" w:rsidR="00921EFD" w:rsidRPr="007A3223" w:rsidRDefault="00921EFD" w:rsidP="00563E17">
      <w:pPr>
        <w:pStyle w:val="Heading4"/>
      </w:pPr>
      <w:r w:rsidRPr="007A3223">
        <w:t xml:space="preserve">Current or prior use of immunosuppressive medication within 28 days before the first dose of </w:t>
      </w:r>
      <w:r w:rsidR="00B74DBC">
        <w:rPr>
          <w:lang w:val="en-US"/>
        </w:rPr>
        <w:t>Durvalumab</w:t>
      </w:r>
      <w:r w:rsidRPr="007A3223">
        <w:t>, with the exception of intranasal, inhaled, opthomalogical, or  topical  corticosteroids or systemic corticosteroids at physiological doses, which are not to exceed 10 mg/day of prednisone or an equivalent corticosteroid.</w:t>
      </w:r>
      <w:r w:rsidR="00563E17" w:rsidRPr="007A3223">
        <w:rPr>
          <w:lang w:val="en-US"/>
        </w:rPr>
        <w:t xml:space="preserve"> </w:t>
      </w:r>
      <w:r w:rsidRPr="007A3223" w:rsidDel="00B87BCE">
        <w:t xml:space="preserve"> </w:t>
      </w:r>
      <w:r w:rsidR="00563E17" w:rsidRPr="007A3223">
        <w:t xml:space="preserve">In the case of short term use of systemic corticosteroids (less than 24 hours within 28 days) of greater than 10 mg/day of prednisone or an equivalent corticosteroid, the required washout period prior to starting the first dose of </w:t>
      </w:r>
      <w:r w:rsidR="00223FC2">
        <w:rPr>
          <w:lang w:val="en-US"/>
        </w:rPr>
        <w:t>Durvalumab</w:t>
      </w:r>
      <w:r w:rsidR="00563E17" w:rsidRPr="007A3223">
        <w:t xml:space="preserve"> is 7 days.</w:t>
      </w:r>
    </w:p>
    <w:p w14:paraId="434D2692" w14:textId="77777777" w:rsidR="00921EFD" w:rsidRPr="007A3223" w:rsidRDefault="00921EFD" w:rsidP="00BF17E5">
      <w:pPr>
        <w:pStyle w:val="Heading4"/>
        <w:ind w:left="900" w:hanging="900"/>
        <w:rPr>
          <w:noProof w:val="0"/>
        </w:rPr>
      </w:pPr>
      <w:r w:rsidRPr="007A3223">
        <w:rPr>
          <w:noProof w:val="0"/>
        </w:rPr>
        <w:t>Patients with any other concomitant or prior invasive malignancies are ineligible, However, patients with prior cancer treated with a curative intent with no evidence of recurrent disease 2 years following diagnosis and judged by the investigator to be at low risk of recurrence are eligible. Patients with treated limited stage basal cell or squamous cell carcinoma of the skin or carcinoma in situ of the breast are eligible.</w:t>
      </w:r>
    </w:p>
    <w:p w14:paraId="01CD7CAB" w14:textId="77777777" w:rsidR="007F51A4" w:rsidRPr="007A3223" w:rsidRDefault="007F51A4" w:rsidP="000614E9">
      <w:pPr>
        <w:pStyle w:val="Heading4"/>
      </w:pPr>
      <w:r w:rsidRPr="007A3223">
        <w:t xml:space="preserve">Active or prior documented inflammatory bowel disease (e.g., Crohn’s disease, ulcerative colitis). Eligibility for patients with asymptomatic and a previous diagnosis of </w:t>
      </w:r>
      <w:r w:rsidRPr="007A3223">
        <w:lastRenderedPageBreak/>
        <w:t>immune or inflammatory colitis, or patients with chronic diarrhea &gt; 1 month without immune or inflammatory colitis is a PI decision on an individual patient basis.</w:t>
      </w:r>
      <w:r w:rsidRPr="007A3223" w:rsidDel="00544CCD">
        <w:t xml:space="preserve"> </w:t>
      </w:r>
    </w:p>
    <w:p w14:paraId="4334667E" w14:textId="76F9A750" w:rsidR="007F51A4" w:rsidRPr="007A3223" w:rsidRDefault="007F51A4" w:rsidP="000614E9">
      <w:pPr>
        <w:pStyle w:val="Heading4"/>
        <w:rPr>
          <w:i/>
        </w:rPr>
      </w:pPr>
      <w:r w:rsidRPr="007A3223">
        <w:t xml:space="preserve">Receipt of live attenuated vaccination within 30 days before the first dose of </w:t>
      </w:r>
      <w:r w:rsidR="00223FC2">
        <w:rPr>
          <w:lang w:val="en-US"/>
        </w:rPr>
        <w:t>Durvalumab</w:t>
      </w:r>
      <w:r w:rsidRPr="007A3223">
        <w:t>.</w:t>
      </w:r>
    </w:p>
    <w:p w14:paraId="4C4CB65C" w14:textId="6F58F63A" w:rsidR="00AA297A" w:rsidRPr="007A3223" w:rsidRDefault="006F2234" w:rsidP="000614E9">
      <w:pPr>
        <w:pStyle w:val="Heading4"/>
        <w:rPr>
          <w:szCs w:val="24"/>
        </w:rPr>
      </w:pPr>
      <w:r w:rsidRPr="007A3223">
        <w:t xml:space="preserve">Patients with evidence of CNS metastasis, or leptomeningeal disease within </w:t>
      </w:r>
      <w:r w:rsidR="00AA0D73" w:rsidRPr="007A3223">
        <w:t>1</w:t>
      </w:r>
      <w:r w:rsidRPr="007A3223">
        <w:t xml:space="preserve"> year prior to enrollment will be excluded from this clinical trial because of their poor prognosis and because they often develop progressive neurologic dysfunction that would confound the evaluation of neurologic and other adverse events. Patients with a remote history of brain metastases may be considered if they received sterilizing therapy to the CNS (resection or radiation) and have been CNS progression-free for the 1-year period. Baseline imaging to rule out brain metastases is not required for screening, but should be performed prior to study enrollment if clinically indicated</w:t>
      </w:r>
      <w:r w:rsidR="00FA525A" w:rsidRPr="007A3223">
        <w:rPr>
          <w:lang w:val="en-US"/>
        </w:rPr>
        <w:t>.</w:t>
      </w:r>
      <w:r w:rsidR="00DA6F7E" w:rsidRPr="007A3223">
        <w:rPr>
          <w:lang w:val="en-US"/>
        </w:rPr>
        <w:t xml:space="preserve"> Patients with spinal cord compression may be considered if the condition is </w:t>
      </w:r>
      <w:r w:rsidR="00DA6F7E" w:rsidRPr="007A3223">
        <w:rPr>
          <w:noProof w:val="0"/>
          <w:lang w:val="en-US"/>
        </w:rPr>
        <w:t>medically managed and currently asymptomatic.</w:t>
      </w:r>
      <w:r w:rsidR="00DA6F7E" w:rsidRPr="007A3223">
        <w:t xml:space="preserve"> </w:t>
      </w:r>
    </w:p>
    <w:p w14:paraId="35FCB5F3" w14:textId="77777777" w:rsidR="007F51A4" w:rsidRPr="007A3223" w:rsidRDefault="00921EFD" w:rsidP="000614E9">
      <w:pPr>
        <w:pStyle w:val="Heading4"/>
        <w:rPr>
          <w:szCs w:val="24"/>
        </w:rPr>
      </w:pPr>
      <w:r w:rsidRPr="007A3223">
        <w:t xml:space="preserve">The patient </w:t>
      </w:r>
      <w:r w:rsidR="007F51A4" w:rsidRPr="007A3223">
        <w:t xml:space="preserve">has not recovered to baseline or CTCAE </w:t>
      </w:r>
      <w:r w:rsidR="007F51A4" w:rsidRPr="007A3223">
        <w:rPr>
          <w:rFonts w:hint="eastAsia"/>
        </w:rPr>
        <w:t>≤</w:t>
      </w:r>
      <w:r w:rsidR="007F51A4" w:rsidRPr="007A3223">
        <w:t xml:space="preserve"> Grade 1 from toxicity due to all prior therapies, including surgery, except alopecia and other non-clinically significant AEs.</w:t>
      </w:r>
      <w:bookmarkStart w:id="102" w:name="_Ref404255522"/>
    </w:p>
    <w:p w14:paraId="3ADCEC8A" w14:textId="77777777" w:rsidR="007F51A4" w:rsidRPr="007A3223" w:rsidRDefault="00921EFD" w:rsidP="000614E9">
      <w:pPr>
        <w:pStyle w:val="Heading4"/>
        <w:rPr>
          <w:szCs w:val="24"/>
        </w:rPr>
      </w:pPr>
      <w:r w:rsidRPr="007A3223">
        <w:t xml:space="preserve">The patient </w:t>
      </w:r>
      <w:r w:rsidR="007F51A4" w:rsidRPr="007A3223">
        <w:t>has uncontrolled, significant intercurrent or recent illness including, but  not limited to, the following conditions:</w:t>
      </w:r>
      <w:bookmarkEnd w:id="102"/>
    </w:p>
    <w:p w14:paraId="486B4BFD" w14:textId="77777777" w:rsidR="007F51A4" w:rsidRPr="007A3223" w:rsidRDefault="007F51A4" w:rsidP="00FB66BA">
      <w:pPr>
        <w:numPr>
          <w:ilvl w:val="1"/>
          <w:numId w:val="59"/>
        </w:numPr>
        <w:tabs>
          <w:tab w:val="left" w:pos="1170"/>
        </w:tabs>
        <w:spacing w:before="60" w:after="60"/>
        <w:ind w:left="630" w:firstLine="0"/>
        <w:rPr>
          <w:rFonts w:eastAsia="Times New Roman"/>
          <w:szCs w:val="20"/>
        </w:rPr>
      </w:pPr>
      <w:r w:rsidRPr="007A3223">
        <w:rPr>
          <w:rFonts w:eastAsia="Times New Roman"/>
          <w:szCs w:val="20"/>
        </w:rPr>
        <w:t>Cardiovascular disorders including</w:t>
      </w:r>
    </w:p>
    <w:p w14:paraId="574F0B4A" w14:textId="77777777" w:rsidR="007F51A4" w:rsidRPr="007A3223" w:rsidRDefault="006F2234" w:rsidP="00FB66BA">
      <w:pPr>
        <w:numPr>
          <w:ilvl w:val="2"/>
          <w:numId w:val="59"/>
        </w:numPr>
        <w:tabs>
          <w:tab w:val="left" w:pos="1170"/>
        </w:tabs>
        <w:spacing w:before="60" w:after="60"/>
        <w:ind w:left="630" w:firstLine="0"/>
        <w:rPr>
          <w:rFonts w:eastAsia="Times New Roman"/>
          <w:szCs w:val="20"/>
        </w:rPr>
      </w:pPr>
      <w:r w:rsidRPr="007A3223">
        <w:rPr>
          <w:rFonts w:eastAsia="Times New Roman"/>
          <w:szCs w:val="20"/>
        </w:rPr>
        <w:t>c</w:t>
      </w:r>
      <w:r w:rsidR="007F51A4" w:rsidRPr="007A3223">
        <w:rPr>
          <w:rFonts w:eastAsia="Times New Roman"/>
          <w:szCs w:val="20"/>
        </w:rPr>
        <w:t>ongestive heart failure (CHF): New York Heart Association (NYHA) Class III (moderate) or Class IV (severe) at the time of screening</w:t>
      </w:r>
    </w:p>
    <w:p w14:paraId="0E7102AF" w14:textId="77777777" w:rsidR="007F51A4" w:rsidRPr="007A3223" w:rsidRDefault="006F2234" w:rsidP="00FB66BA">
      <w:pPr>
        <w:numPr>
          <w:ilvl w:val="2"/>
          <w:numId w:val="59"/>
        </w:numPr>
        <w:tabs>
          <w:tab w:val="left" w:pos="1170"/>
        </w:tabs>
        <w:spacing w:before="60" w:after="60"/>
        <w:ind w:left="630" w:firstLine="0"/>
        <w:rPr>
          <w:rFonts w:eastAsia="Times New Roman"/>
          <w:szCs w:val="20"/>
        </w:rPr>
      </w:pPr>
      <w:r w:rsidRPr="007A3223">
        <w:rPr>
          <w:rFonts w:eastAsia="Times New Roman"/>
          <w:szCs w:val="20"/>
        </w:rPr>
        <w:t>c</w:t>
      </w:r>
      <w:r w:rsidR="007F51A4" w:rsidRPr="007A3223">
        <w:rPr>
          <w:rFonts w:eastAsia="Times New Roman"/>
          <w:szCs w:val="20"/>
        </w:rPr>
        <w:t>oncurrent uncontrolled hypertension defined as sustained BP &gt;140 mm Hg systolic, or &gt; 90 mm Hg diastolic despite optimal antihypertensive treatment (BP must be controlled at screening)</w:t>
      </w:r>
    </w:p>
    <w:p w14:paraId="20809D29" w14:textId="77777777" w:rsidR="007F51A4" w:rsidRPr="007A3223" w:rsidRDefault="006F2234" w:rsidP="00FB66BA">
      <w:pPr>
        <w:numPr>
          <w:ilvl w:val="2"/>
          <w:numId w:val="59"/>
        </w:numPr>
        <w:tabs>
          <w:tab w:val="left" w:pos="1170"/>
        </w:tabs>
        <w:spacing w:before="60" w:after="60"/>
        <w:ind w:left="630" w:firstLine="0"/>
        <w:rPr>
          <w:rFonts w:eastAsia="Times New Roman"/>
          <w:szCs w:val="20"/>
        </w:rPr>
      </w:pPr>
      <w:r w:rsidRPr="007A3223">
        <w:rPr>
          <w:rFonts w:eastAsia="Times New Roman"/>
          <w:szCs w:val="20"/>
        </w:rPr>
        <w:t>a</w:t>
      </w:r>
      <w:r w:rsidR="007F51A4" w:rsidRPr="007A3223">
        <w:rPr>
          <w:rFonts w:eastAsia="Times New Roman"/>
          <w:szCs w:val="20"/>
        </w:rPr>
        <w:t>ny history of congenital long QT syndrome</w:t>
      </w:r>
    </w:p>
    <w:p w14:paraId="011A0078" w14:textId="77777777" w:rsidR="007F51A4" w:rsidRPr="007A3223" w:rsidRDefault="006F2234" w:rsidP="00FB66BA">
      <w:pPr>
        <w:numPr>
          <w:ilvl w:val="2"/>
          <w:numId w:val="59"/>
        </w:numPr>
        <w:tabs>
          <w:tab w:val="left" w:pos="1170"/>
        </w:tabs>
        <w:spacing w:before="60" w:after="60"/>
        <w:ind w:left="630" w:firstLine="0"/>
        <w:rPr>
          <w:rFonts w:eastAsia="Times New Roman"/>
          <w:szCs w:val="20"/>
        </w:rPr>
      </w:pPr>
      <w:r w:rsidRPr="007A3223">
        <w:rPr>
          <w:rFonts w:eastAsia="Times New Roman"/>
          <w:szCs w:val="20"/>
        </w:rPr>
        <w:t>a</w:t>
      </w:r>
      <w:r w:rsidR="007F51A4" w:rsidRPr="007A3223">
        <w:rPr>
          <w:rFonts w:eastAsia="Times New Roman"/>
          <w:szCs w:val="20"/>
        </w:rPr>
        <w:t>ny of the following within 6 months before the first dose of study treatment:</w:t>
      </w:r>
    </w:p>
    <w:p w14:paraId="5D90B583" w14:textId="77777777" w:rsidR="007F51A4" w:rsidRPr="007A3223" w:rsidRDefault="007F51A4" w:rsidP="00FB66BA">
      <w:pPr>
        <w:numPr>
          <w:ilvl w:val="3"/>
          <w:numId w:val="60"/>
        </w:numPr>
        <w:spacing w:before="60" w:after="60"/>
        <w:ind w:left="630" w:firstLine="540"/>
        <w:rPr>
          <w:rFonts w:eastAsia="Times New Roman"/>
          <w:szCs w:val="20"/>
        </w:rPr>
      </w:pPr>
      <w:r w:rsidRPr="007A3223">
        <w:rPr>
          <w:rFonts w:eastAsia="Times New Roman"/>
          <w:szCs w:val="20"/>
        </w:rPr>
        <w:t>unstable angina pectoris</w:t>
      </w:r>
    </w:p>
    <w:p w14:paraId="13904C18" w14:textId="003D5669" w:rsidR="007F51A4" w:rsidRPr="007A3223" w:rsidRDefault="007F51A4" w:rsidP="00FB66BA">
      <w:pPr>
        <w:numPr>
          <w:ilvl w:val="3"/>
          <w:numId w:val="60"/>
        </w:numPr>
        <w:spacing w:before="60" w:after="60"/>
        <w:ind w:left="1350" w:hanging="180"/>
        <w:rPr>
          <w:rFonts w:eastAsia="Times New Roman"/>
          <w:szCs w:val="20"/>
        </w:rPr>
      </w:pPr>
      <w:r w:rsidRPr="007A3223">
        <w:rPr>
          <w:rFonts w:eastAsia="Times New Roman"/>
          <w:szCs w:val="20"/>
        </w:rPr>
        <w:t>clinically-significant cardiac arrhythmias</w:t>
      </w:r>
      <w:r w:rsidR="00F741F0" w:rsidRPr="007A3223">
        <w:rPr>
          <w:rFonts w:eastAsia="Times New Roman"/>
          <w:szCs w:val="20"/>
        </w:rPr>
        <w:t xml:space="preserve"> with the exception of </w:t>
      </w:r>
      <w:r w:rsidR="004B5D21" w:rsidRPr="007A3223">
        <w:rPr>
          <w:rFonts w:eastAsia="Times New Roman"/>
          <w:szCs w:val="20"/>
        </w:rPr>
        <w:t xml:space="preserve">asymptomatic </w:t>
      </w:r>
      <w:r w:rsidR="00F741F0" w:rsidRPr="007A3223">
        <w:rPr>
          <w:rFonts w:eastAsia="Times New Roman"/>
          <w:szCs w:val="20"/>
        </w:rPr>
        <w:t>atrial fibrillation controlled on therapy</w:t>
      </w:r>
    </w:p>
    <w:p w14:paraId="21C3EA12" w14:textId="77777777" w:rsidR="007F51A4" w:rsidRPr="007A3223" w:rsidRDefault="007F51A4" w:rsidP="00FB66BA">
      <w:pPr>
        <w:numPr>
          <w:ilvl w:val="3"/>
          <w:numId w:val="60"/>
        </w:numPr>
        <w:spacing w:before="60" w:after="60"/>
        <w:ind w:left="630" w:firstLine="540"/>
        <w:rPr>
          <w:rFonts w:eastAsia="Times New Roman"/>
          <w:szCs w:val="20"/>
        </w:rPr>
      </w:pPr>
      <w:r w:rsidRPr="007A3223">
        <w:rPr>
          <w:rFonts w:eastAsia="Times New Roman"/>
          <w:szCs w:val="20"/>
        </w:rPr>
        <w:t>stroke (including TIA, or other ischemic event)</w:t>
      </w:r>
    </w:p>
    <w:p w14:paraId="73F7749A" w14:textId="77777777" w:rsidR="007F51A4" w:rsidRPr="007A3223" w:rsidRDefault="007F51A4" w:rsidP="00FB66BA">
      <w:pPr>
        <w:numPr>
          <w:ilvl w:val="3"/>
          <w:numId w:val="60"/>
        </w:numPr>
        <w:spacing w:before="60" w:after="60"/>
        <w:ind w:left="630" w:firstLine="540"/>
        <w:rPr>
          <w:rFonts w:eastAsia="Times New Roman"/>
          <w:szCs w:val="20"/>
        </w:rPr>
      </w:pPr>
      <w:r w:rsidRPr="007A3223">
        <w:rPr>
          <w:rFonts w:eastAsia="Times New Roman"/>
          <w:szCs w:val="20"/>
        </w:rPr>
        <w:t>myocardial infarction</w:t>
      </w:r>
    </w:p>
    <w:p w14:paraId="77411D65" w14:textId="77777777" w:rsidR="00415161" w:rsidRPr="007A3223" w:rsidRDefault="007F51A4" w:rsidP="00FB66BA">
      <w:pPr>
        <w:numPr>
          <w:ilvl w:val="3"/>
          <w:numId w:val="60"/>
        </w:numPr>
        <w:spacing w:before="60" w:after="60"/>
        <w:ind w:left="1440" w:hanging="270"/>
        <w:rPr>
          <w:rFonts w:eastAsia="Times New Roman"/>
          <w:szCs w:val="20"/>
        </w:rPr>
      </w:pPr>
      <w:r w:rsidRPr="007A3223">
        <w:rPr>
          <w:rFonts w:eastAsia="Times New Roman"/>
          <w:szCs w:val="20"/>
        </w:rPr>
        <w:t>thromboembolic event requiring therapeutic anticoagulation (Note: subjects with a venous filter (e.g. vena cava filter) are not eligible for this study)</w:t>
      </w:r>
    </w:p>
    <w:p w14:paraId="1811A9CC" w14:textId="77777777" w:rsidR="00415161" w:rsidRPr="007A3223" w:rsidRDefault="00415161" w:rsidP="00FB66BA">
      <w:pPr>
        <w:numPr>
          <w:ilvl w:val="3"/>
          <w:numId w:val="60"/>
        </w:numPr>
        <w:spacing w:before="60" w:after="60"/>
        <w:ind w:left="1440" w:hanging="270"/>
        <w:rPr>
          <w:rFonts w:eastAsia="Times New Roman"/>
          <w:szCs w:val="20"/>
        </w:rPr>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Pr="007A3223">
        <w:t xml:space="preserve">or other significant ECG abnormality noted within 14 days of treatment.  </w:t>
      </w:r>
    </w:p>
    <w:p w14:paraId="78ABC58E" w14:textId="77777777" w:rsidR="007F51A4" w:rsidRPr="007A3223" w:rsidRDefault="007F51A4" w:rsidP="00FB66BA">
      <w:pPr>
        <w:numPr>
          <w:ilvl w:val="1"/>
          <w:numId w:val="59"/>
        </w:numPr>
        <w:spacing w:before="60" w:after="60"/>
        <w:ind w:left="1170" w:hanging="540"/>
        <w:rPr>
          <w:rFonts w:eastAsia="Times New Roman"/>
          <w:szCs w:val="20"/>
        </w:rPr>
      </w:pPr>
      <w:r w:rsidRPr="007A3223">
        <w:rPr>
          <w:rFonts w:eastAsia="Times New Roman"/>
          <w:szCs w:val="20"/>
        </w:rPr>
        <w:t>Other clinically significant disorders such as:</w:t>
      </w:r>
    </w:p>
    <w:p w14:paraId="70C6DF9B" w14:textId="77777777" w:rsidR="007F51A4" w:rsidRPr="007A3223" w:rsidRDefault="007F51A4" w:rsidP="00FB66BA">
      <w:pPr>
        <w:numPr>
          <w:ilvl w:val="2"/>
          <w:numId w:val="59"/>
        </w:numPr>
        <w:tabs>
          <w:tab w:val="clear" w:pos="1800"/>
          <w:tab w:val="left" w:pos="1170"/>
        </w:tabs>
        <w:spacing w:before="60" w:after="60"/>
        <w:ind w:left="1170" w:hanging="540"/>
        <w:rPr>
          <w:rFonts w:eastAsia="Times New Roman"/>
          <w:szCs w:val="20"/>
        </w:rPr>
      </w:pPr>
      <w:r w:rsidRPr="007A3223">
        <w:rPr>
          <w:rFonts w:eastAsia="Times New Roman"/>
          <w:szCs w:val="20"/>
        </w:rPr>
        <w:t>active infection requiring intravenous treatment within 7 days of starting protocol treatment</w:t>
      </w:r>
    </w:p>
    <w:p w14:paraId="187D2370" w14:textId="77777777" w:rsidR="007F51A4" w:rsidRPr="007A3223" w:rsidRDefault="007F51A4" w:rsidP="00FB66BA">
      <w:pPr>
        <w:numPr>
          <w:ilvl w:val="2"/>
          <w:numId w:val="59"/>
        </w:numPr>
        <w:tabs>
          <w:tab w:val="clear" w:pos="1800"/>
          <w:tab w:val="left" w:pos="1170"/>
        </w:tabs>
        <w:spacing w:before="60" w:after="60"/>
        <w:ind w:left="1170" w:hanging="540"/>
        <w:rPr>
          <w:rFonts w:eastAsia="Times New Roman"/>
          <w:szCs w:val="20"/>
        </w:rPr>
      </w:pPr>
      <w:r w:rsidRPr="007A3223">
        <w:rPr>
          <w:rFonts w:eastAsia="Times New Roman"/>
          <w:szCs w:val="20"/>
        </w:rPr>
        <w:lastRenderedPageBreak/>
        <w:t>serious non-healing wound/ulcer/bone fracture (excluding stable compression fracture) within 28 days before the first dose of study treatment</w:t>
      </w:r>
    </w:p>
    <w:p w14:paraId="35A3ACE5" w14:textId="77777777" w:rsidR="00A676A3" w:rsidRPr="007A3223" w:rsidRDefault="007F51A4" w:rsidP="00A676A3">
      <w:pPr>
        <w:pStyle w:val="Heading4"/>
        <w:rPr>
          <w:noProof w:val="0"/>
        </w:rPr>
      </w:pPr>
      <w:r w:rsidRPr="007A3223">
        <w:t xml:space="preserve">HIV-positive patients on combination antiretroviral therapy are ineligible because of the potential for pharmacokinetic interactions with the study agent.  </w:t>
      </w:r>
      <w:bookmarkStart w:id="103" w:name="_Ref414280504"/>
      <w:r w:rsidR="00A676A3" w:rsidRPr="007A3223">
        <w:rPr>
          <w:noProof w:val="0"/>
        </w:rPr>
        <w:t>However, patients with long-standing (&gt;5 years) HIV on antiretroviral therapy &gt; 1 month (undetectable HIV viral load and CD4 count &gt; 150 cells/µL) may be eligible if the PI determines no anticipated clinically significant drug-drug interactions.</w:t>
      </w:r>
    </w:p>
    <w:p w14:paraId="129B7DA7" w14:textId="77777777" w:rsidR="007F51A4" w:rsidRPr="007A3223" w:rsidRDefault="007F51A4" w:rsidP="00D44590">
      <w:pPr>
        <w:pStyle w:val="Heading4"/>
        <w:rPr>
          <w:rFonts w:eastAsia="Times New Roman"/>
          <w:szCs w:val="20"/>
        </w:rPr>
      </w:pPr>
      <w:r w:rsidRPr="007A3223">
        <w:rPr>
          <w:szCs w:val="24"/>
        </w:rPr>
        <w:t xml:space="preserve">HBV-or HCV-positive patients are ineligible </w:t>
      </w:r>
    </w:p>
    <w:bookmarkEnd w:id="103"/>
    <w:p w14:paraId="72302A7C" w14:textId="11D86BCB" w:rsidR="007F51A4" w:rsidRPr="00F33908" w:rsidRDefault="007F51A4" w:rsidP="002D00DC">
      <w:pPr>
        <w:pStyle w:val="Heading4"/>
      </w:pPr>
      <w:r w:rsidRPr="007A3223">
        <w:t xml:space="preserve">Any prior grade </w:t>
      </w:r>
      <w:r w:rsidRPr="007A3223">
        <w:rPr>
          <w:rFonts w:hint="eastAsia"/>
        </w:rPr>
        <w:t>≥</w:t>
      </w:r>
      <w:r w:rsidRPr="007A3223">
        <w:t xml:space="preserve"> 3 immune-related adverse event (irAE)</w:t>
      </w:r>
      <w:hyperlink w:anchor="_ENREF_160" w:tooltip="Weber, 2012 #79" w:history="1">
        <w:r w:rsidR="00F77861" w:rsidRPr="00244551">
          <w:rPr>
            <w:rStyle w:val="Hyperlink"/>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rPr>
          <w:instrText xml:space="preserve"> ADDIN EN.CITE </w:instrText>
        </w:r>
        <w:r w:rsidR="00E27C67" w:rsidRPr="00F4501E">
          <w:rPr>
            <w:rStyle w:val="Hyperlink"/>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rPr>
          <w:instrText xml:space="preserve"> ADDIN EN.CITE.DATA </w:instrText>
        </w:r>
        <w:r w:rsidR="00E27C67" w:rsidRPr="00F4501E">
          <w:rPr>
            <w:rStyle w:val="Hyperlink"/>
          </w:rPr>
        </w:r>
        <w:r w:rsidR="00E27C67" w:rsidRPr="00F4501E">
          <w:rPr>
            <w:rStyle w:val="Hyperlink"/>
          </w:rPr>
          <w:fldChar w:fldCharType="end"/>
        </w:r>
        <w:r w:rsidR="00F77861" w:rsidRPr="00244551">
          <w:rPr>
            <w:rStyle w:val="Hyperlink"/>
          </w:rPr>
        </w:r>
        <w:r w:rsidR="00F77861" w:rsidRPr="00244551">
          <w:rPr>
            <w:rStyle w:val="Hyperlink"/>
          </w:rPr>
          <w:fldChar w:fldCharType="separate"/>
        </w:r>
        <w:r w:rsidR="00E27C67" w:rsidRPr="00244551">
          <w:rPr>
            <w:rStyle w:val="Hyperlink"/>
            <w:vertAlign w:val="superscript"/>
          </w:rPr>
          <w:t>160</w:t>
        </w:r>
        <w:r w:rsidR="00F77861" w:rsidRPr="00244551">
          <w:rPr>
            <w:rStyle w:val="Hyperlink"/>
          </w:rPr>
          <w:fldChar w:fldCharType="end"/>
        </w:r>
      </w:hyperlink>
      <w:r w:rsidRPr="007A3223">
        <w:t xml:space="preserve"> while receiving any previous immunotherapy agent, or any unresolved irAE &gt; grade 1. </w:t>
      </w:r>
    </w:p>
    <w:p w14:paraId="3CDAC771" w14:textId="77777777" w:rsidR="00EA1DA8" w:rsidRPr="007A3223" w:rsidRDefault="00EA1DA8" w:rsidP="00EA1DA8">
      <w:pPr>
        <w:spacing w:before="60" w:after="60"/>
        <w:ind w:left="630"/>
      </w:pPr>
    </w:p>
    <w:p w14:paraId="3021FF36" w14:textId="6294971B" w:rsidR="007F51A4" w:rsidRPr="007A3223" w:rsidRDefault="005B5328" w:rsidP="00ED703B">
      <w:pPr>
        <w:pStyle w:val="Heading2"/>
      </w:pPr>
      <w:bookmarkStart w:id="104" w:name="_Toc82444349"/>
      <w:r w:rsidRPr="007A3223">
        <w:t xml:space="preserve">Phase II Colorectal Cancer </w:t>
      </w:r>
      <w:r w:rsidR="0042056D" w:rsidRPr="007A3223">
        <w:rPr>
          <w:lang w:val="en-US"/>
        </w:rPr>
        <w:t>C</w:t>
      </w:r>
      <w:r w:rsidR="0042056D" w:rsidRPr="007A3223">
        <w:t xml:space="preserve">ohort </w:t>
      </w:r>
      <w:r w:rsidR="00BB46AD" w:rsidRPr="007A3223">
        <w:t xml:space="preserve">6 </w:t>
      </w:r>
      <w:r w:rsidRPr="007A3223">
        <w:t>(</w:t>
      </w:r>
      <w:r w:rsidR="00223FC2">
        <w:rPr>
          <w:lang w:val="en-US"/>
        </w:rPr>
        <w:t>Durvalumab</w:t>
      </w:r>
      <w:r w:rsidR="001B7815" w:rsidRPr="007A3223">
        <w:t>+</w:t>
      </w:r>
      <w:r w:rsidRPr="007A3223">
        <w:t>C Only)</w:t>
      </w:r>
      <w:bookmarkEnd w:id="104"/>
    </w:p>
    <w:p w14:paraId="23488732" w14:textId="77777777" w:rsidR="008960BE" w:rsidRPr="007A3223" w:rsidRDefault="008960BE" w:rsidP="000C1D10">
      <w:pPr>
        <w:pStyle w:val="Heading3"/>
      </w:pPr>
      <w:r w:rsidRPr="007A3223">
        <w:t>Inclusion criteria</w:t>
      </w:r>
    </w:p>
    <w:p w14:paraId="30775511" w14:textId="6AE895AF" w:rsidR="00F8571B" w:rsidRPr="007A3223" w:rsidRDefault="008960BE" w:rsidP="00E92669">
      <w:pPr>
        <w:pStyle w:val="Heading4"/>
      </w:pPr>
      <w:r w:rsidRPr="007A3223">
        <w:t>Histologically or cytologically confirmed advanced colorectal cancer.</w:t>
      </w:r>
      <w:r w:rsidR="00C86C2F" w:rsidRPr="007A3223">
        <w:t xml:space="preserve"> </w:t>
      </w:r>
      <w:r w:rsidR="00F8571B" w:rsidRPr="007A3223">
        <w:t>Patients must have progressed on,</w:t>
      </w:r>
      <w:r w:rsidR="00B31406" w:rsidRPr="007A3223">
        <w:t xml:space="preserve"> </w:t>
      </w:r>
      <w:r w:rsidR="00F8571B" w:rsidRPr="007A3223">
        <w:t>been intolerant of or refused prior oxaliplatin- and irinotecan-containing chemotherapeutic regimen</w:t>
      </w:r>
      <w:r w:rsidR="00B31406" w:rsidRPr="007A3223">
        <w:t xml:space="preserve">, </w:t>
      </w:r>
      <w:r w:rsidR="00F8571B" w:rsidRPr="007A3223">
        <w:t>and have disease that is not amenable to potentially curative resection.  Patients who have a known KRAS</w:t>
      </w:r>
      <w:r w:rsidR="001E2D9B" w:rsidRPr="007A3223">
        <w:t xml:space="preserve"> (or NRAS or BRAF)</w:t>
      </w:r>
      <w:r w:rsidR="00F8571B" w:rsidRPr="007A3223">
        <w:t xml:space="preserve"> wild type tumor must have progressed, been intolerant of or refused cetuximab or panitumumab-based chemotherapy.</w:t>
      </w:r>
    </w:p>
    <w:p w14:paraId="6D074716" w14:textId="09BB1B94" w:rsidR="00F8571B" w:rsidRPr="007A3223" w:rsidRDefault="00F8571B" w:rsidP="00E92669">
      <w:pPr>
        <w:pStyle w:val="Heading4"/>
      </w:pPr>
      <w:r w:rsidRPr="007A3223">
        <w:t>P</w:t>
      </w:r>
      <w:r w:rsidR="00921EFD" w:rsidRPr="007A3223">
        <w:t>atients are allowed to have received prior anti-angiogenesis therapy</w:t>
      </w:r>
      <w:r w:rsidR="00D84714" w:rsidRPr="007A3223">
        <w:t xml:space="preserve"> with the exception of prior cediranib</w:t>
      </w:r>
      <w:r w:rsidR="00921EFD" w:rsidRPr="007A3223">
        <w:t xml:space="preserve">. </w:t>
      </w:r>
    </w:p>
    <w:p w14:paraId="4B3F15FF" w14:textId="77777777" w:rsidR="00F8571B" w:rsidRPr="007A3223" w:rsidRDefault="00F8571B" w:rsidP="00E92669">
      <w:pPr>
        <w:pStyle w:val="Heading4"/>
      </w:pPr>
      <w:r w:rsidRPr="007A3223">
        <w:t>Patients must be MSI-stable</w:t>
      </w:r>
      <w:r w:rsidR="00D84714" w:rsidRPr="007A3223">
        <w:t xml:space="preserve"> (or low)</w:t>
      </w:r>
      <w:r w:rsidRPr="007A3223">
        <w:t>.</w:t>
      </w:r>
    </w:p>
    <w:p w14:paraId="4E3BACFB" w14:textId="77777777" w:rsidR="00F8571B" w:rsidRPr="007A3223" w:rsidRDefault="00F8571B" w:rsidP="00E92669">
      <w:pPr>
        <w:pStyle w:val="Heading4"/>
      </w:pPr>
      <w:r w:rsidRPr="007A3223">
        <w:t>Patients must have at least one focus of metastatic disease that is amenable to pre- and on-treatment biopsy.</w:t>
      </w:r>
    </w:p>
    <w:p w14:paraId="6267EEC0" w14:textId="77777777" w:rsidR="008960BE" w:rsidRPr="007A3223" w:rsidRDefault="008960BE" w:rsidP="00E300D7">
      <w:pPr>
        <w:pStyle w:val="Heading4"/>
        <w:rPr>
          <w:noProof w:val="0"/>
        </w:rPr>
      </w:pPr>
      <w:r w:rsidRPr="007A3223">
        <w:rPr>
          <w:noProof w:val="0"/>
        </w:rPr>
        <w:t xml:space="preserve">All patients must have </w:t>
      </w:r>
      <w:r w:rsidRPr="007A3223">
        <w:rPr>
          <w:noProof w:val="0"/>
          <w:lang w:val="en-US"/>
        </w:rPr>
        <w:t>measurable</w:t>
      </w:r>
      <w:r w:rsidRPr="007A3223">
        <w:rPr>
          <w:noProof w:val="0"/>
        </w:rPr>
        <w:t xml:space="preserve"> disease</w:t>
      </w:r>
      <w:r w:rsidRPr="007A3223">
        <w:rPr>
          <w:noProof w:val="0"/>
          <w:lang w:val="en-US"/>
        </w:rPr>
        <w:t>.</w:t>
      </w:r>
      <w:r w:rsidRPr="007A3223">
        <w:rPr>
          <w:strike/>
          <w:noProof w:val="0"/>
          <w:lang w:val="en-US"/>
        </w:rPr>
        <w:t xml:space="preserve"> </w:t>
      </w:r>
    </w:p>
    <w:p w14:paraId="483F2639" w14:textId="77777777" w:rsidR="008960BE" w:rsidRPr="007A3223" w:rsidRDefault="008960BE" w:rsidP="00E300D7">
      <w:pPr>
        <w:pStyle w:val="Heading4"/>
        <w:rPr>
          <w:noProof w:val="0"/>
          <w:szCs w:val="24"/>
        </w:rPr>
      </w:pPr>
      <w:r w:rsidRPr="007A3223">
        <w:rPr>
          <w:noProof w:val="0"/>
        </w:rPr>
        <w:t xml:space="preserve">Age </w:t>
      </w:r>
      <w:r w:rsidRPr="007A3223">
        <w:rPr>
          <w:noProof w:val="0"/>
          <w:u w:val="single"/>
        </w:rPr>
        <w:t>&gt;</w:t>
      </w:r>
      <w:r w:rsidRPr="007A3223">
        <w:rPr>
          <w:noProof w:val="0"/>
        </w:rPr>
        <w:t>18 years.</w:t>
      </w:r>
    </w:p>
    <w:p w14:paraId="6C2D8EAA" w14:textId="77777777" w:rsidR="00E47ACA" w:rsidRPr="00E47ACA" w:rsidRDefault="008960BE" w:rsidP="00E47ACA">
      <w:pPr>
        <w:pStyle w:val="Heading4"/>
        <w:rPr>
          <w:lang w:val="en-US"/>
        </w:rPr>
      </w:pPr>
      <w:r w:rsidRPr="007A3223">
        <w:rPr>
          <w:noProof w:val="0"/>
        </w:rPr>
        <w:t xml:space="preserve">ECOG performance status </w:t>
      </w:r>
      <w:r w:rsidR="00203261" w:rsidRPr="007A3223">
        <w:rPr>
          <w:rFonts w:hint="eastAsia"/>
          <w:szCs w:val="24"/>
        </w:rPr>
        <w:t>≤</w:t>
      </w:r>
      <w:r w:rsidR="00203261" w:rsidRPr="007A3223">
        <w:rPr>
          <w:rFonts w:hint="eastAsia"/>
          <w:szCs w:val="24"/>
        </w:rPr>
        <w:t xml:space="preserve"> </w:t>
      </w:r>
      <w:r w:rsidRPr="007A3223">
        <w:rPr>
          <w:noProof w:val="0"/>
        </w:rPr>
        <w:t>2. (See</w:t>
      </w:r>
      <w:r w:rsidRPr="007A3223">
        <w:rPr>
          <w:b/>
          <w:noProof w:val="0"/>
          <w:color w:val="0000FF"/>
        </w:rPr>
        <w:t xml:space="preserve"> </w:t>
      </w:r>
      <w:r w:rsidRPr="00F33908">
        <w:fldChar w:fldCharType="begin"/>
      </w:r>
      <w:r w:rsidRPr="007A3223">
        <w:instrText xml:space="preserve"> REF _Ref398887943 \h  \* MERGEFORMAT </w:instrText>
      </w:r>
      <w:r w:rsidRPr="00F33908">
        <w:fldChar w:fldCharType="separate"/>
      </w:r>
      <w:r w:rsidR="00E47ACA" w:rsidRPr="00E47ACA">
        <w:rPr>
          <w:b/>
          <w:noProof w:val="0"/>
          <w:color w:val="0000FF"/>
        </w:rPr>
        <w:t>APPENDICES</w:t>
      </w:r>
    </w:p>
    <w:p w14:paraId="5205CF29" w14:textId="2D7AB30E" w:rsidR="008960BE" w:rsidRPr="00F33908" w:rsidRDefault="00E47ACA" w:rsidP="0042056D">
      <w:pPr>
        <w:pStyle w:val="Heading4"/>
        <w:rPr>
          <w:noProof w:val="0"/>
        </w:rPr>
      </w:pPr>
      <w:r w:rsidRPr="00E47ACA">
        <w:rPr>
          <w:b/>
          <w:color w:val="0000FF"/>
        </w:rPr>
        <w:t>Appendix</w:t>
      </w:r>
      <w:r w:rsidRPr="007A3223">
        <w:t xml:space="preserve"> </w:t>
      </w:r>
      <w:r>
        <w:t>A</w:t>
      </w:r>
      <w:r w:rsidR="008960BE" w:rsidRPr="00F33908">
        <w:fldChar w:fldCharType="end"/>
      </w:r>
      <w:r w:rsidR="008960BE" w:rsidRPr="007A3223">
        <w:rPr>
          <w:noProof w:val="0"/>
        </w:rPr>
        <w:t>)</w:t>
      </w:r>
    </w:p>
    <w:p w14:paraId="43E92C90" w14:textId="77777777" w:rsidR="008960BE" w:rsidRPr="007A3223" w:rsidRDefault="008960BE" w:rsidP="00E300D7">
      <w:pPr>
        <w:pStyle w:val="Heading4"/>
        <w:rPr>
          <w:noProof w:val="0"/>
        </w:rPr>
      </w:pPr>
      <w:bookmarkStart w:id="105" w:name="_Ref505947109"/>
      <w:r w:rsidRPr="007A3223">
        <w:rPr>
          <w:noProof w:val="0"/>
        </w:rPr>
        <w:t>Patients must have adequate organ and marrow function as defined below:</w:t>
      </w:r>
      <w:bookmarkEnd w:id="105"/>
      <w:r w:rsidRPr="007A3223">
        <w:rPr>
          <w:noProof w:val="0"/>
        </w:rPr>
        <w:t xml:space="preserve"> </w:t>
      </w:r>
    </w:p>
    <w:p w14:paraId="635F73E4" w14:textId="77777777" w:rsidR="008960BE" w:rsidRPr="007A3223" w:rsidRDefault="008960BE" w:rsidP="008D494F">
      <w:pPr>
        <w:widowControl w:val="0"/>
        <w:numPr>
          <w:ilvl w:val="0"/>
          <w:numId w:val="6"/>
        </w:numPr>
        <w:tabs>
          <w:tab w:val="left" w:pos="1260"/>
        </w:tabs>
        <w:suppressAutoHyphens/>
        <w:spacing w:before="60" w:after="60"/>
        <w:ind w:left="4500" w:hanging="3600"/>
        <w:rPr>
          <w:szCs w:val="24"/>
        </w:rPr>
      </w:pPr>
      <w:r w:rsidRPr="007A3223">
        <w:rPr>
          <w:szCs w:val="24"/>
        </w:rPr>
        <w:t>absolute neutrophil count</w:t>
      </w:r>
      <w:r w:rsidRPr="007A3223">
        <w:rPr>
          <w:szCs w:val="24"/>
        </w:rPr>
        <w:tab/>
      </w:r>
      <w:r w:rsidRPr="007A3223">
        <w:rPr>
          <w:rFonts w:hint="eastAsia"/>
          <w:szCs w:val="24"/>
        </w:rPr>
        <w:t>≥</w:t>
      </w:r>
      <w:r w:rsidRPr="007A3223">
        <w:rPr>
          <w:szCs w:val="24"/>
        </w:rPr>
        <w:t xml:space="preserve"> 1,500/mcL</w:t>
      </w:r>
    </w:p>
    <w:p w14:paraId="5FEDDB07" w14:textId="77777777" w:rsidR="008960BE" w:rsidRPr="007A3223" w:rsidRDefault="008960BE" w:rsidP="008D494F">
      <w:pPr>
        <w:widowControl w:val="0"/>
        <w:numPr>
          <w:ilvl w:val="0"/>
          <w:numId w:val="6"/>
        </w:numPr>
        <w:tabs>
          <w:tab w:val="left" w:pos="1260"/>
        </w:tabs>
        <w:suppressAutoHyphens/>
        <w:spacing w:before="60" w:after="60"/>
        <w:ind w:left="4500" w:hanging="3600"/>
        <w:rPr>
          <w:szCs w:val="24"/>
        </w:rPr>
      </w:pPr>
      <w:r w:rsidRPr="007A3223">
        <w:rPr>
          <w:szCs w:val="24"/>
        </w:rPr>
        <w:t>white blood cell (WBC)</w:t>
      </w:r>
      <w:r w:rsidRPr="007A3223">
        <w:rPr>
          <w:szCs w:val="24"/>
        </w:rPr>
        <w:tab/>
      </w:r>
      <w:r w:rsidR="00203261" w:rsidRPr="007A3223">
        <w:rPr>
          <w:rFonts w:hint="eastAsia"/>
          <w:szCs w:val="24"/>
        </w:rPr>
        <w:t>≥</w:t>
      </w:r>
      <w:r w:rsidRPr="007A3223">
        <w:rPr>
          <w:szCs w:val="24"/>
          <w:lang w:eastAsia="ko-KR"/>
        </w:rPr>
        <w:t xml:space="preserve"> </w:t>
      </w:r>
      <w:r w:rsidRPr="007A3223">
        <w:rPr>
          <w:szCs w:val="24"/>
        </w:rPr>
        <w:t>3,000/mcL</w:t>
      </w:r>
    </w:p>
    <w:p w14:paraId="42F87648" w14:textId="77777777" w:rsidR="008960BE" w:rsidRPr="007A3223" w:rsidRDefault="008960BE" w:rsidP="008D494F">
      <w:pPr>
        <w:widowControl w:val="0"/>
        <w:numPr>
          <w:ilvl w:val="0"/>
          <w:numId w:val="6"/>
        </w:numPr>
        <w:tabs>
          <w:tab w:val="left" w:pos="1260"/>
        </w:tabs>
        <w:suppressAutoHyphens/>
        <w:spacing w:before="60" w:after="60"/>
        <w:ind w:left="4500" w:hanging="3600"/>
        <w:rPr>
          <w:szCs w:val="24"/>
        </w:rPr>
      </w:pPr>
      <w:r w:rsidRPr="007A3223">
        <w:rPr>
          <w:szCs w:val="24"/>
        </w:rPr>
        <w:t>platelets</w:t>
      </w:r>
      <w:r w:rsidRPr="007A3223">
        <w:rPr>
          <w:szCs w:val="24"/>
        </w:rPr>
        <w:tab/>
      </w:r>
      <w:r w:rsidRPr="007A3223">
        <w:rPr>
          <w:rFonts w:hint="eastAsia"/>
          <w:szCs w:val="24"/>
        </w:rPr>
        <w:t>≥</w:t>
      </w:r>
      <w:r w:rsidRPr="007A3223">
        <w:rPr>
          <w:szCs w:val="24"/>
        </w:rPr>
        <w:t xml:space="preserve"> 100,000/mcL</w:t>
      </w:r>
    </w:p>
    <w:p w14:paraId="50DE80B9" w14:textId="4DFE26CC" w:rsidR="008960BE" w:rsidRPr="007A3223" w:rsidRDefault="008960BE" w:rsidP="008D494F">
      <w:pPr>
        <w:widowControl w:val="0"/>
        <w:numPr>
          <w:ilvl w:val="0"/>
          <w:numId w:val="6"/>
        </w:numPr>
        <w:tabs>
          <w:tab w:val="left" w:pos="1260"/>
        </w:tabs>
        <w:suppressAutoHyphens/>
        <w:spacing w:before="60" w:after="60"/>
        <w:ind w:left="4500" w:hanging="3600"/>
        <w:rPr>
          <w:szCs w:val="24"/>
        </w:rPr>
      </w:pPr>
      <w:r w:rsidRPr="007A3223">
        <w:rPr>
          <w:szCs w:val="24"/>
        </w:rPr>
        <w:t>hemoglobin (Hgb)</w:t>
      </w:r>
      <w:r w:rsidRPr="007A3223">
        <w:rPr>
          <w:szCs w:val="24"/>
        </w:rPr>
        <w:tab/>
      </w:r>
      <w:r w:rsidRPr="007A3223">
        <w:rPr>
          <w:rFonts w:hint="eastAsia"/>
          <w:szCs w:val="24"/>
        </w:rPr>
        <w:t>≥</w:t>
      </w:r>
      <w:r w:rsidRPr="007A3223">
        <w:rPr>
          <w:rFonts w:hint="eastAsia"/>
          <w:szCs w:val="24"/>
        </w:rPr>
        <w:t xml:space="preserve"> </w:t>
      </w:r>
      <w:r w:rsidR="00A7307A" w:rsidRPr="007A3223">
        <w:rPr>
          <w:szCs w:val="24"/>
        </w:rPr>
        <w:t>9</w:t>
      </w:r>
      <w:r w:rsidRPr="007A3223">
        <w:rPr>
          <w:szCs w:val="24"/>
        </w:rPr>
        <w:t xml:space="preserve"> g/dL in the absence of packed red blood cell transfusion 28 days prior to dosing</w:t>
      </w:r>
      <w:r w:rsidRPr="007A3223">
        <w:t xml:space="preserve"> </w:t>
      </w:r>
    </w:p>
    <w:p w14:paraId="4015D8F3" w14:textId="07184429" w:rsidR="008960BE" w:rsidRPr="007A3223" w:rsidRDefault="008960BE" w:rsidP="00C03FF2">
      <w:pPr>
        <w:widowControl w:val="0"/>
        <w:tabs>
          <w:tab w:val="left" w:pos="1260"/>
          <w:tab w:val="left" w:pos="5040"/>
        </w:tabs>
        <w:suppressAutoHyphens/>
        <w:spacing w:before="60" w:after="60"/>
        <w:ind w:left="1260" w:hanging="4140"/>
        <w:rPr>
          <w:szCs w:val="24"/>
        </w:rPr>
      </w:pPr>
      <w:r w:rsidRPr="007A3223">
        <w:rPr>
          <w:szCs w:val="24"/>
        </w:rPr>
        <w:t xml:space="preserve">                                                      </w:t>
      </w:r>
      <w:r w:rsidR="00E300D7" w:rsidRPr="007A3223">
        <w:rPr>
          <w:szCs w:val="24"/>
        </w:rPr>
        <w:tab/>
      </w:r>
    </w:p>
    <w:p w14:paraId="2130AA23" w14:textId="77777777" w:rsidR="000F7512" w:rsidRPr="007A3223" w:rsidRDefault="008960BE" w:rsidP="00367339">
      <w:pPr>
        <w:widowControl w:val="0"/>
        <w:numPr>
          <w:ilvl w:val="0"/>
          <w:numId w:val="6"/>
        </w:numPr>
        <w:tabs>
          <w:tab w:val="left" w:pos="1260"/>
        </w:tabs>
        <w:suppressAutoHyphens/>
        <w:spacing w:before="60" w:after="60"/>
        <w:ind w:left="4500" w:hanging="3600"/>
        <w:rPr>
          <w:szCs w:val="24"/>
        </w:rPr>
      </w:pPr>
      <w:r w:rsidRPr="007A3223">
        <w:rPr>
          <w:szCs w:val="24"/>
        </w:rPr>
        <w:t>AST(SGOT)/ALT(SGPT)</w:t>
      </w:r>
      <w:r w:rsidRPr="007A3223">
        <w:rPr>
          <w:szCs w:val="24"/>
        </w:rPr>
        <w:tab/>
      </w:r>
      <w:r w:rsidRPr="007A3223">
        <w:rPr>
          <w:rFonts w:hint="eastAsia"/>
          <w:szCs w:val="24"/>
        </w:rPr>
        <w:t>≤</w:t>
      </w:r>
      <w:r w:rsidRPr="007A3223">
        <w:rPr>
          <w:rFonts w:hint="eastAsia"/>
          <w:szCs w:val="24"/>
        </w:rPr>
        <w:t xml:space="preserve">  </w:t>
      </w:r>
      <w:r w:rsidR="000F7512" w:rsidRPr="007A3223">
        <w:rPr>
          <w:szCs w:val="24"/>
        </w:rPr>
        <w:t>2.5</w:t>
      </w:r>
      <w:r w:rsidRPr="007A3223">
        <w:rPr>
          <w:szCs w:val="24"/>
        </w:rPr>
        <w:t xml:space="preserve"> X institutional upper limit of normal</w:t>
      </w:r>
      <w:r w:rsidR="00D84714" w:rsidRPr="007A3223">
        <w:rPr>
          <w:szCs w:val="24"/>
        </w:rPr>
        <w:t xml:space="preserve"> </w:t>
      </w:r>
      <w:r w:rsidR="000F7512" w:rsidRPr="007A3223">
        <w:rPr>
          <w:szCs w:val="24"/>
        </w:rPr>
        <w:t xml:space="preserve">(ULN); for subjects with liver metastases, AST or ALT </w:t>
      </w:r>
      <w:r w:rsidR="000F7512" w:rsidRPr="007A3223">
        <w:rPr>
          <w:rFonts w:hint="eastAsia"/>
          <w:szCs w:val="24"/>
        </w:rPr>
        <w:t>≤</w:t>
      </w:r>
      <w:r w:rsidR="000F7512" w:rsidRPr="007A3223">
        <w:rPr>
          <w:szCs w:val="24"/>
        </w:rPr>
        <w:t xml:space="preserve"> 5 × ULN</w:t>
      </w:r>
    </w:p>
    <w:p w14:paraId="62FBD29C" w14:textId="77777777" w:rsidR="000F7512" w:rsidRPr="007A3223" w:rsidRDefault="000F7512" w:rsidP="00367339">
      <w:pPr>
        <w:widowControl w:val="0"/>
        <w:numPr>
          <w:ilvl w:val="0"/>
          <w:numId w:val="6"/>
        </w:numPr>
        <w:tabs>
          <w:tab w:val="left" w:pos="1260"/>
        </w:tabs>
        <w:suppressAutoHyphens/>
        <w:spacing w:before="60" w:after="60"/>
        <w:ind w:left="4320" w:hanging="3420"/>
        <w:rPr>
          <w:szCs w:val="24"/>
        </w:rPr>
      </w:pPr>
      <w:r w:rsidRPr="007A3223">
        <w:rPr>
          <w:szCs w:val="24"/>
        </w:rPr>
        <w:t>Total bilirubin</w:t>
      </w:r>
      <w:r w:rsidRPr="007A3223">
        <w:rPr>
          <w:szCs w:val="24"/>
        </w:rPr>
        <w:tab/>
      </w:r>
      <w:r w:rsidRPr="007A3223">
        <w:rPr>
          <w:rFonts w:hint="eastAsia"/>
          <w:szCs w:val="24"/>
        </w:rPr>
        <w:t>≤</w:t>
      </w:r>
      <w:r w:rsidRPr="007A3223">
        <w:rPr>
          <w:szCs w:val="24"/>
        </w:rPr>
        <w:t xml:space="preserve"> 1.5 </w:t>
      </w:r>
      <w:r w:rsidRPr="007A3223">
        <w:rPr>
          <w:rFonts w:hint="eastAsia"/>
          <w:szCs w:val="24"/>
        </w:rPr>
        <w:t>×</w:t>
      </w:r>
      <w:r w:rsidRPr="007A3223">
        <w:rPr>
          <w:szCs w:val="24"/>
        </w:rPr>
        <w:t xml:space="preserve"> ULN; for subjects with </w:t>
      </w:r>
      <w:r w:rsidRPr="007A3223">
        <w:rPr>
          <w:szCs w:val="24"/>
        </w:rPr>
        <w:lastRenderedPageBreak/>
        <w:t xml:space="preserve">documented/suspected Gilbert’s disease, bilirubin </w:t>
      </w:r>
      <w:r w:rsidRPr="007A3223">
        <w:rPr>
          <w:rFonts w:hint="eastAsia"/>
          <w:szCs w:val="24"/>
        </w:rPr>
        <w:t>≤</w:t>
      </w:r>
      <w:r w:rsidRPr="007A3223">
        <w:rPr>
          <w:szCs w:val="24"/>
        </w:rPr>
        <w:t xml:space="preserve"> 3 </w:t>
      </w:r>
      <w:r w:rsidRPr="007A3223">
        <w:rPr>
          <w:rFonts w:hint="eastAsia"/>
          <w:szCs w:val="24"/>
        </w:rPr>
        <w:t>×</w:t>
      </w:r>
      <w:r w:rsidRPr="007A3223">
        <w:rPr>
          <w:szCs w:val="24"/>
        </w:rPr>
        <w:t xml:space="preserve"> ULN</w:t>
      </w:r>
    </w:p>
    <w:p w14:paraId="71CB98F7" w14:textId="77777777" w:rsidR="008960BE" w:rsidRPr="007A3223" w:rsidRDefault="008960BE" w:rsidP="00367339">
      <w:pPr>
        <w:widowControl w:val="0"/>
        <w:numPr>
          <w:ilvl w:val="0"/>
          <w:numId w:val="6"/>
        </w:numPr>
        <w:tabs>
          <w:tab w:val="left" w:pos="1260"/>
        </w:tabs>
        <w:suppressAutoHyphens/>
        <w:spacing w:before="60" w:after="60"/>
        <w:ind w:left="4500" w:hanging="3600"/>
        <w:rPr>
          <w:szCs w:val="24"/>
        </w:rPr>
      </w:pPr>
      <w:r w:rsidRPr="007A3223">
        <w:rPr>
          <w:szCs w:val="24"/>
        </w:rPr>
        <w:t>creatinine</w:t>
      </w:r>
      <w:r w:rsidRPr="007A3223">
        <w:rPr>
          <w:szCs w:val="24"/>
        </w:rPr>
        <w:tab/>
      </w:r>
      <w:r w:rsidRPr="007A3223">
        <w:rPr>
          <w:rFonts w:hint="eastAsia"/>
          <w:szCs w:val="24"/>
        </w:rPr>
        <w:t>≤</w:t>
      </w:r>
      <w:r w:rsidRPr="007A3223">
        <w:rPr>
          <w:szCs w:val="24"/>
        </w:rPr>
        <w:t xml:space="preserve">  1.5 X within normal institutional limits</w:t>
      </w:r>
    </w:p>
    <w:p w14:paraId="2AB823F5" w14:textId="77777777" w:rsidR="008960BE" w:rsidRPr="007A3223" w:rsidRDefault="00E300D7" w:rsidP="00E300D7">
      <w:pPr>
        <w:widowControl w:val="0"/>
        <w:tabs>
          <w:tab w:val="left" w:pos="1260"/>
        </w:tabs>
        <w:suppressAutoHyphens/>
        <w:spacing w:before="60" w:after="60"/>
        <w:ind w:left="4500" w:hanging="3600"/>
        <w:rPr>
          <w:szCs w:val="24"/>
        </w:rPr>
      </w:pPr>
      <w:r w:rsidRPr="007A3223">
        <w:rPr>
          <w:szCs w:val="24"/>
        </w:rPr>
        <w:t xml:space="preserve">                                                           </w:t>
      </w:r>
      <w:r w:rsidR="008960BE" w:rsidRPr="007A3223">
        <w:rPr>
          <w:szCs w:val="24"/>
        </w:rPr>
        <w:t>OR</w:t>
      </w:r>
    </w:p>
    <w:p w14:paraId="75483AF4" w14:textId="4B969540" w:rsidR="008960BE" w:rsidRPr="007A3223" w:rsidRDefault="00E300D7" w:rsidP="00E300D7">
      <w:pPr>
        <w:widowControl w:val="0"/>
        <w:tabs>
          <w:tab w:val="left" w:pos="1260"/>
        </w:tabs>
        <w:suppressAutoHyphens/>
        <w:spacing w:before="60" w:after="60"/>
        <w:ind w:left="4500" w:hanging="3600"/>
        <w:rPr>
          <w:szCs w:val="24"/>
        </w:rPr>
      </w:pPr>
      <w:r w:rsidRPr="007A3223">
        <w:rPr>
          <w:szCs w:val="24"/>
        </w:rPr>
        <w:t xml:space="preserve">                        </w:t>
      </w:r>
      <w:r w:rsidR="008960BE" w:rsidRPr="007A3223">
        <w:rPr>
          <w:szCs w:val="24"/>
        </w:rPr>
        <w:t xml:space="preserve">measured creatinine clearance </w:t>
      </w:r>
      <w:r w:rsidR="008960BE" w:rsidRPr="007A3223">
        <w:rPr>
          <w:szCs w:val="24"/>
          <w:u w:val="single"/>
        </w:rPr>
        <w:t xml:space="preserve">&gt; </w:t>
      </w:r>
      <w:r w:rsidR="008960BE" w:rsidRPr="007A3223">
        <w:rPr>
          <w:szCs w:val="24"/>
        </w:rPr>
        <w:t>50 mL/min/1.73 m</w:t>
      </w:r>
      <w:r w:rsidR="008960BE" w:rsidRPr="007A3223">
        <w:rPr>
          <w:szCs w:val="24"/>
          <w:vertAlign w:val="superscript"/>
        </w:rPr>
        <w:t>2</w:t>
      </w:r>
      <w:r w:rsidR="008960BE" w:rsidRPr="007A3223">
        <w:rPr>
          <w:szCs w:val="24"/>
        </w:rPr>
        <w:t xml:space="preserve"> </w:t>
      </w:r>
    </w:p>
    <w:p w14:paraId="6F0A9162" w14:textId="77777777" w:rsidR="008960BE" w:rsidRPr="007A3223" w:rsidRDefault="008960BE" w:rsidP="00367339">
      <w:pPr>
        <w:widowControl w:val="0"/>
        <w:numPr>
          <w:ilvl w:val="0"/>
          <w:numId w:val="6"/>
        </w:numPr>
        <w:tabs>
          <w:tab w:val="left" w:pos="1260"/>
        </w:tabs>
        <w:suppressAutoHyphens/>
        <w:spacing w:before="60" w:after="60"/>
        <w:ind w:left="4500" w:hanging="3600"/>
        <w:rPr>
          <w:szCs w:val="24"/>
        </w:rPr>
      </w:pPr>
      <w:r w:rsidRPr="007A3223">
        <w:rPr>
          <w:szCs w:val="24"/>
        </w:rPr>
        <w:t>Spot urine protein/creatinine ratio</w:t>
      </w:r>
      <w:r w:rsidRPr="007A3223">
        <w:rPr>
          <w:szCs w:val="24"/>
        </w:rPr>
        <w:tab/>
      </w:r>
      <w:r w:rsidRPr="007A3223">
        <w:rPr>
          <w:rFonts w:hint="eastAsia"/>
          <w:szCs w:val="24"/>
        </w:rPr>
        <w:t>≤</w:t>
      </w:r>
      <w:r w:rsidRPr="007A3223">
        <w:rPr>
          <w:szCs w:val="24"/>
        </w:rPr>
        <w:t xml:space="preserve"> 1</w:t>
      </w:r>
    </w:p>
    <w:p w14:paraId="0378486D" w14:textId="77777777" w:rsidR="008960BE" w:rsidRPr="007A3223" w:rsidRDefault="00E300D7" w:rsidP="00E300D7">
      <w:pPr>
        <w:widowControl w:val="0"/>
        <w:tabs>
          <w:tab w:val="left" w:pos="1260"/>
        </w:tabs>
        <w:suppressAutoHyphens/>
        <w:spacing w:before="60" w:after="60"/>
        <w:ind w:left="4500" w:hanging="3600"/>
        <w:rPr>
          <w:szCs w:val="24"/>
        </w:rPr>
      </w:pPr>
      <w:r w:rsidRPr="007A3223">
        <w:rPr>
          <w:szCs w:val="24"/>
        </w:rPr>
        <w:t xml:space="preserve">                                                           </w:t>
      </w:r>
      <w:r w:rsidR="008960BE" w:rsidRPr="007A3223">
        <w:rPr>
          <w:szCs w:val="24"/>
        </w:rPr>
        <w:t>OR</w:t>
      </w:r>
    </w:p>
    <w:p w14:paraId="387F3FC3" w14:textId="77777777" w:rsidR="008960BE" w:rsidRPr="007A3223" w:rsidRDefault="00E300D7" w:rsidP="00E300D7">
      <w:pPr>
        <w:widowControl w:val="0"/>
        <w:tabs>
          <w:tab w:val="left" w:pos="1260"/>
        </w:tabs>
        <w:suppressAutoHyphens/>
        <w:spacing w:before="60" w:after="60"/>
        <w:ind w:left="4500" w:hanging="3600"/>
        <w:rPr>
          <w:szCs w:val="24"/>
        </w:rPr>
      </w:pPr>
      <w:r w:rsidRPr="007A3223">
        <w:rPr>
          <w:szCs w:val="24"/>
        </w:rPr>
        <w:t xml:space="preserve">                        </w:t>
      </w:r>
      <w:r w:rsidR="008960BE" w:rsidRPr="007A3223">
        <w:rPr>
          <w:szCs w:val="24"/>
        </w:rPr>
        <w:t>24 hour urine protein</w:t>
      </w:r>
      <w:r w:rsidR="008960BE" w:rsidRPr="007A3223">
        <w:rPr>
          <w:szCs w:val="24"/>
        </w:rPr>
        <w:tab/>
      </w:r>
      <w:r w:rsidR="008960BE" w:rsidRPr="007A3223">
        <w:rPr>
          <w:rFonts w:hint="eastAsia"/>
          <w:szCs w:val="24"/>
        </w:rPr>
        <w:t>≤</w:t>
      </w:r>
      <w:r w:rsidR="008960BE" w:rsidRPr="007A3223">
        <w:rPr>
          <w:szCs w:val="24"/>
        </w:rPr>
        <w:t xml:space="preserve"> 1000 mg</w:t>
      </w:r>
    </w:p>
    <w:p w14:paraId="04BDDE3B" w14:textId="77777777" w:rsidR="008960BE" w:rsidRPr="007A3223" w:rsidRDefault="008960BE" w:rsidP="00E300D7">
      <w:pPr>
        <w:pStyle w:val="Heading4"/>
        <w:rPr>
          <w:noProof w:val="0"/>
        </w:rPr>
      </w:pPr>
      <w:r w:rsidRPr="007A3223">
        <w:rPr>
          <w:noProof w:val="0"/>
        </w:rPr>
        <w:t xml:space="preserve">Patients must be able to swallow oral medications without chewing, breaking, crushing, opening or otherwise altering the product formulation. They should not have gastrointestinal illnesses that would preclude the absorption of cediranib which are </w:t>
      </w:r>
      <w:r w:rsidR="00921EFD" w:rsidRPr="007A3223">
        <w:rPr>
          <w:noProof w:val="0"/>
        </w:rPr>
        <w:t xml:space="preserve">an </w:t>
      </w:r>
      <w:r w:rsidRPr="007A3223">
        <w:rPr>
          <w:noProof w:val="0"/>
        </w:rPr>
        <w:t>oral agent.</w:t>
      </w:r>
    </w:p>
    <w:p w14:paraId="03032E5E" w14:textId="234EC18D" w:rsidR="008960BE" w:rsidRPr="007A3223" w:rsidRDefault="008960BE" w:rsidP="00E300D7">
      <w:pPr>
        <w:pStyle w:val="Heading4"/>
        <w:rPr>
          <w:noProof w:val="0"/>
        </w:rPr>
      </w:pPr>
      <w:r w:rsidRPr="007A3223">
        <w:rPr>
          <w:noProof w:val="0"/>
        </w:rPr>
        <w:t xml:space="preserve">Adequately controlled blood pressure (SBP &lt; 140 mm Hg and DBP &lt; 90mmHg) on a maximum of three antihypertensive medications. </w:t>
      </w:r>
    </w:p>
    <w:p w14:paraId="2C1670B7" w14:textId="7E4FFE8E" w:rsidR="008960BE" w:rsidRPr="007A3223" w:rsidRDefault="008960BE" w:rsidP="00E300D7">
      <w:pPr>
        <w:pStyle w:val="Heading4"/>
        <w:rPr>
          <w:noProof w:val="0"/>
        </w:rPr>
      </w:pPr>
      <w:r w:rsidRPr="007A3223">
        <w:rPr>
          <w:noProof w:val="0"/>
        </w:rPr>
        <w:t>Toxicities of prior therapy (excepting alopecia) should be resolved to less than or equal to Grade 1 as per CTCAE v 4.03 (</w:t>
      </w:r>
      <w:hyperlink r:id="rId42" w:history="1">
        <w:r w:rsidR="00B50AEF" w:rsidRPr="00F33908">
          <w:rPr>
            <w:rStyle w:val="Hyperlink"/>
            <w:noProof w:val="0"/>
          </w:rPr>
          <w:t>http://ctep.cancer.gov/protocolDevelopment/electronic_applications/ctc.htm</w:t>
        </w:r>
      </w:hyperlink>
      <w:r w:rsidR="00B50AEF" w:rsidRPr="007A3223">
        <w:rPr>
          <w:noProof w:val="0"/>
          <w:lang w:val="en-US"/>
        </w:rPr>
        <w:t xml:space="preserve"> </w:t>
      </w:r>
      <w:r w:rsidRPr="00F33908">
        <w:rPr>
          <w:noProof w:val="0"/>
        </w:rPr>
        <w:t xml:space="preserve"> </w:t>
      </w:r>
      <w:r w:rsidRPr="007A3223">
        <w:rPr>
          <w:noProof w:val="0"/>
        </w:rPr>
        <w:t xml:space="preserve">except hemoglobin as shown in </w:t>
      </w:r>
      <w:r w:rsidR="00B50AEF" w:rsidRPr="00F33908">
        <w:rPr>
          <w:b/>
          <w:noProof w:val="0"/>
          <w:color w:val="0000FF"/>
        </w:rPr>
        <w:fldChar w:fldCharType="begin"/>
      </w:r>
      <w:r w:rsidR="00B50AEF" w:rsidRPr="007A3223">
        <w:rPr>
          <w:b/>
          <w:noProof w:val="0"/>
          <w:color w:val="0000FF"/>
        </w:rPr>
        <w:instrText xml:space="preserve"> REF _Ref505947109 \r \h  \* MERGEFORMAT </w:instrText>
      </w:r>
      <w:r w:rsidR="00B50AEF" w:rsidRPr="00F33908">
        <w:rPr>
          <w:b/>
          <w:noProof w:val="0"/>
          <w:color w:val="0000FF"/>
        </w:rPr>
      </w:r>
      <w:r w:rsidR="00B50AEF" w:rsidRPr="00F33908">
        <w:rPr>
          <w:b/>
          <w:noProof w:val="0"/>
          <w:color w:val="0000FF"/>
        </w:rPr>
        <w:fldChar w:fldCharType="separate"/>
      </w:r>
      <w:r w:rsidR="00E47ACA">
        <w:rPr>
          <w:b/>
          <w:noProof w:val="0"/>
          <w:color w:val="0000FF"/>
        </w:rPr>
        <w:t>2.6.1.9</w:t>
      </w:r>
      <w:r w:rsidR="00B50AEF" w:rsidRPr="00F33908">
        <w:rPr>
          <w:b/>
          <w:noProof w:val="0"/>
          <w:color w:val="0000FF"/>
        </w:rPr>
        <w:fldChar w:fldCharType="end"/>
      </w:r>
      <w:r w:rsidRPr="007A3223">
        <w:rPr>
          <w:noProof w:val="0"/>
        </w:rPr>
        <w:t xml:space="preserve">Patients with long-standing stable grade 2 neuropathy </w:t>
      </w:r>
      <w:r w:rsidRPr="00F33908">
        <w:rPr>
          <w:noProof w:val="0"/>
        </w:rPr>
        <w:t>may be considered after discussion with the PI.</w:t>
      </w:r>
    </w:p>
    <w:p w14:paraId="73EEE888" w14:textId="77777777" w:rsidR="008960BE" w:rsidRPr="007A3223" w:rsidRDefault="008960BE" w:rsidP="00E300D7">
      <w:pPr>
        <w:pStyle w:val="Heading4"/>
        <w:rPr>
          <w:noProof w:val="0"/>
        </w:rPr>
      </w:pPr>
      <w:r w:rsidRPr="007A3223">
        <w:rPr>
          <w:noProof w:val="0"/>
        </w:rPr>
        <w:t>Ability of subject to understand and the willingness to sign a written informed consent document prior to any protocol related procedures, including screening evaluations.</w:t>
      </w:r>
    </w:p>
    <w:p w14:paraId="2F5BA843" w14:textId="77777777" w:rsidR="008960BE" w:rsidRPr="007A3223" w:rsidRDefault="008960BE" w:rsidP="00E300D7">
      <w:pPr>
        <w:pStyle w:val="Heading4"/>
        <w:rPr>
          <w:rFonts w:ascii="Times" w:hAnsi="Times"/>
          <w:noProof w:val="0"/>
        </w:rPr>
      </w:pPr>
      <w:r w:rsidRPr="007A3223">
        <w:rPr>
          <w:rFonts w:ascii="Times" w:hAnsi="Times"/>
          <w:noProof w:val="0"/>
        </w:rPr>
        <w:t xml:space="preserve">Ability of subject to understand and the willingness to record twice-daily blood pressure readings. </w:t>
      </w:r>
    </w:p>
    <w:p w14:paraId="6A52D9BF" w14:textId="0AFC64BC" w:rsidR="008960BE" w:rsidRPr="00F33908" w:rsidRDefault="008960BE" w:rsidP="00CB642C">
      <w:pPr>
        <w:pStyle w:val="Heading4"/>
      </w:pPr>
      <w:r w:rsidRPr="007A3223">
        <w:rPr>
          <w:rFonts w:hint="eastAsia"/>
        </w:rPr>
        <w:t xml:space="preserve">Female patients must either be of non-reproductive potential (i.e., post-menopausal by history: </w:t>
      </w:r>
      <w:r w:rsidRPr="007A3223">
        <w:rPr>
          <w:rFonts w:hint="eastAsia"/>
        </w:rPr>
        <w:t>≥</w:t>
      </w:r>
      <w:r w:rsidRPr="007A3223">
        <w:rPr>
          <w:rFonts w:hint="eastAsia"/>
        </w:rPr>
        <w:t xml:space="preserve">60 years old and no menses for </w:t>
      </w:r>
      <w:r w:rsidRPr="007A3223">
        <w:rPr>
          <w:rFonts w:hint="eastAsia"/>
        </w:rPr>
        <w:t>≥</w:t>
      </w:r>
      <w:r w:rsidRPr="007A3223">
        <w:rPr>
          <w:rFonts w:hint="eastAsia"/>
        </w:rPr>
        <w:t xml:space="preserve">1 year without an alternative medical cause; OR history of hysterectomy, OR history of bilateral tubal ligation, OR history of bilateral oophorectomy) or must have a negative serum pregnancy test upon study entry and agree to use contraception or abstinence (See Section </w:t>
      </w:r>
      <w:r w:rsidR="006E37CD" w:rsidRPr="00F33908">
        <w:rPr>
          <w:b/>
          <w:color w:val="0000FF"/>
        </w:rPr>
        <w:fldChar w:fldCharType="begin"/>
      </w:r>
      <w:r w:rsidR="006E37CD" w:rsidRPr="007A3223">
        <w:rPr>
          <w:b/>
          <w:color w:val="0000FF"/>
        </w:rPr>
        <w:instrText xml:space="preserve"> REF _Ref450582542 \r \h  \* MERGEFORMAT </w:instrText>
      </w:r>
      <w:r w:rsidR="006E37CD" w:rsidRPr="00F33908">
        <w:rPr>
          <w:b/>
          <w:color w:val="0000FF"/>
        </w:rPr>
      </w:r>
      <w:r w:rsidR="006E37CD" w:rsidRPr="00F33908">
        <w:rPr>
          <w:b/>
          <w:color w:val="0000FF"/>
        </w:rPr>
        <w:fldChar w:fldCharType="separate"/>
      </w:r>
      <w:r w:rsidR="00E47ACA">
        <w:rPr>
          <w:b/>
          <w:color w:val="0000FF"/>
        </w:rPr>
        <w:t>2.10</w:t>
      </w:r>
      <w:r w:rsidR="006E37CD" w:rsidRPr="00F33908">
        <w:rPr>
          <w:b/>
          <w:color w:val="0000FF"/>
        </w:rPr>
        <w:fldChar w:fldCharType="end"/>
      </w:r>
      <w:r w:rsidRPr="007A3223">
        <w:t>) for female patients with r</w:t>
      </w:r>
      <w:r w:rsidRPr="00F33908">
        <w:t xml:space="preserve">eproductive potential. See Section </w:t>
      </w:r>
      <w:r w:rsidR="006E37CD" w:rsidRPr="00F33908">
        <w:rPr>
          <w:b/>
          <w:color w:val="0000FF"/>
        </w:rPr>
        <w:fldChar w:fldCharType="begin"/>
      </w:r>
      <w:r w:rsidR="006E37CD" w:rsidRPr="007A3223">
        <w:rPr>
          <w:b/>
          <w:color w:val="0000FF"/>
        </w:rPr>
        <w:instrText xml:space="preserve"> REF _Ref450582564 \r \h  \* MERGEFORMAT </w:instrText>
      </w:r>
      <w:r w:rsidR="006E37CD" w:rsidRPr="00F33908">
        <w:rPr>
          <w:b/>
          <w:color w:val="0000FF"/>
        </w:rPr>
      </w:r>
      <w:r w:rsidR="006E37CD" w:rsidRPr="00F33908">
        <w:rPr>
          <w:b/>
          <w:color w:val="0000FF"/>
        </w:rPr>
        <w:fldChar w:fldCharType="separate"/>
      </w:r>
      <w:r w:rsidR="00E47ACA">
        <w:rPr>
          <w:b/>
          <w:color w:val="0000FF"/>
        </w:rPr>
        <w:t>2.10</w:t>
      </w:r>
      <w:r w:rsidR="006E37CD" w:rsidRPr="00F33908">
        <w:rPr>
          <w:b/>
          <w:color w:val="0000FF"/>
        </w:rPr>
        <w:fldChar w:fldCharType="end"/>
      </w:r>
      <w:r w:rsidRPr="007A3223">
        <w:t xml:space="preserve"> for male patients for contraception while on the study. </w:t>
      </w:r>
    </w:p>
    <w:p w14:paraId="07785233" w14:textId="77777777" w:rsidR="00E300D7" w:rsidRPr="007A3223" w:rsidRDefault="00E300D7" w:rsidP="00E300D7"/>
    <w:p w14:paraId="2DF631E4" w14:textId="77777777" w:rsidR="008960BE" w:rsidRPr="007A3223" w:rsidRDefault="008960BE" w:rsidP="000C1D10">
      <w:pPr>
        <w:pStyle w:val="Heading3"/>
      </w:pPr>
      <w:r w:rsidRPr="007A3223">
        <w:t xml:space="preserve">Exclusion criteria </w:t>
      </w:r>
    </w:p>
    <w:p w14:paraId="58E4B69E" w14:textId="77777777" w:rsidR="008960BE" w:rsidRPr="007A3223" w:rsidRDefault="008960BE" w:rsidP="00E300D7">
      <w:pPr>
        <w:pStyle w:val="Heading4"/>
        <w:rPr>
          <w:noProof w:val="0"/>
        </w:rPr>
      </w:pPr>
      <w:r w:rsidRPr="007A3223">
        <w:rPr>
          <w:noProof w:val="0"/>
        </w:rPr>
        <w:t xml:space="preserve">Patients who have received chemotherapy, radiotherapy, any other investigational agents within </w:t>
      </w:r>
      <w:r w:rsidR="00157509" w:rsidRPr="007A3223">
        <w:rPr>
          <w:noProof w:val="0"/>
        </w:rPr>
        <w:t>3</w:t>
      </w:r>
      <w:r w:rsidRPr="007A3223">
        <w:rPr>
          <w:noProof w:val="0"/>
        </w:rPr>
        <w:t xml:space="preserve"> weeks (6 weeks for nitrosoureas or mitomycin) prior to study enrollment.</w:t>
      </w:r>
    </w:p>
    <w:p w14:paraId="593EAD7A" w14:textId="77777777" w:rsidR="008960BE" w:rsidRPr="007A3223" w:rsidRDefault="008960BE" w:rsidP="00E300D7">
      <w:pPr>
        <w:pStyle w:val="Heading4"/>
        <w:rPr>
          <w:noProof w:val="0"/>
        </w:rPr>
      </w:pPr>
      <w:r w:rsidRPr="007A3223">
        <w:rPr>
          <w:noProof w:val="0"/>
        </w:rPr>
        <w:t>Patients who were</w:t>
      </w:r>
      <w:r w:rsidR="00166F2C" w:rsidRPr="007A3223">
        <w:rPr>
          <w:noProof w:val="0"/>
        </w:rPr>
        <w:t xml:space="preserve"> previously</w:t>
      </w:r>
      <w:r w:rsidRPr="007A3223">
        <w:rPr>
          <w:noProof w:val="0"/>
        </w:rPr>
        <w:t xml:space="preserve"> treated with cediranib.</w:t>
      </w:r>
    </w:p>
    <w:p w14:paraId="5492189B" w14:textId="2E37F9BC" w:rsidR="008960BE" w:rsidRPr="007A3223" w:rsidRDefault="008960BE" w:rsidP="00E300D7">
      <w:pPr>
        <w:pStyle w:val="Heading4"/>
        <w:rPr>
          <w:noProof w:val="0"/>
        </w:rPr>
      </w:pPr>
      <w:r w:rsidRPr="007A3223">
        <w:rPr>
          <w:noProof w:val="0"/>
        </w:rPr>
        <w:t xml:space="preserve">Patients who have had prior immune checkpoint inhibitors, such as </w:t>
      </w:r>
      <w:r w:rsidR="00223FC2">
        <w:rPr>
          <w:noProof w:val="0"/>
          <w:lang w:val="en-US"/>
        </w:rPr>
        <w:t>Durvalumab</w:t>
      </w:r>
      <w:r w:rsidRPr="007A3223">
        <w:rPr>
          <w:noProof w:val="0"/>
        </w:rPr>
        <w:t xml:space="preserve"> or other PD1 or PD-L1 inhibitors or an anti-CTLA4 therapy. </w:t>
      </w:r>
    </w:p>
    <w:p w14:paraId="03C6D2BF" w14:textId="6A49E00F" w:rsidR="008960BE" w:rsidRPr="007A3223" w:rsidRDefault="008960BE" w:rsidP="00E300D7">
      <w:pPr>
        <w:pStyle w:val="Heading4"/>
        <w:rPr>
          <w:noProof w:val="0"/>
        </w:rPr>
      </w:pPr>
      <w:r w:rsidRPr="007A3223">
        <w:rPr>
          <w:noProof w:val="0"/>
        </w:rPr>
        <w:t xml:space="preserve">Patients receiving any medications or substances that are strong inhibitors or inducers of CYP3A4 are ineligible. A list of CYP3A4 inhibitors and inducers is provided in </w:t>
      </w:r>
      <w:r w:rsidRPr="00F33908">
        <w:lastRenderedPageBreak/>
        <w:fldChar w:fldCharType="begin"/>
      </w:r>
      <w:r w:rsidRPr="007A3223">
        <w:instrText xml:space="preserve"> REF _Ref408917937 \h  \* MERGEFORMAT </w:instrText>
      </w:r>
      <w:r w:rsidRPr="00F33908">
        <w:fldChar w:fldCharType="separate"/>
      </w:r>
      <w:r w:rsidR="00E47ACA" w:rsidRPr="00E47ACA">
        <w:rPr>
          <w:b/>
          <w:noProof w:val="0"/>
          <w:color w:val="0000FF"/>
        </w:rPr>
        <w:t>Appendix B</w:t>
      </w:r>
      <w:r w:rsidRPr="00F33908">
        <w:fldChar w:fldCharType="end"/>
      </w:r>
      <w:r w:rsidRPr="007A3223">
        <w:rPr>
          <w:noProof w:val="0"/>
          <w:color w:val="0000FF"/>
        </w:rPr>
        <w:t xml:space="preserve">. </w:t>
      </w:r>
      <w:r w:rsidRPr="00F33908">
        <w:rPr>
          <w:noProof w:val="0"/>
        </w:rPr>
        <w:t>Dihydropyridine calcium-channel blockers are permitted for management of hypertension.</w:t>
      </w:r>
    </w:p>
    <w:p w14:paraId="7D8F9418" w14:textId="347476A4" w:rsidR="008960BE" w:rsidRPr="007A3223" w:rsidRDefault="008960BE" w:rsidP="00E300D7">
      <w:pPr>
        <w:pStyle w:val="Heading4"/>
        <w:rPr>
          <w:noProof w:val="0"/>
        </w:rPr>
      </w:pPr>
      <w:r w:rsidRPr="007A3223">
        <w:rPr>
          <w:noProof w:val="0"/>
          <w:lang w:val="en-US"/>
        </w:rPr>
        <w:t xml:space="preserve">Major surgical procedure (as defined by the investigator) within 30 days prior to the first dose of </w:t>
      </w:r>
      <w:r w:rsidR="00223FC2">
        <w:rPr>
          <w:noProof w:val="0"/>
          <w:lang w:val="en-US"/>
        </w:rPr>
        <w:t>Durvalumab</w:t>
      </w:r>
      <w:r w:rsidRPr="007A3223">
        <w:rPr>
          <w:noProof w:val="0"/>
          <w:lang w:val="en-US"/>
        </w:rPr>
        <w:t xml:space="preserve"> or still recovering from prior surgery. </w:t>
      </w:r>
    </w:p>
    <w:p w14:paraId="08314B18" w14:textId="77777777" w:rsidR="008960BE" w:rsidRPr="007A3223" w:rsidRDefault="008960BE" w:rsidP="00E300D7">
      <w:pPr>
        <w:pStyle w:val="Heading4"/>
        <w:rPr>
          <w:noProof w:val="0"/>
        </w:rPr>
      </w:pPr>
      <w:r w:rsidRPr="007A3223">
        <w:rPr>
          <w:noProof w:val="0"/>
        </w:rPr>
        <w:t>Patients with any other concomitant or prior invasive malignancies are ineligible, However, patients with prior cancer treated with a curative intent with no evidence of recurrent disease 5 years following diagnosis and judged by the investigator to be at low risk of recurrence are eligible. Patients with treated limited stage basal cell or squamous cell carcinoma of the skin or carcinoma in situ of the breast or cervix are eligible.</w:t>
      </w:r>
    </w:p>
    <w:p w14:paraId="661A7A42" w14:textId="77777777" w:rsidR="008960BE" w:rsidRPr="007A3223" w:rsidRDefault="008960BE" w:rsidP="00E300D7">
      <w:pPr>
        <w:pStyle w:val="Heading4"/>
        <w:rPr>
          <w:noProof w:val="0"/>
        </w:rPr>
      </w:pPr>
      <w:r w:rsidRPr="007A3223">
        <w:rPr>
          <w:noProof w:val="0"/>
        </w:rPr>
        <w:t xml:space="preserve">CNS </w:t>
      </w:r>
      <w:r w:rsidRPr="007A3223">
        <w:rPr>
          <w:noProof w:val="0"/>
          <w:lang w:val="en-US"/>
        </w:rPr>
        <w:t xml:space="preserve">disease: </w:t>
      </w:r>
      <w:r w:rsidRPr="007A3223">
        <w:t>Subjects with symptomatic brain metastases will be excluded from trial secondary to poor prognosis. However, subjects who have had treatment for their brain metastasis and whose brain disease is stable without steroid therapy for 4 weeks may be enrolled.</w:t>
      </w:r>
      <w:r w:rsidRPr="007A3223">
        <w:rPr>
          <w:noProof w:val="0"/>
        </w:rPr>
        <w:t xml:space="preserve"> Baseline imaging to rule out brain metastases is not required for screening, but should be performed prior to study enrollment if clinically indicated. </w:t>
      </w:r>
    </w:p>
    <w:p w14:paraId="20D12C11" w14:textId="72F84725" w:rsidR="008960BE" w:rsidRPr="007A3223" w:rsidRDefault="008960BE" w:rsidP="00E300D7">
      <w:pPr>
        <w:pStyle w:val="Heading4"/>
        <w:rPr>
          <w:noProof w:val="0"/>
        </w:rPr>
      </w:pPr>
      <w:r w:rsidRPr="007A3223">
        <w:rPr>
          <w:noProof w:val="0"/>
        </w:rPr>
        <w:t>History of allergic reactions attributed to compounds of similar chemical or biologic composition to</w:t>
      </w:r>
      <w:r w:rsidRPr="007A3223">
        <w:rPr>
          <w:i/>
          <w:noProof w:val="0"/>
        </w:rPr>
        <w:t xml:space="preserve"> </w:t>
      </w:r>
      <w:r w:rsidR="00223FC2">
        <w:rPr>
          <w:noProof w:val="0"/>
          <w:lang w:val="en-US"/>
        </w:rPr>
        <w:t>Durvalumab</w:t>
      </w:r>
      <w:r w:rsidRPr="007A3223">
        <w:rPr>
          <w:noProof w:val="0"/>
        </w:rPr>
        <w:t>, cediranib, or to other humanized monoclonal antibodies. Known history of anaphylaxis, angioedema, laryngeal edema, serum sickness, or uncontrolled asthma.</w:t>
      </w:r>
    </w:p>
    <w:p w14:paraId="139445D8" w14:textId="77777777" w:rsidR="008960BE" w:rsidRPr="007A3223" w:rsidRDefault="008960BE" w:rsidP="00E300D7">
      <w:pPr>
        <w:pStyle w:val="Heading4"/>
        <w:rPr>
          <w:noProof w:val="0"/>
        </w:rPr>
      </w:pPr>
      <w:r w:rsidRPr="007A3223">
        <w:rPr>
          <w:noProof w:val="0"/>
        </w:rPr>
        <w:t>History of auto-immune disease requiring steroid maintenance, or history of primary immunodeficiency.</w:t>
      </w:r>
    </w:p>
    <w:p w14:paraId="3A4835C1" w14:textId="77777777" w:rsidR="008960BE" w:rsidRPr="007A3223" w:rsidRDefault="008960BE" w:rsidP="00E300D7">
      <w:pPr>
        <w:pStyle w:val="Heading4"/>
        <w:rPr>
          <w:noProof w:val="0"/>
        </w:rPr>
      </w:pPr>
      <w:r w:rsidRPr="007A3223">
        <w:t>Patients with prior history of pneumonitis and/or interstitial lung disease will be excluded.</w:t>
      </w:r>
      <w:r w:rsidRPr="007A3223">
        <w:rPr>
          <w:noProof w:val="0"/>
        </w:rPr>
        <w:t xml:space="preserve"> </w:t>
      </w:r>
    </w:p>
    <w:p w14:paraId="7F42EF1F" w14:textId="389D2F32" w:rsidR="008960BE" w:rsidRPr="007A3223" w:rsidRDefault="008960BE" w:rsidP="002410AE">
      <w:pPr>
        <w:pStyle w:val="Heading4"/>
        <w:rPr>
          <w:noProof w:val="0"/>
        </w:rPr>
      </w:pPr>
      <w:r w:rsidRPr="007A3223">
        <w:rPr>
          <w:noProof w:val="0"/>
        </w:rPr>
        <w:t xml:space="preserve">Current or prior use of immunosuppressive medication within 28 days before the first dose of </w:t>
      </w:r>
      <w:r w:rsidR="00223FC2">
        <w:rPr>
          <w:noProof w:val="0"/>
          <w:lang w:val="en-US"/>
        </w:rPr>
        <w:t>Durvalumab</w:t>
      </w:r>
      <w:r w:rsidRPr="007A3223">
        <w:rPr>
          <w:noProof w:val="0"/>
        </w:rPr>
        <w:t>, with the exception of intranasal and inhaled corticosteroids or systemic corticosteroids at physiological doses, which are not to exceed 10 mg/day of prednisone or an equivalent corticosteroid.</w:t>
      </w:r>
      <w:r w:rsidRPr="007A3223" w:rsidDel="00B87BCE">
        <w:rPr>
          <w:noProof w:val="0"/>
        </w:rPr>
        <w:t xml:space="preserve"> </w:t>
      </w:r>
      <w:r w:rsidR="002410AE" w:rsidRPr="007A3223">
        <w:rPr>
          <w:noProof w:val="0"/>
          <w:lang w:val="en-US"/>
        </w:rPr>
        <w:t xml:space="preserve"> </w:t>
      </w:r>
      <w:r w:rsidR="002410AE" w:rsidRPr="007A3223">
        <w:rPr>
          <w:noProof w:val="0"/>
        </w:rPr>
        <w:t xml:space="preserve">In the case of short term use of systemic corticosteroids (less than 24 hours within 28 days) of greater than 10 mg/day of prednisone or an equivalent corticosteroid, the required washout period prior to starting the first dose of </w:t>
      </w:r>
      <w:r w:rsidR="00223FC2">
        <w:rPr>
          <w:noProof w:val="0"/>
          <w:lang w:val="en-US"/>
        </w:rPr>
        <w:t>Durvalumab</w:t>
      </w:r>
      <w:r w:rsidR="002410AE" w:rsidRPr="007A3223">
        <w:rPr>
          <w:noProof w:val="0"/>
        </w:rPr>
        <w:t xml:space="preserve"> is 7 days.</w:t>
      </w:r>
    </w:p>
    <w:p w14:paraId="45DC7970" w14:textId="77777777" w:rsidR="008960BE" w:rsidRPr="007A3223" w:rsidRDefault="008960BE" w:rsidP="00E300D7">
      <w:pPr>
        <w:pStyle w:val="Heading4"/>
        <w:rPr>
          <w:noProof w:val="0"/>
        </w:rPr>
      </w:pPr>
      <w:r w:rsidRPr="007A3223">
        <w:rPr>
          <w:noProof w:val="0"/>
        </w:rPr>
        <w:t>Active or prior documented inflammatory bowel disease (e.g., Crohn’s disease, ulcerative colitis). Eligibility for patients with asymptomatic and a previous diagnosis of immune or inflammatory colitis, or patients with chronic diarrhea &gt; 1 month without immune or inflammatory colitis is a PI decision on an individual patient basis.</w:t>
      </w:r>
      <w:r w:rsidRPr="007A3223" w:rsidDel="00544CCD">
        <w:rPr>
          <w:noProof w:val="0"/>
        </w:rPr>
        <w:t xml:space="preserve"> </w:t>
      </w:r>
    </w:p>
    <w:p w14:paraId="362B9D39" w14:textId="01285102" w:rsidR="008960BE" w:rsidRPr="007A3223" w:rsidRDefault="008960BE" w:rsidP="00E300D7">
      <w:pPr>
        <w:pStyle w:val="Heading4"/>
        <w:rPr>
          <w:noProof w:val="0"/>
        </w:rPr>
      </w:pPr>
      <w:r w:rsidRPr="007A3223">
        <w:rPr>
          <w:noProof w:val="0"/>
        </w:rPr>
        <w:t xml:space="preserve">Receipt of live attenuated vaccination within 30 days before the first dose of </w:t>
      </w:r>
      <w:r w:rsidR="00451878">
        <w:rPr>
          <w:noProof w:val="0"/>
          <w:lang w:val="en-US"/>
        </w:rPr>
        <w:t>Durvalumab</w:t>
      </w:r>
      <w:r w:rsidRPr="007A3223">
        <w:rPr>
          <w:noProof w:val="0"/>
        </w:rPr>
        <w:t>.</w:t>
      </w:r>
    </w:p>
    <w:p w14:paraId="423B5DE3" w14:textId="77777777" w:rsidR="008960BE" w:rsidRPr="007A3223" w:rsidRDefault="008960BE" w:rsidP="00E300D7">
      <w:pPr>
        <w:pStyle w:val="Heading4"/>
        <w:rPr>
          <w:noProof w:val="0"/>
        </w:rPr>
      </w:pPr>
      <w:r w:rsidRPr="007A3223">
        <w:rPr>
          <w:noProof w:val="0"/>
          <w:lang w:eastAsia="ko-KR"/>
        </w:rPr>
        <w:t xml:space="preserve">Patients who have the following clinical conditions are considered to be at increased risk for cardiac </w:t>
      </w:r>
      <w:r w:rsidRPr="007A3223">
        <w:rPr>
          <w:noProof w:val="0"/>
        </w:rPr>
        <w:t>toxicities</w:t>
      </w:r>
      <w:r w:rsidRPr="007A3223">
        <w:rPr>
          <w:noProof w:val="0"/>
          <w:lang w:eastAsia="ko-KR"/>
        </w:rPr>
        <w:t xml:space="preserve">. </w:t>
      </w:r>
      <w:r w:rsidRPr="007A3223">
        <w:rPr>
          <w:noProof w:val="0"/>
        </w:rPr>
        <w:t xml:space="preserve">Patients with any cardiac history of the following conditions within </w:t>
      </w:r>
      <w:r w:rsidR="004B77CD" w:rsidRPr="007A3223">
        <w:rPr>
          <w:noProof w:val="0"/>
        </w:rPr>
        <w:t>2</w:t>
      </w:r>
      <w:r w:rsidRPr="007A3223">
        <w:rPr>
          <w:noProof w:val="0"/>
        </w:rPr>
        <w:t xml:space="preserve"> year</w:t>
      </w:r>
      <w:r w:rsidR="004B77CD" w:rsidRPr="007A3223">
        <w:rPr>
          <w:noProof w:val="0"/>
        </w:rPr>
        <w:t>s</w:t>
      </w:r>
      <w:r w:rsidRPr="007A3223">
        <w:rPr>
          <w:noProof w:val="0"/>
        </w:rPr>
        <w:t xml:space="preserve"> prior to study enrollment are excluded from the study: </w:t>
      </w:r>
    </w:p>
    <w:p w14:paraId="7A8DA08F" w14:textId="77777777" w:rsidR="008960BE" w:rsidRPr="007A3223" w:rsidRDefault="008960BE" w:rsidP="00943354">
      <w:pPr>
        <w:pStyle w:val="ListParagraph"/>
        <w:numPr>
          <w:ilvl w:val="0"/>
          <w:numId w:val="6"/>
        </w:numPr>
        <w:spacing w:before="60" w:after="60"/>
        <w:ind w:left="1080"/>
      </w:pPr>
      <w:r w:rsidRPr="007A3223">
        <w:t xml:space="preserve">Prior events including myocardial infarction, </w:t>
      </w:r>
      <w:r w:rsidR="00DF49F2" w:rsidRPr="007A3223">
        <w:t>clinically sign</w:t>
      </w:r>
      <w:r w:rsidR="00D62A79" w:rsidRPr="007A3223">
        <w:t>i</w:t>
      </w:r>
      <w:r w:rsidR="00DF49F2" w:rsidRPr="007A3223">
        <w:t xml:space="preserve">ficant </w:t>
      </w:r>
      <w:r w:rsidRPr="007A3223">
        <w:t xml:space="preserve">pericardial effusion, and myocarditis.  </w:t>
      </w:r>
    </w:p>
    <w:p w14:paraId="265578A6" w14:textId="77777777" w:rsidR="008960BE" w:rsidRPr="007A3223" w:rsidRDefault="008960BE" w:rsidP="00943354">
      <w:pPr>
        <w:pStyle w:val="ListParagraph"/>
        <w:numPr>
          <w:ilvl w:val="0"/>
          <w:numId w:val="6"/>
        </w:numPr>
        <w:spacing w:before="60" w:after="60"/>
        <w:ind w:left="1080"/>
      </w:pPr>
      <w:r w:rsidRPr="007A3223">
        <w:t xml:space="preserve">Prior cardiac arrhythmia including atrial fibrillation and atrial flutter, or requiring concurrent use of drugs or biologics with pro-arrhythmic potential.  </w:t>
      </w:r>
    </w:p>
    <w:p w14:paraId="380244F5" w14:textId="77777777" w:rsidR="008960BE" w:rsidRPr="007A3223" w:rsidRDefault="008960BE" w:rsidP="00943354">
      <w:pPr>
        <w:pStyle w:val="ListParagraph"/>
        <w:numPr>
          <w:ilvl w:val="0"/>
          <w:numId w:val="6"/>
        </w:numPr>
        <w:spacing w:before="60" w:after="60"/>
        <w:ind w:left="1080"/>
      </w:pPr>
      <w:r w:rsidRPr="007A3223">
        <w:t xml:space="preserve">NYHA Class II or greater heart failure.  </w:t>
      </w:r>
    </w:p>
    <w:p w14:paraId="4A1C3DE0" w14:textId="77777777" w:rsidR="008960BE" w:rsidRPr="007A3223" w:rsidRDefault="008960BE" w:rsidP="00943354">
      <w:pPr>
        <w:pStyle w:val="ListParagraph"/>
        <w:numPr>
          <w:ilvl w:val="0"/>
          <w:numId w:val="6"/>
        </w:numPr>
        <w:spacing w:before="60" w:after="60"/>
        <w:ind w:left="1080"/>
      </w:pPr>
      <w:r w:rsidRPr="007A3223">
        <w:lastRenderedPageBreak/>
        <w:t xml:space="preserve">If cardiac function assessment is clinically indicated or performed, an LVEF less than normal per institutional guidelines, or &lt;55%, if threshold for normal is not otherwise specified by institutional guidelines. </w:t>
      </w:r>
    </w:p>
    <w:p w14:paraId="387E902B" w14:textId="77777777" w:rsidR="008960BE" w:rsidRPr="007A3223" w:rsidRDefault="00415161" w:rsidP="00943354">
      <w:pPr>
        <w:pStyle w:val="ListParagraph"/>
        <w:numPr>
          <w:ilvl w:val="0"/>
          <w:numId w:val="6"/>
        </w:numPr>
        <w:spacing w:before="60" w:after="60"/>
        <w:ind w:left="1080"/>
      </w:pPr>
      <w:r w:rsidRPr="007A3223">
        <w:rPr>
          <w:rFonts w:hint="eastAsia"/>
        </w:rPr>
        <w:t xml:space="preserve">Mean QT interval corrected for heart rate (QTc) </w:t>
      </w:r>
      <w:r w:rsidRPr="007A3223">
        <w:rPr>
          <w:rFonts w:hint="eastAsia"/>
        </w:rPr>
        <w:t>≥</w:t>
      </w:r>
      <w:r w:rsidRPr="007A3223">
        <w:rPr>
          <w:rFonts w:hint="eastAsia"/>
        </w:rPr>
        <w:t xml:space="preserve">470 </w:t>
      </w:r>
      <w:r w:rsidRPr="007A3223">
        <w:t>ms calculated from 3 electrocardiograms (ECGs) using Frediricia’s  Correction</w:t>
      </w:r>
      <w:r w:rsidRPr="007A3223" w:rsidDel="004A5D10">
        <w:t xml:space="preserve"> </w:t>
      </w:r>
      <w:r w:rsidR="008960BE" w:rsidRPr="007A3223">
        <w:t xml:space="preserve">or other significant ECG abnormality noted within 14 days of treatment.  </w:t>
      </w:r>
    </w:p>
    <w:p w14:paraId="6A6D9AA2" w14:textId="77777777" w:rsidR="008960BE" w:rsidRPr="007A3223" w:rsidRDefault="008960BE" w:rsidP="00943354">
      <w:pPr>
        <w:pStyle w:val="ListParagraph"/>
        <w:numPr>
          <w:ilvl w:val="0"/>
          <w:numId w:val="6"/>
        </w:numPr>
        <w:spacing w:before="60" w:after="60"/>
        <w:ind w:left="1080"/>
      </w:pPr>
      <w:r w:rsidRPr="007A3223">
        <w:t xml:space="preserve">Hypertensive crisis or hypertensive encephalopathy. </w:t>
      </w:r>
    </w:p>
    <w:p w14:paraId="09D230F7" w14:textId="77777777" w:rsidR="008960BE" w:rsidRPr="007A3223" w:rsidRDefault="008960BE" w:rsidP="00943354">
      <w:pPr>
        <w:pStyle w:val="ListParagraph"/>
        <w:numPr>
          <w:ilvl w:val="0"/>
          <w:numId w:val="6"/>
        </w:numPr>
        <w:spacing w:before="60" w:after="60"/>
        <w:ind w:left="1080"/>
      </w:pPr>
      <w:r w:rsidRPr="007A3223">
        <w:t xml:space="preserve">Clinically significant peripheral vascular disease or vascular disease, including rapidly growing aortic aneurysm or abdominal aortic aneurysm &gt;5 cm or aortic dissection.  </w:t>
      </w:r>
    </w:p>
    <w:p w14:paraId="5FAD2DB9" w14:textId="77777777" w:rsidR="008960BE" w:rsidRPr="007A3223" w:rsidRDefault="008960BE" w:rsidP="00943354">
      <w:pPr>
        <w:pStyle w:val="ListParagraph"/>
        <w:numPr>
          <w:ilvl w:val="0"/>
          <w:numId w:val="6"/>
        </w:numPr>
        <w:spacing w:before="60" w:after="60"/>
        <w:ind w:left="1080"/>
      </w:pPr>
      <w:r w:rsidRPr="007A3223">
        <w:t xml:space="preserve">Unstable angina.  </w:t>
      </w:r>
    </w:p>
    <w:p w14:paraId="11C002AD" w14:textId="77777777" w:rsidR="008960BE" w:rsidRPr="007A3223" w:rsidRDefault="008960BE" w:rsidP="00E300D7">
      <w:pPr>
        <w:pStyle w:val="Heading4"/>
        <w:rPr>
          <w:noProof w:val="0"/>
        </w:rPr>
      </w:pPr>
      <w:r w:rsidRPr="007A3223">
        <w:rPr>
          <w:noProof w:val="0"/>
        </w:rPr>
        <w:t>History of cerebrovascular accident, transient ischemic attack within 1 year prior to study enrollment.</w:t>
      </w:r>
    </w:p>
    <w:p w14:paraId="0E3372FA" w14:textId="77777777" w:rsidR="008960BE" w:rsidRPr="007A3223" w:rsidRDefault="008960BE" w:rsidP="00E300D7">
      <w:pPr>
        <w:pStyle w:val="Heading4"/>
        <w:rPr>
          <w:noProof w:val="0"/>
        </w:rPr>
      </w:pPr>
      <w:r w:rsidRPr="007A3223">
        <w:rPr>
          <w:noProof w:val="0"/>
        </w:rPr>
        <w:t>History of abdominal fistula, gastrointestinal perforation, or intra-abdominal abscess within 6 months prior to study enrollment.</w:t>
      </w:r>
    </w:p>
    <w:p w14:paraId="66CEA946" w14:textId="77777777" w:rsidR="008960BE" w:rsidRPr="007A3223" w:rsidRDefault="008960BE" w:rsidP="00E300D7">
      <w:pPr>
        <w:pStyle w:val="Heading4"/>
        <w:rPr>
          <w:noProof w:val="0"/>
        </w:rPr>
      </w:pPr>
      <w:r w:rsidRPr="007A3223">
        <w:rPr>
          <w:noProof w:val="0"/>
        </w:rPr>
        <w:t>Significant hemorrhage (&gt; 30 mL bleeding/episode within 3 months before study enrollment) or hemoptysis (&gt; 5mL fresh blood within 28 days before study enrollment).</w:t>
      </w:r>
    </w:p>
    <w:p w14:paraId="2140D512" w14:textId="77777777" w:rsidR="008960BE" w:rsidRPr="007A3223" w:rsidRDefault="008960BE" w:rsidP="00E300D7">
      <w:pPr>
        <w:pStyle w:val="Heading4"/>
        <w:rPr>
          <w:noProof w:val="0"/>
        </w:rPr>
      </w:pPr>
      <w:r w:rsidRPr="007A3223">
        <w:rPr>
          <w:noProof w:val="0"/>
        </w:rPr>
        <w:t>Current signs and/or symptoms of bowel obstruction or signs and/or symptoms of bowel obstruction within 28 days before study enrollment.</w:t>
      </w:r>
    </w:p>
    <w:p w14:paraId="4F3AE9EE" w14:textId="77777777" w:rsidR="008960BE" w:rsidRPr="007A3223" w:rsidRDefault="008960BE" w:rsidP="00E300D7">
      <w:pPr>
        <w:pStyle w:val="Heading4"/>
        <w:rPr>
          <w:noProof w:val="0"/>
        </w:rPr>
      </w:pPr>
      <w:r w:rsidRPr="007A3223">
        <w:rPr>
          <w:noProof w:val="0"/>
        </w:rPr>
        <w:t>Current dependency on total parenteral nutrition (TPN) or IV fluid hydration.</w:t>
      </w:r>
    </w:p>
    <w:p w14:paraId="222D39DC" w14:textId="1CA8B772" w:rsidR="008960BE" w:rsidRPr="007A3223" w:rsidRDefault="008960BE" w:rsidP="00E300D7">
      <w:pPr>
        <w:pStyle w:val="Heading4"/>
        <w:rPr>
          <w:noProof w:val="0"/>
        </w:rPr>
      </w:pPr>
      <w:r w:rsidRPr="007A3223">
        <w:rPr>
          <w:noProof w:val="0"/>
        </w:rPr>
        <w:t xml:space="preserve">Any prior grade </w:t>
      </w:r>
      <w:r w:rsidRPr="007A3223">
        <w:rPr>
          <w:rFonts w:hint="eastAsia"/>
          <w:noProof w:val="0"/>
        </w:rPr>
        <w:t>≥</w:t>
      </w:r>
      <w:r w:rsidRPr="007A3223">
        <w:rPr>
          <w:noProof w:val="0"/>
        </w:rPr>
        <w:t xml:space="preserve"> 3 immune-related adverse event (irAE)</w:t>
      </w:r>
      <w:hyperlink w:anchor="_ENREF_160" w:tooltip="Weber, 2012 #79" w:history="1">
        <w:r w:rsidR="00F77861" w:rsidRPr="00244551">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 </w:instrText>
        </w:r>
        <w:r w:rsidR="00E27C67" w:rsidRPr="00F4501E">
          <w:rPr>
            <w:rStyle w:val="Hyperlink"/>
            <w:noProof w:val="0"/>
          </w:rPr>
          <w:fldChar w:fldCharType="begin">
            <w:fldData xml:space="preserve">PEVuZE5vdGU+PENpdGU+PEF1dGhvcj5XZWJlcjwvQXV0aG9yPjxZZWFyPjIwMTI8L1llYXI+PFJl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cGFnZXM+MjY5MS03PC9wYWdlcz48dm9sdW1lPjMwPC92b2x1bWU+PG51bWJlcj4yMTwvbnVtYmVy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</w:fldData>
          </w:fldChar>
        </w:r>
        <w:r w:rsidR="00E27C67" w:rsidRPr="00244551">
          <w:rPr>
            <w:rStyle w:val="Hyperlink"/>
            <w:noProof w:val="0"/>
          </w:rPr>
          <w:instrText xml:space="preserve"> ADDIN EN.CITE.DATA </w:instrText>
        </w:r>
        <w:r w:rsidR="00E27C67" w:rsidRPr="00F4501E">
          <w:rPr>
            <w:rStyle w:val="Hyperlink"/>
            <w:noProof w:val="0"/>
          </w:rPr>
        </w:r>
        <w:r w:rsidR="00E27C67" w:rsidRPr="00F4501E">
          <w:rPr>
            <w:rStyle w:val="Hyperlink"/>
            <w:noProof w:val="0"/>
          </w:rPr>
          <w:fldChar w:fldCharType="end"/>
        </w:r>
        <w:r w:rsidR="00F77861" w:rsidRPr="00244551">
          <w:rPr>
            <w:rStyle w:val="Hyperlink"/>
            <w:noProof w:val="0"/>
          </w:rPr>
        </w:r>
        <w:r w:rsidR="00F77861" w:rsidRPr="00244551">
          <w:rPr>
            <w:rStyle w:val="Hyperlink"/>
            <w:noProof w:val="0"/>
          </w:rPr>
          <w:fldChar w:fldCharType="separate"/>
        </w:r>
        <w:r w:rsidR="00E27C67" w:rsidRPr="00244551">
          <w:rPr>
            <w:rStyle w:val="Hyperlink"/>
            <w:vertAlign w:val="superscript"/>
          </w:rPr>
          <w:t>160</w:t>
        </w:r>
        <w:r w:rsidR="00F77861" w:rsidRPr="00244551">
          <w:rPr>
            <w:rStyle w:val="Hyperlink"/>
            <w:noProof w:val="0"/>
          </w:rPr>
          <w:fldChar w:fldCharType="end"/>
        </w:r>
      </w:hyperlink>
      <w:r w:rsidRPr="007A3223">
        <w:rPr>
          <w:noProof w:val="0"/>
        </w:rPr>
        <w:t xml:space="preserve"> while receivin</w:t>
      </w:r>
      <w:r w:rsidRPr="00F33908">
        <w:rPr>
          <w:noProof w:val="0"/>
        </w:rPr>
        <w:t>g any previous immunotherapy ag</w:t>
      </w:r>
      <w:r w:rsidRPr="007A3223">
        <w:rPr>
          <w:noProof w:val="0"/>
        </w:rPr>
        <w:t xml:space="preserve">ent, or any unresolved irAE &gt; grade 1. Toxicities of prior therapy, excepting alopecia, should be resolved to less than or equal to grade 1 as per NCI-CTCAEv4.0 (located on the CTEP website at </w:t>
      </w:r>
      <w:hyperlink r:id="rId43" w:history="1">
        <w:r w:rsidRPr="00F33908">
          <w:rPr>
            <w:rStyle w:val="Hyperlink"/>
            <w:noProof w:val="0"/>
            <w:szCs w:val="24"/>
          </w:rPr>
          <w:t>http://ctep.cancer.gov/protocolDevelopment/</w:t>
        </w:r>
        <w:r w:rsidRPr="007A3223">
          <w:rPr>
            <w:rStyle w:val="Hyperlink"/>
            <w:noProof w:val="0"/>
            <w:szCs w:val="24"/>
          </w:rPr>
          <w:t>electronic_applications/ctc.htm</w:t>
        </w:r>
      </w:hyperlink>
      <w:r w:rsidRPr="007A3223">
        <w:rPr>
          <w:noProof w:val="0"/>
        </w:rPr>
        <w:t xml:space="preserve">). </w:t>
      </w:r>
      <w:r w:rsidRPr="00F33908">
        <w:rPr>
          <w:noProof w:val="0"/>
          <w:color w:val="000000"/>
        </w:rPr>
        <w:t>Patients with greater than 1+ proteinuria at entry are ineligible.</w:t>
      </w:r>
      <w:r w:rsidRPr="007A3223">
        <w:rPr>
          <w:noProof w:val="0"/>
        </w:rPr>
        <w:t xml:space="preserve"> </w:t>
      </w:r>
    </w:p>
    <w:p w14:paraId="3C118410" w14:textId="77777777" w:rsidR="008960BE" w:rsidRPr="007A3223" w:rsidRDefault="008960BE" w:rsidP="00E300D7">
      <w:pPr>
        <w:pStyle w:val="Heading4"/>
        <w:rPr>
          <w:noProof w:val="0"/>
        </w:rPr>
      </w:pPr>
      <w:r w:rsidRPr="007A3223">
        <w:rPr>
          <w:noProof w:val="0"/>
        </w:rPr>
        <w:t>Uncontrolled intercurrent illness including, but not limited to, ongoing or active infection, symptomatic congestive heart failure, unstable angina pectoris, cardiac arrhythmia, active peptic ulcer disease, or psychiatric illness/social situations that would limit compliance with study requirements.</w:t>
      </w:r>
    </w:p>
    <w:p w14:paraId="07043D2C" w14:textId="77777777" w:rsidR="008960BE" w:rsidRPr="007A3223" w:rsidRDefault="008960BE" w:rsidP="00E300D7">
      <w:pPr>
        <w:pStyle w:val="Heading4"/>
        <w:rPr>
          <w:noProof w:val="0"/>
        </w:rPr>
      </w:pPr>
      <w:r w:rsidRPr="007A3223">
        <w:rPr>
          <w:noProof w:val="0"/>
        </w:rPr>
        <w:t xml:space="preserve">Pregnant and breastfeeding women are excluded from this study. </w:t>
      </w:r>
    </w:p>
    <w:p w14:paraId="22E57391" w14:textId="2EA6E4F4" w:rsidR="00D128AE" w:rsidRPr="007A3223" w:rsidRDefault="008960BE" w:rsidP="00C45E2A">
      <w:pPr>
        <w:pStyle w:val="Heading4"/>
        <w:rPr>
          <w:noProof w:val="0"/>
        </w:rPr>
      </w:pPr>
      <w:r w:rsidRPr="007A3223">
        <w:rPr>
          <w:noProof w:val="0"/>
        </w:rPr>
        <w:t>HIV-positive patients on antiretroviral therapy are ineligible because of potential pharmacokinetic interactions with study drugs.</w:t>
      </w:r>
      <w:r w:rsidR="00834C2E" w:rsidRPr="007A3223">
        <w:rPr>
          <w:noProof w:val="0"/>
        </w:rPr>
        <w:t xml:space="preserve"> </w:t>
      </w:r>
      <w:r w:rsidR="00C45E2A" w:rsidRPr="007A3223">
        <w:rPr>
          <w:noProof w:val="0"/>
        </w:rPr>
        <w:t>However, patients with long-standing (&gt;5 years) HIV on antiretroviral therapy &gt; 1 month (undetectable HIV viral load and CD4 count &gt; 150 cells/µL) may be eligible if the PI determines no anticipated clinically significant drug-drug interactions.</w:t>
      </w:r>
    </w:p>
    <w:p w14:paraId="73CAEE1B" w14:textId="77777777" w:rsidR="008960BE" w:rsidRPr="007A3223" w:rsidRDefault="008960BE" w:rsidP="00D44590">
      <w:pPr>
        <w:pStyle w:val="Heading4"/>
        <w:rPr>
          <w:noProof w:val="0"/>
        </w:rPr>
      </w:pPr>
      <w:r w:rsidRPr="007A3223">
        <w:rPr>
          <w:noProof w:val="0"/>
        </w:rPr>
        <w:t xml:space="preserve">HBV-or HCV-positive patients are ineligible because of potential reactivation of hepatitis virus following steroids. </w:t>
      </w:r>
    </w:p>
    <w:p w14:paraId="4B1D7F9D" w14:textId="77777777" w:rsidR="008960BE" w:rsidRPr="007A3223" w:rsidRDefault="008960BE" w:rsidP="00E300D7">
      <w:pPr>
        <w:pStyle w:val="Heading4"/>
        <w:rPr>
          <w:noProof w:val="0"/>
        </w:rPr>
      </w:pPr>
      <w:r w:rsidRPr="007A3223">
        <w:rPr>
          <w:noProof w:val="0"/>
        </w:rPr>
        <w:t>Known history of previous clinical diagnosis of tuberculosis.</w:t>
      </w:r>
    </w:p>
    <w:p w14:paraId="45B582FA" w14:textId="77777777" w:rsidR="008960BE" w:rsidRPr="007A3223" w:rsidRDefault="008960BE" w:rsidP="00E300D7">
      <w:pPr>
        <w:pStyle w:val="Heading4"/>
        <w:rPr>
          <w:noProof w:val="0"/>
        </w:rPr>
      </w:pPr>
      <w:r w:rsidRPr="007A3223">
        <w:rPr>
          <w:noProof w:val="0"/>
        </w:rPr>
        <w:t xml:space="preserve">No baseline features suggestive of myelodysplastic syndrome or acute myelogenous leukemia on peripheral blood smear or bone marrow biopsy, if clinically indicated.  </w:t>
      </w:r>
    </w:p>
    <w:p w14:paraId="5F6E7B99" w14:textId="77777777" w:rsidR="008960BE" w:rsidRPr="007A3223" w:rsidRDefault="008960BE" w:rsidP="00E300D7">
      <w:pPr>
        <w:pStyle w:val="Heading4"/>
        <w:rPr>
          <w:noProof w:val="0"/>
        </w:rPr>
      </w:pPr>
      <w:r w:rsidRPr="007A3223">
        <w:rPr>
          <w:noProof w:val="0"/>
        </w:rPr>
        <w:lastRenderedPageBreak/>
        <w:t>No prior or current evidence of coagulopathy or bleeding diathesis. Therapeutic anticoagulation for prior thromboembolic events is permitted.</w:t>
      </w:r>
    </w:p>
    <w:p w14:paraId="2C888110" w14:textId="77777777" w:rsidR="00660DBE" w:rsidRPr="007A3223" w:rsidRDefault="008960BE" w:rsidP="00BB58C0">
      <w:pPr>
        <w:pStyle w:val="Heading4"/>
      </w:pPr>
      <w:r w:rsidRPr="007A3223">
        <w:rPr>
          <w:noProof w:val="0"/>
          <w:lang w:val="en-US"/>
        </w:rPr>
        <w:t xml:space="preserve">Concurrent enrollment in another clinical study, unless it is an observational non-interventional clinical study or the follow-up of an interventional study. </w:t>
      </w:r>
      <w:r w:rsidRPr="007A3223">
        <w:t>Any concurrent chemotherapy, immunotherapy, biologic or hormonal therapy for cancer</w:t>
      </w:r>
      <w:r w:rsidRPr="007A3223">
        <w:rPr>
          <w:lang w:val="en-US"/>
        </w:rPr>
        <w:t xml:space="preserve"> </w:t>
      </w:r>
      <w:r w:rsidRPr="007A3223">
        <w:t>treatment.  Concurrent use of hormones for non-cancer-related conditions (e.g., insulin for diabetes and hormone replacement therapy) is acceptable.  NOTE: Local treatment of isolated lesions for palliative intent is acceptable (e.g., by local surgery or radiotherapy).</w:t>
      </w:r>
    </w:p>
    <w:p w14:paraId="0BCC0C8C" w14:textId="0EF663AE" w:rsidR="00E164F9" w:rsidRPr="007A3223" w:rsidRDefault="005D0FD5" w:rsidP="000C1D10">
      <w:pPr>
        <w:pStyle w:val="Heading3"/>
      </w:pPr>
      <w:r w:rsidRPr="007A3223">
        <w:t>Recruitment Strategies</w:t>
      </w:r>
    </w:p>
    <w:p w14:paraId="1D5AC20A" w14:textId="7987F0C8" w:rsidR="005D0FD5" w:rsidRPr="007A3223" w:rsidRDefault="005D0FD5" w:rsidP="005D0FD5">
      <w:pPr>
        <w:rPr>
          <w:lang w:eastAsia="x-none"/>
        </w:rPr>
      </w:pPr>
      <w:r w:rsidRPr="007A3223">
        <w:rPr>
          <w:rFonts w:eastAsia="Calibri"/>
        </w:rPr>
        <w:t>This study will be posted on NIH websites and on NIH social media forums.</w:t>
      </w:r>
      <w:r w:rsidR="00006DB8" w:rsidRPr="007A3223">
        <w:rPr>
          <w:rFonts w:eastAsia="Calibri"/>
          <w:i/>
          <w:iCs/>
        </w:rPr>
        <w:t xml:space="preserve"> </w:t>
      </w:r>
      <w:r w:rsidR="00006DB8" w:rsidRPr="007A3223">
        <w:rPr>
          <w:rFonts w:eastAsia="Calibri"/>
          <w:iCs/>
        </w:rPr>
        <w:t>Participants may also be identified through referrals from physicians, or from populations in NIH Clinics.</w:t>
      </w:r>
    </w:p>
    <w:p w14:paraId="2E0A0025" w14:textId="77777777" w:rsidR="0018611D" w:rsidRPr="007A3223" w:rsidRDefault="0018611D" w:rsidP="00ED703B">
      <w:pPr>
        <w:pStyle w:val="Heading2"/>
      </w:pPr>
      <w:bookmarkStart w:id="106" w:name="_Toc82444350"/>
      <w:r w:rsidRPr="007A3223">
        <w:t>Screening Evaluation</w:t>
      </w:r>
      <w:bookmarkEnd w:id="106"/>
    </w:p>
    <w:p w14:paraId="100F7730" w14:textId="36835D38" w:rsidR="007E3C65" w:rsidRPr="007E3C65" w:rsidRDefault="007E3C65" w:rsidP="004E00BA">
      <w:pPr>
        <w:pStyle w:val="Heading3"/>
      </w:pPr>
      <w:bookmarkStart w:id="107" w:name="_Ref42775845"/>
      <w:r w:rsidRPr="007E3C65">
        <w:t>Screening activities performed prior to obtaining informed consent</w:t>
      </w:r>
      <w:bookmarkEnd w:id="107"/>
    </w:p>
    <w:p w14:paraId="3C5C2E00" w14:textId="77777777" w:rsidR="007E3C65" w:rsidRPr="007E3C65" w:rsidRDefault="007E3C65" w:rsidP="007E3C65">
      <w:r w:rsidRPr="007E3C65">
        <w:t xml:space="preserve">Minimal risk activities that may be performed before the subject has signed a consent include the following: </w:t>
      </w:r>
    </w:p>
    <w:p w14:paraId="375D8D5E" w14:textId="77777777" w:rsidR="007E3C65" w:rsidRPr="007E3C65" w:rsidRDefault="007E3C65" w:rsidP="00FB66BA">
      <w:pPr>
        <w:numPr>
          <w:ilvl w:val="0"/>
          <w:numId w:val="73"/>
        </w:numPr>
        <w:spacing w:before="0" w:after="0"/>
        <w:rPr>
          <w:szCs w:val="24"/>
          <w:lang w:val="x-none" w:eastAsia="x-none"/>
        </w:rPr>
      </w:pPr>
      <w:r w:rsidRPr="007E3C65">
        <w:rPr>
          <w:szCs w:val="24"/>
          <w:lang w:val="x-none" w:eastAsia="x-none"/>
        </w:rPr>
        <w:t xml:space="preserve">Email, written, in person or telephone communications with prospective subjects </w:t>
      </w:r>
    </w:p>
    <w:p w14:paraId="1B05210C" w14:textId="77777777" w:rsidR="007E3C65" w:rsidRPr="007E3C65" w:rsidRDefault="007E3C65" w:rsidP="00FB66BA">
      <w:pPr>
        <w:numPr>
          <w:ilvl w:val="0"/>
          <w:numId w:val="73"/>
        </w:numPr>
        <w:spacing w:before="0" w:after="0"/>
        <w:rPr>
          <w:szCs w:val="24"/>
          <w:lang w:val="x-none" w:eastAsia="x-none"/>
        </w:rPr>
      </w:pPr>
      <w:r w:rsidRPr="007E3C65">
        <w:rPr>
          <w:szCs w:val="24"/>
          <w:lang w:val="x-none" w:eastAsia="x-none"/>
        </w:rPr>
        <w:t>Review of existing medical records to include H&amp;P, laboratory studies, etc.  </w:t>
      </w:r>
    </w:p>
    <w:p w14:paraId="2ED1914B" w14:textId="77777777" w:rsidR="007E3C65" w:rsidRPr="007E3C65" w:rsidRDefault="007E3C65" w:rsidP="00FB66BA">
      <w:pPr>
        <w:numPr>
          <w:ilvl w:val="0"/>
          <w:numId w:val="73"/>
        </w:numPr>
        <w:spacing w:before="0" w:after="0"/>
        <w:rPr>
          <w:szCs w:val="24"/>
          <w:lang w:val="x-none" w:eastAsia="x-none"/>
        </w:rPr>
      </w:pPr>
      <w:r w:rsidRPr="007E3C65">
        <w:rPr>
          <w:szCs w:val="24"/>
          <w:lang w:val="x-none" w:eastAsia="x-none"/>
        </w:rPr>
        <w:t>Review of existing MRI, x-ray, or CT images</w:t>
      </w:r>
    </w:p>
    <w:p w14:paraId="38BFAC1C" w14:textId="77777777" w:rsidR="007E3C65" w:rsidRPr="007E3C65" w:rsidRDefault="007E3C65" w:rsidP="00FB66BA">
      <w:pPr>
        <w:numPr>
          <w:ilvl w:val="0"/>
          <w:numId w:val="73"/>
        </w:numPr>
        <w:spacing w:before="0" w:after="0"/>
        <w:rPr>
          <w:szCs w:val="24"/>
          <w:lang w:val="x-none" w:eastAsia="x-none"/>
        </w:rPr>
      </w:pPr>
      <w:r w:rsidRPr="007E3C65">
        <w:rPr>
          <w:szCs w:val="24"/>
          <w:lang w:val="x-none" w:eastAsia="x-none"/>
        </w:rPr>
        <w:t>Review of existing photographs or videos</w:t>
      </w:r>
    </w:p>
    <w:p w14:paraId="2C3A7B0D" w14:textId="77777777" w:rsidR="007E3C65" w:rsidRPr="007E3C65" w:rsidRDefault="007E3C65" w:rsidP="00FB66BA">
      <w:pPr>
        <w:numPr>
          <w:ilvl w:val="0"/>
          <w:numId w:val="73"/>
        </w:numPr>
        <w:spacing w:before="0" w:after="0"/>
        <w:rPr>
          <w:szCs w:val="24"/>
          <w:lang w:val="x-none" w:eastAsia="x-none"/>
        </w:rPr>
      </w:pPr>
      <w:r w:rsidRPr="007E3C65">
        <w:rPr>
          <w:szCs w:val="24"/>
          <w:lang w:val="x-none" w:eastAsia="x-none"/>
        </w:rPr>
        <w:t>Review of existing pathology specimens/reports from a specimen obtained for diagnostic purposes</w:t>
      </w:r>
    </w:p>
    <w:p w14:paraId="1C54EF9E" w14:textId="51733AF3" w:rsidR="00851E56" w:rsidRDefault="00851E56" w:rsidP="00851E56">
      <w:r w:rsidRPr="00241C1F">
        <w:t xml:space="preserve">A waiver of consent for these activities has been requested in section </w:t>
      </w:r>
      <w:r w:rsidR="002E1B21" w:rsidRPr="002E1B21">
        <w:rPr>
          <w:b/>
          <w:color w:val="0000FF"/>
        </w:rPr>
        <w:fldChar w:fldCharType="begin"/>
      </w:r>
      <w:r w:rsidR="002E1B21" w:rsidRPr="002E1B21">
        <w:rPr>
          <w:b/>
          <w:color w:val="0000FF"/>
        </w:rPr>
        <w:instrText xml:space="preserve"> REF _Ref500757284 \n \h  \* MERGEFORMAT </w:instrText>
      </w:r>
      <w:r w:rsidR="002E1B21" w:rsidRPr="002E1B21">
        <w:rPr>
          <w:b/>
          <w:color w:val="0000FF"/>
        </w:rPr>
      </w:r>
      <w:r w:rsidR="002E1B21" w:rsidRPr="002E1B21">
        <w:rPr>
          <w:b/>
          <w:color w:val="0000FF"/>
        </w:rPr>
        <w:fldChar w:fldCharType="separate"/>
      </w:r>
      <w:r w:rsidR="00E47ACA">
        <w:rPr>
          <w:b/>
          <w:color w:val="0000FF"/>
        </w:rPr>
        <w:t>13.5.1</w:t>
      </w:r>
      <w:r w:rsidR="002E1B21" w:rsidRPr="002E1B21">
        <w:rPr>
          <w:b/>
          <w:color w:val="0000FF"/>
        </w:rPr>
        <w:fldChar w:fldCharType="end"/>
      </w:r>
    </w:p>
    <w:p w14:paraId="4D00440D" w14:textId="77777777" w:rsidR="00717254" w:rsidRPr="00717254" w:rsidRDefault="00717254" w:rsidP="00A91B42">
      <w:pPr>
        <w:pStyle w:val="Heading3"/>
      </w:pPr>
      <w:bookmarkStart w:id="108" w:name="_Toc18572125"/>
      <w:bookmarkStart w:id="109" w:name="_Ref22137951"/>
      <w:bookmarkStart w:id="110" w:name="_Ref40795046"/>
      <w:r w:rsidRPr="00A91B42">
        <w:t>Screening</w:t>
      </w:r>
      <w:r w:rsidRPr="00717254">
        <w:t xml:space="preserve"> activities performed after a consent for screening has been signed</w:t>
      </w:r>
      <w:bookmarkEnd w:id="108"/>
      <w:bookmarkEnd w:id="109"/>
      <w:bookmarkEnd w:id="110"/>
    </w:p>
    <w:p w14:paraId="7F7C9A11" w14:textId="1B2DC279" w:rsidR="000C152D" w:rsidRPr="00F33908" w:rsidRDefault="00717254" w:rsidP="00717254">
      <w:r w:rsidRPr="00717254">
        <w:t xml:space="preserve">The following activities will be performed only after the subject has signed the study consent OR the consent for study 01-C-0129 (provided the procedure is permitted on that study) on which screening activities may also be performed. </w:t>
      </w:r>
      <w:r w:rsidR="003E0EAE" w:rsidRPr="007A3223">
        <w:t xml:space="preserve">  Screening requirements are described below, and in the Study Calendar (Section </w:t>
      </w:r>
      <w:r w:rsidR="006F094B" w:rsidRPr="00F33908">
        <w:rPr>
          <w:b/>
          <w:color w:val="0000FF"/>
        </w:rPr>
        <w:fldChar w:fldCharType="begin"/>
      </w:r>
      <w:r w:rsidR="006F094B" w:rsidRPr="007A3223">
        <w:rPr>
          <w:b/>
          <w:color w:val="0000FF"/>
        </w:rPr>
        <w:instrText xml:space="preserve"> REF _Ref408917671 \r \h  \* MERGEFORMAT </w:instrText>
      </w:r>
      <w:r w:rsidR="006F094B" w:rsidRPr="00F33908">
        <w:rPr>
          <w:b/>
          <w:color w:val="0000FF"/>
        </w:rPr>
      </w:r>
      <w:r w:rsidR="006F094B" w:rsidRPr="00F33908">
        <w:rPr>
          <w:b/>
          <w:color w:val="0000FF"/>
        </w:rPr>
        <w:fldChar w:fldCharType="separate"/>
      </w:r>
      <w:r w:rsidR="00E47ACA">
        <w:rPr>
          <w:b/>
          <w:color w:val="0000FF"/>
        </w:rPr>
        <w:t>3.5</w:t>
      </w:r>
      <w:r w:rsidR="006F094B" w:rsidRPr="00F33908">
        <w:rPr>
          <w:b/>
          <w:color w:val="0000FF"/>
        </w:rPr>
        <w:fldChar w:fldCharType="end"/>
      </w:r>
      <w:r w:rsidR="003E0EAE" w:rsidRPr="007A3223">
        <w:t>).</w:t>
      </w:r>
    </w:p>
    <w:p w14:paraId="50B46880" w14:textId="7FBC8D10" w:rsidR="000A6EB9" w:rsidRPr="007A3223" w:rsidRDefault="000A6EB9" w:rsidP="00A91B42">
      <w:pPr>
        <w:keepNext/>
        <w:rPr>
          <w:u w:val="single"/>
        </w:rPr>
      </w:pPr>
      <w:r w:rsidRPr="007A3223">
        <w:rPr>
          <w:u w:val="single"/>
        </w:rPr>
        <w:t>History and Physical</w:t>
      </w:r>
      <w:r w:rsidR="009E46C1" w:rsidRPr="007A3223">
        <w:rPr>
          <w:u w:val="single"/>
        </w:rPr>
        <w:t>, Height, and Weight</w:t>
      </w:r>
    </w:p>
    <w:p w14:paraId="3419E745" w14:textId="02560C78" w:rsidR="00FB3E9E" w:rsidRPr="007A3223" w:rsidRDefault="00FB3E9E" w:rsidP="00804427">
      <w:r w:rsidRPr="007A3223">
        <w:t>Medical history and physical examination will be conducted at screening and at subsequent visits as indicated i</w:t>
      </w:r>
      <w:r w:rsidR="00FF31D7" w:rsidRPr="007A3223">
        <w:t xml:space="preserve">n the schedule of assessments. </w:t>
      </w:r>
      <w:r w:rsidRPr="007A3223">
        <w:t>Results of the physical examination including any abnormalities will be documented</w:t>
      </w:r>
      <w:r w:rsidR="008B48E8" w:rsidRPr="007A3223">
        <w:t xml:space="preserve"> and should be obtained within </w:t>
      </w:r>
      <w:r w:rsidR="005D727A" w:rsidRPr="007A3223">
        <w:t>14</w:t>
      </w:r>
      <w:r w:rsidR="008B48E8" w:rsidRPr="007A3223">
        <w:t xml:space="preserve"> days prior to </w:t>
      </w:r>
      <w:r w:rsidR="005158C5">
        <w:t>initiation of therapy</w:t>
      </w:r>
      <w:r w:rsidR="008B48E8" w:rsidRPr="007A3223">
        <w:t xml:space="preserve">. </w:t>
      </w:r>
      <w:r w:rsidRPr="007A3223">
        <w:t>Abnormal findings will be reassessed at subsequent visits.</w:t>
      </w:r>
    </w:p>
    <w:p w14:paraId="60CA03B4" w14:textId="77777777" w:rsidR="00FB3E9E" w:rsidRPr="007A3223" w:rsidRDefault="00FB3E9E" w:rsidP="00FB66BA">
      <w:pPr>
        <w:pStyle w:val="ListParagraph"/>
        <w:numPr>
          <w:ilvl w:val="1"/>
          <w:numId w:val="41"/>
        </w:numPr>
      </w:pPr>
      <w:r w:rsidRPr="007A3223">
        <w:t xml:space="preserve">Body weight will be measured at screening and at subsequent visits as indicated in the schedule of assessments and documented in the clinical record.  </w:t>
      </w:r>
    </w:p>
    <w:p w14:paraId="40FCEEBA" w14:textId="77777777" w:rsidR="00FB3E9E" w:rsidRPr="007A3223" w:rsidRDefault="00FB3E9E" w:rsidP="00FB66BA">
      <w:pPr>
        <w:pStyle w:val="ListParagraph"/>
        <w:numPr>
          <w:ilvl w:val="1"/>
          <w:numId w:val="41"/>
        </w:numPr>
      </w:pPr>
      <w:r w:rsidRPr="007A3223">
        <w:t>Body height will be measured</w:t>
      </w:r>
      <w:r w:rsidR="001B5569" w:rsidRPr="007A3223">
        <w:t xml:space="preserve"> </w:t>
      </w:r>
      <w:r w:rsidRPr="007A3223">
        <w:t>at screening</w:t>
      </w:r>
      <w:r w:rsidR="00954CBA" w:rsidRPr="007A3223">
        <w:t>,</w:t>
      </w:r>
      <w:r w:rsidRPr="007A3223">
        <w:t xml:space="preserve"> </w:t>
      </w:r>
      <w:r w:rsidR="00642BBD" w:rsidRPr="007A3223">
        <w:t xml:space="preserve">or at subsequent visit </w:t>
      </w:r>
      <w:r w:rsidR="00C129E6" w:rsidRPr="007A3223">
        <w:t xml:space="preserve">before starting study </w:t>
      </w:r>
      <w:r w:rsidR="000C2CDE" w:rsidRPr="007A3223">
        <w:t>treatment</w:t>
      </w:r>
      <w:r w:rsidRPr="007A3223">
        <w:t>.</w:t>
      </w:r>
    </w:p>
    <w:p w14:paraId="425F2359" w14:textId="65136941" w:rsidR="00FB3E9E" w:rsidRPr="007A3223" w:rsidRDefault="00FB3E9E" w:rsidP="00FB66BA">
      <w:pPr>
        <w:pStyle w:val="ListParagraph"/>
        <w:numPr>
          <w:ilvl w:val="0"/>
          <w:numId w:val="26"/>
        </w:numPr>
        <w:ind w:left="1080"/>
      </w:pPr>
      <w:r w:rsidRPr="007A3223">
        <w:lastRenderedPageBreak/>
        <w:t xml:space="preserve">On subsequent visits, any newly diagnosed or worsening conditions, signs and symptoms, whether related or unrelated to the trial, will be </w:t>
      </w:r>
      <w:r w:rsidR="00792B58" w:rsidRPr="007A3223">
        <w:t>re</w:t>
      </w:r>
      <w:r w:rsidR="00792B58" w:rsidRPr="007A3223">
        <w:rPr>
          <w:lang w:val="en-US"/>
        </w:rPr>
        <w:t>corded</w:t>
      </w:r>
      <w:r w:rsidR="00792B58" w:rsidRPr="007A3223">
        <w:t xml:space="preserve"> </w:t>
      </w:r>
      <w:r w:rsidRPr="007A3223">
        <w:t xml:space="preserve">as adverse events. </w:t>
      </w:r>
    </w:p>
    <w:p w14:paraId="56DBD5A3" w14:textId="77777777" w:rsidR="007F0800" w:rsidRPr="007A3223" w:rsidRDefault="007F0800" w:rsidP="007F0800">
      <w:pPr>
        <w:rPr>
          <w:u w:val="single"/>
        </w:rPr>
      </w:pPr>
    </w:p>
    <w:p w14:paraId="4A9FB2EB" w14:textId="77777777" w:rsidR="00A1187C" w:rsidRPr="007A3223" w:rsidRDefault="00A1187C" w:rsidP="007F0800">
      <w:pPr>
        <w:rPr>
          <w:u w:val="single"/>
        </w:rPr>
      </w:pPr>
      <w:r w:rsidRPr="007A3223">
        <w:rPr>
          <w:u w:val="single"/>
        </w:rPr>
        <w:t>Performance Status</w:t>
      </w:r>
    </w:p>
    <w:p w14:paraId="6B9FC001" w14:textId="77777777" w:rsidR="00FB3E9E" w:rsidRPr="007A3223" w:rsidRDefault="00FB3E9E" w:rsidP="00804427">
      <w:pPr>
        <w:rPr>
          <w:b/>
          <w:smallCaps/>
        </w:rPr>
      </w:pPr>
      <w:r w:rsidRPr="007A3223">
        <w:t xml:space="preserve">The ECOG performance status will be assessed at screening and at subsequent visits as indicated in the schedule of assessments and documented in the clinical record.  </w:t>
      </w:r>
    </w:p>
    <w:p w14:paraId="6A95D003" w14:textId="77777777" w:rsidR="00FB3E9E" w:rsidRPr="007A3223" w:rsidRDefault="00FB3E9E" w:rsidP="007F0800">
      <w:pPr>
        <w:rPr>
          <w:u w:val="single"/>
        </w:rPr>
      </w:pPr>
      <w:r w:rsidRPr="007A3223">
        <w:rPr>
          <w:u w:val="single"/>
        </w:rPr>
        <w:t>Pathology confirmation of diagnosis at screening.</w:t>
      </w:r>
    </w:p>
    <w:p w14:paraId="1059E16E" w14:textId="77777777" w:rsidR="00A1187C" w:rsidRPr="007A3223" w:rsidRDefault="00FB3E9E" w:rsidP="007F0800">
      <w:pPr>
        <w:rPr>
          <w:u w:val="single"/>
        </w:rPr>
      </w:pPr>
      <w:r w:rsidRPr="007A3223">
        <w:rPr>
          <w:u w:val="single"/>
        </w:rPr>
        <w:t>CT scan</w:t>
      </w:r>
      <w:r w:rsidR="003F482B" w:rsidRPr="007A3223">
        <w:rPr>
          <w:u w:val="single"/>
        </w:rPr>
        <w:t>s</w:t>
      </w:r>
      <w:r w:rsidRPr="007A3223">
        <w:rPr>
          <w:u w:val="single"/>
        </w:rPr>
        <w:t xml:space="preserve"> for disease evaluation at screening.</w:t>
      </w:r>
    </w:p>
    <w:p w14:paraId="6329E05F" w14:textId="3E2CBED3" w:rsidR="00FB3E9E" w:rsidRPr="007A3223" w:rsidRDefault="004B6373" w:rsidP="00FB66BA">
      <w:pPr>
        <w:pStyle w:val="ListParagraph"/>
        <w:numPr>
          <w:ilvl w:val="0"/>
          <w:numId w:val="25"/>
        </w:numPr>
        <w:ind w:left="720"/>
      </w:pPr>
      <w:r w:rsidRPr="007A3223">
        <w:rPr>
          <w:lang w:val="en-US"/>
        </w:rPr>
        <w:t>Except in</w:t>
      </w:r>
      <w:r w:rsidR="004B3DE2" w:rsidRPr="007A3223">
        <w:rPr>
          <w:lang w:val="en-US"/>
        </w:rPr>
        <w:t xml:space="preserve"> mCRPC patients</w:t>
      </w:r>
      <w:r w:rsidRPr="007A3223">
        <w:rPr>
          <w:lang w:val="en-US"/>
        </w:rPr>
        <w:t>, s</w:t>
      </w:r>
      <w:r w:rsidR="004727B1" w:rsidRPr="007A3223">
        <w:t xml:space="preserve">can should be obtained within </w:t>
      </w:r>
      <w:r w:rsidR="0025061D" w:rsidRPr="007A3223">
        <w:t>17 days</w:t>
      </w:r>
      <w:r w:rsidR="004727B1" w:rsidRPr="007A3223">
        <w:t xml:space="preserve"> prior to initiation of therapy. If the screening scan has been obtained within this timeframe, it may be used for baseline purposes.</w:t>
      </w:r>
    </w:p>
    <w:p w14:paraId="58918B2E" w14:textId="2EACA2E3" w:rsidR="00C147BE" w:rsidRPr="007A3223" w:rsidRDefault="007F51A4" w:rsidP="00FB66BA">
      <w:pPr>
        <w:pStyle w:val="ListParagraph"/>
        <w:numPr>
          <w:ilvl w:val="0"/>
          <w:numId w:val="25"/>
        </w:numPr>
        <w:ind w:left="720"/>
        <w:rPr>
          <w:strike/>
          <w:color w:val="000000" w:themeColor="text1"/>
        </w:rPr>
      </w:pPr>
      <w:r w:rsidRPr="007A3223">
        <w:t>mCRPC patients</w:t>
      </w:r>
      <w:r w:rsidR="00682AB9" w:rsidRPr="007A3223">
        <w:rPr>
          <w:lang w:val="en-US"/>
        </w:rPr>
        <w:t xml:space="preserve"> </w:t>
      </w:r>
      <w:r w:rsidRPr="007A3223">
        <w:t xml:space="preserve">will have baseline CT scans and technetium-99 bone scan imaging within </w:t>
      </w:r>
      <w:r w:rsidR="00C147BE" w:rsidRPr="007A3223">
        <w:rPr>
          <w:color w:val="000000" w:themeColor="text1"/>
          <w:lang w:val="en-US"/>
        </w:rPr>
        <w:t>30 days prior to initiation of therapy.</w:t>
      </w:r>
    </w:p>
    <w:p w14:paraId="6295486A" w14:textId="77777777" w:rsidR="007F0800" w:rsidRPr="007A3223" w:rsidRDefault="007F0800" w:rsidP="001D112D">
      <w:pPr>
        <w:pStyle w:val="ListParagraph"/>
        <w:rPr>
          <w:strike/>
          <w:u w:val="single"/>
        </w:rPr>
      </w:pPr>
    </w:p>
    <w:p w14:paraId="1407E925" w14:textId="77777777" w:rsidR="00A1187C" w:rsidRPr="007A3223" w:rsidRDefault="00A1187C" w:rsidP="007F0800">
      <w:pPr>
        <w:rPr>
          <w:u w:val="single"/>
        </w:rPr>
      </w:pPr>
      <w:r w:rsidRPr="007A3223">
        <w:rPr>
          <w:u w:val="single"/>
        </w:rPr>
        <w:t>Laboratory Studies</w:t>
      </w:r>
    </w:p>
    <w:p w14:paraId="0E87F3BB" w14:textId="53558651" w:rsidR="007F51A4" w:rsidRPr="007A3223" w:rsidRDefault="005D727A" w:rsidP="007F51A4">
      <w:r w:rsidRPr="007A3223">
        <w:t xml:space="preserve">Laboratory studies </w:t>
      </w:r>
      <w:r w:rsidR="00297917" w:rsidRPr="007A3223">
        <w:t xml:space="preserve">except viral titers </w:t>
      </w:r>
      <w:r w:rsidRPr="007A3223">
        <w:t xml:space="preserve">should be obtained within </w:t>
      </w:r>
      <w:r w:rsidR="009B2BAF" w:rsidRPr="007A3223">
        <w:t>10</w:t>
      </w:r>
      <w:r w:rsidRPr="007A3223">
        <w:t xml:space="preserve"> days prior to</w:t>
      </w:r>
      <w:r w:rsidR="00EC2434">
        <w:t xml:space="preserve"> </w:t>
      </w:r>
      <w:r w:rsidR="00EC3BC2">
        <w:t>initiation of therapy</w:t>
      </w:r>
      <w:r w:rsidR="007F51A4" w:rsidRPr="007A3223">
        <w:t xml:space="preserve">. </w:t>
      </w:r>
    </w:p>
    <w:p w14:paraId="109E04C2" w14:textId="77777777" w:rsidR="00516B14" w:rsidRPr="007A3223" w:rsidRDefault="00004CF3" w:rsidP="00804427">
      <w:r w:rsidRPr="007A3223">
        <w:t xml:space="preserve">Laboratory studies to include: </w:t>
      </w:r>
    </w:p>
    <w:p w14:paraId="19294651" w14:textId="77777777" w:rsidR="005D727A" w:rsidRPr="007A3223" w:rsidRDefault="00004CF3" w:rsidP="00FB66BA">
      <w:pPr>
        <w:pStyle w:val="ListParagraph"/>
        <w:numPr>
          <w:ilvl w:val="1"/>
          <w:numId w:val="41"/>
        </w:numPr>
      </w:pPr>
      <w:r w:rsidRPr="007A3223">
        <w:t xml:space="preserve">CBC with differential, </w:t>
      </w:r>
      <w:r w:rsidR="005D727A" w:rsidRPr="007A3223">
        <w:t>PT/INR/PTT</w:t>
      </w:r>
    </w:p>
    <w:p w14:paraId="5F7B61F9" w14:textId="77777777" w:rsidR="005D727A" w:rsidRPr="007A3223" w:rsidRDefault="005D727A" w:rsidP="00FB66BA">
      <w:pPr>
        <w:pStyle w:val="ListParagraph"/>
        <w:numPr>
          <w:ilvl w:val="1"/>
          <w:numId w:val="41"/>
        </w:numPr>
      </w:pPr>
      <w:r w:rsidRPr="007A3223">
        <w:t xml:space="preserve">Biochemical profile: </w:t>
      </w:r>
    </w:p>
    <w:p w14:paraId="1B6A716A" w14:textId="77777777" w:rsidR="00297917" w:rsidRPr="007A3223" w:rsidRDefault="005D727A" w:rsidP="00FB66BA">
      <w:pPr>
        <w:pStyle w:val="ListParagraph"/>
        <w:numPr>
          <w:ilvl w:val="1"/>
          <w:numId w:val="41"/>
        </w:numPr>
      </w:pPr>
      <w:r w:rsidRPr="007A3223">
        <w:t xml:space="preserve">Screening: </w:t>
      </w:r>
      <w:r w:rsidR="00004CF3" w:rsidRPr="007A3223">
        <w:t>AST (SGOT), ALT (SGPT), total bilirubin, serum creatinine,</w:t>
      </w:r>
      <w:r w:rsidR="006E5D27" w:rsidRPr="007A3223">
        <w:t xml:space="preserve"> </w:t>
      </w:r>
      <w:r w:rsidR="00004CF3" w:rsidRPr="007A3223">
        <w:t>spot urine protein creatinine ratio (UPCR)</w:t>
      </w:r>
      <w:r w:rsidR="00636857" w:rsidRPr="007A3223">
        <w:t xml:space="preserve">, </w:t>
      </w:r>
      <w:r w:rsidRPr="007A3223">
        <w:t xml:space="preserve">and </w:t>
      </w:r>
      <w:r w:rsidR="00636857" w:rsidRPr="007A3223">
        <w:t>TSH</w:t>
      </w:r>
      <w:r w:rsidR="00004CF3" w:rsidRPr="007A3223">
        <w:t xml:space="preserve">. </w:t>
      </w:r>
    </w:p>
    <w:p w14:paraId="5D8DAED2" w14:textId="77777777" w:rsidR="00297917" w:rsidRPr="007A3223" w:rsidRDefault="00297917" w:rsidP="00FB66BA">
      <w:pPr>
        <w:pStyle w:val="ListParagraph"/>
        <w:numPr>
          <w:ilvl w:val="1"/>
          <w:numId w:val="41"/>
        </w:numPr>
      </w:pPr>
      <w:r w:rsidRPr="007A3223">
        <w:t xml:space="preserve">Anti-HIV, anti-HCV, Hepatitis B surface Ag, and anti-CMV: viral titers will be obtained within 28 days. </w:t>
      </w:r>
    </w:p>
    <w:p w14:paraId="1F789ACA" w14:textId="77777777" w:rsidR="005D727A" w:rsidRPr="007A3223" w:rsidRDefault="005D727A" w:rsidP="00FB66BA">
      <w:pPr>
        <w:pStyle w:val="ListParagraph"/>
        <w:numPr>
          <w:ilvl w:val="1"/>
          <w:numId w:val="41"/>
        </w:numPr>
      </w:pPr>
      <w:bookmarkStart w:id="111" w:name="_Toc390685187"/>
      <w:r w:rsidRPr="007A3223">
        <w:t xml:space="preserve">Baseline - 14 comprehensive metabolic panel (sodium, potassium, chloride, carbon dioxide, BUN, creatinine or </w:t>
      </w:r>
      <w:r w:rsidR="00954CBA" w:rsidRPr="007A3223">
        <w:t xml:space="preserve">measured </w:t>
      </w:r>
      <w:r w:rsidRPr="007A3223">
        <w:t>creatinine clearance, glucose, AST, ALT, bilirubin, calcium, total protein, albumin, alkaline phosphatase), magnesium, urinalysis</w:t>
      </w:r>
      <w:r w:rsidR="00297917" w:rsidRPr="007A3223">
        <w:t>.</w:t>
      </w:r>
    </w:p>
    <w:p w14:paraId="70D6EB75" w14:textId="77777777" w:rsidR="00381799" w:rsidRPr="007A3223" w:rsidRDefault="00381799" w:rsidP="00C66DD1">
      <w:pPr>
        <w:spacing w:after="0"/>
        <w:ind w:left="1080"/>
      </w:pPr>
    </w:p>
    <w:p w14:paraId="0013CA90" w14:textId="02B863EA" w:rsidR="007F51A4" w:rsidRPr="007A3223" w:rsidRDefault="00B9159A" w:rsidP="005574D4">
      <w:pPr>
        <w:pStyle w:val="Heading4"/>
      </w:pPr>
      <w:bookmarkStart w:id="112" w:name="_Ref444875828"/>
      <w:r w:rsidRPr="007A3223">
        <w:t>Additional laboratory studies f</w:t>
      </w:r>
      <w:r w:rsidR="007F51A4" w:rsidRPr="007A3223">
        <w:t>or mCRPC cohort</w:t>
      </w:r>
      <w:r w:rsidRPr="007A3223">
        <w:t xml:space="preserve"> </w:t>
      </w:r>
      <w:r w:rsidR="00F91CCA" w:rsidRPr="007A3223">
        <w:t xml:space="preserve">4 </w:t>
      </w:r>
      <w:r w:rsidRPr="007A3223">
        <w:t xml:space="preserve">(Phase II </w:t>
      </w:r>
      <w:r w:rsidR="00451878">
        <w:rPr>
          <w:lang w:val="en-US"/>
        </w:rPr>
        <w:t>Durvalumab</w:t>
      </w:r>
      <w:r w:rsidR="00E833A6" w:rsidRPr="007A3223">
        <w:t>+</w:t>
      </w:r>
      <w:r w:rsidRPr="007A3223">
        <w:t>O) baseline assessment and monitoring</w:t>
      </w:r>
      <w:r w:rsidR="007F51A4" w:rsidRPr="007A3223">
        <w:t>:</w:t>
      </w:r>
      <w:bookmarkEnd w:id="112"/>
      <w:r w:rsidR="007F51A4" w:rsidRPr="007A3223">
        <w:t xml:space="preserve"> </w:t>
      </w:r>
    </w:p>
    <w:p w14:paraId="124EAEE3" w14:textId="77777777" w:rsidR="007F51A4" w:rsidRPr="007A3223" w:rsidRDefault="007F51A4" w:rsidP="00FB66BA">
      <w:pPr>
        <w:pStyle w:val="ListParagraph"/>
        <w:numPr>
          <w:ilvl w:val="0"/>
          <w:numId w:val="60"/>
        </w:numPr>
      </w:pPr>
      <w:r w:rsidRPr="007A3223">
        <w:t xml:space="preserve">LDH, </w:t>
      </w:r>
      <w:r w:rsidR="00B9159A" w:rsidRPr="007A3223">
        <w:t>Creatine kinase</w:t>
      </w:r>
      <w:r w:rsidRPr="007A3223">
        <w:t>, Uric Acid, Total Protein</w:t>
      </w:r>
    </w:p>
    <w:p w14:paraId="6F97F342" w14:textId="77777777" w:rsidR="007F51A4" w:rsidRPr="007A3223" w:rsidRDefault="007F51A4" w:rsidP="00FB66BA">
      <w:pPr>
        <w:pStyle w:val="ListParagraph"/>
        <w:numPr>
          <w:ilvl w:val="0"/>
          <w:numId w:val="60"/>
        </w:numPr>
      </w:pPr>
      <w:r w:rsidRPr="007A3223">
        <w:t xml:space="preserve">Serum PSA </w:t>
      </w:r>
      <w:r w:rsidR="0004696F" w:rsidRPr="007A3223">
        <w:t>level</w:t>
      </w:r>
    </w:p>
    <w:p w14:paraId="335C2CB3" w14:textId="24ECD150" w:rsidR="007F51A4" w:rsidRPr="007A3223" w:rsidRDefault="007F51A4" w:rsidP="00FB66BA">
      <w:pPr>
        <w:pStyle w:val="ListParagraph"/>
        <w:numPr>
          <w:ilvl w:val="0"/>
          <w:numId w:val="60"/>
        </w:numPr>
      </w:pPr>
      <w:r w:rsidRPr="007A3223">
        <w:t>Serum testosterone (baseline only, if applicable)</w:t>
      </w:r>
    </w:p>
    <w:p w14:paraId="722B8AE4" w14:textId="77777777" w:rsidR="007F51A4" w:rsidRPr="007A3223" w:rsidRDefault="007F51A4" w:rsidP="007F51A4"/>
    <w:p w14:paraId="0B7C520E" w14:textId="76DDC599" w:rsidR="007F51A4" w:rsidRPr="007A3223" w:rsidRDefault="00B9159A" w:rsidP="005574D4">
      <w:pPr>
        <w:pStyle w:val="Heading4"/>
      </w:pPr>
      <w:bookmarkStart w:id="113" w:name="_Ref444875839"/>
      <w:r w:rsidRPr="007A3223">
        <w:t xml:space="preserve">Additional laboratory studies for </w:t>
      </w:r>
      <w:r w:rsidR="007F51A4" w:rsidRPr="007A3223">
        <w:t xml:space="preserve">SCLC cohort </w:t>
      </w:r>
      <w:r w:rsidR="00F91CCA" w:rsidRPr="007A3223">
        <w:t xml:space="preserve">3 </w:t>
      </w:r>
      <w:r w:rsidR="007F51A4" w:rsidRPr="007A3223">
        <w:t xml:space="preserve">(Phase II </w:t>
      </w:r>
      <w:r w:rsidR="00451878">
        <w:rPr>
          <w:lang w:val="en-US"/>
        </w:rPr>
        <w:t>Durvalumab</w:t>
      </w:r>
      <w:r w:rsidR="00E833A6" w:rsidRPr="007A3223">
        <w:t>+</w:t>
      </w:r>
      <w:r w:rsidR="007F51A4" w:rsidRPr="007A3223">
        <w:t>O) baseline assessment and monitoring</w:t>
      </w:r>
      <w:r w:rsidRPr="007A3223">
        <w:t>:</w:t>
      </w:r>
      <w:bookmarkEnd w:id="113"/>
      <w:r w:rsidR="007F51A4" w:rsidRPr="007A3223">
        <w:t xml:space="preserve"> </w:t>
      </w:r>
    </w:p>
    <w:p w14:paraId="3B649510" w14:textId="77777777" w:rsidR="007F51A4" w:rsidRPr="007A3223" w:rsidRDefault="007F51A4" w:rsidP="00FB66BA">
      <w:pPr>
        <w:pStyle w:val="ListParagraph"/>
        <w:numPr>
          <w:ilvl w:val="0"/>
          <w:numId w:val="61"/>
        </w:numPr>
      </w:pPr>
      <w:r w:rsidRPr="007A3223">
        <w:lastRenderedPageBreak/>
        <w:t xml:space="preserve">Complete neurological examination including assessment of cranial nerve function and muscle strength will be performed at screening and subsequent visits on all eligible patients before starting treatment. </w:t>
      </w:r>
    </w:p>
    <w:p w14:paraId="1CB76693" w14:textId="77777777" w:rsidR="007F51A4" w:rsidRPr="007A3223" w:rsidRDefault="007F51A4" w:rsidP="00FB66BA">
      <w:pPr>
        <w:pStyle w:val="ListParagraph"/>
        <w:numPr>
          <w:ilvl w:val="0"/>
          <w:numId w:val="61"/>
        </w:numPr>
      </w:pPr>
      <w:r w:rsidRPr="007A3223">
        <w:t xml:space="preserve">Additional blood tests to be done at baseline include </w:t>
      </w:r>
    </w:p>
    <w:p w14:paraId="42E6CE20" w14:textId="77777777" w:rsidR="007F51A4" w:rsidRPr="007A3223" w:rsidRDefault="007F51A4" w:rsidP="00FB66BA">
      <w:pPr>
        <w:pStyle w:val="ListParagraph"/>
        <w:numPr>
          <w:ilvl w:val="0"/>
          <w:numId w:val="62"/>
        </w:numPr>
      </w:pPr>
      <w:r w:rsidRPr="007A3223">
        <w:t>Creatine kinase, serum aldolase, and anti-acetylcholine receptor antibody titers.</w:t>
      </w:r>
    </w:p>
    <w:p w14:paraId="2B7E685C" w14:textId="77777777" w:rsidR="007F51A4" w:rsidRPr="007A3223" w:rsidRDefault="002900BD" w:rsidP="00FB66BA">
      <w:pPr>
        <w:pStyle w:val="ListParagraph"/>
        <w:numPr>
          <w:ilvl w:val="0"/>
          <w:numId w:val="62"/>
        </w:numPr>
      </w:pPr>
      <w:r w:rsidRPr="007A3223">
        <w:t>One</w:t>
      </w:r>
      <w:r w:rsidR="007F51A4" w:rsidRPr="007A3223">
        <w:t xml:space="preserve"> additional red top tube (</w:t>
      </w:r>
      <w:r w:rsidRPr="007A3223">
        <w:t>10</w:t>
      </w:r>
      <w:r w:rsidR="007F51A4" w:rsidRPr="007A3223">
        <w:t xml:space="preserve"> ml) will be collected and frozen at baseline for future evaluation of paraneoplastic autoantibodies. The antibodies of interest include Anti-Hu, Anti-Ri, Anti-amphiphysin, antineuronal antibodies Ma1 and Ma2 and anti-Yo or anti-Purkinje cell antibody. Since these antibodies are not truly paraneoplastic antibodies, as they can also occur in the non-paraneoplastic setting, but their baseline levels will be of use in the work-up of patients who develop paraneoplastic syndromes on the trial. </w:t>
      </w:r>
    </w:p>
    <w:p w14:paraId="2B7656E2" w14:textId="77777777" w:rsidR="007F51A4" w:rsidRPr="007A3223" w:rsidRDefault="007F51A4" w:rsidP="007F51A4">
      <w:pPr>
        <w:spacing w:after="0"/>
      </w:pPr>
    </w:p>
    <w:p w14:paraId="75EFDE2F" w14:textId="34F26FC3" w:rsidR="0097153F" w:rsidRPr="007A3223" w:rsidRDefault="0097153F" w:rsidP="0097153F">
      <w:pPr>
        <w:pStyle w:val="Heading4"/>
      </w:pPr>
      <w:r w:rsidRPr="007A3223">
        <w:t xml:space="preserve">Additional laboratory studies for CRC cohort </w:t>
      </w:r>
      <w:r w:rsidR="00F91CCA" w:rsidRPr="007A3223">
        <w:t xml:space="preserve">6 </w:t>
      </w:r>
      <w:r w:rsidRPr="007A3223">
        <w:t xml:space="preserve">(Phase II </w:t>
      </w:r>
      <w:r w:rsidR="003534DD" w:rsidRPr="007A3223">
        <w:t>C+</w:t>
      </w:r>
      <w:r w:rsidR="00451878">
        <w:rPr>
          <w:lang w:val="en-US"/>
        </w:rPr>
        <w:t>Durvalumab</w:t>
      </w:r>
      <w:r w:rsidRPr="007A3223">
        <w:t xml:space="preserve">) baseline assessment and monitoring: </w:t>
      </w:r>
    </w:p>
    <w:p w14:paraId="0E2BB939" w14:textId="77777777" w:rsidR="0097153F" w:rsidRPr="007A3223" w:rsidRDefault="0097153F" w:rsidP="00FB66BA">
      <w:pPr>
        <w:pStyle w:val="ListParagraph"/>
        <w:numPr>
          <w:ilvl w:val="0"/>
          <w:numId w:val="65"/>
        </w:numPr>
        <w:ind w:left="1080"/>
      </w:pPr>
      <w:r w:rsidRPr="007A3223">
        <w:t>CEA level</w:t>
      </w:r>
    </w:p>
    <w:p w14:paraId="3E6D74D5" w14:textId="77777777" w:rsidR="0097153F" w:rsidRPr="007A3223" w:rsidRDefault="0097153F" w:rsidP="00B217AC"/>
    <w:p w14:paraId="0827E0E8" w14:textId="130EB1A3" w:rsidR="00003FA0" w:rsidRPr="007A3223" w:rsidRDefault="000E30F8" w:rsidP="00003FA0">
      <w:pPr>
        <w:pStyle w:val="BodyText"/>
        <w:spacing w:line="276" w:lineRule="auto"/>
        <w:jc w:val="both"/>
        <w:rPr>
          <w:u w:val="single"/>
        </w:rPr>
      </w:pPr>
      <w:r w:rsidRPr="007A3223">
        <w:rPr>
          <w:u w:val="single"/>
        </w:rPr>
        <w:t xml:space="preserve">An EKG should be obtained within </w:t>
      </w:r>
      <w:r w:rsidR="00D82065" w:rsidRPr="007A3223">
        <w:rPr>
          <w:u w:val="single"/>
        </w:rPr>
        <w:t>7 days</w:t>
      </w:r>
      <w:r w:rsidRPr="007A3223">
        <w:rPr>
          <w:u w:val="single"/>
        </w:rPr>
        <w:t xml:space="preserve"> prior to </w:t>
      </w:r>
      <w:r w:rsidR="00EC3BC2">
        <w:rPr>
          <w:u w:val="single"/>
        </w:rPr>
        <w:t>initiation of therapy</w:t>
      </w:r>
      <w:r w:rsidRPr="007A3223">
        <w:rPr>
          <w:u w:val="single"/>
        </w:rPr>
        <w:t>.</w:t>
      </w:r>
      <w:bookmarkEnd w:id="111"/>
    </w:p>
    <w:p w14:paraId="7CEBC95E" w14:textId="77777777" w:rsidR="007F0800" w:rsidRPr="007A3223" w:rsidRDefault="007F0800" w:rsidP="007F0800">
      <w:pPr>
        <w:rPr>
          <w:u w:val="single"/>
        </w:rPr>
      </w:pPr>
    </w:p>
    <w:p w14:paraId="7C9917FA" w14:textId="77777777" w:rsidR="00A1187C" w:rsidRPr="007A3223" w:rsidRDefault="00A1187C" w:rsidP="007F0800">
      <w:pPr>
        <w:rPr>
          <w:u w:val="single"/>
        </w:rPr>
      </w:pPr>
      <w:r w:rsidRPr="007A3223">
        <w:rPr>
          <w:u w:val="single"/>
        </w:rPr>
        <w:t>CA125</w:t>
      </w:r>
      <w:r w:rsidR="004E34D3" w:rsidRPr="007A3223">
        <w:rPr>
          <w:u w:val="single"/>
        </w:rPr>
        <w:t xml:space="preserve"> (Ovarian cancer patients only)</w:t>
      </w:r>
    </w:p>
    <w:p w14:paraId="1839C357" w14:textId="77777777" w:rsidR="000E30F8" w:rsidRPr="007A3223" w:rsidRDefault="000E30F8" w:rsidP="00804427">
      <w:pPr>
        <w:spacing w:after="0"/>
      </w:pPr>
      <w:r w:rsidRPr="007A3223">
        <w:t xml:space="preserve">CA125 will be </w:t>
      </w:r>
      <w:r w:rsidR="00D82065" w:rsidRPr="007A3223">
        <w:t>obtained at screening and at subsequent visits from</w:t>
      </w:r>
      <w:r w:rsidRPr="007A3223">
        <w:t xml:space="preserve"> all ovarian cancer patients in whom it has been shown to be abnormal.  CA125 will not be used in any patients for disease assessment decisions.</w:t>
      </w:r>
    </w:p>
    <w:p w14:paraId="7B079B45" w14:textId="77777777" w:rsidR="007F0800" w:rsidRPr="007A3223" w:rsidRDefault="007F0800" w:rsidP="007F0800">
      <w:pPr>
        <w:rPr>
          <w:u w:val="single"/>
        </w:rPr>
      </w:pPr>
    </w:p>
    <w:p w14:paraId="6DDCAEE2" w14:textId="77777777" w:rsidR="00A1187C" w:rsidRPr="007A3223" w:rsidRDefault="00CE4C43" w:rsidP="007F0800">
      <w:pPr>
        <w:rPr>
          <w:u w:val="single"/>
        </w:rPr>
      </w:pPr>
      <w:r w:rsidRPr="007A3223">
        <w:rPr>
          <w:u w:val="single"/>
        </w:rPr>
        <w:t>Pregnancy Testing</w:t>
      </w:r>
    </w:p>
    <w:p w14:paraId="462E0804" w14:textId="77777777" w:rsidR="00004CF3" w:rsidRPr="007A3223" w:rsidRDefault="00FB3E9E" w:rsidP="00804427">
      <w:r w:rsidRPr="007A3223">
        <w:t xml:space="preserve">For female subjects of childbearing potential, urine or serum HCG will be performed on initial screening.  </w:t>
      </w:r>
    </w:p>
    <w:p w14:paraId="6EF65B4A" w14:textId="54C22015" w:rsidR="00004CF3" w:rsidRPr="007A3223" w:rsidRDefault="00FB3E9E" w:rsidP="00FB66BA">
      <w:pPr>
        <w:pStyle w:val="ListParagraph"/>
        <w:numPr>
          <w:ilvl w:val="0"/>
          <w:numId w:val="26"/>
        </w:numPr>
        <w:ind w:left="630" w:hanging="270"/>
      </w:pPr>
      <w:r w:rsidRPr="007A3223">
        <w:t xml:space="preserve">A urine beta-HCG will be performed before each administration of </w:t>
      </w:r>
      <w:r w:rsidR="00451878">
        <w:rPr>
          <w:lang w:val="en-US"/>
        </w:rPr>
        <w:t>Durvalumab</w:t>
      </w:r>
      <w:r w:rsidRPr="007A3223">
        <w:t xml:space="preserve"> during the treatment phase, at the end-of-treatment visit, and at the post-treatment follow-up visit.  </w:t>
      </w:r>
    </w:p>
    <w:p w14:paraId="7C191DEA" w14:textId="77777777" w:rsidR="00B619B7" w:rsidRPr="007A3223" w:rsidRDefault="00FB3E9E" w:rsidP="00FB66BA">
      <w:pPr>
        <w:pStyle w:val="ListParagraph"/>
        <w:numPr>
          <w:ilvl w:val="0"/>
          <w:numId w:val="26"/>
        </w:numPr>
        <w:ind w:left="630" w:hanging="270"/>
      </w:pPr>
      <w:r w:rsidRPr="007A3223">
        <w:t>Patients who are postmenopausal (age-related amenorrhea for 12 or more consecutive months, or documented FSH &gt;</w:t>
      </w:r>
      <w:r w:rsidR="009D6816" w:rsidRPr="007A3223">
        <w:t xml:space="preserve"> </w:t>
      </w:r>
      <w:r w:rsidRPr="007A3223">
        <w:t>40 mIU/mL), or who had undergone hysterectomy or bilateral oophorectomy are exempt from pregnancy testing.</w:t>
      </w:r>
    </w:p>
    <w:p w14:paraId="6A9D99E8" w14:textId="77777777" w:rsidR="00B619B7" w:rsidRPr="007A3223" w:rsidRDefault="00B619B7" w:rsidP="00ED3929">
      <w:pPr>
        <w:spacing w:after="0"/>
      </w:pPr>
    </w:p>
    <w:p w14:paraId="3B265BE2" w14:textId="2D490D8F" w:rsidR="00004CF3" w:rsidRPr="007A3223" w:rsidRDefault="00534F6F" w:rsidP="00ED703B">
      <w:pPr>
        <w:pStyle w:val="Heading2"/>
      </w:pPr>
      <w:bookmarkStart w:id="114" w:name="_Toc82444351"/>
      <w:r>
        <w:rPr>
          <w:lang w:val="en-US"/>
        </w:rPr>
        <w:t xml:space="preserve">Participant </w:t>
      </w:r>
      <w:r w:rsidR="00004CF3" w:rsidRPr="007A3223">
        <w:t xml:space="preserve">Registration </w:t>
      </w:r>
      <w:r>
        <w:rPr>
          <w:lang w:val="en-US"/>
        </w:rPr>
        <w:t xml:space="preserve">and Status Update </w:t>
      </w:r>
      <w:r w:rsidR="00004CF3" w:rsidRPr="007A3223">
        <w:t>Procedures</w:t>
      </w:r>
      <w:bookmarkEnd w:id="114"/>
      <w:r w:rsidR="00004CF3" w:rsidRPr="007A3223">
        <w:t xml:space="preserve"> </w:t>
      </w:r>
    </w:p>
    <w:p w14:paraId="5B274E3D" w14:textId="479F2D5A" w:rsidR="00534F6F" w:rsidRPr="0062788E" w:rsidRDefault="00534F6F" w:rsidP="00534F6F">
      <w:pPr>
        <w:rPr>
          <w:szCs w:val="24"/>
        </w:rPr>
      </w:pPr>
      <w:r>
        <w:t xml:space="preserve">Registration and status updates (e.g. </w:t>
      </w:r>
      <w:r w:rsidRPr="007617C5">
        <w:t>w</w:t>
      </w:r>
      <w:r w:rsidRPr="007A22C1">
        <w:t xml:space="preserve">hen a participant is taken off protocol therapy and when a participant is taken off-study) </w:t>
      </w:r>
      <w:r>
        <w:t xml:space="preserve">will take place per CCR SOP ADCR-2, CCR Participant Registration &amp; Status Updates found </w:t>
      </w:r>
      <w:hyperlink r:id="rId44" w:history="1"/>
      <w:bookmarkStart w:id="115" w:name="_Hlk62656458"/>
      <w:r w:rsidR="00CF7A38" w:rsidRPr="00D11B2A">
        <w:rPr>
          <w:b/>
          <w:bCs/>
        </w:rPr>
        <w:fldChar w:fldCharType="begin"/>
      </w:r>
      <w:r w:rsidR="00CF7A38" w:rsidRPr="00D11B2A">
        <w:rPr>
          <w:b/>
          <w:bCs/>
        </w:rPr>
        <w:instrText xml:space="preserve"> HYPERLINK "https://ccrod.cancer.gov/confluence/pages/viewpage.action?pageId=73203825" </w:instrText>
      </w:r>
      <w:r w:rsidR="00CF7A38" w:rsidRPr="00D11B2A">
        <w:rPr>
          <w:b/>
          <w:bCs/>
        </w:rPr>
      </w:r>
      <w:r w:rsidR="00CF7A38" w:rsidRPr="00D11B2A">
        <w:rPr>
          <w:b/>
          <w:bCs/>
        </w:rPr>
        <w:fldChar w:fldCharType="separate"/>
      </w:r>
      <w:r w:rsidR="00CF7A38" w:rsidRPr="00D11B2A">
        <w:rPr>
          <w:rStyle w:val="Hyperlink"/>
          <w:b/>
          <w:bCs/>
        </w:rPr>
        <w:t>here</w:t>
      </w:r>
      <w:r w:rsidR="00CF7A38" w:rsidRPr="00D11B2A">
        <w:rPr>
          <w:b/>
          <w:bCs/>
        </w:rPr>
        <w:fldChar w:fldCharType="end"/>
      </w:r>
      <w:bookmarkEnd w:id="115"/>
      <w:r>
        <w:t>.</w:t>
      </w:r>
    </w:p>
    <w:p w14:paraId="7AED24A7" w14:textId="51B3F9CE" w:rsidR="00AC5BCC" w:rsidRDefault="00AC5BCC" w:rsidP="003B0E9C">
      <w:pPr>
        <w:pStyle w:val="Heading3"/>
      </w:pPr>
      <w:r w:rsidRPr="00AC5BCC">
        <w:lastRenderedPageBreak/>
        <w:t>Screen Failures</w:t>
      </w:r>
    </w:p>
    <w:p w14:paraId="34CC7804" w14:textId="77777777" w:rsidR="00712065" w:rsidRPr="00660F06" w:rsidRDefault="00712065" w:rsidP="00712065">
      <w:pPr>
        <w:rPr>
          <w:i/>
        </w:rPr>
      </w:pPr>
      <w:bookmarkStart w:id="116" w:name="_Hlk43212395"/>
      <w:r w:rsidRPr="00660F06">
        <w:t>Screen failures are defined as participants who consent to participate in the clinical trial but are not subsequently assigned to the study intervention or entered in the study. A minimal set of screen failure information is required to ensure transparent reporting of screen failure participants, to meet the Consolidated Standards of Reporting Trials (CONSORT) publishing requirements and to respond to queries from regulatory authorities. Minimal information includes demography, screen failure details, eligibility criteria, and any serious adverse event (SAE).</w:t>
      </w:r>
    </w:p>
    <w:bookmarkEnd w:id="116"/>
    <w:p w14:paraId="008328E2" w14:textId="7AFE439C" w:rsidR="00AC5BCC" w:rsidRPr="00712065" w:rsidRDefault="00712065" w:rsidP="00712065">
      <w:pPr>
        <w:rPr>
          <w:lang w:eastAsia="x-none"/>
        </w:rPr>
      </w:pPr>
      <w:r w:rsidRPr="00660F06">
        <w:t xml:space="preserve">Individuals who do not meet the criteria for participation in this trial (screen failure) may </w:t>
      </w:r>
      <w:r w:rsidR="003B6B93">
        <w:t xml:space="preserve">not </w:t>
      </w:r>
      <w:r w:rsidRPr="00660F06">
        <w:t>be rescreened.</w:t>
      </w:r>
    </w:p>
    <w:p w14:paraId="6E93E182" w14:textId="0EA2986C" w:rsidR="00805433" w:rsidRPr="007A3223" w:rsidRDefault="006B71AA" w:rsidP="00ED703B">
      <w:pPr>
        <w:pStyle w:val="Heading2"/>
      </w:pPr>
      <w:bookmarkStart w:id="117" w:name="_Toc250632165"/>
      <w:bookmarkStart w:id="118" w:name="_Toc250632166"/>
      <w:bookmarkStart w:id="119" w:name="_Toc82444352"/>
      <w:bookmarkEnd w:id="117"/>
      <w:bookmarkEnd w:id="118"/>
      <w:r w:rsidRPr="007A3223">
        <w:t xml:space="preserve">Treatment </w:t>
      </w:r>
      <w:r w:rsidRPr="007A3223">
        <w:rPr>
          <w:lang w:val="en-US"/>
        </w:rPr>
        <w:t>A</w:t>
      </w:r>
      <w:r w:rsidR="00034812" w:rsidRPr="007A3223">
        <w:t xml:space="preserve">ssignment </w:t>
      </w:r>
      <w:r w:rsidR="000D3602" w:rsidRPr="007A3223">
        <w:rPr>
          <w:lang w:val="en-US"/>
        </w:rPr>
        <w:t xml:space="preserve">and Randomization/Stratification </w:t>
      </w:r>
      <w:r w:rsidR="00004CF3" w:rsidRPr="007A3223">
        <w:t>Procedures</w:t>
      </w:r>
      <w:bookmarkEnd w:id="119"/>
    </w:p>
    <w:p w14:paraId="4BAB5578" w14:textId="77777777" w:rsidR="005272AD" w:rsidRPr="007A3223" w:rsidRDefault="005272AD" w:rsidP="00034812">
      <w:pPr>
        <w:spacing w:after="0"/>
        <w:rPr>
          <w:szCs w:val="24"/>
        </w:rPr>
      </w:pPr>
    </w:p>
    <w:p w14:paraId="242B03F6" w14:textId="666F01F7" w:rsidR="005272AD" w:rsidRPr="007A3223" w:rsidRDefault="005272AD" w:rsidP="00377822">
      <w:pPr>
        <w:keepNext/>
        <w:rPr>
          <w:rFonts w:eastAsia="Calibri"/>
          <w:b/>
        </w:rPr>
      </w:pPr>
      <w:r w:rsidRPr="007A3223">
        <w:rPr>
          <w:rFonts w:eastAsia="Calibri"/>
          <w:b/>
        </w:rPr>
        <w:t>Cohorts</w:t>
      </w:r>
    </w:p>
    <w:p w14:paraId="54A48E76" w14:textId="77777777" w:rsidR="005272AD" w:rsidRPr="007A3223" w:rsidRDefault="005272AD" w:rsidP="00034812">
      <w:pPr>
        <w:spacing w:after="0"/>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610"/>
        <w:gridCol w:w="5665"/>
      </w:tblGrid>
      <w:tr w:rsidR="005272AD" w:rsidRPr="007A3223" w14:paraId="34DEF784" w14:textId="77777777" w:rsidTr="00D035F2">
        <w:trPr>
          <w:tblHeader/>
        </w:trPr>
        <w:tc>
          <w:tcPr>
            <w:tcW w:w="1075" w:type="dxa"/>
            <w:shd w:val="clear" w:color="auto" w:fill="auto"/>
          </w:tcPr>
          <w:p w14:paraId="5FAE0786" w14:textId="77777777" w:rsidR="005272AD" w:rsidRPr="007A3223" w:rsidRDefault="005272AD" w:rsidP="005272AD">
            <w:pPr>
              <w:keepNext/>
              <w:jc w:val="center"/>
              <w:rPr>
                <w:rFonts w:eastAsia="Calibri"/>
                <w:b/>
                <w:sz w:val="20"/>
                <w:szCs w:val="20"/>
              </w:rPr>
            </w:pPr>
            <w:r w:rsidRPr="007A3223">
              <w:rPr>
                <w:rFonts w:eastAsia="Calibri"/>
                <w:b/>
                <w:sz w:val="20"/>
                <w:szCs w:val="20"/>
              </w:rPr>
              <w:t>Number</w:t>
            </w:r>
          </w:p>
        </w:tc>
        <w:tc>
          <w:tcPr>
            <w:tcW w:w="2610" w:type="dxa"/>
            <w:shd w:val="clear" w:color="auto" w:fill="auto"/>
          </w:tcPr>
          <w:p w14:paraId="326390AC" w14:textId="77777777" w:rsidR="005272AD" w:rsidRPr="007A3223" w:rsidRDefault="005272AD" w:rsidP="005272AD">
            <w:pPr>
              <w:keepNext/>
              <w:rPr>
                <w:rFonts w:eastAsia="Calibri"/>
                <w:b/>
                <w:sz w:val="20"/>
                <w:szCs w:val="20"/>
              </w:rPr>
            </w:pPr>
            <w:r w:rsidRPr="007A3223">
              <w:rPr>
                <w:rFonts w:eastAsia="Calibri"/>
                <w:b/>
                <w:sz w:val="20"/>
                <w:szCs w:val="20"/>
              </w:rPr>
              <w:t>Name</w:t>
            </w:r>
          </w:p>
        </w:tc>
        <w:tc>
          <w:tcPr>
            <w:tcW w:w="5665" w:type="dxa"/>
            <w:shd w:val="clear" w:color="auto" w:fill="auto"/>
          </w:tcPr>
          <w:p w14:paraId="30B1ED07" w14:textId="77777777" w:rsidR="005272AD" w:rsidRPr="007A3223" w:rsidRDefault="005272AD" w:rsidP="005272AD">
            <w:pPr>
              <w:keepNext/>
              <w:rPr>
                <w:rFonts w:eastAsia="Calibri"/>
                <w:b/>
                <w:sz w:val="20"/>
                <w:szCs w:val="20"/>
              </w:rPr>
            </w:pPr>
            <w:r w:rsidRPr="007A3223">
              <w:rPr>
                <w:rFonts w:eastAsia="Calibri"/>
                <w:b/>
                <w:sz w:val="20"/>
                <w:szCs w:val="20"/>
              </w:rPr>
              <w:t>Description</w:t>
            </w:r>
          </w:p>
        </w:tc>
      </w:tr>
      <w:tr w:rsidR="005272AD" w:rsidRPr="007A3223" w14:paraId="186AE5F7" w14:textId="77777777" w:rsidTr="00D035F2">
        <w:tc>
          <w:tcPr>
            <w:tcW w:w="1075" w:type="dxa"/>
            <w:shd w:val="clear" w:color="auto" w:fill="auto"/>
          </w:tcPr>
          <w:p w14:paraId="68CA51DA" w14:textId="77777777" w:rsidR="005272AD" w:rsidRPr="007A3223" w:rsidRDefault="005272AD" w:rsidP="005272AD">
            <w:pPr>
              <w:jc w:val="center"/>
              <w:rPr>
                <w:rFonts w:eastAsia="Calibri"/>
                <w:sz w:val="20"/>
                <w:szCs w:val="20"/>
              </w:rPr>
            </w:pPr>
            <w:r w:rsidRPr="007A3223">
              <w:rPr>
                <w:rFonts w:eastAsia="Calibri"/>
                <w:sz w:val="20"/>
                <w:szCs w:val="20"/>
              </w:rPr>
              <w:t>1</w:t>
            </w:r>
          </w:p>
        </w:tc>
        <w:tc>
          <w:tcPr>
            <w:tcW w:w="2610" w:type="dxa"/>
            <w:shd w:val="clear" w:color="auto" w:fill="auto"/>
          </w:tcPr>
          <w:p w14:paraId="34B2FC4D" w14:textId="2F017A55" w:rsidR="005272AD" w:rsidRPr="007A3223" w:rsidRDefault="00925637" w:rsidP="005272AD">
            <w:pPr>
              <w:rPr>
                <w:rFonts w:eastAsia="Calibri"/>
                <w:sz w:val="20"/>
                <w:szCs w:val="20"/>
              </w:rPr>
            </w:pPr>
            <w:r w:rsidRPr="007A3223">
              <w:rPr>
                <w:rFonts w:eastAsia="Calibri"/>
                <w:sz w:val="20"/>
                <w:szCs w:val="20"/>
              </w:rPr>
              <w:t>P1 Cohort 1</w:t>
            </w:r>
          </w:p>
        </w:tc>
        <w:tc>
          <w:tcPr>
            <w:tcW w:w="5665" w:type="dxa"/>
            <w:shd w:val="clear" w:color="auto" w:fill="auto"/>
          </w:tcPr>
          <w:p w14:paraId="5185E339" w14:textId="34FDCFBB" w:rsidR="005272AD" w:rsidRPr="007A3223" w:rsidRDefault="00925637" w:rsidP="005272AD">
            <w:pPr>
              <w:rPr>
                <w:rFonts w:eastAsia="Calibri"/>
                <w:sz w:val="20"/>
                <w:szCs w:val="20"/>
              </w:rPr>
            </w:pPr>
            <w:r w:rsidRPr="007A3223">
              <w:rPr>
                <w:rFonts w:eastAsia="Calibri"/>
                <w:sz w:val="20"/>
                <w:szCs w:val="20"/>
              </w:rPr>
              <w:t>Patients with advanced solid tumors</w:t>
            </w:r>
          </w:p>
        </w:tc>
      </w:tr>
      <w:tr w:rsidR="005272AD" w:rsidRPr="007A3223" w14:paraId="7EBBD048" w14:textId="77777777" w:rsidTr="00D035F2">
        <w:tc>
          <w:tcPr>
            <w:tcW w:w="1075" w:type="dxa"/>
            <w:shd w:val="clear" w:color="auto" w:fill="auto"/>
          </w:tcPr>
          <w:p w14:paraId="5804E98E" w14:textId="77777777" w:rsidR="005272AD" w:rsidRPr="007A3223" w:rsidRDefault="005272AD" w:rsidP="005272AD">
            <w:pPr>
              <w:jc w:val="center"/>
              <w:rPr>
                <w:rFonts w:eastAsia="Calibri"/>
                <w:sz w:val="20"/>
                <w:szCs w:val="20"/>
              </w:rPr>
            </w:pPr>
            <w:r w:rsidRPr="007A3223">
              <w:rPr>
                <w:rFonts w:eastAsia="Calibri"/>
                <w:sz w:val="20"/>
                <w:szCs w:val="20"/>
              </w:rPr>
              <w:t>2</w:t>
            </w:r>
          </w:p>
        </w:tc>
        <w:tc>
          <w:tcPr>
            <w:tcW w:w="2610" w:type="dxa"/>
            <w:shd w:val="clear" w:color="auto" w:fill="auto"/>
          </w:tcPr>
          <w:p w14:paraId="4F80C899" w14:textId="794A6406" w:rsidR="005272AD" w:rsidRPr="007A3223" w:rsidRDefault="00FB658D" w:rsidP="005272AD">
            <w:pPr>
              <w:rPr>
                <w:rFonts w:eastAsia="Calibri"/>
                <w:sz w:val="20"/>
                <w:szCs w:val="20"/>
              </w:rPr>
            </w:pPr>
            <w:r w:rsidRPr="007A3223">
              <w:rPr>
                <w:rFonts w:eastAsia="Calibri"/>
                <w:sz w:val="20"/>
                <w:szCs w:val="20"/>
              </w:rPr>
              <w:t>P2 Cohort 1</w:t>
            </w:r>
          </w:p>
        </w:tc>
        <w:tc>
          <w:tcPr>
            <w:tcW w:w="5665" w:type="dxa"/>
            <w:shd w:val="clear" w:color="auto" w:fill="auto"/>
          </w:tcPr>
          <w:p w14:paraId="1A9C7186" w14:textId="30F1D256" w:rsidR="005272AD" w:rsidRPr="007A3223" w:rsidRDefault="00FB658D" w:rsidP="005272AD">
            <w:pPr>
              <w:rPr>
                <w:rFonts w:eastAsia="Calibri"/>
                <w:sz w:val="20"/>
                <w:szCs w:val="20"/>
              </w:rPr>
            </w:pPr>
            <w:r w:rsidRPr="007A3223">
              <w:rPr>
                <w:rFonts w:eastAsia="Calibri"/>
                <w:sz w:val="20"/>
                <w:szCs w:val="20"/>
              </w:rPr>
              <w:t>Patients with ovarian cancer</w:t>
            </w:r>
          </w:p>
        </w:tc>
      </w:tr>
      <w:tr w:rsidR="00D30962" w:rsidRPr="007A3223" w14:paraId="05FABC86" w14:textId="77777777" w:rsidTr="00D035F2">
        <w:tc>
          <w:tcPr>
            <w:tcW w:w="1075" w:type="dxa"/>
            <w:shd w:val="clear" w:color="auto" w:fill="auto"/>
          </w:tcPr>
          <w:p w14:paraId="0D1D1144" w14:textId="7F1F11AE" w:rsidR="00D30962" w:rsidRPr="007A3223" w:rsidRDefault="00D30962" w:rsidP="005272AD">
            <w:pPr>
              <w:jc w:val="center"/>
              <w:rPr>
                <w:rFonts w:eastAsia="Calibri"/>
                <w:sz w:val="20"/>
                <w:szCs w:val="20"/>
              </w:rPr>
            </w:pPr>
            <w:r w:rsidRPr="007A3223">
              <w:rPr>
                <w:rFonts w:eastAsia="Calibri"/>
                <w:sz w:val="20"/>
                <w:szCs w:val="20"/>
              </w:rPr>
              <w:t>3</w:t>
            </w:r>
          </w:p>
        </w:tc>
        <w:tc>
          <w:tcPr>
            <w:tcW w:w="2610" w:type="dxa"/>
            <w:shd w:val="clear" w:color="auto" w:fill="auto"/>
          </w:tcPr>
          <w:p w14:paraId="2F2C0B56" w14:textId="7D7FEE5E" w:rsidR="00D30962" w:rsidRPr="007A3223" w:rsidRDefault="00D30962" w:rsidP="005272AD">
            <w:pPr>
              <w:rPr>
                <w:rFonts w:eastAsia="Calibri"/>
                <w:sz w:val="20"/>
                <w:szCs w:val="20"/>
              </w:rPr>
            </w:pPr>
            <w:r w:rsidRPr="007A3223">
              <w:rPr>
                <w:rFonts w:eastAsia="Calibri"/>
                <w:sz w:val="20"/>
                <w:szCs w:val="20"/>
              </w:rPr>
              <w:t>P2 Cohort 2</w:t>
            </w:r>
          </w:p>
        </w:tc>
        <w:tc>
          <w:tcPr>
            <w:tcW w:w="5665" w:type="dxa"/>
            <w:shd w:val="clear" w:color="auto" w:fill="auto"/>
          </w:tcPr>
          <w:p w14:paraId="47BBAD78" w14:textId="4A9B5268" w:rsidR="00D30962" w:rsidRPr="007A3223" w:rsidRDefault="00D30962" w:rsidP="005272AD">
            <w:pPr>
              <w:rPr>
                <w:rFonts w:eastAsia="Calibri"/>
                <w:sz w:val="20"/>
                <w:szCs w:val="20"/>
              </w:rPr>
            </w:pPr>
            <w:r w:rsidRPr="007A3223">
              <w:rPr>
                <w:rFonts w:eastAsia="Calibri"/>
                <w:sz w:val="20"/>
                <w:szCs w:val="20"/>
              </w:rPr>
              <w:t>Patients with non-small cell lung cancer</w:t>
            </w:r>
          </w:p>
        </w:tc>
      </w:tr>
      <w:tr w:rsidR="00D30962" w:rsidRPr="007A3223" w14:paraId="558495C6" w14:textId="77777777" w:rsidTr="00D035F2">
        <w:tc>
          <w:tcPr>
            <w:tcW w:w="1075" w:type="dxa"/>
            <w:shd w:val="clear" w:color="auto" w:fill="auto"/>
          </w:tcPr>
          <w:p w14:paraId="3E898FD4" w14:textId="5A72B78D" w:rsidR="00D30962" w:rsidRPr="007A3223" w:rsidRDefault="00D30962" w:rsidP="005272AD">
            <w:pPr>
              <w:jc w:val="center"/>
              <w:rPr>
                <w:rFonts w:eastAsia="Calibri"/>
                <w:sz w:val="20"/>
                <w:szCs w:val="20"/>
              </w:rPr>
            </w:pPr>
            <w:r w:rsidRPr="007A3223">
              <w:rPr>
                <w:rFonts w:eastAsia="Calibri"/>
                <w:sz w:val="20"/>
                <w:szCs w:val="20"/>
              </w:rPr>
              <w:t>4</w:t>
            </w:r>
          </w:p>
        </w:tc>
        <w:tc>
          <w:tcPr>
            <w:tcW w:w="2610" w:type="dxa"/>
            <w:shd w:val="clear" w:color="auto" w:fill="auto"/>
          </w:tcPr>
          <w:p w14:paraId="3E5F8FD5" w14:textId="59E16B7C" w:rsidR="00D30962" w:rsidRPr="007A3223" w:rsidRDefault="00997C35" w:rsidP="005272AD">
            <w:pPr>
              <w:rPr>
                <w:rFonts w:eastAsia="Calibri"/>
                <w:sz w:val="20"/>
                <w:szCs w:val="20"/>
              </w:rPr>
            </w:pPr>
            <w:r w:rsidRPr="007A3223">
              <w:rPr>
                <w:rFonts w:eastAsia="Calibri"/>
                <w:sz w:val="20"/>
                <w:szCs w:val="20"/>
              </w:rPr>
              <w:t>P2 Cohort 3</w:t>
            </w:r>
          </w:p>
        </w:tc>
        <w:tc>
          <w:tcPr>
            <w:tcW w:w="5665" w:type="dxa"/>
            <w:shd w:val="clear" w:color="auto" w:fill="auto"/>
          </w:tcPr>
          <w:p w14:paraId="731DB3B8" w14:textId="3DF6AACE" w:rsidR="00D30962" w:rsidRPr="007A3223" w:rsidRDefault="00997C35" w:rsidP="005272AD">
            <w:pPr>
              <w:rPr>
                <w:rFonts w:eastAsia="Calibri"/>
                <w:sz w:val="20"/>
                <w:szCs w:val="20"/>
              </w:rPr>
            </w:pPr>
            <w:r w:rsidRPr="007A3223">
              <w:rPr>
                <w:rFonts w:eastAsia="Calibri"/>
                <w:sz w:val="20"/>
                <w:szCs w:val="20"/>
              </w:rPr>
              <w:t>Patients with small cell lung cancer</w:t>
            </w:r>
          </w:p>
        </w:tc>
      </w:tr>
      <w:tr w:rsidR="00997C35" w:rsidRPr="007A3223" w14:paraId="0B2A4961" w14:textId="77777777" w:rsidTr="00D035F2">
        <w:tc>
          <w:tcPr>
            <w:tcW w:w="1075" w:type="dxa"/>
            <w:shd w:val="clear" w:color="auto" w:fill="auto"/>
          </w:tcPr>
          <w:p w14:paraId="1239BBDB" w14:textId="09525C9A" w:rsidR="00997C35" w:rsidRPr="007A3223" w:rsidRDefault="002F06DA" w:rsidP="005272AD">
            <w:pPr>
              <w:jc w:val="center"/>
              <w:rPr>
                <w:rFonts w:eastAsia="Calibri"/>
                <w:sz w:val="20"/>
                <w:szCs w:val="20"/>
              </w:rPr>
            </w:pPr>
            <w:r w:rsidRPr="007A3223">
              <w:rPr>
                <w:rFonts w:eastAsia="Calibri"/>
                <w:sz w:val="20"/>
                <w:szCs w:val="20"/>
              </w:rPr>
              <w:t>5</w:t>
            </w:r>
          </w:p>
        </w:tc>
        <w:tc>
          <w:tcPr>
            <w:tcW w:w="2610" w:type="dxa"/>
            <w:shd w:val="clear" w:color="auto" w:fill="auto"/>
          </w:tcPr>
          <w:p w14:paraId="4BE88B09" w14:textId="7FE10590" w:rsidR="00997C35" w:rsidRPr="007A3223" w:rsidRDefault="002F06DA" w:rsidP="005272AD">
            <w:pPr>
              <w:rPr>
                <w:rFonts w:eastAsia="Calibri"/>
                <w:sz w:val="20"/>
                <w:szCs w:val="20"/>
              </w:rPr>
            </w:pPr>
            <w:r w:rsidRPr="007A3223">
              <w:rPr>
                <w:rFonts w:eastAsia="Calibri"/>
                <w:sz w:val="20"/>
                <w:szCs w:val="20"/>
              </w:rPr>
              <w:t>P2 Cohort 4</w:t>
            </w:r>
          </w:p>
        </w:tc>
        <w:tc>
          <w:tcPr>
            <w:tcW w:w="5665" w:type="dxa"/>
            <w:shd w:val="clear" w:color="auto" w:fill="auto"/>
          </w:tcPr>
          <w:p w14:paraId="332AC73D" w14:textId="10D604F7" w:rsidR="00997C35" w:rsidRPr="007A3223" w:rsidRDefault="002F06DA" w:rsidP="005272AD">
            <w:pPr>
              <w:rPr>
                <w:rFonts w:eastAsia="Calibri"/>
                <w:sz w:val="20"/>
                <w:szCs w:val="20"/>
              </w:rPr>
            </w:pPr>
            <w:r w:rsidRPr="007A3223">
              <w:rPr>
                <w:rFonts w:eastAsia="Calibri"/>
                <w:sz w:val="20"/>
                <w:szCs w:val="20"/>
              </w:rPr>
              <w:t>Patients with metastatic castrate-resistant prostate cancer</w:t>
            </w:r>
          </w:p>
        </w:tc>
      </w:tr>
      <w:tr w:rsidR="002F06DA" w:rsidRPr="007A3223" w14:paraId="469EC103" w14:textId="77777777" w:rsidTr="00D035F2">
        <w:tc>
          <w:tcPr>
            <w:tcW w:w="1075" w:type="dxa"/>
            <w:shd w:val="clear" w:color="auto" w:fill="auto"/>
          </w:tcPr>
          <w:p w14:paraId="5502FBE5" w14:textId="535F595E" w:rsidR="002F06DA" w:rsidRPr="007A3223" w:rsidRDefault="002F06DA" w:rsidP="005272AD">
            <w:pPr>
              <w:jc w:val="center"/>
              <w:rPr>
                <w:rFonts w:eastAsia="Calibri"/>
                <w:sz w:val="20"/>
                <w:szCs w:val="20"/>
              </w:rPr>
            </w:pPr>
            <w:r w:rsidRPr="007A3223">
              <w:rPr>
                <w:rFonts w:eastAsia="Calibri"/>
                <w:sz w:val="20"/>
                <w:szCs w:val="20"/>
              </w:rPr>
              <w:t>6</w:t>
            </w:r>
          </w:p>
        </w:tc>
        <w:tc>
          <w:tcPr>
            <w:tcW w:w="2610" w:type="dxa"/>
            <w:shd w:val="clear" w:color="auto" w:fill="auto"/>
          </w:tcPr>
          <w:p w14:paraId="6E86700F" w14:textId="516BE281" w:rsidR="002F06DA" w:rsidRPr="007A3223" w:rsidRDefault="00E826FD" w:rsidP="005272AD">
            <w:pPr>
              <w:rPr>
                <w:rFonts w:eastAsia="Calibri"/>
                <w:sz w:val="20"/>
                <w:szCs w:val="20"/>
              </w:rPr>
            </w:pPr>
            <w:r w:rsidRPr="007A3223">
              <w:rPr>
                <w:rFonts w:eastAsia="Calibri"/>
                <w:sz w:val="20"/>
                <w:szCs w:val="20"/>
              </w:rPr>
              <w:t>P2 Cohort 5</w:t>
            </w:r>
          </w:p>
        </w:tc>
        <w:tc>
          <w:tcPr>
            <w:tcW w:w="5665" w:type="dxa"/>
            <w:shd w:val="clear" w:color="auto" w:fill="auto"/>
          </w:tcPr>
          <w:p w14:paraId="3685D08F" w14:textId="681BC975" w:rsidR="002F06DA" w:rsidRPr="007A3223" w:rsidRDefault="00E826FD" w:rsidP="005272AD">
            <w:pPr>
              <w:rPr>
                <w:rFonts w:eastAsia="Calibri"/>
                <w:sz w:val="20"/>
                <w:szCs w:val="20"/>
              </w:rPr>
            </w:pPr>
            <w:r w:rsidRPr="007A3223">
              <w:rPr>
                <w:rFonts w:eastAsia="Calibri"/>
                <w:sz w:val="20"/>
                <w:szCs w:val="20"/>
              </w:rPr>
              <w:t>Patients with triple negative breast cancer</w:t>
            </w:r>
          </w:p>
        </w:tc>
      </w:tr>
      <w:tr w:rsidR="00E826FD" w:rsidRPr="007A3223" w14:paraId="715BAB5E" w14:textId="77777777" w:rsidTr="00D035F2">
        <w:tc>
          <w:tcPr>
            <w:tcW w:w="1075" w:type="dxa"/>
            <w:shd w:val="clear" w:color="auto" w:fill="auto"/>
          </w:tcPr>
          <w:p w14:paraId="62753378" w14:textId="64CA1F2C" w:rsidR="00E826FD" w:rsidRPr="007A3223" w:rsidRDefault="00E826FD" w:rsidP="005272AD">
            <w:pPr>
              <w:jc w:val="center"/>
              <w:rPr>
                <w:rFonts w:eastAsia="Calibri"/>
                <w:sz w:val="20"/>
                <w:szCs w:val="20"/>
              </w:rPr>
            </w:pPr>
            <w:r w:rsidRPr="007A3223">
              <w:rPr>
                <w:rFonts w:eastAsia="Calibri"/>
                <w:sz w:val="20"/>
                <w:szCs w:val="20"/>
              </w:rPr>
              <w:t>7</w:t>
            </w:r>
          </w:p>
        </w:tc>
        <w:tc>
          <w:tcPr>
            <w:tcW w:w="2610" w:type="dxa"/>
            <w:shd w:val="clear" w:color="auto" w:fill="auto"/>
          </w:tcPr>
          <w:p w14:paraId="454478FB" w14:textId="2AEBF8D7" w:rsidR="00E826FD" w:rsidRPr="007A3223" w:rsidRDefault="00E826FD" w:rsidP="005272AD">
            <w:pPr>
              <w:rPr>
                <w:rFonts w:eastAsia="Calibri"/>
                <w:sz w:val="20"/>
                <w:szCs w:val="20"/>
              </w:rPr>
            </w:pPr>
            <w:r w:rsidRPr="007A3223">
              <w:rPr>
                <w:rFonts w:eastAsia="Calibri"/>
                <w:sz w:val="20"/>
                <w:szCs w:val="20"/>
              </w:rPr>
              <w:t>P2 Cohort 6</w:t>
            </w:r>
          </w:p>
        </w:tc>
        <w:tc>
          <w:tcPr>
            <w:tcW w:w="5665" w:type="dxa"/>
            <w:shd w:val="clear" w:color="auto" w:fill="auto"/>
          </w:tcPr>
          <w:p w14:paraId="6EE20EB8" w14:textId="20CB3C4D" w:rsidR="00E826FD" w:rsidRPr="007A3223" w:rsidRDefault="00E826FD" w:rsidP="005272AD">
            <w:pPr>
              <w:rPr>
                <w:rFonts w:eastAsia="Calibri"/>
                <w:sz w:val="20"/>
                <w:szCs w:val="20"/>
              </w:rPr>
            </w:pPr>
            <w:r w:rsidRPr="007A3223">
              <w:rPr>
                <w:rFonts w:eastAsia="Calibri"/>
                <w:sz w:val="20"/>
                <w:szCs w:val="20"/>
              </w:rPr>
              <w:t>Patients with colorectal cancer</w:t>
            </w:r>
          </w:p>
        </w:tc>
      </w:tr>
    </w:tbl>
    <w:p w14:paraId="3BDB5785" w14:textId="167C5FEE" w:rsidR="005272AD" w:rsidRPr="007A3223" w:rsidRDefault="005272AD" w:rsidP="00034812">
      <w:pPr>
        <w:spacing w:after="0"/>
        <w:rPr>
          <w:szCs w:val="24"/>
        </w:rPr>
      </w:pPr>
    </w:p>
    <w:p w14:paraId="3C78E3DC" w14:textId="7928A48A" w:rsidR="008A626D" w:rsidRPr="007A3223" w:rsidRDefault="008A626D" w:rsidP="008A626D">
      <w:pPr>
        <w:keepNext/>
        <w:rPr>
          <w:rFonts w:eastAsia="Calibri"/>
          <w:b/>
        </w:rPr>
      </w:pPr>
      <w:r w:rsidRPr="007A3223">
        <w:rPr>
          <w:rFonts w:eastAsia="Calibri"/>
          <w:b/>
        </w:rPr>
        <w:t>Arms</w:t>
      </w:r>
    </w:p>
    <w:p w14:paraId="50537C3D" w14:textId="2DD223A0" w:rsidR="008A626D" w:rsidRPr="007A3223" w:rsidRDefault="008A626D" w:rsidP="00034812">
      <w:pPr>
        <w:spacing w:after="0"/>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610"/>
        <w:gridCol w:w="5665"/>
      </w:tblGrid>
      <w:tr w:rsidR="008A626D" w:rsidRPr="007A3223" w14:paraId="175FAE69" w14:textId="77777777" w:rsidTr="00D035F2">
        <w:trPr>
          <w:tblHeader/>
        </w:trPr>
        <w:tc>
          <w:tcPr>
            <w:tcW w:w="1075" w:type="dxa"/>
            <w:shd w:val="clear" w:color="auto" w:fill="auto"/>
          </w:tcPr>
          <w:p w14:paraId="25B710C4" w14:textId="77777777" w:rsidR="008A626D" w:rsidRPr="007A3223" w:rsidRDefault="008A626D" w:rsidP="008A626D">
            <w:pPr>
              <w:keepNext/>
              <w:jc w:val="center"/>
              <w:rPr>
                <w:rFonts w:eastAsia="Calibri"/>
                <w:b/>
                <w:sz w:val="20"/>
                <w:szCs w:val="20"/>
              </w:rPr>
            </w:pPr>
            <w:r w:rsidRPr="007A3223">
              <w:rPr>
                <w:rFonts w:eastAsia="Calibri"/>
                <w:b/>
                <w:sz w:val="20"/>
                <w:szCs w:val="20"/>
              </w:rPr>
              <w:t>Number</w:t>
            </w:r>
          </w:p>
        </w:tc>
        <w:tc>
          <w:tcPr>
            <w:tcW w:w="2610" w:type="dxa"/>
            <w:shd w:val="clear" w:color="auto" w:fill="auto"/>
          </w:tcPr>
          <w:p w14:paraId="7B0B030B" w14:textId="77777777" w:rsidR="008A626D" w:rsidRPr="007A3223" w:rsidRDefault="008A626D" w:rsidP="008A626D">
            <w:pPr>
              <w:keepNext/>
              <w:rPr>
                <w:rFonts w:eastAsia="Calibri"/>
                <w:b/>
                <w:sz w:val="20"/>
                <w:szCs w:val="20"/>
              </w:rPr>
            </w:pPr>
            <w:r w:rsidRPr="007A3223">
              <w:rPr>
                <w:rFonts w:eastAsia="Calibri"/>
                <w:b/>
                <w:sz w:val="20"/>
                <w:szCs w:val="20"/>
              </w:rPr>
              <w:t>Name</w:t>
            </w:r>
          </w:p>
        </w:tc>
        <w:tc>
          <w:tcPr>
            <w:tcW w:w="5665" w:type="dxa"/>
            <w:shd w:val="clear" w:color="auto" w:fill="auto"/>
          </w:tcPr>
          <w:p w14:paraId="7080C703" w14:textId="77777777" w:rsidR="008A626D" w:rsidRPr="007A3223" w:rsidRDefault="008A626D" w:rsidP="008A626D">
            <w:pPr>
              <w:keepNext/>
              <w:rPr>
                <w:rFonts w:eastAsia="Calibri"/>
                <w:b/>
                <w:sz w:val="20"/>
                <w:szCs w:val="20"/>
              </w:rPr>
            </w:pPr>
            <w:r w:rsidRPr="007A3223">
              <w:rPr>
                <w:rFonts w:eastAsia="Calibri"/>
                <w:b/>
                <w:sz w:val="20"/>
                <w:szCs w:val="20"/>
              </w:rPr>
              <w:t>Description</w:t>
            </w:r>
          </w:p>
        </w:tc>
      </w:tr>
      <w:tr w:rsidR="008A626D" w:rsidRPr="007A3223" w14:paraId="3808CCFB" w14:textId="77777777" w:rsidTr="00D035F2">
        <w:tc>
          <w:tcPr>
            <w:tcW w:w="1075" w:type="dxa"/>
            <w:shd w:val="clear" w:color="auto" w:fill="auto"/>
          </w:tcPr>
          <w:p w14:paraId="4CB2B069" w14:textId="77777777" w:rsidR="008A626D" w:rsidRPr="007A3223" w:rsidRDefault="008A626D" w:rsidP="008A626D">
            <w:pPr>
              <w:jc w:val="center"/>
              <w:rPr>
                <w:rFonts w:eastAsia="Calibri"/>
                <w:sz w:val="20"/>
                <w:szCs w:val="20"/>
              </w:rPr>
            </w:pPr>
            <w:r w:rsidRPr="007A3223">
              <w:rPr>
                <w:rFonts w:eastAsia="Calibri"/>
                <w:sz w:val="20"/>
                <w:szCs w:val="20"/>
              </w:rPr>
              <w:t>1</w:t>
            </w:r>
          </w:p>
        </w:tc>
        <w:tc>
          <w:tcPr>
            <w:tcW w:w="2610" w:type="dxa"/>
            <w:shd w:val="clear" w:color="auto" w:fill="auto"/>
          </w:tcPr>
          <w:p w14:paraId="7E2683CF" w14:textId="36559C79" w:rsidR="008A626D" w:rsidRPr="007A3223" w:rsidRDefault="00E4550E" w:rsidP="008A626D">
            <w:pPr>
              <w:rPr>
                <w:rFonts w:eastAsia="Calibri"/>
                <w:sz w:val="20"/>
                <w:szCs w:val="20"/>
              </w:rPr>
            </w:pPr>
            <w:r w:rsidRPr="007A3223">
              <w:rPr>
                <w:rFonts w:eastAsia="Calibri"/>
                <w:sz w:val="20"/>
                <w:szCs w:val="20"/>
              </w:rPr>
              <w:t xml:space="preserve">P1 </w:t>
            </w:r>
            <w:r w:rsidR="006250E0">
              <w:rPr>
                <w:rFonts w:eastAsia="Calibri"/>
                <w:sz w:val="20"/>
                <w:szCs w:val="20"/>
              </w:rPr>
              <w:t>Durvalumab</w:t>
            </w:r>
            <w:r w:rsidRPr="007A3223">
              <w:rPr>
                <w:rFonts w:eastAsia="Calibri"/>
                <w:sz w:val="20"/>
                <w:szCs w:val="20"/>
              </w:rPr>
              <w:t>+O</w:t>
            </w:r>
          </w:p>
        </w:tc>
        <w:tc>
          <w:tcPr>
            <w:tcW w:w="5665" w:type="dxa"/>
            <w:shd w:val="clear" w:color="auto" w:fill="auto"/>
          </w:tcPr>
          <w:p w14:paraId="269B89F9" w14:textId="0D609571" w:rsidR="008A626D" w:rsidRPr="007A3223" w:rsidRDefault="00DD3DE4" w:rsidP="008A626D">
            <w:pPr>
              <w:rPr>
                <w:rFonts w:eastAsia="Calibri"/>
                <w:sz w:val="20"/>
                <w:szCs w:val="20"/>
              </w:rPr>
            </w:pPr>
            <w:r w:rsidRPr="007A3223">
              <w:rPr>
                <w:rFonts w:eastAsia="Calibri"/>
                <w:sz w:val="20"/>
                <w:szCs w:val="20"/>
              </w:rPr>
              <w:t xml:space="preserve">Ph I </w:t>
            </w:r>
            <w:r w:rsidR="00961CAD">
              <w:rPr>
                <w:rFonts w:eastAsia="Calibri"/>
                <w:sz w:val="20"/>
                <w:szCs w:val="20"/>
              </w:rPr>
              <w:t>Durvalumab</w:t>
            </w:r>
            <w:r w:rsidRPr="007A3223">
              <w:rPr>
                <w:rFonts w:eastAsia="Calibri"/>
                <w:sz w:val="20"/>
                <w:szCs w:val="20"/>
              </w:rPr>
              <w:t xml:space="preserve"> + olaparib dose escalation</w:t>
            </w:r>
          </w:p>
        </w:tc>
      </w:tr>
      <w:tr w:rsidR="008A626D" w:rsidRPr="007A3223" w14:paraId="4BA5F0BF" w14:textId="77777777" w:rsidTr="00D035F2">
        <w:tc>
          <w:tcPr>
            <w:tcW w:w="1075" w:type="dxa"/>
            <w:shd w:val="clear" w:color="auto" w:fill="auto"/>
          </w:tcPr>
          <w:p w14:paraId="44AC8383" w14:textId="77777777" w:rsidR="008A626D" w:rsidRPr="007A3223" w:rsidRDefault="008A626D" w:rsidP="008A626D">
            <w:pPr>
              <w:jc w:val="center"/>
              <w:rPr>
                <w:rFonts w:eastAsia="Calibri"/>
                <w:sz w:val="20"/>
                <w:szCs w:val="20"/>
              </w:rPr>
            </w:pPr>
            <w:r w:rsidRPr="007A3223">
              <w:rPr>
                <w:rFonts w:eastAsia="Calibri"/>
                <w:sz w:val="20"/>
                <w:szCs w:val="20"/>
              </w:rPr>
              <w:t>2</w:t>
            </w:r>
          </w:p>
        </w:tc>
        <w:tc>
          <w:tcPr>
            <w:tcW w:w="2610" w:type="dxa"/>
            <w:shd w:val="clear" w:color="auto" w:fill="auto"/>
          </w:tcPr>
          <w:p w14:paraId="293E19A0" w14:textId="4D51CE77" w:rsidR="008A626D" w:rsidRPr="007A3223" w:rsidRDefault="00C05E1F" w:rsidP="008A626D">
            <w:pPr>
              <w:rPr>
                <w:rFonts w:eastAsia="Calibri"/>
                <w:sz w:val="20"/>
                <w:szCs w:val="20"/>
              </w:rPr>
            </w:pPr>
            <w:r w:rsidRPr="007A3223">
              <w:rPr>
                <w:rFonts w:eastAsia="Calibri"/>
                <w:sz w:val="20"/>
                <w:szCs w:val="20"/>
              </w:rPr>
              <w:t xml:space="preserve">P1 </w:t>
            </w:r>
            <w:r w:rsidR="006250E0">
              <w:rPr>
                <w:rFonts w:eastAsia="Calibri"/>
                <w:sz w:val="20"/>
                <w:szCs w:val="20"/>
              </w:rPr>
              <w:t>Durvalumab</w:t>
            </w:r>
            <w:r w:rsidRPr="007A3223">
              <w:rPr>
                <w:rFonts w:eastAsia="Calibri"/>
                <w:sz w:val="20"/>
                <w:szCs w:val="20"/>
              </w:rPr>
              <w:t>+C</w:t>
            </w:r>
          </w:p>
        </w:tc>
        <w:tc>
          <w:tcPr>
            <w:tcW w:w="5665" w:type="dxa"/>
            <w:shd w:val="clear" w:color="auto" w:fill="auto"/>
          </w:tcPr>
          <w:p w14:paraId="4E69CB38" w14:textId="566A90D5" w:rsidR="008A626D" w:rsidRPr="007A3223" w:rsidRDefault="00DD3DE4" w:rsidP="008A626D">
            <w:pPr>
              <w:rPr>
                <w:rFonts w:eastAsia="Calibri"/>
                <w:sz w:val="20"/>
                <w:szCs w:val="20"/>
              </w:rPr>
            </w:pPr>
            <w:r w:rsidRPr="007A3223">
              <w:rPr>
                <w:rFonts w:eastAsia="Calibri"/>
                <w:sz w:val="20"/>
                <w:szCs w:val="20"/>
              </w:rPr>
              <w:t xml:space="preserve">Ph I </w:t>
            </w:r>
            <w:r w:rsidR="00961CAD">
              <w:rPr>
                <w:rFonts w:eastAsia="Calibri"/>
                <w:sz w:val="20"/>
                <w:szCs w:val="20"/>
              </w:rPr>
              <w:t>Durvalumab</w:t>
            </w:r>
            <w:r w:rsidRPr="007A3223">
              <w:rPr>
                <w:rFonts w:eastAsia="Calibri"/>
                <w:sz w:val="20"/>
                <w:szCs w:val="20"/>
              </w:rPr>
              <w:t xml:space="preserve"> + cediranib dose escalation</w:t>
            </w:r>
          </w:p>
        </w:tc>
      </w:tr>
      <w:tr w:rsidR="005645BD" w:rsidRPr="007A3223" w14:paraId="28537474" w14:textId="77777777" w:rsidTr="00D035F2">
        <w:tc>
          <w:tcPr>
            <w:tcW w:w="1075" w:type="dxa"/>
            <w:shd w:val="clear" w:color="auto" w:fill="auto"/>
          </w:tcPr>
          <w:p w14:paraId="6CA6ED20" w14:textId="7452A50C" w:rsidR="005645BD" w:rsidRPr="007A3223" w:rsidRDefault="00FF67DF" w:rsidP="008A626D">
            <w:pPr>
              <w:jc w:val="center"/>
              <w:rPr>
                <w:rFonts w:eastAsia="Calibri"/>
                <w:sz w:val="20"/>
                <w:szCs w:val="20"/>
              </w:rPr>
            </w:pPr>
            <w:r w:rsidRPr="007A3223">
              <w:rPr>
                <w:rFonts w:eastAsia="Calibri"/>
                <w:sz w:val="20"/>
                <w:szCs w:val="20"/>
              </w:rPr>
              <w:t>3</w:t>
            </w:r>
          </w:p>
        </w:tc>
        <w:tc>
          <w:tcPr>
            <w:tcW w:w="2610" w:type="dxa"/>
            <w:shd w:val="clear" w:color="auto" w:fill="auto"/>
          </w:tcPr>
          <w:p w14:paraId="5AE3C488" w14:textId="514320E8" w:rsidR="005645BD" w:rsidRPr="007A3223" w:rsidRDefault="00FF67DF" w:rsidP="008A626D">
            <w:pPr>
              <w:rPr>
                <w:rFonts w:eastAsia="Calibri"/>
                <w:sz w:val="20"/>
                <w:szCs w:val="20"/>
              </w:rPr>
            </w:pPr>
            <w:r w:rsidRPr="007A3223">
              <w:rPr>
                <w:rFonts w:eastAsia="Calibri"/>
                <w:sz w:val="20"/>
                <w:szCs w:val="20"/>
              </w:rPr>
              <w:t xml:space="preserve">P2 </w:t>
            </w:r>
            <w:r w:rsidR="006250E0">
              <w:rPr>
                <w:rFonts w:eastAsia="Calibri"/>
                <w:sz w:val="20"/>
                <w:szCs w:val="20"/>
              </w:rPr>
              <w:t>Durvalumab</w:t>
            </w:r>
            <w:r w:rsidRPr="007A3223">
              <w:rPr>
                <w:rFonts w:eastAsia="Calibri"/>
                <w:sz w:val="20"/>
                <w:szCs w:val="20"/>
              </w:rPr>
              <w:t>+O</w:t>
            </w:r>
          </w:p>
        </w:tc>
        <w:tc>
          <w:tcPr>
            <w:tcW w:w="5665" w:type="dxa"/>
            <w:shd w:val="clear" w:color="auto" w:fill="auto"/>
          </w:tcPr>
          <w:p w14:paraId="6EF7826D" w14:textId="175242D8" w:rsidR="005645BD" w:rsidRPr="007A3223" w:rsidRDefault="00FF67DF" w:rsidP="008A626D">
            <w:pPr>
              <w:rPr>
                <w:rFonts w:eastAsia="Calibri"/>
                <w:sz w:val="20"/>
                <w:szCs w:val="20"/>
              </w:rPr>
            </w:pPr>
            <w:r w:rsidRPr="007A3223">
              <w:rPr>
                <w:rFonts w:eastAsia="Calibri"/>
                <w:sz w:val="20"/>
                <w:szCs w:val="20"/>
              </w:rPr>
              <w:t xml:space="preserve">Ph II </w:t>
            </w:r>
            <w:r w:rsidR="00961CAD">
              <w:rPr>
                <w:rFonts w:eastAsia="Calibri"/>
                <w:sz w:val="20"/>
                <w:szCs w:val="20"/>
              </w:rPr>
              <w:t>Durvalumab</w:t>
            </w:r>
            <w:r w:rsidRPr="007A3223">
              <w:rPr>
                <w:rFonts w:eastAsia="Calibri"/>
                <w:sz w:val="20"/>
                <w:szCs w:val="20"/>
              </w:rPr>
              <w:t xml:space="preserve"> + olaparib at RP2D</w:t>
            </w:r>
          </w:p>
        </w:tc>
      </w:tr>
      <w:tr w:rsidR="005645BD" w:rsidRPr="007A3223" w14:paraId="1E7B2F9A" w14:textId="77777777" w:rsidTr="00D035F2">
        <w:tc>
          <w:tcPr>
            <w:tcW w:w="1075" w:type="dxa"/>
            <w:shd w:val="clear" w:color="auto" w:fill="auto"/>
          </w:tcPr>
          <w:p w14:paraId="56CDBEC8" w14:textId="2192B0C0" w:rsidR="005645BD" w:rsidRPr="007A3223" w:rsidRDefault="00FF67DF" w:rsidP="008A626D">
            <w:pPr>
              <w:jc w:val="center"/>
              <w:rPr>
                <w:rFonts w:eastAsia="Calibri"/>
                <w:sz w:val="20"/>
                <w:szCs w:val="20"/>
              </w:rPr>
            </w:pPr>
            <w:r w:rsidRPr="007A3223">
              <w:rPr>
                <w:rFonts w:eastAsia="Calibri"/>
                <w:sz w:val="20"/>
                <w:szCs w:val="20"/>
              </w:rPr>
              <w:t>4</w:t>
            </w:r>
          </w:p>
        </w:tc>
        <w:tc>
          <w:tcPr>
            <w:tcW w:w="2610" w:type="dxa"/>
            <w:shd w:val="clear" w:color="auto" w:fill="auto"/>
          </w:tcPr>
          <w:p w14:paraId="2E1CEBAE" w14:textId="49DB14C9" w:rsidR="005645BD" w:rsidRPr="007A3223" w:rsidRDefault="00FF67DF" w:rsidP="008A626D">
            <w:pPr>
              <w:rPr>
                <w:rFonts w:eastAsia="Calibri"/>
                <w:sz w:val="20"/>
                <w:szCs w:val="20"/>
              </w:rPr>
            </w:pPr>
            <w:r w:rsidRPr="007A3223">
              <w:rPr>
                <w:rFonts w:eastAsia="Calibri"/>
                <w:sz w:val="20"/>
                <w:szCs w:val="20"/>
              </w:rPr>
              <w:t xml:space="preserve">P2 </w:t>
            </w:r>
            <w:r w:rsidR="006250E0">
              <w:rPr>
                <w:rFonts w:eastAsia="Calibri"/>
                <w:sz w:val="20"/>
                <w:szCs w:val="20"/>
              </w:rPr>
              <w:t>Durvalumab</w:t>
            </w:r>
            <w:r w:rsidRPr="007A3223">
              <w:rPr>
                <w:rFonts w:eastAsia="Calibri"/>
                <w:sz w:val="20"/>
                <w:szCs w:val="20"/>
              </w:rPr>
              <w:t>+C</w:t>
            </w:r>
          </w:p>
        </w:tc>
        <w:tc>
          <w:tcPr>
            <w:tcW w:w="5665" w:type="dxa"/>
            <w:shd w:val="clear" w:color="auto" w:fill="auto"/>
          </w:tcPr>
          <w:p w14:paraId="268A30B4" w14:textId="74B94553" w:rsidR="005645BD" w:rsidRPr="007A3223" w:rsidRDefault="00FF67DF" w:rsidP="008A626D">
            <w:pPr>
              <w:rPr>
                <w:rFonts w:eastAsia="Calibri"/>
                <w:sz w:val="20"/>
                <w:szCs w:val="20"/>
              </w:rPr>
            </w:pPr>
            <w:r w:rsidRPr="007A3223">
              <w:rPr>
                <w:rFonts w:eastAsia="Calibri"/>
                <w:sz w:val="20"/>
                <w:szCs w:val="20"/>
              </w:rPr>
              <w:t xml:space="preserve">Ph II </w:t>
            </w:r>
            <w:r w:rsidR="00961CAD">
              <w:rPr>
                <w:rFonts w:eastAsia="Calibri"/>
                <w:sz w:val="20"/>
                <w:szCs w:val="20"/>
              </w:rPr>
              <w:t>Durvalumab</w:t>
            </w:r>
            <w:r w:rsidRPr="007A3223">
              <w:rPr>
                <w:rFonts w:eastAsia="Calibri"/>
                <w:sz w:val="20"/>
                <w:szCs w:val="20"/>
              </w:rPr>
              <w:t xml:space="preserve"> + cediranib at RP2D</w:t>
            </w:r>
          </w:p>
        </w:tc>
      </w:tr>
      <w:tr w:rsidR="00FF67DF" w:rsidRPr="007A3223" w14:paraId="2E95079D" w14:textId="77777777" w:rsidTr="00D035F2">
        <w:tc>
          <w:tcPr>
            <w:tcW w:w="1075" w:type="dxa"/>
            <w:shd w:val="clear" w:color="auto" w:fill="auto"/>
          </w:tcPr>
          <w:p w14:paraId="11C6DB88" w14:textId="1393851A" w:rsidR="00FF67DF" w:rsidRPr="007A3223" w:rsidRDefault="00FF67DF" w:rsidP="008A626D">
            <w:pPr>
              <w:jc w:val="center"/>
              <w:rPr>
                <w:rFonts w:eastAsia="Calibri"/>
                <w:sz w:val="20"/>
                <w:szCs w:val="20"/>
              </w:rPr>
            </w:pPr>
            <w:r w:rsidRPr="007A3223">
              <w:rPr>
                <w:rFonts w:eastAsia="Calibri"/>
                <w:sz w:val="20"/>
                <w:szCs w:val="20"/>
              </w:rPr>
              <w:t>5</w:t>
            </w:r>
          </w:p>
        </w:tc>
        <w:tc>
          <w:tcPr>
            <w:tcW w:w="2610" w:type="dxa"/>
            <w:shd w:val="clear" w:color="auto" w:fill="auto"/>
          </w:tcPr>
          <w:p w14:paraId="14E0B99D" w14:textId="02A566FC" w:rsidR="00FF67DF" w:rsidRPr="007A3223" w:rsidRDefault="00FF67DF" w:rsidP="008A626D">
            <w:pPr>
              <w:rPr>
                <w:rFonts w:eastAsia="Calibri"/>
                <w:sz w:val="20"/>
                <w:szCs w:val="20"/>
              </w:rPr>
            </w:pPr>
            <w:r w:rsidRPr="007A3223">
              <w:rPr>
                <w:rFonts w:eastAsia="Calibri"/>
                <w:sz w:val="20"/>
                <w:szCs w:val="20"/>
              </w:rPr>
              <w:t xml:space="preserve">P1 </w:t>
            </w:r>
            <w:r w:rsidR="006250E0">
              <w:rPr>
                <w:rFonts w:eastAsia="Calibri"/>
                <w:sz w:val="20"/>
                <w:szCs w:val="20"/>
              </w:rPr>
              <w:t>Durvalumab</w:t>
            </w:r>
            <w:r w:rsidRPr="007A3223">
              <w:rPr>
                <w:rFonts w:eastAsia="Calibri"/>
                <w:sz w:val="20"/>
                <w:szCs w:val="20"/>
              </w:rPr>
              <w:t>+O+C</w:t>
            </w:r>
          </w:p>
        </w:tc>
        <w:tc>
          <w:tcPr>
            <w:tcW w:w="5665" w:type="dxa"/>
            <w:shd w:val="clear" w:color="auto" w:fill="auto"/>
          </w:tcPr>
          <w:p w14:paraId="0C3D8146" w14:textId="1E6C7F55" w:rsidR="00FF67DF" w:rsidRPr="007A3223" w:rsidRDefault="00FF67DF" w:rsidP="008A626D">
            <w:pPr>
              <w:rPr>
                <w:rFonts w:eastAsia="Calibri"/>
                <w:sz w:val="20"/>
                <w:szCs w:val="20"/>
              </w:rPr>
            </w:pPr>
            <w:r w:rsidRPr="007A3223">
              <w:rPr>
                <w:rFonts w:eastAsia="Calibri"/>
                <w:sz w:val="20"/>
                <w:szCs w:val="20"/>
              </w:rPr>
              <w:t xml:space="preserve">Ph I </w:t>
            </w:r>
            <w:r w:rsidR="00961CAD">
              <w:rPr>
                <w:rFonts w:eastAsia="Calibri"/>
                <w:sz w:val="20"/>
                <w:szCs w:val="20"/>
              </w:rPr>
              <w:t>Durvalumab</w:t>
            </w:r>
            <w:r w:rsidRPr="007A3223">
              <w:rPr>
                <w:rFonts w:eastAsia="Calibri"/>
                <w:sz w:val="20"/>
                <w:szCs w:val="20"/>
              </w:rPr>
              <w:t xml:space="preserve"> + olaparib + cediranib dose escalation</w:t>
            </w:r>
          </w:p>
        </w:tc>
      </w:tr>
      <w:tr w:rsidR="00FF67DF" w:rsidRPr="007A3223" w14:paraId="5DB16741" w14:textId="77777777" w:rsidTr="00D035F2">
        <w:tc>
          <w:tcPr>
            <w:tcW w:w="1075" w:type="dxa"/>
            <w:shd w:val="clear" w:color="auto" w:fill="auto"/>
          </w:tcPr>
          <w:p w14:paraId="69AFB1D4" w14:textId="1D65F7A3" w:rsidR="00FF67DF" w:rsidRPr="007A3223" w:rsidRDefault="00FF67DF" w:rsidP="008A626D">
            <w:pPr>
              <w:jc w:val="center"/>
              <w:rPr>
                <w:rFonts w:eastAsia="Calibri"/>
                <w:sz w:val="20"/>
                <w:szCs w:val="20"/>
              </w:rPr>
            </w:pPr>
            <w:r w:rsidRPr="007A3223">
              <w:rPr>
                <w:rFonts w:eastAsia="Calibri"/>
                <w:sz w:val="20"/>
                <w:szCs w:val="20"/>
              </w:rPr>
              <w:lastRenderedPageBreak/>
              <w:t>6</w:t>
            </w:r>
          </w:p>
        </w:tc>
        <w:tc>
          <w:tcPr>
            <w:tcW w:w="2610" w:type="dxa"/>
            <w:shd w:val="clear" w:color="auto" w:fill="auto"/>
          </w:tcPr>
          <w:p w14:paraId="144602DC" w14:textId="435D92AF" w:rsidR="00FF67DF" w:rsidRPr="007A3223" w:rsidRDefault="00FF67DF" w:rsidP="008A626D">
            <w:pPr>
              <w:rPr>
                <w:rFonts w:eastAsia="Calibri"/>
                <w:sz w:val="20"/>
                <w:szCs w:val="20"/>
              </w:rPr>
            </w:pPr>
            <w:r w:rsidRPr="007A3223">
              <w:rPr>
                <w:rFonts w:eastAsia="Calibri"/>
                <w:sz w:val="20"/>
                <w:szCs w:val="20"/>
              </w:rPr>
              <w:t xml:space="preserve">P2 </w:t>
            </w:r>
            <w:r w:rsidR="006250E0">
              <w:rPr>
                <w:rFonts w:eastAsia="Calibri"/>
                <w:sz w:val="20"/>
                <w:szCs w:val="20"/>
              </w:rPr>
              <w:t>Durvalumab</w:t>
            </w:r>
            <w:r w:rsidRPr="007A3223">
              <w:rPr>
                <w:rFonts w:eastAsia="Calibri"/>
                <w:sz w:val="20"/>
                <w:szCs w:val="20"/>
              </w:rPr>
              <w:t>+O+C</w:t>
            </w:r>
          </w:p>
        </w:tc>
        <w:tc>
          <w:tcPr>
            <w:tcW w:w="5665" w:type="dxa"/>
            <w:shd w:val="clear" w:color="auto" w:fill="auto"/>
          </w:tcPr>
          <w:p w14:paraId="5CE87A87" w14:textId="77D113E5" w:rsidR="00FF67DF" w:rsidRPr="007A3223" w:rsidRDefault="00FF67DF" w:rsidP="008A626D">
            <w:pPr>
              <w:rPr>
                <w:rFonts w:eastAsia="Calibri"/>
                <w:sz w:val="20"/>
                <w:szCs w:val="20"/>
              </w:rPr>
            </w:pPr>
            <w:r w:rsidRPr="007A3223">
              <w:rPr>
                <w:rFonts w:eastAsia="Calibri"/>
                <w:sz w:val="20"/>
                <w:szCs w:val="20"/>
              </w:rPr>
              <w:t xml:space="preserve">Ph II </w:t>
            </w:r>
            <w:r w:rsidR="00961CAD">
              <w:rPr>
                <w:rFonts w:eastAsia="Calibri"/>
                <w:sz w:val="20"/>
                <w:szCs w:val="20"/>
              </w:rPr>
              <w:t>Durvalumab</w:t>
            </w:r>
            <w:r w:rsidRPr="007A3223">
              <w:rPr>
                <w:rFonts w:eastAsia="Calibri"/>
                <w:sz w:val="20"/>
                <w:szCs w:val="20"/>
              </w:rPr>
              <w:t xml:space="preserve"> + olaparib + cediranib at RP2D</w:t>
            </w:r>
          </w:p>
        </w:tc>
      </w:tr>
    </w:tbl>
    <w:p w14:paraId="71AD8771" w14:textId="77777777" w:rsidR="008A626D" w:rsidRPr="007A3223" w:rsidRDefault="008A626D" w:rsidP="00034812">
      <w:pPr>
        <w:spacing w:after="0"/>
        <w:rPr>
          <w:szCs w:val="24"/>
        </w:rPr>
      </w:pPr>
    </w:p>
    <w:p w14:paraId="3A3F2CBE" w14:textId="4BC23E07" w:rsidR="00034812" w:rsidRPr="007A3223" w:rsidRDefault="00034812" w:rsidP="00034812">
      <w:pPr>
        <w:spacing w:after="0"/>
        <w:rPr>
          <w:szCs w:val="24"/>
        </w:rPr>
      </w:pPr>
      <w:r w:rsidRPr="007A3223">
        <w:rPr>
          <w:szCs w:val="24"/>
        </w:rPr>
        <w:t xml:space="preserve">Randomization </w:t>
      </w:r>
      <w:r w:rsidR="00DA3E1F" w:rsidRPr="007A3223">
        <w:rPr>
          <w:szCs w:val="24"/>
        </w:rPr>
        <w:t xml:space="preserve">and stratification </w:t>
      </w:r>
      <w:r w:rsidRPr="007A3223">
        <w:rPr>
          <w:szCs w:val="24"/>
        </w:rPr>
        <w:t xml:space="preserve">procedures do not apply to the Phase I and Phase II portions of the study. The arms will be open concurrently and treatment assignment for each patient will be at the PI’s discretion and/or </w:t>
      </w:r>
      <w:r w:rsidR="00834C66" w:rsidRPr="007A3223">
        <w:rPr>
          <w:szCs w:val="24"/>
        </w:rPr>
        <w:t xml:space="preserve">based on </w:t>
      </w:r>
      <w:r w:rsidRPr="007A3223">
        <w:rPr>
          <w:szCs w:val="24"/>
        </w:rPr>
        <w:t>prior treatment history.</w:t>
      </w:r>
    </w:p>
    <w:p w14:paraId="24A439E2" w14:textId="77777777" w:rsidR="00034812" w:rsidRPr="007A3223" w:rsidRDefault="00034812" w:rsidP="00034812"/>
    <w:p w14:paraId="4B4D6A2B" w14:textId="77777777" w:rsidR="00004CF3" w:rsidRPr="007A3223" w:rsidRDefault="00B712E9" w:rsidP="00BC453E">
      <w:pPr>
        <w:rPr>
          <w:u w:val="single"/>
        </w:rPr>
      </w:pPr>
      <w:r w:rsidRPr="007A3223">
        <w:rPr>
          <w:u w:val="single"/>
        </w:rPr>
        <w:t>Phase I</w:t>
      </w:r>
    </w:p>
    <w:p w14:paraId="73EED001" w14:textId="77777777" w:rsidR="004705E4" w:rsidRPr="007A3223" w:rsidRDefault="004705E4" w:rsidP="00804427">
      <w:pPr>
        <w:spacing w:after="0"/>
        <w:rPr>
          <w:szCs w:val="24"/>
        </w:rPr>
      </w:pPr>
      <w:r w:rsidRPr="007A3223">
        <w:rPr>
          <w:szCs w:val="24"/>
        </w:rPr>
        <w:t>The Phase I dose escalation study will accrue patients to each</w:t>
      </w:r>
      <w:r w:rsidR="0041760F" w:rsidRPr="007A3223">
        <w:rPr>
          <w:szCs w:val="24"/>
        </w:rPr>
        <w:t xml:space="preserve"> arm in non-randomized fashion. The CRO will c</w:t>
      </w:r>
      <w:r w:rsidRPr="007A3223">
        <w:rPr>
          <w:szCs w:val="24"/>
        </w:rPr>
        <w:t>ontact a medically-responsible study investigator in the Clinical Center Pharmacy (301-496-8092) to confirm each patient’s Phase I treatment assignment.</w:t>
      </w:r>
    </w:p>
    <w:p w14:paraId="2BAEB525" w14:textId="77777777" w:rsidR="004705E4" w:rsidRPr="007A3223" w:rsidRDefault="004705E4" w:rsidP="00B619B7">
      <w:pPr>
        <w:spacing w:after="0"/>
        <w:ind w:left="720" w:hanging="720"/>
        <w:rPr>
          <w:szCs w:val="24"/>
        </w:rPr>
      </w:pPr>
    </w:p>
    <w:p w14:paraId="68680CCD" w14:textId="77777777" w:rsidR="004705E4" w:rsidRPr="007A3223" w:rsidRDefault="004705E4" w:rsidP="00BC453E">
      <w:pPr>
        <w:rPr>
          <w:u w:val="single"/>
        </w:rPr>
      </w:pPr>
      <w:r w:rsidRPr="007A3223">
        <w:rPr>
          <w:u w:val="single"/>
        </w:rPr>
        <w:t>Phase II</w:t>
      </w:r>
    </w:p>
    <w:p w14:paraId="7AC015CC" w14:textId="1FC2B4CB" w:rsidR="00C3031F" w:rsidRPr="007A3223" w:rsidRDefault="00C3031F" w:rsidP="00804427">
      <w:r w:rsidRPr="007A3223">
        <w:t>Effective</w:t>
      </w:r>
      <w:r w:rsidR="00F85D08" w:rsidRPr="007A3223">
        <w:t xml:space="preserve"> with </w:t>
      </w:r>
      <w:r w:rsidRPr="007A3223">
        <w:t>A</w:t>
      </w:r>
      <w:r w:rsidR="00F85D08" w:rsidRPr="007A3223">
        <w:t>mendment C</w:t>
      </w:r>
      <w:r w:rsidRPr="007A3223">
        <w:t xml:space="preserve"> (version date 12/28/2015)</w:t>
      </w:r>
      <w:r w:rsidR="00F85D08" w:rsidRPr="007A3223">
        <w:t>,</w:t>
      </w:r>
      <w:r w:rsidRPr="007A3223">
        <w:t xml:space="preserve"> </w:t>
      </w:r>
      <w:r w:rsidR="00A6455A">
        <w:t>Durvalumab</w:t>
      </w:r>
      <w:r w:rsidRPr="007A3223">
        <w:t xml:space="preserve">+O accrual will move to the stage 1 portion of Phase II study </w:t>
      </w:r>
      <w:r w:rsidR="00A6455A">
        <w:t>Durvalumab</w:t>
      </w:r>
      <w:r w:rsidRPr="007A3223">
        <w:t xml:space="preserve">+O. </w:t>
      </w:r>
    </w:p>
    <w:p w14:paraId="36112095" w14:textId="0B9E8A45" w:rsidR="00A861BB" w:rsidRPr="00F33908" w:rsidRDefault="00A22998" w:rsidP="00804427">
      <w:r w:rsidRPr="007A3223">
        <w:t>Effective with Amendment H (vers</w:t>
      </w:r>
      <w:r w:rsidR="004B6373" w:rsidRPr="007A3223">
        <w:t>i</w:t>
      </w:r>
      <w:r w:rsidRPr="007A3223">
        <w:t xml:space="preserve">on date </w:t>
      </w:r>
      <w:r w:rsidR="00FB4633" w:rsidRPr="007A3223">
        <w:t>0</w:t>
      </w:r>
      <w:r w:rsidRPr="007A3223">
        <w:t>7/</w:t>
      </w:r>
      <w:r w:rsidR="00FB4633" w:rsidRPr="007A3223">
        <w:t>0</w:t>
      </w:r>
      <w:r w:rsidR="004B6373" w:rsidRPr="007A3223">
        <w:t>7</w:t>
      </w:r>
      <w:r w:rsidRPr="007A3223">
        <w:t xml:space="preserve">/2016), </w:t>
      </w:r>
      <w:r w:rsidR="006860F0">
        <w:t>Durvalumab</w:t>
      </w:r>
      <w:r w:rsidR="00C3031F" w:rsidRPr="007A3223">
        <w:t>+C</w:t>
      </w:r>
      <w:r w:rsidRPr="007A3223">
        <w:t xml:space="preserve"> </w:t>
      </w:r>
      <w:r w:rsidR="00A861BB" w:rsidRPr="007A3223">
        <w:t xml:space="preserve">accrual will move to the stage 1 portion of Phase II study as described in </w:t>
      </w:r>
      <w:r w:rsidR="00CB5B0B" w:rsidRPr="007A3223">
        <w:t>S</w:t>
      </w:r>
      <w:r w:rsidR="00A861BB" w:rsidRPr="007A3223">
        <w:t>ection</w:t>
      </w:r>
      <w:r w:rsidR="00A861BB" w:rsidRPr="007A3223">
        <w:rPr>
          <w:b/>
          <w:color w:val="0000FF"/>
        </w:rPr>
        <w:t xml:space="preserve"> </w:t>
      </w:r>
      <w:r w:rsidR="00307B04" w:rsidRPr="00F33908">
        <w:rPr>
          <w:b/>
          <w:color w:val="0000FF"/>
        </w:rPr>
        <w:fldChar w:fldCharType="begin"/>
      </w:r>
      <w:r w:rsidR="00307B04" w:rsidRPr="007A3223">
        <w:rPr>
          <w:b/>
          <w:color w:val="0000FF"/>
        </w:rPr>
        <w:instrText xml:space="preserve"> REF _Ref410405485 \n \h  \* MERGEFORMAT </w:instrText>
      </w:r>
      <w:r w:rsidR="00307B04" w:rsidRPr="00F33908">
        <w:rPr>
          <w:b/>
          <w:color w:val="0000FF"/>
        </w:rPr>
      </w:r>
      <w:r w:rsidR="00307B04" w:rsidRPr="00F33908">
        <w:rPr>
          <w:b/>
          <w:color w:val="0000FF"/>
        </w:rPr>
        <w:fldChar w:fldCharType="separate"/>
      </w:r>
      <w:r w:rsidR="00E47ACA">
        <w:rPr>
          <w:b/>
          <w:color w:val="0000FF"/>
        </w:rPr>
        <w:t>11</w:t>
      </w:r>
      <w:r w:rsidR="00307B04" w:rsidRPr="00F33908">
        <w:rPr>
          <w:b/>
          <w:color w:val="0000FF"/>
        </w:rPr>
        <w:fldChar w:fldCharType="end"/>
      </w:r>
      <w:r w:rsidR="00F60E2A" w:rsidRPr="007A3223">
        <w:t>.</w:t>
      </w:r>
    </w:p>
    <w:p w14:paraId="1D561570" w14:textId="5C2B2739" w:rsidR="00270F90" w:rsidRPr="007A3223" w:rsidRDefault="00270F90" w:rsidP="00270F90">
      <w:r w:rsidRPr="007A3223">
        <w:t xml:space="preserve">Effective with Amendment M (version date 7/19/2017), </w:t>
      </w:r>
      <w:r w:rsidR="006860F0">
        <w:t>Durvalumab</w:t>
      </w:r>
      <w:r w:rsidRPr="007A3223">
        <w:t xml:space="preserve">+O+C accrual will move to the stage 1 portion of Phase II study as described in Section 8. </w:t>
      </w:r>
    </w:p>
    <w:p w14:paraId="5ED317DA" w14:textId="2E387412" w:rsidR="00332672" w:rsidRPr="00F33908" w:rsidRDefault="00332672" w:rsidP="00332672">
      <w:r w:rsidRPr="007A3223">
        <w:t xml:space="preserve">Effective with Amendment O (version date 7/25/2018), </w:t>
      </w:r>
      <w:r w:rsidR="002C7AA2" w:rsidRPr="007A3223">
        <w:t xml:space="preserve">the Phase II </w:t>
      </w:r>
      <w:r w:rsidR="006860F0">
        <w:t>Durvalumab</w:t>
      </w:r>
      <w:r w:rsidRPr="007A3223">
        <w:t xml:space="preserve">+O </w:t>
      </w:r>
      <w:r w:rsidR="007C78E3" w:rsidRPr="007A3223">
        <w:t>OvCa</w:t>
      </w:r>
      <w:r w:rsidR="004407B0" w:rsidRPr="007A3223">
        <w:t xml:space="preserve"> and</w:t>
      </w:r>
      <w:r w:rsidRPr="007A3223">
        <w:t xml:space="preserve"> </w:t>
      </w:r>
      <w:r w:rsidR="007C78E3" w:rsidRPr="007A3223">
        <w:t>SCLC</w:t>
      </w:r>
      <w:r w:rsidRPr="007A3223">
        <w:t xml:space="preserve"> cohorts </w:t>
      </w:r>
      <w:r w:rsidR="002528AA" w:rsidRPr="007A3223">
        <w:t>were</w:t>
      </w:r>
      <w:r w:rsidRPr="007A3223">
        <w:t xml:space="preserve"> closed due to completed </w:t>
      </w:r>
      <w:r w:rsidR="00B2197E" w:rsidRPr="007A3223">
        <w:t>enrollment</w:t>
      </w:r>
      <w:r w:rsidR="002C7AA2" w:rsidRPr="007A3223">
        <w:t>;</w:t>
      </w:r>
      <w:r w:rsidRPr="007A3223">
        <w:t xml:space="preserve"> </w:t>
      </w:r>
      <w:r w:rsidR="002C7AA2" w:rsidRPr="007A3223">
        <w:t xml:space="preserve">the Phase II </w:t>
      </w:r>
      <w:r w:rsidR="006860F0">
        <w:t>Durvalumab</w:t>
      </w:r>
      <w:r w:rsidRPr="007A3223">
        <w:t xml:space="preserve">+C </w:t>
      </w:r>
      <w:r w:rsidR="007C78E3" w:rsidRPr="007A3223">
        <w:t xml:space="preserve">NSCLC </w:t>
      </w:r>
      <w:r w:rsidR="00B24CB0" w:rsidRPr="007A3223">
        <w:t xml:space="preserve">cohort </w:t>
      </w:r>
      <w:r w:rsidR="007C78E3" w:rsidRPr="007A3223">
        <w:t>was</w:t>
      </w:r>
      <w:r w:rsidRPr="007A3223">
        <w:t xml:space="preserve"> closed due to </w:t>
      </w:r>
      <w:r w:rsidR="0087187F" w:rsidRPr="007A3223">
        <w:t>slow accrual</w:t>
      </w:r>
      <w:r w:rsidR="002C7AA2" w:rsidRPr="007A3223">
        <w:t>; and</w:t>
      </w:r>
      <w:r w:rsidR="007C78E3" w:rsidRPr="007A3223">
        <w:t xml:space="preserve"> </w:t>
      </w:r>
      <w:r w:rsidR="002C7AA2" w:rsidRPr="007A3223">
        <w:t xml:space="preserve">the Phase II </w:t>
      </w:r>
      <w:r w:rsidR="006860F0">
        <w:t>Durvalumab</w:t>
      </w:r>
      <w:r w:rsidR="002C7AA2" w:rsidRPr="007A3223">
        <w:t>+</w:t>
      </w:r>
      <w:r w:rsidR="007C78E3" w:rsidRPr="007A3223">
        <w:t>C CRC cohort was closed due to completed enrollment</w:t>
      </w:r>
      <w:r w:rsidR="0087187F" w:rsidRPr="007A3223">
        <w:t xml:space="preserve">, </w:t>
      </w:r>
      <w:r w:rsidRPr="007A3223">
        <w:t xml:space="preserve">as described in Section </w:t>
      </w:r>
      <w:r w:rsidR="00BB03E4" w:rsidRPr="00F33908">
        <w:rPr>
          <w:b/>
          <w:color w:val="0000FF"/>
        </w:rPr>
        <w:fldChar w:fldCharType="begin"/>
      </w:r>
      <w:r w:rsidR="00BB03E4" w:rsidRPr="007A3223">
        <w:rPr>
          <w:b/>
          <w:color w:val="0000FF"/>
        </w:rPr>
        <w:instrText xml:space="preserve"> REF _Ref410405485 \r \h  \* MERGEFORMAT </w:instrText>
      </w:r>
      <w:r w:rsidR="00BB03E4" w:rsidRPr="00F33908">
        <w:rPr>
          <w:b/>
          <w:color w:val="0000FF"/>
        </w:rPr>
      </w:r>
      <w:r w:rsidR="00BB03E4" w:rsidRPr="00F33908">
        <w:rPr>
          <w:b/>
          <w:color w:val="0000FF"/>
        </w:rPr>
        <w:fldChar w:fldCharType="separate"/>
      </w:r>
      <w:r w:rsidR="00E47ACA">
        <w:rPr>
          <w:b/>
          <w:color w:val="0000FF"/>
        </w:rPr>
        <w:t>11</w:t>
      </w:r>
      <w:r w:rsidR="00BB03E4" w:rsidRPr="00F33908">
        <w:rPr>
          <w:b/>
          <w:color w:val="0000FF"/>
        </w:rPr>
        <w:fldChar w:fldCharType="end"/>
      </w:r>
      <w:r w:rsidRPr="007A3223">
        <w:t xml:space="preserve">. </w:t>
      </w:r>
    </w:p>
    <w:p w14:paraId="4A1BB624" w14:textId="77777777" w:rsidR="007F51A4" w:rsidRPr="007A3223" w:rsidRDefault="007F51A4" w:rsidP="00804427"/>
    <w:p w14:paraId="24275DE5" w14:textId="51AB6D73" w:rsidR="00C10C63" w:rsidRPr="007A3223" w:rsidRDefault="00C10C63" w:rsidP="00FB66BA">
      <w:pPr>
        <w:pStyle w:val="ListParagraph"/>
        <w:numPr>
          <w:ilvl w:val="0"/>
          <w:numId w:val="42"/>
        </w:numPr>
        <w:ind w:left="360"/>
      </w:pPr>
      <w:r w:rsidRPr="007A3223">
        <w:t>Subjects in the Phase II study</w:t>
      </w:r>
      <w:r w:rsidR="00A92DC2" w:rsidRPr="007A3223">
        <w:t xml:space="preserve"> OvCa</w:t>
      </w:r>
      <w:r w:rsidR="00FC365C" w:rsidRPr="007A3223">
        <w:rPr>
          <w:lang w:val="en-US"/>
        </w:rPr>
        <w:t xml:space="preserve"> </w:t>
      </w:r>
      <w:r w:rsidR="006C3A96" w:rsidRPr="007A3223">
        <w:t>c</w:t>
      </w:r>
      <w:r w:rsidR="00A92DC2" w:rsidRPr="007A3223">
        <w:t>ohort</w:t>
      </w:r>
      <w:r w:rsidRPr="007A3223">
        <w:t xml:space="preserve"> </w:t>
      </w:r>
      <w:r w:rsidR="00F91CCA" w:rsidRPr="007A3223">
        <w:t xml:space="preserve">1 </w:t>
      </w:r>
      <w:r w:rsidRPr="007A3223">
        <w:t xml:space="preserve">will be allocated to </w:t>
      </w:r>
      <w:r w:rsidR="00FC365C" w:rsidRPr="007A3223">
        <w:rPr>
          <w:lang w:val="en-US"/>
        </w:rPr>
        <w:t>3</w:t>
      </w:r>
      <w:r w:rsidRPr="007A3223">
        <w:t xml:space="preserve"> possible </w:t>
      </w:r>
      <w:r w:rsidR="00FE4A37" w:rsidRPr="007A3223">
        <w:t xml:space="preserve">treatment </w:t>
      </w:r>
      <w:r w:rsidRPr="007A3223">
        <w:t xml:space="preserve">arms </w:t>
      </w:r>
      <w:r w:rsidR="00A92DC2" w:rsidRPr="007A3223">
        <w:t>at the PI’s discretion</w:t>
      </w:r>
      <w:r w:rsidR="00370C87" w:rsidRPr="007A3223">
        <w:t xml:space="preserve"> and/or based on their prior treatment history</w:t>
      </w:r>
      <w:r w:rsidRPr="007A3223">
        <w:t xml:space="preserve">: </w:t>
      </w:r>
    </w:p>
    <w:p w14:paraId="1549D35D" w14:textId="3FB76AFC" w:rsidR="00C10C63" w:rsidRPr="007A3223" w:rsidRDefault="00EB02D0" w:rsidP="00804427">
      <w:pPr>
        <w:pStyle w:val="ListParagraph"/>
      </w:pPr>
      <w:r w:rsidRPr="007A3223">
        <w:t xml:space="preserve">1) </w:t>
      </w:r>
      <w:r w:rsidR="00ED68BD">
        <w:rPr>
          <w:lang w:val="en-US"/>
        </w:rPr>
        <w:t>Durvalumab</w:t>
      </w:r>
      <w:r w:rsidR="005872C8" w:rsidRPr="007A3223">
        <w:t>+</w:t>
      </w:r>
      <w:r w:rsidR="00C10C63" w:rsidRPr="007A3223">
        <w:t>O</w:t>
      </w:r>
      <w:r w:rsidR="006C2369" w:rsidRPr="007A3223">
        <w:t xml:space="preserve"> </w:t>
      </w:r>
      <w:r w:rsidR="006C2369" w:rsidRPr="007A3223">
        <w:rPr>
          <w:lang w:val="en-US"/>
        </w:rPr>
        <w:t>arm</w:t>
      </w:r>
      <w:r w:rsidR="00C10C63" w:rsidRPr="007A3223">
        <w:t xml:space="preserve">: </w:t>
      </w:r>
      <w:r w:rsidR="00ED68BD">
        <w:rPr>
          <w:lang w:val="en-US"/>
        </w:rPr>
        <w:t>Durvalumab</w:t>
      </w:r>
      <w:r w:rsidR="00C10C63" w:rsidRPr="007A3223">
        <w:t>4736 in combination with olaparib, or</w:t>
      </w:r>
    </w:p>
    <w:p w14:paraId="6FF02CE8" w14:textId="03EEC336" w:rsidR="00CF48F4" w:rsidRPr="007A3223" w:rsidRDefault="00EB02D0" w:rsidP="00CF48F4">
      <w:pPr>
        <w:pStyle w:val="ListParagraph"/>
      </w:pPr>
      <w:r w:rsidRPr="007A3223">
        <w:t xml:space="preserve">2) </w:t>
      </w:r>
      <w:r w:rsidR="00ED68BD">
        <w:rPr>
          <w:lang w:val="en-US"/>
        </w:rPr>
        <w:t>Durvalumab</w:t>
      </w:r>
      <w:r w:rsidR="005872C8" w:rsidRPr="007A3223">
        <w:t>+</w:t>
      </w:r>
      <w:r w:rsidR="00C10C63" w:rsidRPr="007A3223">
        <w:t>C</w:t>
      </w:r>
      <w:r w:rsidR="006C2369" w:rsidRPr="007A3223">
        <w:rPr>
          <w:lang w:val="en-US"/>
        </w:rPr>
        <w:t xml:space="preserve"> arm</w:t>
      </w:r>
      <w:r w:rsidR="00C10C63" w:rsidRPr="007A3223">
        <w:t xml:space="preserve">: </w:t>
      </w:r>
      <w:r w:rsidR="00ED68BD">
        <w:rPr>
          <w:lang w:val="en-US"/>
        </w:rPr>
        <w:t>Durvalumab</w:t>
      </w:r>
      <w:r w:rsidR="00C10C63" w:rsidRPr="007A3223">
        <w:t xml:space="preserve"> in combination with cediranib</w:t>
      </w:r>
      <w:r w:rsidR="00CF48F4" w:rsidRPr="007A3223">
        <w:t>, or</w:t>
      </w:r>
    </w:p>
    <w:p w14:paraId="0D9BDAF3" w14:textId="6378AA02" w:rsidR="006C3A96" w:rsidRPr="007A3223" w:rsidRDefault="00CF48F4" w:rsidP="00CF48F4">
      <w:pPr>
        <w:pStyle w:val="ListParagraph"/>
      </w:pPr>
      <w:r w:rsidRPr="007A3223">
        <w:t xml:space="preserve">3) </w:t>
      </w:r>
      <w:r w:rsidR="00ED68BD">
        <w:rPr>
          <w:lang w:val="en-US"/>
        </w:rPr>
        <w:t>Durvalumab</w:t>
      </w:r>
      <w:r w:rsidRPr="007A3223">
        <w:t xml:space="preserve">+O+C arm: </w:t>
      </w:r>
      <w:r w:rsidR="00ED68BD">
        <w:rPr>
          <w:lang w:val="en-US"/>
        </w:rPr>
        <w:t>Durvalumab</w:t>
      </w:r>
      <w:r w:rsidRPr="007A3223">
        <w:t xml:space="preserve"> in combination with olaparib and cediranib</w:t>
      </w:r>
    </w:p>
    <w:p w14:paraId="41213152" w14:textId="271EEB91" w:rsidR="00B774AD" w:rsidRPr="007A3223" w:rsidRDefault="00B774AD" w:rsidP="00CF48F4">
      <w:pPr>
        <w:pStyle w:val="ListParagraph"/>
        <w:rPr>
          <w:lang w:val="en-US"/>
        </w:rPr>
      </w:pPr>
      <w:r w:rsidRPr="007A3223">
        <w:t>Effective with Amendment O (version date 7/25/2018),</w:t>
      </w:r>
      <w:r w:rsidR="00CD7EA4" w:rsidRPr="007A3223">
        <w:rPr>
          <w:lang w:val="en-US"/>
        </w:rPr>
        <w:t xml:space="preserve"> the Phase II</w:t>
      </w:r>
      <w:r w:rsidRPr="007A3223">
        <w:t xml:space="preserve"> </w:t>
      </w:r>
      <w:r w:rsidR="00ED68BD">
        <w:rPr>
          <w:lang w:val="en-US"/>
        </w:rPr>
        <w:t>Durvalumab</w:t>
      </w:r>
      <w:r w:rsidRPr="007A3223">
        <w:t xml:space="preserve">+O </w:t>
      </w:r>
      <w:r w:rsidR="00E120A3" w:rsidRPr="007A3223">
        <w:rPr>
          <w:lang w:val="en-US"/>
        </w:rPr>
        <w:t xml:space="preserve">OvCa cohort </w:t>
      </w:r>
      <w:r w:rsidRPr="007A3223">
        <w:rPr>
          <w:lang w:val="en-US"/>
        </w:rPr>
        <w:t xml:space="preserve">is </w:t>
      </w:r>
      <w:r w:rsidRPr="007A3223">
        <w:t>closed due to completed enrollment</w:t>
      </w:r>
      <w:r w:rsidRPr="007A3223">
        <w:rPr>
          <w:lang w:val="en-US"/>
        </w:rPr>
        <w:t>.</w:t>
      </w:r>
    </w:p>
    <w:p w14:paraId="101AB6D4" w14:textId="77777777" w:rsidR="00747A1A" w:rsidRPr="007A3223" w:rsidRDefault="00747A1A" w:rsidP="00383881">
      <w:pPr>
        <w:pStyle w:val="ListParagraph"/>
      </w:pPr>
    </w:p>
    <w:p w14:paraId="2FF682B2" w14:textId="77777777" w:rsidR="00CA734D" w:rsidRPr="007A3223" w:rsidRDefault="00CA734D" w:rsidP="00FB66BA">
      <w:pPr>
        <w:pStyle w:val="ListParagraph"/>
        <w:numPr>
          <w:ilvl w:val="0"/>
          <w:numId w:val="42"/>
        </w:numPr>
        <w:ind w:left="360"/>
      </w:pPr>
      <w:r w:rsidRPr="007A3223">
        <w:t xml:space="preserve">Subjects in the Phase II study NSCLC cohort 2 will be allocated to 2 possible arms at the PI’s discretion and/or based on their prior treatment history: </w:t>
      </w:r>
    </w:p>
    <w:p w14:paraId="1F00A575" w14:textId="72FBBF58" w:rsidR="00CA734D" w:rsidRPr="007A3223" w:rsidRDefault="00CA734D" w:rsidP="00CA734D">
      <w:pPr>
        <w:pStyle w:val="ListParagraph"/>
      </w:pPr>
      <w:r w:rsidRPr="007A3223">
        <w:t xml:space="preserve">1) </w:t>
      </w:r>
      <w:r w:rsidR="00ED68BD">
        <w:rPr>
          <w:lang w:val="en-US"/>
        </w:rPr>
        <w:t>Durvalumab</w:t>
      </w:r>
      <w:r w:rsidRPr="007A3223">
        <w:t xml:space="preserve">+O: </w:t>
      </w:r>
      <w:r w:rsidR="00ED68BD">
        <w:rPr>
          <w:lang w:val="en-US"/>
        </w:rPr>
        <w:t>Durvalumab</w:t>
      </w:r>
      <w:r w:rsidRPr="007A3223">
        <w:t xml:space="preserve"> in combination with olaparib, or</w:t>
      </w:r>
    </w:p>
    <w:p w14:paraId="76D83538" w14:textId="7BE42AD5" w:rsidR="00CA734D" w:rsidRPr="007A3223" w:rsidRDefault="00CA734D" w:rsidP="00CA734D">
      <w:pPr>
        <w:pStyle w:val="ListParagraph"/>
      </w:pPr>
      <w:r w:rsidRPr="007A3223">
        <w:t xml:space="preserve">2) </w:t>
      </w:r>
      <w:r w:rsidR="00ED68BD">
        <w:rPr>
          <w:lang w:val="en-US"/>
        </w:rPr>
        <w:t>Durvalumab</w:t>
      </w:r>
      <w:r w:rsidRPr="007A3223">
        <w:t xml:space="preserve">+C: </w:t>
      </w:r>
      <w:r w:rsidR="00ED68BD">
        <w:rPr>
          <w:lang w:val="en-US"/>
        </w:rPr>
        <w:t>Durvalumab</w:t>
      </w:r>
      <w:r w:rsidRPr="007A3223">
        <w:t xml:space="preserve"> in combination with cediranib</w:t>
      </w:r>
    </w:p>
    <w:p w14:paraId="444A28D7" w14:textId="7B4C337F" w:rsidR="00B774AD" w:rsidRPr="007A3223" w:rsidRDefault="00B774AD" w:rsidP="00CA734D">
      <w:pPr>
        <w:pStyle w:val="ListParagraph"/>
        <w:rPr>
          <w:lang w:val="en-US"/>
        </w:rPr>
      </w:pPr>
      <w:r w:rsidRPr="007A3223">
        <w:t xml:space="preserve">Effective with Amendment O (version date 7/25/2018), </w:t>
      </w:r>
      <w:r w:rsidR="00E1449E" w:rsidRPr="007A3223">
        <w:rPr>
          <w:lang w:val="en-US"/>
        </w:rPr>
        <w:t xml:space="preserve">the Phase II </w:t>
      </w:r>
      <w:r w:rsidR="00ED68BD">
        <w:rPr>
          <w:lang w:val="en-US"/>
        </w:rPr>
        <w:t>Durvalumab</w:t>
      </w:r>
      <w:r w:rsidRPr="007A3223">
        <w:t>+</w:t>
      </w:r>
      <w:r w:rsidRPr="007A3223">
        <w:rPr>
          <w:lang w:val="en-US"/>
        </w:rPr>
        <w:t>C</w:t>
      </w:r>
      <w:r w:rsidRPr="007A3223">
        <w:t xml:space="preserve"> </w:t>
      </w:r>
      <w:r w:rsidRPr="007A3223">
        <w:rPr>
          <w:lang w:val="en-US"/>
        </w:rPr>
        <w:t>NSCLC</w:t>
      </w:r>
      <w:r w:rsidRPr="007A3223">
        <w:t xml:space="preserve"> cohort</w:t>
      </w:r>
      <w:r w:rsidRPr="007A3223">
        <w:rPr>
          <w:lang w:val="en-US"/>
        </w:rPr>
        <w:t xml:space="preserve"> is</w:t>
      </w:r>
      <w:r w:rsidRPr="007A3223">
        <w:t xml:space="preserve"> closed due to </w:t>
      </w:r>
      <w:r w:rsidRPr="007A3223">
        <w:rPr>
          <w:lang w:val="en-US"/>
        </w:rPr>
        <w:t>slow accrual.</w:t>
      </w:r>
    </w:p>
    <w:p w14:paraId="4AB992F3" w14:textId="32E01FEF" w:rsidR="006C3A96" w:rsidRPr="007A3223" w:rsidRDefault="006C3A96" w:rsidP="00CA734D">
      <w:pPr>
        <w:pStyle w:val="ListParagraph"/>
        <w:ind w:left="360"/>
      </w:pPr>
    </w:p>
    <w:p w14:paraId="6BE4A759" w14:textId="5536C50A" w:rsidR="00747A1A" w:rsidRPr="007A3223" w:rsidRDefault="00747A1A" w:rsidP="00FB66BA">
      <w:pPr>
        <w:pStyle w:val="ListParagraph"/>
        <w:numPr>
          <w:ilvl w:val="0"/>
          <w:numId w:val="42"/>
        </w:numPr>
        <w:ind w:left="360"/>
      </w:pPr>
      <w:r w:rsidRPr="007A3223">
        <w:t>Subjects in the Phase II SCLC</w:t>
      </w:r>
      <w:r w:rsidR="00F91CCA" w:rsidRPr="007A3223">
        <w:t xml:space="preserve"> (cohort 3)</w:t>
      </w:r>
      <w:r w:rsidRPr="007A3223">
        <w:t>, mCRPC</w:t>
      </w:r>
      <w:r w:rsidR="00F91CCA" w:rsidRPr="007A3223">
        <w:t xml:space="preserve"> (cohort 4)</w:t>
      </w:r>
      <w:r w:rsidRPr="007A3223">
        <w:t xml:space="preserve"> and TNBC</w:t>
      </w:r>
      <w:r w:rsidR="00F91CCA" w:rsidRPr="007A3223">
        <w:t xml:space="preserve"> (cohort 5)</w:t>
      </w:r>
      <w:r w:rsidRPr="007A3223">
        <w:t xml:space="preserve"> cohorts will be assigned to only </w:t>
      </w:r>
      <w:r w:rsidR="00ED68BD">
        <w:rPr>
          <w:lang w:val="en-US"/>
        </w:rPr>
        <w:t>Durvalumab</w:t>
      </w:r>
      <w:r w:rsidR="005872C8" w:rsidRPr="007A3223">
        <w:t>+</w:t>
      </w:r>
      <w:r w:rsidRPr="007A3223">
        <w:t>O arm (</w:t>
      </w:r>
      <w:r w:rsidR="00ED68BD">
        <w:rPr>
          <w:lang w:val="en-US"/>
        </w:rPr>
        <w:t>Durvalumab</w:t>
      </w:r>
      <w:r w:rsidR="005872C8" w:rsidRPr="007A3223">
        <w:t xml:space="preserve"> 1500mg IV every 28 days</w:t>
      </w:r>
      <w:r w:rsidRPr="007A3223">
        <w:t xml:space="preserve"> in combination with olaparib</w:t>
      </w:r>
      <w:r w:rsidR="005872C8" w:rsidRPr="007A3223">
        <w:t xml:space="preserve"> 300mg tablets bid daily</w:t>
      </w:r>
      <w:r w:rsidRPr="007A3223">
        <w:t>)</w:t>
      </w:r>
    </w:p>
    <w:p w14:paraId="3DF4F459" w14:textId="3131FB2F" w:rsidR="00747A1A" w:rsidRPr="007A3223" w:rsidRDefault="00B774AD" w:rsidP="00747A1A">
      <w:pPr>
        <w:pStyle w:val="ListParagraph"/>
        <w:ind w:left="360"/>
        <w:rPr>
          <w:lang w:val="en-US"/>
        </w:rPr>
      </w:pPr>
      <w:r w:rsidRPr="007A3223">
        <w:t xml:space="preserve">Effective with Amendment O (version date 7/25/2018), </w:t>
      </w:r>
      <w:r w:rsidR="00DA7F82" w:rsidRPr="007A3223">
        <w:rPr>
          <w:lang w:val="en-US"/>
        </w:rPr>
        <w:t xml:space="preserve">the Phase II </w:t>
      </w:r>
      <w:r w:rsidR="00ED68BD">
        <w:rPr>
          <w:lang w:val="en-US"/>
        </w:rPr>
        <w:t>Durvalumab</w:t>
      </w:r>
      <w:r w:rsidRPr="007A3223">
        <w:t xml:space="preserve">+O </w:t>
      </w:r>
      <w:r w:rsidRPr="007A3223">
        <w:rPr>
          <w:lang w:val="en-US"/>
        </w:rPr>
        <w:t>SCLC cohort is</w:t>
      </w:r>
      <w:r w:rsidRPr="007A3223">
        <w:t xml:space="preserve"> closed due to completed enrollment</w:t>
      </w:r>
      <w:r w:rsidRPr="007A3223">
        <w:rPr>
          <w:lang w:val="en-US"/>
        </w:rPr>
        <w:t>.</w:t>
      </w:r>
    </w:p>
    <w:p w14:paraId="665F8FDA" w14:textId="77777777" w:rsidR="00B774AD" w:rsidRPr="007A3223" w:rsidRDefault="00B774AD" w:rsidP="00747A1A">
      <w:pPr>
        <w:pStyle w:val="ListParagraph"/>
        <w:ind w:left="360"/>
      </w:pPr>
    </w:p>
    <w:p w14:paraId="794ECD46" w14:textId="6F61E9B5" w:rsidR="00747A1A" w:rsidRPr="007A3223" w:rsidRDefault="00747A1A" w:rsidP="00FB66BA">
      <w:pPr>
        <w:pStyle w:val="ListParagraph"/>
        <w:numPr>
          <w:ilvl w:val="0"/>
          <w:numId w:val="42"/>
        </w:numPr>
        <w:ind w:left="360"/>
      </w:pPr>
      <w:r w:rsidRPr="007A3223">
        <w:t>For patients in the Phase II TNBC cohort</w:t>
      </w:r>
      <w:r w:rsidR="00F91CCA" w:rsidRPr="007A3223">
        <w:t xml:space="preserve"> 5</w:t>
      </w:r>
      <w:r w:rsidRPr="007A3223">
        <w:t xml:space="preserve">, documentation for gBRCAm status will be required prior to enrollment (See Section 8). For those who have no gBRCAm testing results, the study team will contact the referring physician or the health insurance company, or other resources if necessary, to get a testing performed prior to enrollment.   </w:t>
      </w:r>
    </w:p>
    <w:p w14:paraId="5F25F98D" w14:textId="77777777" w:rsidR="00747A1A" w:rsidRPr="007A3223" w:rsidRDefault="00747A1A" w:rsidP="00747A1A"/>
    <w:p w14:paraId="4EE391A1" w14:textId="092705C6" w:rsidR="00747A1A" w:rsidRPr="007A3223" w:rsidRDefault="00747A1A" w:rsidP="00FB66BA">
      <w:pPr>
        <w:pStyle w:val="ListParagraph"/>
        <w:numPr>
          <w:ilvl w:val="0"/>
          <w:numId w:val="42"/>
        </w:numPr>
        <w:ind w:left="360"/>
      </w:pPr>
      <w:r w:rsidRPr="007A3223">
        <w:t xml:space="preserve">Subjects in the Phase II study CRC cohort </w:t>
      </w:r>
      <w:r w:rsidR="00F91CCA" w:rsidRPr="007A3223">
        <w:t xml:space="preserve">6 </w:t>
      </w:r>
      <w:r w:rsidRPr="007A3223">
        <w:t>will be allocated to</w:t>
      </w:r>
      <w:r w:rsidR="00CE51B8" w:rsidRPr="007A3223">
        <w:rPr>
          <w:lang w:val="en-US"/>
        </w:rPr>
        <w:t xml:space="preserve"> </w:t>
      </w:r>
      <w:r w:rsidR="00661A37" w:rsidRPr="007A3223">
        <w:t>C+</w:t>
      </w:r>
      <w:r w:rsidR="005404D3">
        <w:rPr>
          <w:lang w:val="en-US"/>
        </w:rPr>
        <w:t>Durvalumab</w:t>
      </w:r>
      <w:r w:rsidRPr="007A3223">
        <w:t xml:space="preserve"> arm (</w:t>
      </w:r>
      <w:r w:rsidR="004A1DC4" w:rsidRPr="007A3223">
        <w:t xml:space="preserve">cediranib alone followed by </w:t>
      </w:r>
      <w:r w:rsidR="005404D3">
        <w:rPr>
          <w:lang w:val="en-US"/>
        </w:rPr>
        <w:t>Durvalumab</w:t>
      </w:r>
      <w:r w:rsidRPr="007A3223">
        <w:t xml:space="preserve"> in combination with cediranib). As a pilot biomarker study, the CRC patients will start cediranib alone for 14 days (cycle 1 </w:t>
      </w:r>
      <w:r w:rsidR="001F0601" w:rsidRPr="007A3223">
        <w:t>day – (minus) 1</w:t>
      </w:r>
      <w:r w:rsidR="00C13481" w:rsidRPr="007A3223">
        <w:t>4</w:t>
      </w:r>
      <w:r w:rsidR="002A7FC2" w:rsidRPr="007A3223">
        <w:t xml:space="preserve"> to -1</w:t>
      </w:r>
      <w:r w:rsidRPr="007A3223">
        <w:t xml:space="preserve">) then begin </w:t>
      </w:r>
      <w:r w:rsidR="005404D3">
        <w:rPr>
          <w:lang w:val="en-US"/>
        </w:rPr>
        <w:t>Durvalumab</w:t>
      </w:r>
      <w:r w:rsidRPr="007A3223">
        <w:t xml:space="preserve"> with cediranib on cycle 1 day 1.</w:t>
      </w:r>
      <w:r w:rsidR="007F1C23" w:rsidRPr="007A3223">
        <w:rPr>
          <w:lang w:val="en-US"/>
        </w:rPr>
        <w:t xml:space="preserve">  </w:t>
      </w:r>
      <w:r w:rsidR="007F1C23" w:rsidRPr="007A3223">
        <w:t>Of note, there is no cycle 1 day 0.</w:t>
      </w:r>
      <w:r w:rsidR="00B774AD" w:rsidRPr="007A3223">
        <w:t xml:space="preserve"> Effective with Amendment O (version date 7/25/2018), </w:t>
      </w:r>
      <w:r w:rsidR="00DC7D83" w:rsidRPr="007A3223">
        <w:rPr>
          <w:lang w:val="en-US"/>
        </w:rPr>
        <w:t xml:space="preserve">the Phase II </w:t>
      </w:r>
      <w:r w:rsidR="005404D3">
        <w:rPr>
          <w:lang w:val="en-US"/>
        </w:rPr>
        <w:t>Durvalumab</w:t>
      </w:r>
      <w:r w:rsidR="00DC7D83" w:rsidRPr="007A3223">
        <w:rPr>
          <w:lang w:val="en-US"/>
        </w:rPr>
        <w:t>+</w:t>
      </w:r>
      <w:r w:rsidR="00B774AD" w:rsidRPr="007A3223">
        <w:rPr>
          <w:lang w:val="en-US"/>
        </w:rPr>
        <w:t>C</w:t>
      </w:r>
      <w:r w:rsidR="00B774AD" w:rsidRPr="007A3223">
        <w:t xml:space="preserve"> </w:t>
      </w:r>
      <w:r w:rsidR="00B774AD" w:rsidRPr="007A3223">
        <w:rPr>
          <w:lang w:val="en-US"/>
        </w:rPr>
        <w:t xml:space="preserve">CRC cohort is </w:t>
      </w:r>
      <w:r w:rsidR="00B774AD" w:rsidRPr="007A3223">
        <w:t>closed due to completed enrollment</w:t>
      </w:r>
      <w:r w:rsidR="00B774AD" w:rsidRPr="007A3223">
        <w:rPr>
          <w:lang w:val="en-US"/>
        </w:rPr>
        <w:t>.</w:t>
      </w:r>
    </w:p>
    <w:p w14:paraId="0B56AD8D" w14:textId="63808F70" w:rsidR="000F7149" w:rsidRPr="007A3223" w:rsidRDefault="001154EF" w:rsidP="001154EF">
      <w:pPr>
        <w:pStyle w:val="Caption"/>
      </w:pPr>
      <w:bookmarkStart w:id="120" w:name="_Ref456702530"/>
      <w:r w:rsidRPr="007A3223">
        <w:t xml:space="preserve">Figure </w:t>
      </w:r>
      <w:r w:rsidR="00F82420" w:rsidRPr="00F33908">
        <w:rPr>
          <w:noProof/>
        </w:rPr>
        <w:fldChar w:fldCharType="begin"/>
      </w:r>
      <w:r w:rsidR="00F82420" w:rsidRPr="007A3223">
        <w:rPr>
          <w:noProof/>
        </w:rPr>
        <w:instrText xml:space="preserve"> SEQ Figure \* ARABIC </w:instrText>
      </w:r>
      <w:r w:rsidR="00F82420" w:rsidRPr="00F33908">
        <w:rPr>
          <w:noProof/>
        </w:rPr>
        <w:fldChar w:fldCharType="separate"/>
      </w:r>
      <w:r w:rsidR="00E47ACA">
        <w:rPr>
          <w:noProof/>
        </w:rPr>
        <w:t>9</w:t>
      </w:r>
      <w:r w:rsidR="00F82420" w:rsidRPr="00F33908">
        <w:rPr>
          <w:noProof/>
        </w:rPr>
        <w:fldChar w:fldCharType="end"/>
      </w:r>
      <w:bookmarkEnd w:id="120"/>
      <w:r w:rsidRPr="007A3223">
        <w:rPr>
          <w:lang w:val="en-US"/>
        </w:rPr>
        <w:t xml:space="preserve"> </w:t>
      </w:r>
      <w:r w:rsidRPr="00F33908">
        <w:t xml:space="preserve">Schema </w:t>
      </w:r>
      <w:r w:rsidRPr="007A3223">
        <w:t>for CRC Cohort</w:t>
      </w:r>
      <w:r w:rsidR="00F91CCA" w:rsidRPr="007A3223">
        <w:t xml:space="preserve"> 6</w:t>
      </w:r>
    </w:p>
    <w:p w14:paraId="174CA875" w14:textId="77777777" w:rsidR="00747A1A" w:rsidRPr="007A3223" w:rsidRDefault="00444A62" w:rsidP="00804427">
      <w:r w:rsidRPr="007A3223">
        <w:rPr>
          <w:noProof/>
          <w:lang w:eastAsia="ko-KR"/>
        </w:rPr>
        <w:drawing>
          <wp:inline distT="0" distB="0" distL="0" distR="0" wp14:anchorId="1EEE7EFD" wp14:editId="3E8A67E2">
            <wp:extent cx="5943600" cy="284354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C.pdf"/>
                    <pic:cNvPicPr/>
                  </pic:nvPicPr>
                  <pic:blipFill rotWithShape="1">
                    <a:blip r:embed="rId19">
                      <a:extLst>
                        <a:ext uri="{28A0092B-C50C-407E-A947-70E740481C1C}">
                          <a14:useLocalDpi xmlns:a14="http://schemas.microsoft.com/office/drawing/2010/main" val="0"/>
                        </a:ext>
                      </a:extLst>
                    </a:blip>
                    <a:srcRect t="16540"/>
                    <a:stretch/>
                  </pic:blipFill>
                  <pic:spPr bwMode="auto">
                    <a:xfrm>
                      <a:off x="0" y="0"/>
                      <a:ext cx="5943600" cy="2843545"/>
                    </a:xfrm>
                    <a:prstGeom prst="rect">
                      <a:avLst/>
                    </a:prstGeom>
                    <a:ln>
                      <a:noFill/>
                    </a:ln>
                    <a:extLst>
                      <a:ext uri="{53640926-AAD7-44D8-BBD7-CCE9431645EC}">
                        <a14:shadowObscured xmlns:a14="http://schemas.microsoft.com/office/drawing/2010/main"/>
                      </a:ext>
                    </a:extLst>
                  </pic:spPr>
                </pic:pic>
              </a:graphicData>
            </a:graphic>
          </wp:inline>
        </w:drawing>
      </w:r>
    </w:p>
    <w:p w14:paraId="72E746C0" w14:textId="77777777" w:rsidR="00153E0E" w:rsidRPr="00F33908" w:rsidRDefault="00153E0E" w:rsidP="004C390D"/>
    <w:p w14:paraId="2D922112" w14:textId="77777777" w:rsidR="00747A1A" w:rsidRPr="00380A33" w:rsidRDefault="00A861BB" w:rsidP="004C390D">
      <w:r w:rsidRPr="007A3223">
        <w:t>The CRO will send an email confirmation of the registration</w:t>
      </w:r>
      <w:r w:rsidR="007A3D1A" w:rsidRPr="007A3223">
        <w:t xml:space="preserve"> and </w:t>
      </w:r>
      <w:r w:rsidRPr="007A3223">
        <w:t xml:space="preserve">cohort assignment to the person initiating the registration immediately following the registration and/or </w:t>
      </w:r>
      <w:r w:rsidR="00040B92" w:rsidRPr="007A3223">
        <w:t>treatment assignment</w:t>
      </w:r>
      <w:r w:rsidRPr="007A3223">
        <w:t xml:space="preserve">. </w:t>
      </w:r>
      <w:r w:rsidR="00EB6AD0" w:rsidRPr="007A3223">
        <w:t>I</w:t>
      </w:r>
      <w:r w:rsidRPr="007A3223">
        <w:t xml:space="preserve">f only one arm warrants further investigation, accrual will proceed without </w:t>
      </w:r>
      <w:r w:rsidR="007A3D1A" w:rsidRPr="007A3223">
        <w:t>continuing another treatment arm</w:t>
      </w:r>
      <w:r w:rsidRPr="007A3223">
        <w:t xml:space="preserve">. </w:t>
      </w:r>
      <w:r w:rsidR="00E027F5" w:rsidRPr="007A3223">
        <w:t>If accrual to the stage 2 portion is warranted in both treatment arms, the CRO will also contact the Clinical Center Pharmacy (301-496-8092) to identify each patient’s treatment assignment.</w:t>
      </w:r>
      <w:r w:rsidR="00747A1A" w:rsidRPr="00380A33">
        <w:t xml:space="preserve"> </w:t>
      </w:r>
    </w:p>
    <w:p w14:paraId="5A0B89FA" w14:textId="77777777" w:rsidR="00636857" w:rsidRPr="007A3223" w:rsidRDefault="00636857" w:rsidP="007B7F09">
      <w:pPr>
        <w:spacing w:after="0"/>
      </w:pPr>
    </w:p>
    <w:p w14:paraId="07B91EE1" w14:textId="77777777" w:rsidR="00636857" w:rsidRPr="007A3223" w:rsidRDefault="00636857" w:rsidP="00ED703B">
      <w:pPr>
        <w:pStyle w:val="Heading2"/>
      </w:pPr>
      <w:bookmarkStart w:id="121" w:name="_Ref450561060"/>
      <w:bookmarkStart w:id="122" w:name="_Ref450561068"/>
      <w:bookmarkStart w:id="123" w:name="_Ref450561124"/>
      <w:bookmarkStart w:id="124" w:name="_Ref450561131"/>
      <w:bookmarkStart w:id="125" w:name="_Ref450581661"/>
      <w:bookmarkStart w:id="126" w:name="_Ref450581720"/>
      <w:bookmarkStart w:id="127" w:name="_Ref450581886"/>
      <w:bookmarkStart w:id="128" w:name="_Ref450581930"/>
      <w:bookmarkStart w:id="129" w:name="_Ref450582104"/>
      <w:bookmarkStart w:id="130" w:name="_Ref450582130"/>
      <w:bookmarkStart w:id="131" w:name="_Ref450582253"/>
      <w:bookmarkStart w:id="132" w:name="_Ref450582273"/>
      <w:bookmarkStart w:id="133" w:name="_Ref450582542"/>
      <w:bookmarkStart w:id="134" w:name="_Ref450582564"/>
      <w:bookmarkStart w:id="135" w:name="_Toc82444353"/>
      <w:r w:rsidRPr="007A3223">
        <w:t>R</w:t>
      </w:r>
      <w:r w:rsidR="00ED3929" w:rsidRPr="00F33908">
        <w:t>ESTRICTIONS DURING THE STUDY</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ED3929" w:rsidRPr="00F33908">
        <w:t xml:space="preserve"> </w:t>
      </w:r>
    </w:p>
    <w:p w14:paraId="63E25628" w14:textId="77777777" w:rsidR="00636857" w:rsidRPr="007A3223" w:rsidRDefault="00636857" w:rsidP="00300203">
      <w:pPr>
        <w:rPr>
          <w:u w:val="single"/>
        </w:rPr>
      </w:pPr>
      <w:r w:rsidRPr="007A3223">
        <w:rPr>
          <w:u w:val="single"/>
        </w:rPr>
        <w:t>Contraception</w:t>
      </w:r>
    </w:p>
    <w:p w14:paraId="7D10341D" w14:textId="39152B29" w:rsidR="00DD3AC0" w:rsidRPr="007A3223" w:rsidRDefault="00115727" w:rsidP="00FB66BA">
      <w:pPr>
        <w:pStyle w:val="A-ListNumber"/>
        <w:keepNext/>
        <w:keepLines/>
        <w:numPr>
          <w:ilvl w:val="0"/>
          <w:numId w:val="52"/>
        </w:numPr>
        <w:spacing w:after="0" w:line="240" w:lineRule="auto"/>
        <w:ind w:left="360"/>
        <w:rPr>
          <w:szCs w:val="24"/>
          <w:lang w:val="en-US"/>
        </w:rPr>
      </w:pPr>
      <w:r w:rsidRPr="007A3223">
        <w:rPr>
          <w:szCs w:val="24"/>
          <w:lang w:val="en-US"/>
        </w:rPr>
        <w:t xml:space="preserve">Females of childbearing potential who are sexually active with a nonsterilized male partner must use 2 methods of effective contraception from screening, and must agree to continue using such precautions for 90 days after the final dose of </w:t>
      </w:r>
      <w:r w:rsidR="00E027F5" w:rsidRPr="007A3223">
        <w:rPr>
          <w:szCs w:val="24"/>
          <w:lang w:val="en-US"/>
        </w:rPr>
        <w:t xml:space="preserve">any study-related medications (olaparib, cediranib, and </w:t>
      </w:r>
      <w:r w:rsidR="005404D3">
        <w:rPr>
          <w:szCs w:val="24"/>
          <w:lang w:val="en-US"/>
        </w:rPr>
        <w:t>Durvalumab</w:t>
      </w:r>
      <w:r w:rsidR="00E027F5" w:rsidRPr="007A3223">
        <w:rPr>
          <w:szCs w:val="24"/>
          <w:lang w:val="en-US"/>
        </w:rPr>
        <w:t>)</w:t>
      </w:r>
      <w:r w:rsidRPr="007A3223">
        <w:rPr>
          <w:szCs w:val="24"/>
          <w:lang w:val="en-US"/>
        </w:rPr>
        <w:t xml:space="preserve">; cessation of birth control after this point should be discussed with a responsible physician. </w:t>
      </w:r>
      <w:r w:rsidR="00636857" w:rsidRPr="007A3223">
        <w:rPr>
          <w:szCs w:val="24"/>
          <w:lang w:val="en-US"/>
        </w:rPr>
        <w:t>Periodic abstinence, the rhythm method, and the withdrawal method are not acceptable methods of birth control.</w:t>
      </w:r>
    </w:p>
    <w:p w14:paraId="71AC38D7" w14:textId="77777777" w:rsidR="00DD3AC0" w:rsidRPr="007A3223" w:rsidRDefault="00636857" w:rsidP="00FB66BA">
      <w:pPr>
        <w:pStyle w:val="A-ListNumber"/>
        <w:keepNext/>
        <w:keepLines/>
        <w:numPr>
          <w:ilvl w:val="0"/>
          <w:numId w:val="52"/>
        </w:numPr>
        <w:spacing w:after="0" w:line="240" w:lineRule="auto"/>
        <w:ind w:left="360"/>
        <w:rPr>
          <w:szCs w:val="24"/>
          <w:lang w:val="en-US"/>
        </w:rPr>
      </w:pPr>
      <w:r w:rsidRPr="007A3223">
        <w:rPr>
          <w:szCs w:val="24"/>
          <w:lang w:val="en-US"/>
        </w:rPr>
        <w:t>Females of childbearing potential are defined as those who are not surgically sterile (i.e., bilateral tubal ligation, bilateral oophorectomy, or complete hysterectomy) or postmenopausal (defined as 12 months with no menses without an alternative medical cause).</w:t>
      </w:r>
    </w:p>
    <w:p w14:paraId="770D7721" w14:textId="680C2406" w:rsidR="00DD3AC0" w:rsidRPr="00F33908" w:rsidRDefault="00636857" w:rsidP="004D4C46">
      <w:pPr>
        <w:pStyle w:val="A-ListNumber"/>
        <w:keepNext/>
        <w:keepLines/>
        <w:numPr>
          <w:ilvl w:val="0"/>
          <w:numId w:val="0"/>
        </w:numPr>
        <w:spacing w:after="0" w:line="240" w:lineRule="auto"/>
        <w:ind w:left="360"/>
        <w:rPr>
          <w:szCs w:val="24"/>
          <w:lang w:val="en-US"/>
        </w:rPr>
      </w:pPr>
      <w:r w:rsidRPr="007A3223">
        <w:rPr>
          <w:szCs w:val="24"/>
          <w:lang w:val="en-US"/>
        </w:rPr>
        <w:t>Subjects must use 2 acceptable methods of effective contr</w:t>
      </w:r>
      <w:r w:rsidR="00ED3929" w:rsidRPr="007A3223">
        <w:rPr>
          <w:szCs w:val="24"/>
          <w:lang w:val="en-US"/>
        </w:rPr>
        <w:t xml:space="preserve">aception as described in </w:t>
      </w:r>
      <w:r w:rsidR="00307B04" w:rsidRPr="00F33908">
        <w:rPr>
          <w:b/>
          <w:color w:val="0000FF"/>
        </w:rPr>
        <w:fldChar w:fldCharType="begin"/>
      </w:r>
      <w:r w:rsidR="00307B04" w:rsidRPr="007A3223">
        <w:rPr>
          <w:b/>
          <w:color w:val="0000FF"/>
        </w:rPr>
        <w:instrText xml:space="preserve"> REF _Ref408913856 \h  \* MERGEFORMAT </w:instrText>
      </w:r>
      <w:r w:rsidR="00307B04" w:rsidRPr="00F33908">
        <w:rPr>
          <w:b/>
          <w:color w:val="0000FF"/>
        </w:rPr>
      </w:r>
      <w:r w:rsidR="00307B04" w:rsidRPr="00F33908">
        <w:rPr>
          <w:b/>
          <w:color w:val="0000FF"/>
        </w:rPr>
        <w:fldChar w:fldCharType="separate"/>
      </w:r>
      <w:r w:rsidR="00E47ACA" w:rsidRPr="00E47ACA">
        <w:rPr>
          <w:b/>
          <w:color w:val="0000FF"/>
          <w:lang w:val="en-US"/>
        </w:rPr>
        <w:t xml:space="preserve">Table </w:t>
      </w:r>
      <w:r w:rsidR="00E47ACA" w:rsidRPr="00E47ACA">
        <w:rPr>
          <w:b/>
          <w:bCs/>
          <w:noProof/>
          <w:color w:val="0000FF"/>
          <w:lang w:val="en-US"/>
        </w:rPr>
        <w:t>5</w:t>
      </w:r>
      <w:r w:rsidR="00307B04" w:rsidRPr="00F33908">
        <w:rPr>
          <w:b/>
          <w:color w:val="0000FF"/>
        </w:rPr>
        <w:fldChar w:fldCharType="end"/>
      </w:r>
      <w:r w:rsidRPr="007A3223">
        <w:rPr>
          <w:szCs w:val="24"/>
          <w:lang w:val="en-US"/>
        </w:rPr>
        <w:t>.</w:t>
      </w:r>
    </w:p>
    <w:p w14:paraId="5AA023E6" w14:textId="4E86E365" w:rsidR="00636857" w:rsidRPr="007A3223" w:rsidRDefault="00115727" w:rsidP="00FB66BA">
      <w:pPr>
        <w:pStyle w:val="A-ListNumber"/>
        <w:numPr>
          <w:ilvl w:val="0"/>
          <w:numId w:val="52"/>
        </w:numPr>
        <w:spacing w:after="0" w:line="240" w:lineRule="auto"/>
        <w:ind w:left="360"/>
        <w:rPr>
          <w:szCs w:val="24"/>
          <w:lang w:val="en-US"/>
        </w:rPr>
      </w:pPr>
      <w:r w:rsidRPr="007A3223">
        <w:rPr>
          <w:szCs w:val="24"/>
          <w:lang w:val="en-US"/>
        </w:rPr>
        <w:t>Nonsterilized</w:t>
      </w:r>
      <w:r w:rsidR="00636857" w:rsidRPr="007A3223">
        <w:rPr>
          <w:szCs w:val="24"/>
          <w:lang w:val="en-US"/>
        </w:rPr>
        <w:t xml:space="preserve"> males who are sexually active with a female partner of childbearing potential must use 2 acceptable methods of effe</w:t>
      </w:r>
      <w:r w:rsidR="00ED3929" w:rsidRPr="007A3223">
        <w:rPr>
          <w:szCs w:val="24"/>
          <w:lang w:val="en-US"/>
        </w:rPr>
        <w:t xml:space="preserve">ctive contraception (see </w:t>
      </w:r>
      <w:r w:rsidR="00307B04" w:rsidRPr="00F33908">
        <w:rPr>
          <w:b/>
          <w:color w:val="0000FF"/>
        </w:rPr>
        <w:fldChar w:fldCharType="begin"/>
      </w:r>
      <w:r w:rsidR="00307B04" w:rsidRPr="007A3223">
        <w:rPr>
          <w:b/>
          <w:color w:val="0000FF"/>
        </w:rPr>
        <w:instrText xml:space="preserve"> REF _Ref408913856 \h  \* MERGEFORMAT </w:instrText>
      </w:r>
      <w:r w:rsidR="00307B04" w:rsidRPr="00F33908">
        <w:rPr>
          <w:b/>
          <w:color w:val="0000FF"/>
        </w:rPr>
      </w:r>
      <w:r w:rsidR="00307B04" w:rsidRPr="00F33908">
        <w:rPr>
          <w:b/>
          <w:color w:val="0000FF"/>
        </w:rPr>
        <w:fldChar w:fldCharType="separate"/>
      </w:r>
      <w:r w:rsidR="00E47ACA" w:rsidRPr="00E47ACA">
        <w:rPr>
          <w:b/>
          <w:color w:val="0000FF"/>
          <w:lang w:val="en-US"/>
        </w:rPr>
        <w:t xml:space="preserve">Table </w:t>
      </w:r>
      <w:r w:rsidR="00E47ACA" w:rsidRPr="00E47ACA">
        <w:rPr>
          <w:b/>
          <w:bCs/>
          <w:noProof/>
          <w:color w:val="0000FF"/>
          <w:lang w:val="en-US"/>
        </w:rPr>
        <w:t>5</w:t>
      </w:r>
      <w:r w:rsidR="00307B04" w:rsidRPr="00F33908">
        <w:rPr>
          <w:b/>
          <w:color w:val="0000FF"/>
        </w:rPr>
        <w:fldChar w:fldCharType="end"/>
      </w:r>
      <w:r w:rsidR="00636857" w:rsidRPr="007A3223">
        <w:rPr>
          <w:szCs w:val="24"/>
          <w:lang w:val="en-US"/>
        </w:rPr>
        <w:t xml:space="preserve">) </w:t>
      </w:r>
      <w:r w:rsidR="00636857" w:rsidRPr="00F33908">
        <w:rPr>
          <w:szCs w:val="24"/>
          <w:lang w:val="en-US"/>
        </w:rPr>
        <w:t xml:space="preserve">from </w:t>
      </w:r>
      <w:r w:rsidR="00680972" w:rsidRPr="007A3223">
        <w:rPr>
          <w:szCs w:val="24"/>
          <w:lang w:val="en-US"/>
        </w:rPr>
        <w:t>d</w:t>
      </w:r>
      <w:r w:rsidR="00636857" w:rsidRPr="007A3223">
        <w:rPr>
          <w:szCs w:val="24"/>
          <w:lang w:val="en-US"/>
        </w:rPr>
        <w:t>ay 1 and for 90 days after receipt of the final dose of investigational product.</w:t>
      </w:r>
    </w:p>
    <w:tbl>
      <w:tblPr>
        <w:tblW w:w="0" w:type="auto"/>
        <w:tblLayout w:type="fixed"/>
        <w:tblLook w:val="0000" w:firstRow="0" w:lastRow="0" w:firstColumn="0" w:lastColumn="0" w:noHBand="0" w:noVBand="0"/>
      </w:tblPr>
      <w:tblGrid>
        <w:gridCol w:w="3528"/>
        <w:gridCol w:w="3668"/>
        <w:gridCol w:w="2121"/>
      </w:tblGrid>
      <w:tr w:rsidR="00636857" w:rsidRPr="007A3223" w14:paraId="016BCAC7" w14:textId="77777777" w:rsidTr="005D727A">
        <w:trPr>
          <w:cantSplit/>
          <w:tblHeader/>
        </w:trPr>
        <w:tc>
          <w:tcPr>
            <w:tcW w:w="9317" w:type="dxa"/>
            <w:gridSpan w:val="3"/>
            <w:tcBorders>
              <w:bottom w:val="single" w:sz="12" w:space="0" w:color="auto"/>
            </w:tcBorders>
          </w:tcPr>
          <w:p w14:paraId="4C8E1295" w14:textId="02F77C75" w:rsidR="00636857" w:rsidRPr="007A3223" w:rsidRDefault="007500D6" w:rsidP="005D727A">
            <w:pPr>
              <w:pStyle w:val="A-TableTitle"/>
              <w:keepLines/>
              <w:rPr>
                <w:sz w:val="22"/>
                <w:szCs w:val="22"/>
                <w:lang w:val="en-US"/>
              </w:rPr>
            </w:pPr>
            <w:bookmarkStart w:id="136" w:name="_Ref408913856"/>
            <w:bookmarkStart w:id="137" w:name="_Toc82444439"/>
            <w:r w:rsidRPr="007A3223">
              <w:rPr>
                <w:lang w:val="en-US"/>
              </w:rPr>
              <w:t xml:space="preserve">Table </w:t>
            </w:r>
            <w:r w:rsidR="002457B0" w:rsidRPr="00F33908">
              <w:rPr>
                <w:b w:val="0"/>
                <w:bCs/>
                <w:lang w:val="en-US"/>
              </w:rPr>
              <w:fldChar w:fldCharType="begin"/>
            </w:r>
            <w:r w:rsidR="00F269EF" w:rsidRPr="007A3223">
              <w:rPr>
                <w:b w:val="0"/>
                <w:bCs/>
                <w:lang w:val="en-US"/>
              </w:rPr>
              <w:instrText xml:space="preserve"> SEQ Table \* ARABIC </w:instrText>
            </w:r>
            <w:r w:rsidR="002457B0" w:rsidRPr="00F33908">
              <w:rPr>
                <w:b w:val="0"/>
                <w:bCs/>
                <w:lang w:val="en-US"/>
              </w:rPr>
              <w:fldChar w:fldCharType="separate"/>
            </w:r>
            <w:r w:rsidR="00E47ACA">
              <w:rPr>
                <w:b w:val="0"/>
                <w:bCs/>
                <w:noProof/>
                <w:lang w:val="en-US"/>
              </w:rPr>
              <w:t>5</w:t>
            </w:r>
            <w:r w:rsidR="002457B0" w:rsidRPr="00F33908">
              <w:rPr>
                <w:rFonts w:eastAsia="Batang"/>
                <w:b w:val="0"/>
                <w:szCs w:val="22"/>
                <w:lang w:val="en-US"/>
              </w:rPr>
              <w:fldChar w:fldCharType="end"/>
            </w:r>
            <w:bookmarkEnd w:id="136"/>
            <w:r w:rsidR="00636857" w:rsidRPr="007A3223">
              <w:rPr>
                <w:sz w:val="22"/>
                <w:szCs w:val="22"/>
                <w:lang w:val="en-US"/>
              </w:rPr>
              <w:tab/>
            </w:r>
            <w:r w:rsidR="00636857" w:rsidRPr="00F33908">
              <w:rPr>
                <w:sz w:val="22"/>
                <w:szCs w:val="22"/>
                <w:lang w:val="en-US"/>
              </w:rPr>
              <w:t>Effective methods of contraception (two methods must be used)</w:t>
            </w:r>
            <w:bookmarkEnd w:id="137"/>
          </w:p>
        </w:tc>
      </w:tr>
      <w:tr w:rsidR="00636857" w:rsidRPr="007A3223" w14:paraId="5CB6ADEE" w14:textId="77777777" w:rsidTr="005D727A">
        <w:trPr>
          <w:cantSplit/>
          <w:tblHeader/>
        </w:trPr>
        <w:tc>
          <w:tcPr>
            <w:tcW w:w="3528" w:type="dxa"/>
            <w:tcBorders>
              <w:top w:val="single" w:sz="12" w:space="0" w:color="auto"/>
              <w:bottom w:val="single" w:sz="6" w:space="0" w:color="auto"/>
            </w:tcBorders>
          </w:tcPr>
          <w:p w14:paraId="1F4EF64F" w14:textId="77777777" w:rsidR="00636857" w:rsidRPr="007A3223" w:rsidRDefault="00636857" w:rsidP="005D727A">
            <w:pPr>
              <w:pStyle w:val="TableHeader"/>
              <w:jc w:val="left"/>
              <w:rPr>
                <w:rFonts w:ascii="Times New Roman" w:hAnsi="Times New Roman"/>
                <w:sz w:val="22"/>
                <w:szCs w:val="22"/>
              </w:rPr>
            </w:pPr>
            <w:r w:rsidRPr="007A3223">
              <w:rPr>
                <w:rFonts w:ascii="Times New Roman" w:hAnsi="Times New Roman"/>
                <w:sz w:val="22"/>
                <w:szCs w:val="22"/>
              </w:rPr>
              <w:t>Barrier Methods</w:t>
            </w:r>
          </w:p>
        </w:tc>
        <w:tc>
          <w:tcPr>
            <w:tcW w:w="3668" w:type="dxa"/>
            <w:tcBorders>
              <w:top w:val="single" w:sz="12" w:space="0" w:color="auto"/>
              <w:bottom w:val="single" w:sz="6" w:space="0" w:color="auto"/>
            </w:tcBorders>
          </w:tcPr>
          <w:p w14:paraId="334BE927" w14:textId="77777777" w:rsidR="00636857" w:rsidRPr="007A3223" w:rsidRDefault="00636857" w:rsidP="00ED3929">
            <w:pPr>
              <w:pStyle w:val="TableHeader"/>
              <w:jc w:val="left"/>
              <w:rPr>
                <w:rFonts w:ascii="Times New Roman" w:hAnsi="Times New Roman"/>
                <w:sz w:val="22"/>
                <w:szCs w:val="22"/>
              </w:rPr>
            </w:pPr>
            <w:r w:rsidRPr="007A3223">
              <w:rPr>
                <w:rFonts w:ascii="Times New Roman" w:hAnsi="Times New Roman"/>
                <w:sz w:val="22"/>
                <w:szCs w:val="22"/>
              </w:rPr>
              <w:t>Intrauterine Device Methods</w:t>
            </w:r>
          </w:p>
        </w:tc>
        <w:tc>
          <w:tcPr>
            <w:tcW w:w="2121" w:type="dxa"/>
            <w:tcBorders>
              <w:top w:val="single" w:sz="12" w:space="0" w:color="auto"/>
              <w:bottom w:val="single" w:sz="6" w:space="0" w:color="auto"/>
            </w:tcBorders>
          </w:tcPr>
          <w:p w14:paraId="023C41D8" w14:textId="77777777" w:rsidR="00636857" w:rsidRPr="007A3223" w:rsidRDefault="00636857" w:rsidP="005D727A">
            <w:pPr>
              <w:pStyle w:val="TableHeader"/>
              <w:jc w:val="left"/>
              <w:rPr>
                <w:rFonts w:ascii="Times New Roman" w:hAnsi="Times New Roman"/>
                <w:sz w:val="22"/>
                <w:szCs w:val="22"/>
              </w:rPr>
            </w:pPr>
            <w:r w:rsidRPr="007A3223">
              <w:rPr>
                <w:rFonts w:ascii="Times New Roman" w:hAnsi="Times New Roman"/>
                <w:sz w:val="22"/>
                <w:szCs w:val="22"/>
              </w:rPr>
              <w:t>Hormonal Methods</w:t>
            </w:r>
          </w:p>
        </w:tc>
      </w:tr>
      <w:tr w:rsidR="00636857" w:rsidRPr="007A3223" w14:paraId="06EEEC5B" w14:textId="77777777" w:rsidTr="005D727A">
        <w:trPr>
          <w:cantSplit/>
        </w:trPr>
        <w:tc>
          <w:tcPr>
            <w:tcW w:w="3528" w:type="dxa"/>
            <w:tcBorders>
              <w:top w:val="single" w:sz="6" w:space="0" w:color="auto"/>
            </w:tcBorders>
          </w:tcPr>
          <w:p w14:paraId="673B7D55" w14:textId="77777777" w:rsidR="00636857" w:rsidRPr="007A3223" w:rsidRDefault="00636857" w:rsidP="005D727A">
            <w:pPr>
              <w:pStyle w:val="TableText"/>
              <w:keepNext/>
              <w:keepLines/>
              <w:rPr>
                <w:sz w:val="22"/>
                <w:szCs w:val="22"/>
              </w:rPr>
            </w:pPr>
            <w:r w:rsidRPr="007A3223">
              <w:rPr>
                <w:sz w:val="22"/>
                <w:szCs w:val="22"/>
              </w:rPr>
              <w:t>Male condom plus spermicide</w:t>
            </w:r>
          </w:p>
        </w:tc>
        <w:tc>
          <w:tcPr>
            <w:tcW w:w="3668" w:type="dxa"/>
            <w:tcBorders>
              <w:top w:val="single" w:sz="6" w:space="0" w:color="auto"/>
            </w:tcBorders>
          </w:tcPr>
          <w:p w14:paraId="70441452" w14:textId="77777777" w:rsidR="00636857" w:rsidRPr="007A3223" w:rsidRDefault="00636857" w:rsidP="005D727A">
            <w:pPr>
              <w:pStyle w:val="TableText"/>
              <w:keepNext/>
              <w:keepLines/>
              <w:rPr>
                <w:sz w:val="22"/>
                <w:szCs w:val="22"/>
              </w:rPr>
            </w:pPr>
            <w:r w:rsidRPr="007A3223">
              <w:rPr>
                <w:sz w:val="22"/>
                <w:szCs w:val="22"/>
              </w:rPr>
              <w:t>Copper T</w:t>
            </w:r>
          </w:p>
        </w:tc>
        <w:tc>
          <w:tcPr>
            <w:tcW w:w="2121" w:type="dxa"/>
            <w:tcBorders>
              <w:top w:val="single" w:sz="6" w:space="0" w:color="auto"/>
            </w:tcBorders>
          </w:tcPr>
          <w:p w14:paraId="7ECC83F3" w14:textId="77777777" w:rsidR="00636857" w:rsidRPr="007A3223" w:rsidRDefault="00636857" w:rsidP="005D727A">
            <w:pPr>
              <w:pStyle w:val="TableText"/>
              <w:keepNext/>
              <w:keepLines/>
              <w:rPr>
                <w:sz w:val="22"/>
                <w:szCs w:val="22"/>
              </w:rPr>
            </w:pPr>
            <w:r w:rsidRPr="007A3223">
              <w:rPr>
                <w:sz w:val="22"/>
                <w:szCs w:val="22"/>
              </w:rPr>
              <w:t>Implants</w:t>
            </w:r>
          </w:p>
        </w:tc>
      </w:tr>
      <w:tr w:rsidR="00636857" w:rsidRPr="007A3223" w14:paraId="1E0C1344" w14:textId="77777777" w:rsidTr="005D727A">
        <w:trPr>
          <w:cantSplit/>
        </w:trPr>
        <w:tc>
          <w:tcPr>
            <w:tcW w:w="3528" w:type="dxa"/>
          </w:tcPr>
          <w:p w14:paraId="16EE01E7" w14:textId="77777777" w:rsidR="00636857" w:rsidRPr="007A3223" w:rsidRDefault="00636857" w:rsidP="005D727A">
            <w:pPr>
              <w:pStyle w:val="TableText"/>
              <w:keepNext/>
              <w:keepLines/>
              <w:rPr>
                <w:sz w:val="22"/>
                <w:szCs w:val="22"/>
              </w:rPr>
            </w:pPr>
            <w:r w:rsidRPr="007A3223">
              <w:rPr>
                <w:sz w:val="22"/>
                <w:szCs w:val="22"/>
              </w:rPr>
              <w:t>Cap plus spermicide</w:t>
            </w:r>
          </w:p>
        </w:tc>
        <w:tc>
          <w:tcPr>
            <w:tcW w:w="3668" w:type="dxa"/>
          </w:tcPr>
          <w:p w14:paraId="43CBC027" w14:textId="77777777" w:rsidR="00636857" w:rsidRPr="007A3223" w:rsidRDefault="00636857" w:rsidP="005D727A">
            <w:pPr>
              <w:pStyle w:val="TableText"/>
              <w:keepNext/>
              <w:keepLines/>
              <w:rPr>
                <w:sz w:val="22"/>
                <w:szCs w:val="22"/>
                <w:vertAlign w:val="superscript"/>
              </w:rPr>
            </w:pPr>
            <w:r w:rsidRPr="007A3223">
              <w:rPr>
                <w:sz w:val="22"/>
                <w:szCs w:val="22"/>
              </w:rPr>
              <w:t>Progesterone T</w:t>
            </w:r>
            <w:r w:rsidRPr="007A3223">
              <w:rPr>
                <w:sz w:val="22"/>
                <w:szCs w:val="22"/>
                <w:vertAlign w:val="superscript"/>
              </w:rPr>
              <w:t>a</w:t>
            </w:r>
          </w:p>
        </w:tc>
        <w:tc>
          <w:tcPr>
            <w:tcW w:w="2121" w:type="dxa"/>
          </w:tcPr>
          <w:p w14:paraId="7A976BB6" w14:textId="77777777" w:rsidR="00636857" w:rsidRPr="007A3223" w:rsidRDefault="00636857" w:rsidP="005D727A">
            <w:pPr>
              <w:pStyle w:val="TableText"/>
              <w:keepNext/>
              <w:keepLines/>
              <w:rPr>
                <w:sz w:val="22"/>
                <w:szCs w:val="22"/>
              </w:rPr>
            </w:pPr>
            <w:r w:rsidRPr="007A3223">
              <w:rPr>
                <w:sz w:val="22"/>
                <w:szCs w:val="22"/>
              </w:rPr>
              <w:t>Hormone shot or injection</w:t>
            </w:r>
          </w:p>
        </w:tc>
      </w:tr>
      <w:tr w:rsidR="00636857" w:rsidRPr="007A3223" w14:paraId="57B0A51F" w14:textId="77777777" w:rsidTr="005D727A">
        <w:trPr>
          <w:cantSplit/>
        </w:trPr>
        <w:tc>
          <w:tcPr>
            <w:tcW w:w="3528" w:type="dxa"/>
            <w:vMerge w:val="restart"/>
          </w:tcPr>
          <w:p w14:paraId="504BCBC7" w14:textId="77777777" w:rsidR="00636857" w:rsidRPr="007A3223" w:rsidRDefault="00636857" w:rsidP="005D727A">
            <w:pPr>
              <w:pStyle w:val="TableText"/>
              <w:keepNext/>
              <w:keepLines/>
              <w:rPr>
                <w:sz w:val="22"/>
                <w:szCs w:val="22"/>
              </w:rPr>
            </w:pPr>
            <w:r w:rsidRPr="007A3223">
              <w:rPr>
                <w:sz w:val="22"/>
                <w:szCs w:val="22"/>
              </w:rPr>
              <w:t>Diaphragm plus spermicide</w:t>
            </w:r>
          </w:p>
        </w:tc>
        <w:tc>
          <w:tcPr>
            <w:tcW w:w="3668" w:type="dxa"/>
            <w:vMerge w:val="restart"/>
          </w:tcPr>
          <w:p w14:paraId="06D5745A" w14:textId="77777777" w:rsidR="00636857" w:rsidRPr="007A3223" w:rsidRDefault="00636857" w:rsidP="005D727A">
            <w:pPr>
              <w:pStyle w:val="TableText"/>
              <w:keepNext/>
              <w:keepLines/>
              <w:rPr>
                <w:sz w:val="22"/>
                <w:szCs w:val="22"/>
              </w:rPr>
            </w:pPr>
            <w:r w:rsidRPr="007A3223">
              <w:rPr>
                <w:sz w:val="22"/>
                <w:szCs w:val="22"/>
              </w:rPr>
              <w:t>Levonorgestrel-releasing intrauterine system (e.g., Mirena</w:t>
            </w:r>
            <w:r w:rsidRPr="007A3223">
              <w:rPr>
                <w:rStyle w:val="Superscript"/>
                <w:sz w:val="22"/>
                <w:szCs w:val="22"/>
              </w:rPr>
              <w:t>®</w:t>
            </w:r>
            <w:r w:rsidRPr="007A3223">
              <w:rPr>
                <w:sz w:val="22"/>
                <w:szCs w:val="22"/>
              </w:rPr>
              <w:t>)</w:t>
            </w:r>
            <w:r w:rsidRPr="007A3223">
              <w:rPr>
                <w:rStyle w:val="TableNote"/>
                <w:sz w:val="22"/>
                <w:szCs w:val="22"/>
              </w:rPr>
              <w:t>a</w:t>
            </w:r>
          </w:p>
        </w:tc>
        <w:tc>
          <w:tcPr>
            <w:tcW w:w="2121" w:type="dxa"/>
          </w:tcPr>
          <w:p w14:paraId="45DD591E" w14:textId="77777777" w:rsidR="00636857" w:rsidRPr="007A3223" w:rsidRDefault="00636857" w:rsidP="005D727A">
            <w:pPr>
              <w:pStyle w:val="TableText"/>
              <w:keepNext/>
              <w:keepLines/>
              <w:rPr>
                <w:sz w:val="22"/>
                <w:szCs w:val="22"/>
              </w:rPr>
            </w:pPr>
            <w:r w:rsidRPr="007A3223">
              <w:rPr>
                <w:sz w:val="22"/>
                <w:szCs w:val="22"/>
              </w:rPr>
              <w:t>Combined pill</w:t>
            </w:r>
          </w:p>
        </w:tc>
      </w:tr>
      <w:tr w:rsidR="00636857" w:rsidRPr="007A3223" w14:paraId="21587191" w14:textId="77777777" w:rsidTr="005D727A">
        <w:trPr>
          <w:cantSplit/>
        </w:trPr>
        <w:tc>
          <w:tcPr>
            <w:tcW w:w="3528" w:type="dxa"/>
            <w:vMerge/>
          </w:tcPr>
          <w:p w14:paraId="2EBB6C35" w14:textId="77777777" w:rsidR="00636857" w:rsidRPr="007A3223" w:rsidRDefault="00636857" w:rsidP="005D727A">
            <w:pPr>
              <w:pStyle w:val="TableText"/>
              <w:keepNext/>
              <w:keepLines/>
              <w:ind w:left="360"/>
              <w:rPr>
                <w:sz w:val="22"/>
                <w:szCs w:val="22"/>
              </w:rPr>
            </w:pPr>
          </w:p>
        </w:tc>
        <w:tc>
          <w:tcPr>
            <w:tcW w:w="3668" w:type="dxa"/>
            <w:vMerge/>
          </w:tcPr>
          <w:p w14:paraId="6732EDD7" w14:textId="77777777" w:rsidR="00636857" w:rsidRPr="007A3223" w:rsidRDefault="00636857" w:rsidP="005D727A">
            <w:pPr>
              <w:pStyle w:val="TableText"/>
              <w:keepNext/>
              <w:keepLines/>
              <w:ind w:left="360"/>
              <w:rPr>
                <w:sz w:val="22"/>
                <w:szCs w:val="22"/>
              </w:rPr>
            </w:pPr>
          </w:p>
        </w:tc>
        <w:tc>
          <w:tcPr>
            <w:tcW w:w="2121" w:type="dxa"/>
          </w:tcPr>
          <w:p w14:paraId="27DB40FA" w14:textId="77777777" w:rsidR="00636857" w:rsidRPr="007A3223" w:rsidRDefault="00636857" w:rsidP="005D727A">
            <w:pPr>
              <w:pStyle w:val="TableText"/>
              <w:keepNext/>
              <w:keepLines/>
              <w:rPr>
                <w:sz w:val="22"/>
                <w:szCs w:val="22"/>
              </w:rPr>
            </w:pPr>
            <w:r w:rsidRPr="007A3223">
              <w:rPr>
                <w:sz w:val="22"/>
                <w:szCs w:val="22"/>
              </w:rPr>
              <w:t>Minipill</w:t>
            </w:r>
          </w:p>
        </w:tc>
      </w:tr>
      <w:tr w:rsidR="00636857" w:rsidRPr="007A3223" w14:paraId="7EB94589" w14:textId="77777777" w:rsidTr="005D727A">
        <w:trPr>
          <w:cantSplit/>
        </w:trPr>
        <w:tc>
          <w:tcPr>
            <w:tcW w:w="3528" w:type="dxa"/>
            <w:vMerge/>
            <w:tcBorders>
              <w:bottom w:val="single" w:sz="12" w:space="0" w:color="auto"/>
            </w:tcBorders>
          </w:tcPr>
          <w:p w14:paraId="59098ABC" w14:textId="77777777" w:rsidR="00636857" w:rsidRPr="007A3223" w:rsidRDefault="00636857" w:rsidP="005D727A">
            <w:pPr>
              <w:pStyle w:val="TableText"/>
              <w:keepNext/>
              <w:keepLines/>
              <w:ind w:left="360"/>
              <w:rPr>
                <w:sz w:val="22"/>
                <w:szCs w:val="22"/>
              </w:rPr>
            </w:pPr>
          </w:p>
        </w:tc>
        <w:tc>
          <w:tcPr>
            <w:tcW w:w="3668" w:type="dxa"/>
            <w:vMerge/>
            <w:tcBorders>
              <w:bottom w:val="single" w:sz="12" w:space="0" w:color="auto"/>
            </w:tcBorders>
          </w:tcPr>
          <w:p w14:paraId="5E1C3DF0" w14:textId="77777777" w:rsidR="00636857" w:rsidRPr="007A3223" w:rsidRDefault="00636857" w:rsidP="005D727A">
            <w:pPr>
              <w:pStyle w:val="TableText"/>
              <w:keepNext/>
              <w:keepLines/>
              <w:ind w:left="360"/>
              <w:rPr>
                <w:sz w:val="22"/>
                <w:szCs w:val="22"/>
              </w:rPr>
            </w:pPr>
          </w:p>
        </w:tc>
        <w:tc>
          <w:tcPr>
            <w:tcW w:w="2121" w:type="dxa"/>
            <w:tcBorders>
              <w:bottom w:val="single" w:sz="12" w:space="0" w:color="auto"/>
            </w:tcBorders>
          </w:tcPr>
          <w:p w14:paraId="7C8112C0" w14:textId="77777777" w:rsidR="00636857" w:rsidRPr="007A3223" w:rsidRDefault="00636857" w:rsidP="005D727A">
            <w:pPr>
              <w:pStyle w:val="TableText"/>
              <w:keepNext/>
              <w:keepLines/>
              <w:rPr>
                <w:sz w:val="22"/>
                <w:szCs w:val="22"/>
              </w:rPr>
            </w:pPr>
            <w:r w:rsidRPr="007A3223">
              <w:rPr>
                <w:sz w:val="22"/>
                <w:szCs w:val="22"/>
              </w:rPr>
              <w:t>Patch</w:t>
            </w:r>
          </w:p>
        </w:tc>
      </w:tr>
    </w:tbl>
    <w:p w14:paraId="24AD874A" w14:textId="77777777" w:rsidR="00636857" w:rsidRPr="007A3223" w:rsidRDefault="00636857" w:rsidP="00636857">
      <w:pPr>
        <w:pStyle w:val="A-TableFootnoteText"/>
        <w:keepNext/>
        <w:keepLines/>
        <w:rPr>
          <w:sz w:val="24"/>
          <w:szCs w:val="24"/>
          <w:lang w:val="en-US"/>
        </w:rPr>
      </w:pPr>
      <w:r w:rsidRPr="007A3223">
        <w:rPr>
          <w:sz w:val="24"/>
          <w:szCs w:val="24"/>
          <w:vertAlign w:val="superscript"/>
          <w:lang w:val="en-US"/>
        </w:rPr>
        <w:t>a</w:t>
      </w:r>
      <w:r w:rsidRPr="007A3223">
        <w:rPr>
          <w:sz w:val="24"/>
          <w:szCs w:val="24"/>
          <w:lang w:val="en-US"/>
        </w:rPr>
        <w:tab/>
        <w:t>This is also considered a hormonal method.</w:t>
      </w:r>
    </w:p>
    <w:p w14:paraId="302BF8BA" w14:textId="77777777" w:rsidR="00636857" w:rsidRPr="007A3223" w:rsidRDefault="00636857" w:rsidP="00636857">
      <w:pPr>
        <w:rPr>
          <w:szCs w:val="24"/>
        </w:rPr>
      </w:pPr>
    </w:p>
    <w:p w14:paraId="21F1BF0E" w14:textId="77777777" w:rsidR="00636857" w:rsidRPr="007A3223" w:rsidRDefault="00636857" w:rsidP="00300203">
      <w:pPr>
        <w:rPr>
          <w:u w:val="single"/>
        </w:rPr>
      </w:pPr>
      <w:r w:rsidRPr="007A3223">
        <w:rPr>
          <w:u w:val="single"/>
        </w:rPr>
        <w:t>Blood donation</w:t>
      </w:r>
    </w:p>
    <w:p w14:paraId="523B3A80" w14:textId="7C25A081" w:rsidR="003A45F6" w:rsidRPr="007A3223" w:rsidRDefault="00D01E51" w:rsidP="0048748D">
      <w:pPr>
        <w:pStyle w:val="A-ListNumber"/>
        <w:numPr>
          <w:ilvl w:val="0"/>
          <w:numId w:val="0"/>
        </w:numPr>
        <w:rPr>
          <w:lang w:val="en-US"/>
        </w:rPr>
      </w:pPr>
      <w:r w:rsidRPr="007A3223">
        <w:rPr>
          <w:szCs w:val="24"/>
          <w:lang w:val="en-US"/>
        </w:rPr>
        <w:t>Patient</w:t>
      </w:r>
      <w:r w:rsidR="00636857" w:rsidRPr="007A3223">
        <w:rPr>
          <w:szCs w:val="24"/>
          <w:lang w:val="en-US"/>
        </w:rPr>
        <w:t>s should not donate blood while participating in this study</w:t>
      </w:r>
      <w:r w:rsidR="00ED3929" w:rsidRPr="007A3223">
        <w:rPr>
          <w:szCs w:val="24"/>
          <w:lang w:val="en-US"/>
        </w:rPr>
        <w:t xml:space="preserve"> or for 90 days following the </w:t>
      </w:r>
      <w:r w:rsidR="00636857" w:rsidRPr="007A3223">
        <w:rPr>
          <w:szCs w:val="24"/>
          <w:lang w:val="en-US"/>
        </w:rPr>
        <w:t xml:space="preserve">last infusion of </w:t>
      </w:r>
      <w:r w:rsidR="005404D3">
        <w:rPr>
          <w:szCs w:val="24"/>
          <w:lang w:val="en-US"/>
        </w:rPr>
        <w:t>Durvalumab</w:t>
      </w:r>
      <w:r w:rsidR="0038172A" w:rsidRPr="007A3223">
        <w:rPr>
          <w:szCs w:val="24"/>
          <w:lang w:val="en-US"/>
        </w:rPr>
        <w:t>.</w:t>
      </w:r>
    </w:p>
    <w:p w14:paraId="4540261A" w14:textId="77777777" w:rsidR="000963E3" w:rsidRPr="007A3223" w:rsidRDefault="000963E3" w:rsidP="00B619B7">
      <w:pPr>
        <w:spacing w:after="0"/>
      </w:pPr>
    </w:p>
    <w:p w14:paraId="490298F9" w14:textId="77777777" w:rsidR="00C03DCC" w:rsidRPr="007A3223" w:rsidRDefault="00601E3A" w:rsidP="00D20197">
      <w:pPr>
        <w:pStyle w:val="Heading1"/>
        <w:rPr>
          <w:rFonts w:hint="eastAsia"/>
        </w:rPr>
      </w:pPr>
      <w:bookmarkStart w:id="138" w:name="_Toc250632168"/>
      <w:bookmarkStart w:id="139" w:name="_Toc281240085"/>
      <w:bookmarkStart w:id="140" w:name="_Toc281240327"/>
      <w:bookmarkStart w:id="141" w:name="_Toc288125066"/>
      <w:bookmarkStart w:id="142" w:name="_Toc82444354"/>
      <w:r w:rsidRPr="007A3223">
        <w:t>STUDY IMPLEMENTATION</w:t>
      </w:r>
      <w:bookmarkEnd w:id="138"/>
      <w:bookmarkEnd w:id="139"/>
      <w:bookmarkEnd w:id="140"/>
      <w:bookmarkEnd w:id="141"/>
      <w:bookmarkEnd w:id="142"/>
    </w:p>
    <w:p w14:paraId="03B36705" w14:textId="77777777" w:rsidR="0071778D" w:rsidRPr="007A3223" w:rsidRDefault="0071778D" w:rsidP="00ED703B">
      <w:pPr>
        <w:pStyle w:val="Heading2"/>
      </w:pPr>
      <w:bookmarkStart w:id="143" w:name="_Toc250632169"/>
      <w:bookmarkStart w:id="144" w:name="_Toc281240086"/>
      <w:bookmarkStart w:id="145" w:name="_Toc281240328"/>
      <w:bookmarkStart w:id="146" w:name="_Toc288125067"/>
      <w:bookmarkStart w:id="147" w:name="_Toc82444355"/>
      <w:r w:rsidRPr="007A3223">
        <w:t>Study Design</w:t>
      </w:r>
      <w:bookmarkEnd w:id="143"/>
      <w:bookmarkEnd w:id="144"/>
      <w:bookmarkEnd w:id="145"/>
      <w:bookmarkEnd w:id="146"/>
      <w:bookmarkEnd w:id="147"/>
    </w:p>
    <w:p w14:paraId="1483E723" w14:textId="7222A7A4" w:rsidR="00883C65" w:rsidRPr="007A3223" w:rsidRDefault="00CF55E7" w:rsidP="00FC3460">
      <w:pPr>
        <w:tabs>
          <w:tab w:val="left" w:pos="2520"/>
        </w:tabs>
        <w:spacing w:after="0"/>
        <w:ind w:firstLine="360"/>
        <w:rPr>
          <w:szCs w:val="24"/>
        </w:rPr>
      </w:pPr>
      <w:r w:rsidRPr="007A3223">
        <w:rPr>
          <w:szCs w:val="24"/>
        </w:rPr>
        <w:t>This is a</w:t>
      </w:r>
      <w:r w:rsidR="00B82669" w:rsidRPr="007A3223">
        <w:rPr>
          <w:szCs w:val="24"/>
        </w:rPr>
        <w:t xml:space="preserve">n </w:t>
      </w:r>
      <w:r w:rsidR="00D902F3" w:rsidRPr="007A3223">
        <w:rPr>
          <w:szCs w:val="24"/>
        </w:rPr>
        <w:t>o</w:t>
      </w:r>
      <w:r w:rsidRPr="007A3223">
        <w:rPr>
          <w:szCs w:val="24"/>
        </w:rPr>
        <w:t>pen label</w:t>
      </w:r>
      <w:r w:rsidR="00797620" w:rsidRPr="007A3223">
        <w:rPr>
          <w:szCs w:val="24"/>
        </w:rPr>
        <w:t xml:space="preserve"> Phase I/II trial</w:t>
      </w:r>
      <w:r w:rsidRPr="007A3223">
        <w:rPr>
          <w:szCs w:val="24"/>
        </w:rPr>
        <w:t xml:space="preserve">, simultaneously accruing </w:t>
      </w:r>
      <w:r w:rsidR="009E6BAC" w:rsidRPr="007A3223">
        <w:rPr>
          <w:szCs w:val="24"/>
        </w:rPr>
        <w:t xml:space="preserve">three </w:t>
      </w:r>
      <w:r w:rsidRPr="007A3223">
        <w:rPr>
          <w:szCs w:val="24"/>
        </w:rPr>
        <w:t>cohort</w:t>
      </w:r>
      <w:r w:rsidR="001572EE" w:rsidRPr="007A3223">
        <w:rPr>
          <w:szCs w:val="24"/>
        </w:rPr>
        <w:t xml:space="preserve">s </w:t>
      </w:r>
      <w:r w:rsidRPr="007A3223">
        <w:rPr>
          <w:szCs w:val="24"/>
        </w:rPr>
        <w:t xml:space="preserve">to determine the </w:t>
      </w:r>
      <w:r w:rsidR="00A861BB" w:rsidRPr="007A3223">
        <w:rPr>
          <w:szCs w:val="24"/>
        </w:rPr>
        <w:t xml:space="preserve">RP2D </w:t>
      </w:r>
      <w:r w:rsidRPr="007A3223">
        <w:rPr>
          <w:szCs w:val="24"/>
        </w:rPr>
        <w:t xml:space="preserve">of </w:t>
      </w:r>
      <w:r w:rsidR="00B3517B">
        <w:rPr>
          <w:szCs w:val="24"/>
        </w:rPr>
        <w:t>Durvalumab</w:t>
      </w:r>
      <w:r w:rsidR="008858C9" w:rsidRPr="007A3223">
        <w:rPr>
          <w:szCs w:val="24"/>
          <w:lang w:eastAsia="ja-JP"/>
        </w:rPr>
        <w:t>+</w:t>
      </w:r>
      <w:r w:rsidRPr="007A3223">
        <w:rPr>
          <w:szCs w:val="24"/>
          <w:lang w:eastAsia="ja-JP"/>
        </w:rPr>
        <w:t>O</w:t>
      </w:r>
      <w:r w:rsidR="009E6BAC" w:rsidRPr="007A3223">
        <w:rPr>
          <w:szCs w:val="24"/>
          <w:lang w:eastAsia="ja-JP"/>
        </w:rPr>
        <w:t xml:space="preserve">, </w:t>
      </w:r>
      <w:r w:rsidR="00B3517B">
        <w:rPr>
          <w:szCs w:val="24"/>
          <w:lang w:eastAsia="ja-JP"/>
        </w:rPr>
        <w:t>Durvalumab</w:t>
      </w:r>
      <w:r w:rsidR="008858C9" w:rsidRPr="007A3223">
        <w:rPr>
          <w:szCs w:val="24"/>
          <w:lang w:eastAsia="ja-JP"/>
        </w:rPr>
        <w:t>+</w:t>
      </w:r>
      <w:r w:rsidRPr="007A3223">
        <w:rPr>
          <w:szCs w:val="24"/>
          <w:lang w:eastAsia="ja-JP"/>
        </w:rPr>
        <w:t>C</w:t>
      </w:r>
      <w:r w:rsidRPr="007A3223">
        <w:rPr>
          <w:szCs w:val="24"/>
        </w:rPr>
        <w:t xml:space="preserve"> </w:t>
      </w:r>
      <w:r w:rsidR="009E6BAC" w:rsidRPr="007A3223">
        <w:rPr>
          <w:szCs w:val="24"/>
        </w:rPr>
        <w:t xml:space="preserve">and </w:t>
      </w:r>
      <w:r w:rsidR="00B3517B">
        <w:rPr>
          <w:szCs w:val="24"/>
        </w:rPr>
        <w:t>Durvalumab</w:t>
      </w:r>
      <w:r w:rsidR="009E6BAC" w:rsidRPr="007A3223">
        <w:rPr>
          <w:szCs w:val="24"/>
        </w:rPr>
        <w:t xml:space="preserve">+O+C </w:t>
      </w:r>
      <w:r w:rsidRPr="007A3223">
        <w:rPr>
          <w:szCs w:val="24"/>
        </w:rPr>
        <w:t xml:space="preserve">in patients with advanced solid tumors (Phase I), and to examine the safety and clinical activity of these combinations in patients with </w:t>
      </w:r>
      <w:r w:rsidR="00AE27A0" w:rsidRPr="007A3223">
        <w:rPr>
          <w:szCs w:val="24"/>
        </w:rPr>
        <w:t xml:space="preserve">advanced or </w:t>
      </w:r>
      <w:r w:rsidRPr="007A3223">
        <w:rPr>
          <w:szCs w:val="24"/>
        </w:rPr>
        <w:t>recurrent ovarian</w:t>
      </w:r>
      <w:r w:rsidR="00AE27A0" w:rsidRPr="007A3223">
        <w:rPr>
          <w:szCs w:val="24"/>
        </w:rPr>
        <w:t>, lung, prostate</w:t>
      </w:r>
      <w:r w:rsidR="0028448F" w:rsidRPr="007A3223">
        <w:rPr>
          <w:szCs w:val="24"/>
        </w:rPr>
        <w:t>,</w:t>
      </w:r>
      <w:r w:rsidRPr="007A3223">
        <w:rPr>
          <w:szCs w:val="24"/>
        </w:rPr>
        <w:t xml:space="preserve"> </w:t>
      </w:r>
      <w:r w:rsidR="0028448F" w:rsidRPr="007A3223">
        <w:rPr>
          <w:szCs w:val="24"/>
        </w:rPr>
        <w:t xml:space="preserve">triple negative breast and colorectal </w:t>
      </w:r>
      <w:r w:rsidRPr="007A3223">
        <w:rPr>
          <w:szCs w:val="24"/>
        </w:rPr>
        <w:t>cancer</w:t>
      </w:r>
      <w:r w:rsidR="00AE27A0" w:rsidRPr="007A3223">
        <w:rPr>
          <w:szCs w:val="24"/>
        </w:rPr>
        <w:t>s</w:t>
      </w:r>
      <w:r w:rsidRPr="007A3223">
        <w:rPr>
          <w:szCs w:val="24"/>
        </w:rPr>
        <w:t xml:space="preserve"> (Phase II</w:t>
      </w:r>
      <w:r w:rsidR="003B1128" w:rsidRPr="007A3223">
        <w:rPr>
          <w:szCs w:val="24"/>
        </w:rPr>
        <w:t xml:space="preserve"> cohorts 1-6</w:t>
      </w:r>
      <w:r w:rsidRPr="007A3223">
        <w:rPr>
          <w:szCs w:val="24"/>
        </w:rPr>
        <w:t xml:space="preserve">). </w:t>
      </w:r>
      <w:r w:rsidR="00883C65" w:rsidRPr="007A3223">
        <w:rPr>
          <w:szCs w:val="24"/>
        </w:rPr>
        <w:t>Patients will be dosed in 28</w:t>
      </w:r>
      <w:r w:rsidR="00E01E9B" w:rsidRPr="007A3223">
        <w:rPr>
          <w:szCs w:val="24"/>
        </w:rPr>
        <w:t>-</w:t>
      </w:r>
      <w:r w:rsidR="00883C65" w:rsidRPr="007A3223">
        <w:rPr>
          <w:szCs w:val="24"/>
        </w:rPr>
        <w:t>day cycles.</w:t>
      </w:r>
      <w:r w:rsidR="008D0A36" w:rsidRPr="007A3223">
        <w:rPr>
          <w:szCs w:val="24"/>
        </w:rPr>
        <w:t xml:space="preserve"> </w:t>
      </w:r>
    </w:p>
    <w:p w14:paraId="2346E5A9" w14:textId="368643BA" w:rsidR="008D0A36" w:rsidRPr="007A3223" w:rsidRDefault="008D0A36" w:rsidP="00240B97">
      <w:pPr>
        <w:tabs>
          <w:tab w:val="left" w:pos="2520"/>
        </w:tabs>
        <w:spacing w:after="0"/>
        <w:ind w:firstLine="360"/>
      </w:pPr>
      <w:r w:rsidRPr="007A3223">
        <w:lastRenderedPageBreak/>
        <w:t xml:space="preserve">Administration of </w:t>
      </w:r>
      <w:r w:rsidR="00B3517B">
        <w:t>Durvalumab</w:t>
      </w:r>
      <w:r w:rsidRPr="007A3223">
        <w:t xml:space="preserve"> may be </w:t>
      </w:r>
      <w:r w:rsidR="00B77719" w:rsidRPr="007A3223">
        <w:t xml:space="preserve">given one day </w:t>
      </w:r>
      <w:r w:rsidR="009E6BAC" w:rsidRPr="007A3223">
        <w:t xml:space="preserve">(for every 2 weeks schedule) or 4 days (for every 4 weeks schedule) </w:t>
      </w:r>
      <w:r w:rsidR="00B77719" w:rsidRPr="007A3223">
        <w:t xml:space="preserve">earlier or </w:t>
      </w:r>
      <w:r w:rsidRPr="007A3223">
        <w:t xml:space="preserve">delayed up to </w:t>
      </w:r>
      <w:r w:rsidR="009A4D6C" w:rsidRPr="007A3223">
        <w:t>7</w:t>
      </w:r>
      <w:r w:rsidRPr="007A3223">
        <w:t xml:space="preserve"> days due to holidays, inclement weather, conflicts, or similar reasons. The timing of subsequent administrations is then adjusted to maintain </w:t>
      </w:r>
      <w:r w:rsidR="00B77719" w:rsidRPr="007A3223">
        <w:t xml:space="preserve">a 28 day-interval for </w:t>
      </w:r>
      <w:r w:rsidR="00F45F17" w:rsidRPr="007A3223">
        <w:t xml:space="preserve">a fixed </w:t>
      </w:r>
      <w:r w:rsidR="00B77719" w:rsidRPr="007A3223">
        <w:t xml:space="preserve">dose </w:t>
      </w:r>
      <w:r w:rsidR="00F45F17" w:rsidRPr="007A3223">
        <w:t>schedule</w:t>
      </w:r>
      <w:r w:rsidR="00672ABE" w:rsidRPr="007A3223">
        <w:t xml:space="preserve"> or a 14 day-interval for </w:t>
      </w:r>
      <w:r w:rsidR="00F45F17" w:rsidRPr="007A3223">
        <w:t xml:space="preserve">every 2 weeks schedule </w:t>
      </w:r>
      <w:r w:rsidR="00672ABE" w:rsidRPr="007A3223">
        <w:t>dose levels</w:t>
      </w:r>
      <w:r w:rsidRPr="007A3223">
        <w:t xml:space="preserve">.  </w:t>
      </w:r>
    </w:p>
    <w:p w14:paraId="71E543DB" w14:textId="2EA3CCC8" w:rsidR="00B008B8" w:rsidRPr="007A3223" w:rsidRDefault="00CF55E7" w:rsidP="000C432D">
      <w:pPr>
        <w:tabs>
          <w:tab w:val="left" w:pos="2520"/>
        </w:tabs>
        <w:spacing w:after="0"/>
        <w:ind w:firstLine="360"/>
        <w:rPr>
          <w:color w:val="262626"/>
          <w:szCs w:val="24"/>
        </w:rPr>
      </w:pPr>
      <w:r w:rsidRPr="007A3223">
        <w:rPr>
          <w:szCs w:val="24"/>
        </w:rPr>
        <w:t xml:space="preserve">The phase I of </w:t>
      </w:r>
      <w:r w:rsidR="00B3517B">
        <w:rPr>
          <w:szCs w:val="24"/>
        </w:rPr>
        <w:t>Durvalumab</w:t>
      </w:r>
      <w:r w:rsidR="008858C9" w:rsidRPr="007A3223">
        <w:rPr>
          <w:szCs w:val="24"/>
        </w:rPr>
        <w:t>+</w:t>
      </w:r>
      <w:r w:rsidRPr="007A3223">
        <w:rPr>
          <w:szCs w:val="24"/>
        </w:rPr>
        <w:t>O</w:t>
      </w:r>
      <w:r w:rsidR="009E6BAC" w:rsidRPr="007A3223">
        <w:rPr>
          <w:szCs w:val="24"/>
        </w:rPr>
        <w:t xml:space="preserve">, </w:t>
      </w:r>
      <w:r w:rsidR="00B3517B">
        <w:rPr>
          <w:szCs w:val="24"/>
        </w:rPr>
        <w:t>Durvalumab</w:t>
      </w:r>
      <w:r w:rsidR="008858C9" w:rsidRPr="007A3223">
        <w:rPr>
          <w:szCs w:val="24"/>
        </w:rPr>
        <w:t>+</w:t>
      </w:r>
      <w:r w:rsidRPr="007A3223">
        <w:rPr>
          <w:szCs w:val="24"/>
        </w:rPr>
        <w:t xml:space="preserve">C </w:t>
      </w:r>
      <w:r w:rsidR="009E6BAC" w:rsidRPr="007A3223">
        <w:rPr>
          <w:szCs w:val="24"/>
        </w:rPr>
        <w:t xml:space="preserve">and </w:t>
      </w:r>
      <w:r w:rsidR="00B3517B">
        <w:rPr>
          <w:szCs w:val="24"/>
        </w:rPr>
        <w:t>Durvalumab</w:t>
      </w:r>
      <w:r w:rsidR="009E6BAC" w:rsidRPr="007A3223">
        <w:rPr>
          <w:szCs w:val="24"/>
        </w:rPr>
        <w:t xml:space="preserve">+O+C </w:t>
      </w:r>
      <w:r w:rsidRPr="007A3223">
        <w:rPr>
          <w:szCs w:val="24"/>
        </w:rPr>
        <w:t>will dose escalate simultaneously. This simultaneous allocation of patients in the phase I study will allow us to accrue patients as efficiently as possible so that we have the dosing for the phase II study</w:t>
      </w:r>
      <w:r w:rsidR="00A861BB" w:rsidRPr="007A3223">
        <w:rPr>
          <w:szCs w:val="24"/>
        </w:rPr>
        <w:t xml:space="preserve"> </w:t>
      </w:r>
      <w:r w:rsidRPr="007A3223">
        <w:rPr>
          <w:szCs w:val="24"/>
        </w:rPr>
        <w:t>in a timely manner.</w:t>
      </w:r>
      <w:r w:rsidRPr="007A3223">
        <w:rPr>
          <w:color w:val="262626"/>
          <w:szCs w:val="24"/>
        </w:rPr>
        <w:t xml:space="preserve"> </w:t>
      </w:r>
    </w:p>
    <w:p w14:paraId="036922FF" w14:textId="12AFEB3B" w:rsidR="00653C41" w:rsidRPr="007A3223" w:rsidRDefault="00653C41" w:rsidP="00653C41">
      <w:pPr>
        <w:tabs>
          <w:tab w:val="left" w:pos="2520"/>
        </w:tabs>
        <w:spacing w:after="0"/>
        <w:ind w:firstLine="360"/>
        <w:rPr>
          <w:szCs w:val="24"/>
        </w:rPr>
      </w:pPr>
      <w:r w:rsidRPr="007A3223">
        <w:rPr>
          <w:szCs w:val="24"/>
        </w:rPr>
        <w:t>Effective with Amendment E (version date 03/1</w:t>
      </w:r>
      <w:r w:rsidR="008568DB" w:rsidRPr="007A3223">
        <w:rPr>
          <w:szCs w:val="24"/>
        </w:rPr>
        <w:t>7</w:t>
      </w:r>
      <w:r w:rsidRPr="007A3223">
        <w:rPr>
          <w:szCs w:val="24"/>
        </w:rPr>
        <w:t xml:space="preserve">/2016), the patients on Phase I study </w:t>
      </w:r>
      <w:r w:rsidR="00B3517B">
        <w:rPr>
          <w:szCs w:val="24"/>
        </w:rPr>
        <w:t>Durvalumab</w:t>
      </w:r>
      <w:r w:rsidRPr="007A3223">
        <w:rPr>
          <w:szCs w:val="24"/>
        </w:rPr>
        <w:t xml:space="preserve"> every 2 weeks schedule dose levels may change </w:t>
      </w:r>
      <w:r w:rsidR="00B3517B">
        <w:rPr>
          <w:szCs w:val="24"/>
        </w:rPr>
        <w:t>Durvalumab</w:t>
      </w:r>
      <w:r w:rsidRPr="007A3223">
        <w:rPr>
          <w:szCs w:val="24"/>
        </w:rPr>
        <w:t xml:space="preserve"> schedule to every 4 weeks (a fixed dose 1500mg) if they have clinical benefit (CR/PR/SD) more than 1 year.</w:t>
      </w:r>
    </w:p>
    <w:p w14:paraId="73703C9E" w14:textId="77777777" w:rsidR="00B619B7" w:rsidRPr="007A3223" w:rsidRDefault="00B619B7" w:rsidP="006A2787">
      <w:pPr>
        <w:tabs>
          <w:tab w:val="left" w:pos="2520"/>
        </w:tabs>
        <w:spacing w:after="0"/>
        <w:ind w:firstLine="360"/>
        <w:rPr>
          <w:color w:val="262626"/>
          <w:szCs w:val="24"/>
        </w:rPr>
      </w:pPr>
    </w:p>
    <w:p w14:paraId="33D26B24" w14:textId="77777777" w:rsidR="00CF55E7" w:rsidRPr="007A3223" w:rsidRDefault="00CF55E7" w:rsidP="004E05E7">
      <w:pPr>
        <w:rPr>
          <w:u w:val="single"/>
        </w:rPr>
      </w:pPr>
      <w:r w:rsidRPr="007A3223">
        <w:rPr>
          <w:u w:val="single"/>
        </w:rPr>
        <w:t>Phase I</w:t>
      </w:r>
    </w:p>
    <w:p w14:paraId="2A6513BB" w14:textId="77777777" w:rsidR="00BB4809" w:rsidRPr="007A3223" w:rsidRDefault="00EF3D91" w:rsidP="004E0D91">
      <w:pPr>
        <w:pStyle w:val="Heading4"/>
        <w:rPr>
          <w:noProof w:val="0"/>
        </w:rPr>
      </w:pPr>
      <w:bookmarkStart w:id="148" w:name="_Toc281240087"/>
      <w:bookmarkStart w:id="149" w:name="_Toc281240329"/>
      <w:bookmarkStart w:id="150" w:name="_Toc288125068"/>
      <w:r w:rsidRPr="007A3223">
        <w:rPr>
          <w:noProof w:val="0"/>
        </w:rPr>
        <w:t>Dose Limiting Toxicity</w:t>
      </w:r>
      <w:bookmarkEnd w:id="148"/>
      <w:bookmarkEnd w:id="149"/>
      <w:bookmarkEnd w:id="150"/>
      <w:r w:rsidR="00B47D5B" w:rsidRPr="007A3223">
        <w:rPr>
          <w:noProof w:val="0"/>
        </w:rPr>
        <w:t xml:space="preserve"> (DLT)</w:t>
      </w:r>
    </w:p>
    <w:p w14:paraId="02B2A3A3" w14:textId="77777777" w:rsidR="00CF55E7" w:rsidRPr="007A3223" w:rsidRDefault="004F475C" w:rsidP="006A2787">
      <w:pPr>
        <w:pStyle w:val="Default"/>
      </w:pPr>
      <w:r w:rsidRPr="007A3223">
        <w:t>The DLT period is one cycle</w:t>
      </w:r>
      <w:r w:rsidR="009B06E4" w:rsidRPr="007A3223">
        <w:t>, 28 days</w:t>
      </w:r>
      <w:r w:rsidRPr="007A3223">
        <w:t xml:space="preserve">. </w:t>
      </w:r>
      <w:r w:rsidR="0092706A" w:rsidRPr="007A3223">
        <w:t xml:space="preserve"> </w:t>
      </w:r>
      <w:r w:rsidR="00CF55E7" w:rsidRPr="007A3223">
        <w:t>DLT is defined as any of the following:</w:t>
      </w:r>
    </w:p>
    <w:p w14:paraId="1A3C4842" w14:textId="77777777" w:rsidR="00CF55E7" w:rsidRPr="007A3223" w:rsidRDefault="00CF55E7" w:rsidP="008F5C45">
      <w:pPr>
        <w:pStyle w:val="Default"/>
        <w:widowControl w:val="0"/>
        <w:numPr>
          <w:ilvl w:val="0"/>
          <w:numId w:val="7"/>
        </w:numPr>
        <w:ind w:left="360"/>
      </w:pPr>
      <w:r w:rsidRPr="007A3223">
        <w:t>Non-Hematologic dose-limiting toxicity</w:t>
      </w:r>
    </w:p>
    <w:p w14:paraId="15ACCD9E" w14:textId="77777777" w:rsidR="00C55480" w:rsidRPr="007A3223" w:rsidRDefault="00CF55E7" w:rsidP="00FB66BA">
      <w:pPr>
        <w:pStyle w:val="Default"/>
        <w:numPr>
          <w:ilvl w:val="1"/>
          <w:numId w:val="17"/>
        </w:numPr>
      </w:pPr>
      <w:r w:rsidRPr="007A3223">
        <w:t xml:space="preserve">Grade 3 or </w:t>
      </w:r>
      <w:r w:rsidR="00FB21C9" w:rsidRPr="007A3223">
        <w:t>higher</w:t>
      </w:r>
      <w:r w:rsidRPr="007A3223">
        <w:t xml:space="preserve"> </w:t>
      </w:r>
      <w:r w:rsidR="00C500DD" w:rsidRPr="007A3223">
        <w:t xml:space="preserve">adverse </w:t>
      </w:r>
      <w:r w:rsidRPr="007A3223">
        <w:t>events</w:t>
      </w:r>
      <w:r w:rsidR="005659C2" w:rsidRPr="007A3223">
        <w:t xml:space="preserve"> (AEs)</w:t>
      </w:r>
      <w:r w:rsidRPr="007A3223">
        <w:t xml:space="preserve">, </w:t>
      </w:r>
      <w:r w:rsidRPr="007A3223">
        <w:rPr>
          <w:b/>
          <w:i/>
        </w:rPr>
        <w:t>excluding</w:t>
      </w:r>
      <w:r w:rsidRPr="007A3223">
        <w:t xml:space="preserve"> </w:t>
      </w:r>
    </w:p>
    <w:p w14:paraId="2158F560" w14:textId="77777777" w:rsidR="005758EC" w:rsidRPr="007A3223" w:rsidRDefault="005758EC" w:rsidP="00FB66BA">
      <w:pPr>
        <w:pStyle w:val="Default"/>
        <w:numPr>
          <w:ilvl w:val="2"/>
          <w:numId w:val="17"/>
        </w:numPr>
        <w:ind w:left="1350" w:hanging="270"/>
      </w:pPr>
      <w:r w:rsidRPr="007A3223">
        <w:t>G</w:t>
      </w:r>
      <w:r w:rsidR="00CF55E7" w:rsidRPr="007A3223">
        <w:t>rade 3 hypertension controlled with</w:t>
      </w:r>
      <w:r w:rsidR="0044567D" w:rsidRPr="007A3223">
        <w:t xml:space="preserve"> anti-hypertensive therapy, or </w:t>
      </w:r>
      <w:r w:rsidR="00594739" w:rsidRPr="007A3223">
        <w:rPr>
          <w:lang w:eastAsia="ko-KR"/>
        </w:rPr>
        <w:t>g</w:t>
      </w:r>
      <w:r w:rsidR="00CF55E7" w:rsidRPr="007A3223">
        <w:t>rade 3 asymptomatic electrolytes imbalance with optimal and continuing repletion</w:t>
      </w:r>
      <w:r w:rsidR="00055C86" w:rsidRPr="007A3223">
        <w:t xml:space="preserve"> that downgrades to </w:t>
      </w:r>
      <w:r w:rsidR="00594739" w:rsidRPr="007A3223">
        <w:t>g</w:t>
      </w:r>
      <w:r w:rsidR="00055C86" w:rsidRPr="007A3223">
        <w:t xml:space="preserve">rade </w:t>
      </w:r>
      <w:r w:rsidR="00AA51B7" w:rsidRPr="007A3223">
        <w:t xml:space="preserve">1 </w:t>
      </w:r>
      <w:r w:rsidR="00055C86" w:rsidRPr="007A3223">
        <w:t xml:space="preserve">or better within </w:t>
      </w:r>
      <w:r w:rsidR="00AA51B7" w:rsidRPr="007A3223">
        <w:t xml:space="preserve">3 </w:t>
      </w:r>
      <w:r w:rsidR="00055C86" w:rsidRPr="007A3223">
        <w:t>days after onset of the event</w:t>
      </w:r>
      <w:r w:rsidR="00CF55E7" w:rsidRPr="007A3223">
        <w:t xml:space="preserve">. </w:t>
      </w:r>
    </w:p>
    <w:p w14:paraId="6CCA2895" w14:textId="77777777" w:rsidR="005758EC" w:rsidRPr="007A3223" w:rsidRDefault="005758EC" w:rsidP="00FB66BA">
      <w:pPr>
        <w:pStyle w:val="Default"/>
        <w:numPr>
          <w:ilvl w:val="2"/>
          <w:numId w:val="17"/>
        </w:numPr>
        <w:ind w:left="1350" w:hanging="270"/>
      </w:pPr>
      <w:r w:rsidRPr="007A3223">
        <w:t xml:space="preserve">Grade 3 endocrinopathy that is managed with or without systemic corticosteroid therapy and/or hormone replacement therapy and the </w:t>
      </w:r>
      <w:r w:rsidR="002C6861" w:rsidRPr="007A3223">
        <w:t>patient</w:t>
      </w:r>
      <w:r w:rsidRPr="007A3223">
        <w:t xml:space="preserve"> is asymptomatic.</w:t>
      </w:r>
    </w:p>
    <w:p w14:paraId="2283CBA0" w14:textId="77777777" w:rsidR="005758EC" w:rsidRPr="007A3223" w:rsidRDefault="005758EC" w:rsidP="00FB66BA">
      <w:pPr>
        <w:pStyle w:val="Default"/>
        <w:numPr>
          <w:ilvl w:val="2"/>
          <w:numId w:val="17"/>
        </w:numPr>
        <w:ind w:left="1350" w:hanging="270"/>
      </w:pPr>
      <w:r w:rsidRPr="007A3223">
        <w:t>Grade 3 inflammatory reaction attributed to a local antitumor response (</w:t>
      </w:r>
      <w:r w:rsidR="00BC6AC6" w:rsidRPr="007A3223">
        <w:t>e.g.</w:t>
      </w:r>
      <w:r w:rsidRPr="007A3223">
        <w:t>, inflammatory reaction at sites of metastatic disease, lymph node, etc</w:t>
      </w:r>
      <w:r w:rsidR="00BC6AC6" w:rsidRPr="007A3223">
        <w:t>.</w:t>
      </w:r>
      <w:r w:rsidRPr="007A3223">
        <w:t>)</w:t>
      </w:r>
      <w:r w:rsidR="005B41A8" w:rsidRPr="007A3223">
        <w:t>.</w:t>
      </w:r>
    </w:p>
    <w:p w14:paraId="35277764" w14:textId="77777777" w:rsidR="00C55480" w:rsidRPr="007A3223" w:rsidRDefault="00C55480" w:rsidP="00FB66BA">
      <w:pPr>
        <w:pStyle w:val="Default"/>
        <w:numPr>
          <w:ilvl w:val="2"/>
          <w:numId w:val="17"/>
        </w:numPr>
        <w:ind w:left="1350" w:hanging="270"/>
      </w:pPr>
      <w:r w:rsidRPr="007A3223">
        <w:t xml:space="preserve">Grade 3 </w:t>
      </w:r>
      <w:r w:rsidR="0084778F" w:rsidRPr="007A3223">
        <w:t xml:space="preserve">asymptomatic </w:t>
      </w:r>
      <w:r w:rsidRPr="007A3223">
        <w:t>increase in gamma glutamyl transferase (GGT)</w:t>
      </w:r>
      <w:r w:rsidR="003626BA" w:rsidRPr="007A3223">
        <w:t xml:space="preserve"> OR</w:t>
      </w:r>
      <w:r w:rsidR="0084778F" w:rsidRPr="007A3223">
        <w:t xml:space="preserve"> </w:t>
      </w:r>
      <w:r w:rsidR="003626BA" w:rsidRPr="007A3223">
        <w:t xml:space="preserve">grade 3 asymptomatic increase in </w:t>
      </w:r>
      <w:r w:rsidR="0084778F" w:rsidRPr="007A3223">
        <w:t>amylase or lipase</w:t>
      </w:r>
      <w:r w:rsidRPr="007A3223">
        <w:t xml:space="preserve"> that downgrades to grade</w:t>
      </w:r>
      <w:r w:rsidR="00AA51B7" w:rsidRPr="007A3223">
        <w:t>1</w:t>
      </w:r>
      <w:r w:rsidRPr="007A3223">
        <w:t xml:space="preserve"> or better within 7 days after onse</w:t>
      </w:r>
      <w:r w:rsidR="0084778F" w:rsidRPr="007A3223">
        <w:t>t of the event</w:t>
      </w:r>
      <w:r w:rsidRPr="007A3223">
        <w:t>.</w:t>
      </w:r>
    </w:p>
    <w:p w14:paraId="461C0EFF" w14:textId="77777777" w:rsidR="00C55480" w:rsidRPr="007A3223" w:rsidRDefault="00C55480" w:rsidP="008858C9">
      <w:pPr>
        <w:pStyle w:val="Default"/>
        <w:ind w:left="1080"/>
      </w:pPr>
    </w:p>
    <w:p w14:paraId="3D78140B" w14:textId="77777777" w:rsidR="00CF55E7" w:rsidRPr="007A3223" w:rsidRDefault="00CF55E7" w:rsidP="00FB66BA">
      <w:pPr>
        <w:pStyle w:val="Default"/>
        <w:numPr>
          <w:ilvl w:val="1"/>
          <w:numId w:val="17"/>
        </w:numPr>
      </w:pPr>
      <w:r w:rsidRPr="007A3223">
        <w:t xml:space="preserve">Persistent </w:t>
      </w:r>
      <w:r w:rsidR="005B41A8" w:rsidRPr="007A3223">
        <w:t xml:space="preserve">(&gt;14 days) </w:t>
      </w:r>
      <w:r w:rsidRPr="007A3223">
        <w:t>n</w:t>
      </w:r>
      <w:r w:rsidR="00055C86" w:rsidRPr="007A3223">
        <w:t>on-hematologic G</w:t>
      </w:r>
      <w:r w:rsidRPr="007A3223">
        <w:t xml:space="preserve">rade 2 AEs despite optimal medical management </w:t>
      </w:r>
      <w:r w:rsidRPr="007A3223">
        <w:rPr>
          <w:b/>
        </w:rPr>
        <w:t>and</w:t>
      </w:r>
      <w:r w:rsidRPr="007A3223">
        <w:t xml:space="preserve"> treatment delay &gt; 14 days. </w:t>
      </w:r>
    </w:p>
    <w:p w14:paraId="42A5C7CE" w14:textId="77777777" w:rsidR="004F6923" w:rsidRPr="007A3223" w:rsidRDefault="004F6923" w:rsidP="00804D4E">
      <w:pPr>
        <w:pStyle w:val="Default"/>
        <w:ind w:left="720"/>
      </w:pPr>
    </w:p>
    <w:p w14:paraId="6CEF138F" w14:textId="77777777" w:rsidR="00CF55E7" w:rsidRPr="007A3223" w:rsidRDefault="00CF55E7" w:rsidP="008F5C45">
      <w:pPr>
        <w:pStyle w:val="Default"/>
        <w:widowControl w:val="0"/>
        <w:numPr>
          <w:ilvl w:val="0"/>
          <w:numId w:val="7"/>
        </w:numPr>
        <w:ind w:left="360"/>
      </w:pPr>
      <w:r w:rsidRPr="007A3223">
        <w:t>Hematologic Toxicity</w:t>
      </w:r>
    </w:p>
    <w:p w14:paraId="2ACE3A1B" w14:textId="77777777" w:rsidR="001662DA" w:rsidRPr="007A3223" w:rsidRDefault="00CF55E7" w:rsidP="00FB66BA">
      <w:pPr>
        <w:pStyle w:val="Default"/>
        <w:numPr>
          <w:ilvl w:val="1"/>
          <w:numId w:val="18"/>
        </w:numPr>
      </w:pPr>
      <w:r w:rsidRPr="007A3223">
        <w:t xml:space="preserve">Grade </w:t>
      </w:r>
      <w:r w:rsidR="00FB21C9" w:rsidRPr="007A3223">
        <w:rPr>
          <w:u w:val="single"/>
        </w:rPr>
        <w:t>&gt;</w:t>
      </w:r>
      <w:r w:rsidR="00FB5225" w:rsidRPr="007A3223">
        <w:t xml:space="preserve"> </w:t>
      </w:r>
      <w:r w:rsidRPr="007A3223">
        <w:rPr>
          <w:rFonts w:hint="eastAsia"/>
        </w:rPr>
        <w:t xml:space="preserve">4 neutropenia of </w:t>
      </w:r>
      <w:r w:rsidRPr="007A3223">
        <w:rPr>
          <w:rFonts w:hint="eastAsia"/>
        </w:rPr>
        <w:t>≥</w:t>
      </w:r>
      <w:r w:rsidRPr="007A3223">
        <w:rPr>
          <w:rFonts w:hint="eastAsia"/>
        </w:rPr>
        <w:t xml:space="preserve"> 5 days duration, </w:t>
      </w:r>
      <w:r w:rsidR="00C303A1" w:rsidRPr="007A3223">
        <w:t>g</w:t>
      </w:r>
      <w:r w:rsidRPr="007A3223">
        <w:t xml:space="preserve">rade 4 neutropenia of any duration with fever or documented infection, all other </w:t>
      </w:r>
      <w:r w:rsidR="00C303A1" w:rsidRPr="007A3223">
        <w:t>g</w:t>
      </w:r>
      <w:r w:rsidRPr="007A3223">
        <w:t>rade 4 hematologic toxicities</w:t>
      </w:r>
      <w:r w:rsidR="00804D4E" w:rsidRPr="007A3223">
        <w:t>.</w:t>
      </w:r>
    </w:p>
    <w:p w14:paraId="4497D9AD" w14:textId="77777777" w:rsidR="001C02A0" w:rsidRPr="007A3223" w:rsidRDefault="001C02A0" w:rsidP="00FB66BA">
      <w:pPr>
        <w:pStyle w:val="Default"/>
        <w:numPr>
          <w:ilvl w:val="1"/>
          <w:numId w:val="18"/>
        </w:numPr>
      </w:pPr>
      <w:r w:rsidRPr="007A3223">
        <w:rPr>
          <w:b/>
        </w:rPr>
        <w:t>Exceptions</w:t>
      </w:r>
      <w:r w:rsidRPr="007A3223">
        <w:t xml:space="preserve">: </w:t>
      </w:r>
    </w:p>
    <w:p w14:paraId="1086A0B6" w14:textId="77777777" w:rsidR="001C02A0" w:rsidRPr="007A3223" w:rsidRDefault="00C55480" w:rsidP="00FB66BA">
      <w:pPr>
        <w:pStyle w:val="Default"/>
        <w:numPr>
          <w:ilvl w:val="2"/>
          <w:numId w:val="18"/>
        </w:numPr>
        <w:ind w:left="1350" w:hanging="270"/>
      </w:pPr>
      <w:r w:rsidRPr="007A3223">
        <w:t xml:space="preserve">Grade 3 </w:t>
      </w:r>
      <w:r w:rsidR="001C02A0" w:rsidRPr="007A3223">
        <w:t>lymphopenia or leukopenia</w:t>
      </w:r>
      <w:r w:rsidRPr="007A3223">
        <w:t xml:space="preserve"> that downgrades to grade 2 or better</w:t>
      </w:r>
      <w:r w:rsidR="00856996" w:rsidRPr="007A3223">
        <w:t xml:space="preserve"> within 14</w:t>
      </w:r>
      <w:r w:rsidRPr="007A3223">
        <w:t xml:space="preserve"> days after onset of the event</w:t>
      </w:r>
      <w:r w:rsidR="007343E9" w:rsidRPr="007A3223">
        <w:t>,</w:t>
      </w:r>
      <w:r w:rsidRPr="007A3223">
        <w:t xml:space="preserve"> and resolves to grade 1 or better, OR baseline within 14 days</w:t>
      </w:r>
      <w:r w:rsidR="001C02A0" w:rsidRPr="007A3223">
        <w:t>.</w:t>
      </w:r>
      <w:r w:rsidRPr="007A3223">
        <w:t xml:space="preserve"> </w:t>
      </w:r>
    </w:p>
    <w:p w14:paraId="17D017F3" w14:textId="77777777" w:rsidR="00594739" w:rsidRPr="007A3223" w:rsidRDefault="001C02A0" w:rsidP="00FB66BA">
      <w:pPr>
        <w:pStyle w:val="Default"/>
        <w:numPr>
          <w:ilvl w:val="2"/>
          <w:numId w:val="18"/>
        </w:numPr>
        <w:ind w:left="1350" w:hanging="270"/>
      </w:pPr>
      <w:r w:rsidRPr="007A3223">
        <w:t xml:space="preserve">Grade </w:t>
      </w:r>
      <w:r w:rsidRPr="007A3223">
        <w:rPr>
          <w:u w:val="single"/>
        </w:rPr>
        <w:t>&gt;</w:t>
      </w:r>
      <w:r w:rsidRPr="007A3223">
        <w:t xml:space="preserve"> 3 lymphopenia, or leukopenia in the absence of grade 3 or higher neutropenia.</w:t>
      </w:r>
    </w:p>
    <w:p w14:paraId="253370BD" w14:textId="77777777" w:rsidR="00CF55E7" w:rsidRPr="007A3223" w:rsidRDefault="00CF55E7" w:rsidP="006A2787">
      <w:pPr>
        <w:pStyle w:val="Default"/>
        <w:ind w:left="1440"/>
      </w:pPr>
      <w:r w:rsidRPr="007A3223">
        <w:lastRenderedPageBreak/>
        <w:t xml:space="preserve"> </w:t>
      </w:r>
    </w:p>
    <w:p w14:paraId="4178C3A0" w14:textId="77777777" w:rsidR="00EF3D91" w:rsidRPr="007A3223" w:rsidRDefault="00EF3D91" w:rsidP="004E0D91">
      <w:pPr>
        <w:pStyle w:val="Heading4"/>
        <w:rPr>
          <w:noProof w:val="0"/>
        </w:rPr>
      </w:pPr>
      <w:bookmarkStart w:id="151" w:name="_Toc281240088"/>
      <w:bookmarkStart w:id="152" w:name="_Toc281240330"/>
      <w:bookmarkStart w:id="153" w:name="_Toc288125069"/>
      <w:r w:rsidRPr="007A3223">
        <w:rPr>
          <w:noProof w:val="0"/>
        </w:rPr>
        <w:t>Dose Escalation</w:t>
      </w:r>
      <w:bookmarkEnd w:id="151"/>
      <w:bookmarkEnd w:id="152"/>
      <w:bookmarkEnd w:id="153"/>
    </w:p>
    <w:p w14:paraId="50F5971B" w14:textId="77777777" w:rsidR="00EF3D91" w:rsidRPr="007A3223" w:rsidRDefault="00EF3D91" w:rsidP="006A2787">
      <w:pPr>
        <w:autoSpaceDE w:val="0"/>
        <w:autoSpaceDN w:val="0"/>
        <w:adjustRightInd w:val="0"/>
        <w:spacing w:after="0"/>
        <w:rPr>
          <w:szCs w:val="24"/>
        </w:rPr>
      </w:pPr>
      <w:r w:rsidRPr="007A3223">
        <w:rPr>
          <w:szCs w:val="24"/>
        </w:rPr>
        <w:t>Dose escalation will proceed in cohorts of 3–6 patients. The MTD is the dose level at which no more than 1 of up to 6 patients experience DLT during</w:t>
      </w:r>
      <w:r w:rsidR="00883C65" w:rsidRPr="007A3223">
        <w:rPr>
          <w:szCs w:val="24"/>
        </w:rPr>
        <w:t xml:space="preserve"> cycle 1</w:t>
      </w:r>
      <w:r w:rsidRPr="007A3223">
        <w:rPr>
          <w:rFonts w:hint="eastAsia"/>
          <w:szCs w:val="24"/>
        </w:rPr>
        <w:t xml:space="preserve"> of treatment, and the dose below that at which at least 2 (of </w:t>
      </w:r>
      <w:r w:rsidRPr="007A3223">
        <w:rPr>
          <w:rFonts w:hint="eastAsia"/>
          <w:szCs w:val="24"/>
        </w:rPr>
        <w:t>≤</w:t>
      </w:r>
      <w:r w:rsidRPr="007A3223">
        <w:rPr>
          <w:rFonts w:hint="eastAsia"/>
          <w:szCs w:val="24"/>
        </w:rPr>
        <w:t xml:space="preserve">6) patients have DLT as a result of the drug. If a patient </w:t>
      </w:r>
      <w:r w:rsidR="00D5219B" w:rsidRPr="007A3223">
        <w:t>does not finish cycle 1 for any reason other than DLT, the patient will not be evaluable for DLT and will be replaced in the dose level</w:t>
      </w:r>
      <w:r w:rsidR="00C14F5F" w:rsidRPr="007A3223">
        <w:t>.</w:t>
      </w:r>
    </w:p>
    <w:p w14:paraId="78B2D9AC" w14:textId="77777777" w:rsidR="00ED12C2" w:rsidRPr="007A3223" w:rsidRDefault="00ED12C2" w:rsidP="00EA69AB"/>
    <w:p w14:paraId="005586C9" w14:textId="01DFE0C6" w:rsidR="00635409" w:rsidRPr="007A3223" w:rsidRDefault="00635409" w:rsidP="00FB63F0">
      <w:pPr>
        <w:keepNext/>
      </w:pPr>
      <w:bookmarkStart w:id="154" w:name="_Ref405292230"/>
      <w:bookmarkStart w:id="155" w:name="_Toc82444440"/>
      <w:r w:rsidRPr="007A3223">
        <w:t xml:space="preserve">Table </w:t>
      </w:r>
      <w:r w:rsidR="002457B0" w:rsidRPr="00F33908">
        <w:fldChar w:fldCharType="begin"/>
      </w:r>
      <w:r w:rsidR="003B7F22" w:rsidRPr="007A3223">
        <w:instrText xml:space="preserve"> SEQ Table \* ARABIC </w:instrText>
      </w:r>
      <w:r w:rsidR="002457B0" w:rsidRPr="00F33908">
        <w:fldChar w:fldCharType="separate"/>
      </w:r>
      <w:r w:rsidR="00E47ACA">
        <w:rPr>
          <w:noProof/>
        </w:rPr>
        <w:t>6</w:t>
      </w:r>
      <w:r w:rsidR="002457B0" w:rsidRPr="00F33908">
        <w:fldChar w:fldCharType="end"/>
      </w:r>
      <w:bookmarkEnd w:id="154"/>
      <w:r w:rsidRPr="007A3223">
        <w:t xml:space="preserve">. </w:t>
      </w:r>
      <w:r w:rsidR="00E7210F">
        <w:t>Durvalumab</w:t>
      </w:r>
      <w:r w:rsidR="008858C9" w:rsidRPr="00F33908">
        <w:t>+</w:t>
      </w:r>
      <w:r w:rsidRPr="007A3223">
        <w:t>O Dose Escalation Schedule</w:t>
      </w:r>
      <w:bookmarkEnd w:id="155"/>
    </w:p>
    <w:tbl>
      <w:tblPr>
        <w:tblW w:w="0" w:type="auto"/>
        <w:tblInd w:w="88" w:type="dxa"/>
        <w:tblLayout w:type="fixed"/>
        <w:tblCellMar>
          <w:left w:w="88" w:type="dxa"/>
          <w:right w:w="88" w:type="dxa"/>
        </w:tblCellMar>
        <w:tblLook w:val="0000" w:firstRow="0" w:lastRow="0" w:firstColumn="0" w:lastColumn="0" w:noHBand="0" w:noVBand="0"/>
      </w:tblPr>
      <w:tblGrid>
        <w:gridCol w:w="2340"/>
        <w:gridCol w:w="2880"/>
        <w:gridCol w:w="3240"/>
      </w:tblGrid>
      <w:tr w:rsidR="00C76C51" w:rsidRPr="007A3223" w14:paraId="3ABCF859" w14:textId="77777777" w:rsidTr="00EA25D7">
        <w:tc>
          <w:tcPr>
            <w:tcW w:w="2340" w:type="dxa"/>
            <w:tcBorders>
              <w:top w:val="double" w:sz="4" w:space="0" w:color="000000"/>
              <w:left w:val="double" w:sz="4" w:space="0" w:color="000000"/>
              <w:bottom w:val="double" w:sz="4" w:space="0" w:color="000000"/>
              <w:right w:val="single" w:sz="8" w:space="0" w:color="000000"/>
            </w:tcBorders>
          </w:tcPr>
          <w:p w14:paraId="6C2084B0" w14:textId="77777777" w:rsidR="00C76C51" w:rsidRPr="007A3223" w:rsidRDefault="00C76C51" w:rsidP="00C76C51">
            <w:pPr>
              <w:pStyle w:val="Caption"/>
              <w:rPr>
                <w:szCs w:val="24"/>
              </w:rPr>
            </w:pPr>
            <w:r w:rsidRPr="007A3223">
              <w:rPr>
                <w:szCs w:val="24"/>
              </w:rPr>
              <w:t>Dose Level (DL)</w:t>
            </w:r>
          </w:p>
        </w:tc>
        <w:tc>
          <w:tcPr>
            <w:tcW w:w="2880" w:type="dxa"/>
            <w:tcBorders>
              <w:top w:val="double" w:sz="4" w:space="0" w:color="000000"/>
              <w:left w:val="single" w:sz="8" w:space="0" w:color="000000"/>
              <w:bottom w:val="double" w:sz="4" w:space="0" w:color="000000"/>
              <w:right w:val="single" w:sz="8" w:space="0" w:color="000000"/>
            </w:tcBorders>
          </w:tcPr>
          <w:p w14:paraId="368F5292" w14:textId="04CF5E6D" w:rsidR="00C76C51" w:rsidRPr="007A3223" w:rsidRDefault="00E7210F" w:rsidP="00C76C51">
            <w:pPr>
              <w:spacing w:after="0" w:line="22" w:lineRule="atLeast"/>
              <w:rPr>
                <w:b/>
                <w:bCs/>
                <w:szCs w:val="24"/>
              </w:rPr>
            </w:pPr>
            <w:r>
              <w:rPr>
                <w:b/>
                <w:bCs/>
                <w:szCs w:val="24"/>
              </w:rPr>
              <w:t>Durvalumab</w:t>
            </w:r>
          </w:p>
          <w:p w14:paraId="335F6BDA" w14:textId="77777777" w:rsidR="00C76C51" w:rsidRPr="007A3223" w:rsidRDefault="00C76C51" w:rsidP="00016396">
            <w:pPr>
              <w:pStyle w:val="Caption"/>
              <w:spacing w:before="0" w:after="0"/>
              <w:rPr>
                <w:szCs w:val="24"/>
              </w:rPr>
            </w:pPr>
            <w:r w:rsidRPr="007A3223">
              <w:rPr>
                <w:bCs w:val="0"/>
                <w:szCs w:val="24"/>
              </w:rPr>
              <w:t>(intravenously)</w:t>
            </w:r>
          </w:p>
        </w:tc>
        <w:tc>
          <w:tcPr>
            <w:tcW w:w="3240" w:type="dxa"/>
            <w:tcBorders>
              <w:top w:val="double" w:sz="4" w:space="0" w:color="000000"/>
              <w:left w:val="single" w:sz="8" w:space="0" w:color="000000"/>
              <w:bottom w:val="double" w:sz="4" w:space="0" w:color="000000"/>
              <w:right w:val="double" w:sz="4" w:space="0" w:color="000000"/>
            </w:tcBorders>
          </w:tcPr>
          <w:p w14:paraId="6EB9689A" w14:textId="77777777" w:rsidR="00C76C51" w:rsidRPr="007A3223" w:rsidRDefault="00C76C51" w:rsidP="00C76C51">
            <w:pPr>
              <w:spacing w:after="0" w:line="22" w:lineRule="atLeast"/>
              <w:rPr>
                <w:b/>
                <w:bCs/>
                <w:szCs w:val="24"/>
              </w:rPr>
            </w:pPr>
            <w:r w:rsidRPr="007A3223">
              <w:rPr>
                <w:b/>
                <w:bCs/>
                <w:szCs w:val="24"/>
              </w:rPr>
              <w:t xml:space="preserve">Olaparib </w:t>
            </w:r>
            <w:r w:rsidR="003A2B13" w:rsidRPr="007A3223">
              <w:rPr>
                <w:b/>
                <w:bCs/>
                <w:szCs w:val="24"/>
              </w:rPr>
              <w:t>tablets</w:t>
            </w:r>
          </w:p>
          <w:p w14:paraId="59EED70D" w14:textId="77777777" w:rsidR="00C76C51" w:rsidRPr="007A3223" w:rsidRDefault="00C76C51" w:rsidP="00C76C51">
            <w:pPr>
              <w:pStyle w:val="Caption"/>
              <w:spacing w:before="0" w:after="0"/>
              <w:rPr>
                <w:szCs w:val="24"/>
              </w:rPr>
            </w:pPr>
            <w:r w:rsidRPr="007A3223">
              <w:rPr>
                <w:bCs w:val="0"/>
                <w:szCs w:val="24"/>
              </w:rPr>
              <w:t>(oral, twice a day)</w:t>
            </w:r>
          </w:p>
        </w:tc>
      </w:tr>
      <w:tr w:rsidR="00C76C51" w:rsidRPr="007A3223" w14:paraId="1C779DDD" w14:textId="77777777" w:rsidTr="004F475C">
        <w:trPr>
          <w:trHeight w:val="288"/>
        </w:trPr>
        <w:tc>
          <w:tcPr>
            <w:tcW w:w="2340" w:type="dxa"/>
            <w:tcBorders>
              <w:top w:val="single" w:sz="7" w:space="0" w:color="000000"/>
              <w:left w:val="double" w:sz="4" w:space="0" w:color="000000"/>
              <w:bottom w:val="single" w:sz="4" w:space="0" w:color="auto"/>
              <w:right w:val="single" w:sz="8" w:space="0" w:color="000000"/>
            </w:tcBorders>
          </w:tcPr>
          <w:p w14:paraId="7E903403" w14:textId="77777777" w:rsidR="00C76C51" w:rsidRPr="007A3223" w:rsidRDefault="004F475C" w:rsidP="00C76C51">
            <w:pPr>
              <w:rPr>
                <w:szCs w:val="24"/>
              </w:rPr>
            </w:pPr>
            <w:r w:rsidRPr="007A3223">
              <w:rPr>
                <w:b/>
                <w:szCs w:val="24"/>
              </w:rPr>
              <w:t>DL</w:t>
            </w:r>
            <w:r w:rsidRPr="007A3223">
              <w:rPr>
                <w:szCs w:val="24"/>
              </w:rPr>
              <w:t xml:space="preserve"> -2</w:t>
            </w:r>
          </w:p>
        </w:tc>
        <w:tc>
          <w:tcPr>
            <w:tcW w:w="2880" w:type="dxa"/>
            <w:tcBorders>
              <w:top w:val="single" w:sz="8" w:space="0" w:color="000000"/>
              <w:left w:val="single" w:sz="8" w:space="0" w:color="000000"/>
              <w:bottom w:val="single" w:sz="4" w:space="0" w:color="auto"/>
              <w:right w:val="single" w:sz="8" w:space="0" w:color="000000"/>
            </w:tcBorders>
          </w:tcPr>
          <w:p w14:paraId="7D285471" w14:textId="77777777" w:rsidR="00C76C51" w:rsidRPr="007A3223" w:rsidRDefault="004F475C" w:rsidP="00BB4D3F">
            <w:pPr>
              <w:rPr>
                <w:szCs w:val="24"/>
              </w:rPr>
            </w:pPr>
            <w:r w:rsidRPr="007A3223">
              <w:rPr>
                <w:szCs w:val="24"/>
              </w:rPr>
              <w:t>3 mg/kg</w:t>
            </w:r>
            <w:r w:rsidR="00BB4D3F" w:rsidRPr="007A3223">
              <w:rPr>
                <w:szCs w:val="24"/>
              </w:rPr>
              <w:t xml:space="preserve"> every 2 weeks</w:t>
            </w:r>
          </w:p>
        </w:tc>
        <w:tc>
          <w:tcPr>
            <w:tcW w:w="3240" w:type="dxa"/>
            <w:tcBorders>
              <w:top w:val="single" w:sz="7" w:space="0" w:color="000000"/>
              <w:left w:val="single" w:sz="8" w:space="0" w:color="000000"/>
              <w:bottom w:val="single" w:sz="4" w:space="0" w:color="auto"/>
              <w:right w:val="double" w:sz="4" w:space="0" w:color="000000"/>
            </w:tcBorders>
          </w:tcPr>
          <w:p w14:paraId="0F3C6EE9" w14:textId="77777777" w:rsidR="00C76C51" w:rsidRPr="007A3223" w:rsidRDefault="004F475C" w:rsidP="00C76C51">
            <w:pPr>
              <w:rPr>
                <w:szCs w:val="24"/>
              </w:rPr>
            </w:pPr>
            <w:r w:rsidRPr="007A3223">
              <w:rPr>
                <w:szCs w:val="24"/>
              </w:rPr>
              <w:t>150</w:t>
            </w:r>
            <w:r w:rsidR="00794AC5" w:rsidRPr="007A3223">
              <w:rPr>
                <w:szCs w:val="24"/>
              </w:rPr>
              <w:t xml:space="preserve"> </w:t>
            </w:r>
            <w:r w:rsidRPr="007A3223">
              <w:rPr>
                <w:szCs w:val="24"/>
              </w:rPr>
              <w:t>mg</w:t>
            </w:r>
          </w:p>
        </w:tc>
      </w:tr>
      <w:tr w:rsidR="004F475C" w:rsidRPr="007A3223" w14:paraId="539A12FA" w14:textId="77777777" w:rsidTr="004F475C">
        <w:trPr>
          <w:trHeight w:val="488"/>
        </w:trPr>
        <w:tc>
          <w:tcPr>
            <w:tcW w:w="2340" w:type="dxa"/>
            <w:tcBorders>
              <w:top w:val="single" w:sz="4" w:space="0" w:color="auto"/>
              <w:left w:val="double" w:sz="4" w:space="0" w:color="000000"/>
              <w:bottom w:val="single" w:sz="4" w:space="0" w:color="auto"/>
              <w:right w:val="single" w:sz="8" w:space="0" w:color="000000"/>
            </w:tcBorders>
          </w:tcPr>
          <w:p w14:paraId="33EFEA1F" w14:textId="77777777" w:rsidR="004F475C" w:rsidRPr="007A3223" w:rsidRDefault="004F475C" w:rsidP="00C76C51">
            <w:pPr>
              <w:rPr>
                <w:b/>
                <w:szCs w:val="24"/>
              </w:rPr>
            </w:pPr>
            <w:r w:rsidRPr="007A3223">
              <w:rPr>
                <w:b/>
                <w:szCs w:val="24"/>
              </w:rPr>
              <w:t>DL</w:t>
            </w:r>
            <w:r w:rsidRPr="007A3223" w:rsidDel="0062215F">
              <w:rPr>
                <w:szCs w:val="24"/>
              </w:rPr>
              <w:t xml:space="preserve"> </w:t>
            </w:r>
            <w:r w:rsidRPr="007A3223">
              <w:rPr>
                <w:szCs w:val="24"/>
              </w:rPr>
              <w:t>-1</w:t>
            </w:r>
          </w:p>
        </w:tc>
        <w:tc>
          <w:tcPr>
            <w:tcW w:w="2880" w:type="dxa"/>
            <w:tcBorders>
              <w:top w:val="single" w:sz="4" w:space="0" w:color="auto"/>
              <w:left w:val="single" w:sz="8" w:space="0" w:color="000000"/>
              <w:bottom w:val="single" w:sz="4" w:space="0" w:color="auto"/>
              <w:right w:val="single" w:sz="8" w:space="0" w:color="000000"/>
            </w:tcBorders>
          </w:tcPr>
          <w:p w14:paraId="15F58201" w14:textId="77777777" w:rsidR="004F475C" w:rsidRPr="007A3223" w:rsidRDefault="004F475C" w:rsidP="00C76C51">
            <w:pPr>
              <w:rPr>
                <w:szCs w:val="24"/>
              </w:rPr>
            </w:pPr>
            <w:r w:rsidRPr="007A3223">
              <w:rPr>
                <w:szCs w:val="24"/>
              </w:rPr>
              <w:t>3 mg/kg</w:t>
            </w:r>
            <w:r w:rsidR="00BB4D3F" w:rsidRPr="007A3223">
              <w:rPr>
                <w:szCs w:val="24"/>
              </w:rPr>
              <w:t xml:space="preserve"> every 2 weeks</w:t>
            </w:r>
          </w:p>
        </w:tc>
        <w:tc>
          <w:tcPr>
            <w:tcW w:w="3240" w:type="dxa"/>
            <w:tcBorders>
              <w:top w:val="single" w:sz="4" w:space="0" w:color="auto"/>
              <w:left w:val="single" w:sz="8" w:space="0" w:color="000000"/>
              <w:bottom w:val="single" w:sz="4" w:space="0" w:color="auto"/>
              <w:right w:val="double" w:sz="4" w:space="0" w:color="000000"/>
            </w:tcBorders>
          </w:tcPr>
          <w:p w14:paraId="06891292" w14:textId="77777777" w:rsidR="004F475C" w:rsidRPr="007A3223" w:rsidRDefault="004F475C" w:rsidP="00C76C51">
            <w:pPr>
              <w:rPr>
                <w:szCs w:val="24"/>
              </w:rPr>
            </w:pPr>
            <w:r w:rsidRPr="007A3223">
              <w:rPr>
                <w:szCs w:val="24"/>
              </w:rPr>
              <w:t>200 mg</w:t>
            </w:r>
          </w:p>
        </w:tc>
      </w:tr>
      <w:tr w:rsidR="00C76C51" w:rsidRPr="007A3223" w14:paraId="592CC5A3" w14:textId="77777777" w:rsidTr="00EA25D7">
        <w:trPr>
          <w:trHeight w:val="288"/>
        </w:trPr>
        <w:tc>
          <w:tcPr>
            <w:tcW w:w="2340" w:type="dxa"/>
            <w:tcBorders>
              <w:top w:val="single" w:sz="4" w:space="0" w:color="auto"/>
              <w:left w:val="double" w:sz="4" w:space="0" w:color="000000"/>
              <w:bottom w:val="single" w:sz="7" w:space="0" w:color="000000"/>
              <w:right w:val="single" w:sz="8" w:space="0" w:color="000000"/>
            </w:tcBorders>
          </w:tcPr>
          <w:p w14:paraId="58D6D38A" w14:textId="77777777" w:rsidR="00C76C51" w:rsidRPr="007A3223" w:rsidRDefault="00C76C51" w:rsidP="00C76C51">
            <w:pPr>
              <w:rPr>
                <w:szCs w:val="24"/>
              </w:rPr>
            </w:pPr>
            <w:r w:rsidRPr="007A3223">
              <w:rPr>
                <w:b/>
                <w:szCs w:val="24"/>
              </w:rPr>
              <w:t>DL</w:t>
            </w:r>
            <w:r w:rsidRPr="007A3223">
              <w:rPr>
                <w:szCs w:val="24"/>
              </w:rPr>
              <w:t xml:space="preserve"> 1 (starting dose)</w:t>
            </w:r>
          </w:p>
        </w:tc>
        <w:tc>
          <w:tcPr>
            <w:tcW w:w="2880" w:type="dxa"/>
            <w:tcBorders>
              <w:top w:val="single" w:sz="4" w:space="0" w:color="auto"/>
              <w:left w:val="single" w:sz="8" w:space="0" w:color="000000"/>
              <w:bottom w:val="single" w:sz="8" w:space="0" w:color="000000"/>
              <w:right w:val="single" w:sz="8" w:space="0" w:color="000000"/>
            </w:tcBorders>
          </w:tcPr>
          <w:p w14:paraId="447E435A" w14:textId="77777777" w:rsidR="00C76C51" w:rsidRPr="007A3223" w:rsidRDefault="00C76C51" w:rsidP="00BB4D3F">
            <w:pPr>
              <w:rPr>
                <w:szCs w:val="24"/>
              </w:rPr>
            </w:pPr>
            <w:r w:rsidRPr="007A3223">
              <w:rPr>
                <w:szCs w:val="24"/>
              </w:rPr>
              <w:t>10 mg/kg</w:t>
            </w:r>
            <w:r w:rsidR="00BB4D3F" w:rsidRPr="007A3223">
              <w:rPr>
                <w:szCs w:val="24"/>
              </w:rPr>
              <w:t xml:space="preserve"> every 2 weeks</w:t>
            </w:r>
          </w:p>
        </w:tc>
        <w:tc>
          <w:tcPr>
            <w:tcW w:w="3240" w:type="dxa"/>
            <w:tcBorders>
              <w:top w:val="single" w:sz="4" w:space="0" w:color="auto"/>
              <w:left w:val="single" w:sz="8" w:space="0" w:color="000000"/>
              <w:bottom w:val="single" w:sz="7" w:space="0" w:color="000000"/>
              <w:right w:val="double" w:sz="4" w:space="0" w:color="000000"/>
            </w:tcBorders>
          </w:tcPr>
          <w:p w14:paraId="3AEAB4F4" w14:textId="77777777" w:rsidR="00C76C51" w:rsidRPr="007A3223" w:rsidRDefault="00C76C51" w:rsidP="00C76C51">
            <w:pPr>
              <w:rPr>
                <w:szCs w:val="24"/>
              </w:rPr>
            </w:pPr>
            <w:r w:rsidRPr="007A3223">
              <w:rPr>
                <w:szCs w:val="24"/>
              </w:rPr>
              <w:t>200 mg</w:t>
            </w:r>
          </w:p>
        </w:tc>
      </w:tr>
      <w:tr w:rsidR="00C76C51" w:rsidRPr="007A3223" w14:paraId="7BB91892" w14:textId="77777777" w:rsidTr="001D20B8">
        <w:trPr>
          <w:trHeight w:val="288"/>
        </w:trPr>
        <w:tc>
          <w:tcPr>
            <w:tcW w:w="2340" w:type="dxa"/>
            <w:tcBorders>
              <w:top w:val="single" w:sz="7" w:space="0" w:color="000000"/>
              <w:left w:val="double" w:sz="4" w:space="0" w:color="000000"/>
              <w:bottom w:val="single" w:sz="4" w:space="0" w:color="auto"/>
              <w:right w:val="single" w:sz="8" w:space="0" w:color="000000"/>
            </w:tcBorders>
          </w:tcPr>
          <w:p w14:paraId="25A6E59E" w14:textId="77777777" w:rsidR="00C76C51" w:rsidRPr="007A3223" w:rsidRDefault="00C76C51" w:rsidP="00C76C51">
            <w:pPr>
              <w:rPr>
                <w:szCs w:val="24"/>
              </w:rPr>
            </w:pPr>
            <w:r w:rsidRPr="007A3223">
              <w:rPr>
                <w:b/>
                <w:szCs w:val="24"/>
              </w:rPr>
              <w:t>DL</w:t>
            </w:r>
            <w:r w:rsidRPr="007A3223">
              <w:rPr>
                <w:szCs w:val="24"/>
              </w:rPr>
              <w:t xml:space="preserve"> 2</w:t>
            </w:r>
          </w:p>
        </w:tc>
        <w:tc>
          <w:tcPr>
            <w:tcW w:w="2880" w:type="dxa"/>
            <w:tcBorders>
              <w:top w:val="single" w:sz="8" w:space="0" w:color="000000"/>
              <w:left w:val="single" w:sz="8" w:space="0" w:color="000000"/>
              <w:bottom w:val="single" w:sz="4" w:space="0" w:color="auto"/>
              <w:right w:val="single" w:sz="8" w:space="0" w:color="000000"/>
            </w:tcBorders>
          </w:tcPr>
          <w:p w14:paraId="0EC3AB5A" w14:textId="77777777" w:rsidR="00C76C51" w:rsidRPr="007A3223" w:rsidRDefault="00C76C51" w:rsidP="00C76C51">
            <w:pPr>
              <w:rPr>
                <w:szCs w:val="24"/>
              </w:rPr>
            </w:pPr>
            <w:r w:rsidRPr="007A3223">
              <w:rPr>
                <w:szCs w:val="24"/>
              </w:rPr>
              <w:t>10 mg/kg</w:t>
            </w:r>
            <w:r w:rsidR="00BB4D3F" w:rsidRPr="007A3223">
              <w:rPr>
                <w:szCs w:val="24"/>
              </w:rPr>
              <w:t xml:space="preserve"> every 2 weeks</w:t>
            </w:r>
          </w:p>
        </w:tc>
        <w:tc>
          <w:tcPr>
            <w:tcW w:w="3240" w:type="dxa"/>
            <w:tcBorders>
              <w:top w:val="single" w:sz="7" w:space="0" w:color="000000"/>
              <w:left w:val="single" w:sz="8" w:space="0" w:color="000000"/>
              <w:bottom w:val="single" w:sz="4" w:space="0" w:color="auto"/>
              <w:right w:val="double" w:sz="4" w:space="0" w:color="000000"/>
            </w:tcBorders>
          </w:tcPr>
          <w:p w14:paraId="03916414" w14:textId="77777777" w:rsidR="001D20B8" w:rsidRPr="007A3223" w:rsidRDefault="00C76C51" w:rsidP="00C76C51">
            <w:pPr>
              <w:rPr>
                <w:szCs w:val="24"/>
              </w:rPr>
            </w:pPr>
            <w:r w:rsidRPr="007A3223">
              <w:rPr>
                <w:szCs w:val="24"/>
              </w:rPr>
              <w:t>300 mg</w:t>
            </w:r>
          </w:p>
        </w:tc>
      </w:tr>
      <w:tr w:rsidR="00BB4D3F" w:rsidRPr="007A3223" w14:paraId="44617BA3" w14:textId="77777777" w:rsidTr="001D20B8">
        <w:trPr>
          <w:trHeight w:val="512"/>
        </w:trPr>
        <w:tc>
          <w:tcPr>
            <w:tcW w:w="2340" w:type="dxa"/>
            <w:tcBorders>
              <w:top w:val="single" w:sz="4" w:space="0" w:color="auto"/>
              <w:left w:val="double" w:sz="4" w:space="0" w:color="000000"/>
              <w:bottom w:val="single" w:sz="7" w:space="0" w:color="000000"/>
              <w:right w:val="single" w:sz="8" w:space="0" w:color="000000"/>
            </w:tcBorders>
          </w:tcPr>
          <w:p w14:paraId="06F099EB" w14:textId="77777777" w:rsidR="00BB4D3F" w:rsidRPr="007A3223" w:rsidRDefault="00BB4D3F" w:rsidP="00C76C51">
            <w:pPr>
              <w:rPr>
                <w:b/>
                <w:szCs w:val="24"/>
              </w:rPr>
            </w:pPr>
            <w:r w:rsidRPr="007A3223">
              <w:rPr>
                <w:b/>
                <w:szCs w:val="24"/>
              </w:rPr>
              <w:t>DL</w:t>
            </w:r>
            <w:r w:rsidRPr="007A3223">
              <w:rPr>
                <w:szCs w:val="24"/>
              </w:rPr>
              <w:t xml:space="preserve"> 3</w:t>
            </w:r>
          </w:p>
        </w:tc>
        <w:tc>
          <w:tcPr>
            <w:tcW w:w="2880" w:type="dxa"/>
            <w:tcBorders>
              <w:top w:val="single" w:sz="4" w:space="0" w:color="auto"/>
              <w:left w:val="single" w:sz="8" w:space="0" w:color="000000"/>
              <w:bottom w:val="single" w:sz="8" w:space="0" w:color="000000"/>
              <w:right w:val="single" w:sz="8" w:space="0" w:color="000000"/>
            </w:tcBorders>
          </w:tcPr>
          <w:p w14:paraId="574D9008" w14:textId="77777777" w:rsidR="00BB4D3F" w:rsidRPr="007A3223" w:rsidRDefault="00BB4D3F" w:rsidP="00C76C51">
            <w:pPr>
              <w:rPr>
                <w:szCs w:val="24"/>
              </w:rPr>
            </w:pPr>
            <w:r w:rsidRPr="007A3223">
              <w:rPr>
                <w:szCs w:val="24"/>
              </w:rPr>
              <w:t>A fixed dose of 1500mg every 4 weeks</w:t>
            </w:r>
          </w:p>
        </w:tc>
        <w:tc>
          <w:tcPr>
            <w:tcW w:w="3240" w:type="dxa"/>
            <w:tcBorders>
              <w:top w:val="single" w:sz="4" w:space="0" w:color="auto"/>
              <w:left w:val="single" w:sz="8" w:space="0" w:color="000000"/>
              <w:bottom w:val="single" w:sz="7" w:space="0" w:color="000000"/>
              <w:right w:val="double" w:sz="4" w:space="0" w:color="000000"/>
            </w:tcBorders>
          </w:tcPr>
          <w:p w14:paraId="559B5D92" w14:textId="77777777" w:rsidR="00BB4D3F" w:rsidRPr="007A3223" w:rsidRDefault="00BB4D3F" w:rsidP="00C76C51">
            <w:pPr>
              <w:rPr>
                <w:szCs w:val="24"/>
              </w:rPr>
            </w:pPr>
            <w:r w:rsidRPr="007A3223">
              <w:rPr>
                <w:szCs w:val="24"/>
              </w:rPr>
              <w:t>300 mg</w:t>
            </w:r>
          </w:p>
        </w:tc>
      </w:tr>
      <w:tr w:rsidR="00C76C51" w:rsidRPr="007A3223" w14:paraId="6C5FB58F" w14:textId="77777777" w:rsidTr="001B019B">
        <w:trPr>
          <w:trHeight w:val="64"/>
        </w:trPr>
        <w:tc>
          <w:tcPr>
            <w:tcW w:w="8460" w:type="dxa"/>
            <w:gridSpan w:val="3"/>
            <w:tcBorders>
              <w:top w:val="single" w:sz="7" w:space="0" w:color="000000"/>
              <w:left w:val="double" w:sz="4" w:space="0" w:color="000000"/>
              <w:bottom w:val="double" w:sz="4" w:space="0" w:color="000000"/>
              <w:right w:val="double" w:sz="4" w:space="0" w:color="000000"/>
            </w:tcBorders>
          </w:tcPr>
          <w:p w14:paraId="6AD0EEA2" w14:textId="77777777" w:rsidR="00C76C51" w:rsidRPr="007A3223" w:rsidRDefault="00C76C51" w:rsidP="001B019B">
            <w:pPr>
              <w:tabs>
                <w:tab w:val="left" w:pos="450"/>
              </w:tabs>
              <w:ind w:left="90"/>
              <w:rPr>
                <w:szCs w:val="24"/>
              </w:rPr>
            </w:pPr>
            <w:r w:rsidRPr="007A3223">
              <w:rPr>
                <w:bCs/>
                <w:szCs w:val="24"/>
              </w:rPr>
              <w:t xml:space="preserve"> </w:t>
            </w:r>
          </w:p>
        </w:tc>
      </w:tr>
    </w:tbl>
    <w:p w14:paraId="2EC520C4" w14:textId="77777777" w:rsidR="00C76C51" w:rsidRPr="007A3223" w:rsidRDefault="00C76C51" w:rsidP="00EA69AB"/>
    <w:p w14:paraId="5B86D5BE" w14:textId="22663020" w:rsidR="00635409" w:rsidRPr="007A3223" w:rsidRDefault="00635409" w:rsidP="00FB63F0">
      <w:pPr>
        <w:keepNext/>
      </w:pPr>
      <w:bookmarkStart w:id="156" w:name="_Ref405292235"/>
      <w:bookmarkStart w:id="157" w:name="_Toc82444441"/>
      <w:r w:rsidRPr="007A3223">
        <w:t xml:space="preserve">Table </w:t>
      </w:r>
      <w:r w:rsidR="002457B0" w:rsidRPr="00F33908">
        <w:fldChar w:fldCharType="begin"/>
      </w:r>
      <w:r w:rsidR="003B7F22" w:rsidRPr="007A3223">
        <w:instrText xml:space="preserve"> SEQ Table \* ARABIC </w:instrText>
      </w:r>
      <w:r w:rsidR="002457B0" w:rsidRPr="00F33908">
        <w:fldChar w:fldCharType="separate"/>
      </w:r>
      <w:r w:rsidR="00E47ACA">
        <w:rPr>
          <w:noProof/>
        </w:rPr>
        <w:t>7</w:t>
      </w:r>
      <w:r w:rsidR="002457B0" w:rsidRPr="00F33908">
        <w:fldChar w:fldCharType="end"/>
      </w:r>
      <w:bookmarkEnd w:id="156"/>
      <w:r w:rsidRPr="007A3223">
        <w:t xml:space="preserve">. </w:t>
      </w:r>
      <w:r w:rsidR="00E7210F">
        <w:t>Durvalumab</w:t>
      </w:r>
      <w:r w:rsidRPr="007A3223">
        <w:t xml:space="preserve">-C </w:t>
      </w:r>
      <w:r w:rsidR="00F45F17" w:rsidRPr="00F33908">
        <w:t xml:space="preserve">Daily Schedule </w:t>
      </w:r>
      <w:r w:rsidRPr="007A3223">
        <w:t xml:space="preserve">Dose Escalation </w:t>
      </w:r>
      <w:r w:rsidR="00F45F17" w:rsidRPr="007A3223">
        <w:t>Table</w:t>
      </w:r>
      <w:bookmarkEnd w:id="157"/>
    </w:p>
    <w:tbl>
      <w:tblPr>
        <w:tblW w:w="0" w:type="auto"/>
        <w:tblInd w:w="88" w:type="dxa"/>
        <w:tblLayout w:type="fixed"/>
        <w:tblCellMar>
          <w:left w:w="88" w:type="dxa"/>
          <w:right w:w="88" w:type="dxa"/>
        </w:tblCellMar>
        <w:tblLook w:val="0000" w:firstRow="0" w:lastRow="0" w:firstColumn="0" w:lastColumn="0" w:noHBand="0" w:noVBand="0"/>
      </w:tblPr>
      <w:tblGrid>
        <w:gridCol w:w="2340"/>
        <w:gridCol w:w="2880"/>
        <w:gridCol w:w="3240"/>
      </w:tblGrid>
      <w:tr w:rsidR="00CA62E8" w:rsidRPr="007A3223" w14:paraId="0B7D2387" w14:textId="77777777" w:rsidTr="00EA25D7">
        <w:tc>
          <w:tcPr>
            <w:tcW w:w="2340" w:type="dxa"/>
            <w:tcBorders>
              <w:top w:val="double" w:sz="4" w:space="0" w:color="000000"/>
              <w:left w:val="double" w:sz="4" w:space="0" w:color="000000"/>
              <w:bottom w:val="double" w:sz="4" w:space="0" w:color="000000"/>
              <w:right w:val="single" w:sz="8" w:space="0" w:color="000000"/>
            </w:tcBorders>
          </w:tcPr>
          <w:p w14:paraId="5EC2D25B" w14:textId="77777777" w:rsidR="00CA62E8" w:rsidRPr="007A3223" w:rsidRDefault="00B43A98" w:rsidP="00B43A98">
            <w:pPr>
              <w:keepNext/>
              <w:rPr>
                <w:b/>
                <w:szCs w:val="24"/>
              </w:rPr>
            </w:pPr>
            <w:r w:rsidRPr="007A3223">
              <w:rPr>
                <w:b/>
                <w:szCs w:val="24"/>
              </w:rPr>
              <w:t>Dose Level</w:t>
            </w:r>
            <w:r w:rsidR="0062215F" w:rsidRPr="007A3223">
              <w:rPr>
                <w:b/>
                <w:szCs w:val="24"/>
              </w:rPr>
              <w:t xml:space="preserve"> (DL)</w:t>
            </w:r>
          </w:p>
        </w:tc>
        <w:tc>
          <w:tcPr>
            <w:tcW w:w="2880" w:type="dxa"/>
            <w:tcBorders>
              <w:top w:val="double" w:sz="4" w:space="0" w:color="000000"/>
              <w:left w:val="single" w:sz="8" w:space="0" w:color="000000"/>
              <w:bottom w:val="double" w:sz="4" w:space="0" w:color="000000"/>
              <w:right w:val="single" w:sz="8" w:space="0" w:color="000000"/>
            </w:tcBorders>
          </w:tcPr>
          <w:p w14:paraId="730CE252" w14:textId="64345BE3" w:rsidR="00B43A98" w:rsidRPr="007A3223" w:rsidRDefault="00E7210F" w:rsidP="00B43A98">
            <w:pPr>
              <w:keepNext/>
              <w:spacing w:after="0" w:line="22" w:lineRule="atLeast"/>
              <w:rPr>
                <w:b/>
                <w:bCs/>
                <w:szCs w:val="24"/>
              </w:rPr>
            </w:pPr>
            <w:r>
              <w:rPr>
                <w:b/>
                <w:bCs/>
                <w:szCs w:val="24"/>
              </w:rPr>
              <w:t>Durvalumab</w:t>
            </w:r>
          </w:p>
          <w:p w14:paraId="505347E5" w14:textId="77777777" w:rsidR="00CA62E8" w:rsidRPr="007A3223" w:rsidRDefault="00B43A98" w:rsidP="00016396">
            <w:pPr>
              <w:keepNext/>
              <w:rPr>
                <w:b/>
                <w:szCs w:val="24"/>
              </w:rPr>
            </w:pPr>
            <w:r w:rsidRPr="007A3223">
              <w:rPr>
                <w:b/>
                <w:bCs/>
                <w:szCs w:val="24"/>
              </w:rPr>
              <w:t>(intravenously)</w:t>
            </w:r>
          </w:p>
        </w:tc>
        <w:tc>
          <w:tcPr>
            <w:tcW w:w="3240" w:type="dxa"/>
            <w:tcBorders>
              <w:top w:val="double" w:sz="4" w:space="0" w:color="000000"/>
              <w:left w:val="single" w:sz="8" w:space="0" w:color="000000"/>
              <w:bottom w:val="double" w:sz="4" w:space="0" w:color="000000"/>
              <w:right w:val="double" w:sz="4" w:space="0" w:color="000000"/>
            </w:tcBorders>
          </w:tcPr>
          <w:p w14:paraId="25F9E972" w14:textId="77777777" w:rsidR="00B43A98" w:rsidRPr="007A3223" w:rsidRDefault="00B43A98" w:rsidP="00B43A98">
            <w:pPr>
              <w:keepNext/>
              <w:spacing w:after="0" w:line="22" w:lineRule="atLeast"/>
              <w:rPr>
                <w:b/>
                <w:bCs/>
                <w:szCs w:val="24"/>
              </w:rPr>
            </w:pPr>
            <w:r w:rsidRPr="007A3223">
              <w:rPr>
                <w:b/>
                <w:bCs/>
                <w:szCs w:val="24"/>
              </w:rPr>
              <w:t xml:space="preserve">Cediranib </w:t>
            </w:r>
          </w:p>
          <w:p w14:paraId="7F7D784D" w14:textId="77777777" w:rsidR="00CA62E8" w:rsidRPr="007A3223" w:rsidRDefault="00B43A98" w:rsidP="00B43A98">
            <w:pPr>
              <w:keepNext/>
              <w:rPr>
                <w:b/>
                <w:szCs w:val="24"/>
              </w:rPr>
            </w:pPr>
            <w:r w:rsidRPr="007A3223">
              <w:rPr>
                <w:b/>
                <w:bCs/>
                <w:szCs w:val="24"/>
              </w:rPr>
              <w:t>(oral, once daily)</w:t>
            </w:r>
          </w:p>
        </w:tc>
      </w:tr>
      <w:tr w:rsidR="00883C65" w:rsidRPr="007A3223" w14:paraId="68F8C547" w14:textId="77777777" w:rsidTr="004F475C">
        <w:trPr>
          <w:trHeight w:val="432"/>
        </w:trPr>
        <w:tc>
          <w:tcPr>
            <w:tcW w:w="2340" w:type="dxa"/>
            <w:tcBorders>
              <w:top w:val="double" w:sz="4" w:space="0" w:color="000000"/>
              <w:left w:val="double" w:sz="4" w:space="0" w:color="000000"/>
              <w:bottom w:val="single" w:sz="4" w:space="0" w:color="auto"/>
              <w:right w:val="single" w:sz="8" w:space="0" w:color="000000"/>
            </w:tcBorders>
          </w:tcPr>
          <w:p w14:paraId="5AC8A7C4" w14:textId="77777777" w:rsidR="00883C65" w:rsidRPr="007A3223" w:rsidRDefault="00794AC5" w:rsidP="00883C65">
            <w:pPr>
              <w:rPr>
                <w:szCs w:val="24"/>
              </w:rPr>
            </w:pPr>
            <w:r w:rsidRPr="007A3223">
              <w:rPr>
                <w:b/>
                <w:szCs w:val="24"/>
              </w:rPr>
              <w:t>DL</w:t>
            </w:r>
            <w:r w:rsidRPr="007A3223">
              <w:rPr>
                <w:szCs w:val="24"/>
              </w:rPr>
              <w:t xml:space="preserve"> -2</w:t>
            </w:r>
          </w:p>
        </w:tc>
        <w:tc>
          <w:tcPr>
            <w:tcW w:w="2880" w:type="dxa"/>
            <w:tcBorders>
              <w:top w:val="double" w:sz="4" w:space="0" w:color="000000"/>
              <w:left w:val="single" w:sz="8" w:space="0" w:color="000000"/>
              <w:bottom w:val="single" w:sz="4" w:space="0" w:color="auto"/>
              <w:right w:val="single" w:sz="8" w:space="0" w:color="000000"/>
            </w:tcBorders>
          </w:tcPr>
          <w:p w14:paraId="5ED8ED1B" w14:textId="77777777" w:rsidR="00883C65" w:rsidRPr="007A3223" w:rsidRDefault="00794AC5" w:rsidP="00883C65">
            <w:pPr>
              <w:rPr>
                <w:szCs w:val="24"/>
              </w:rPr>
            </w:pPr>
            <w:r w:rsidRPr="007A3223">
              <w:rPr>
                <w:szCs w:val="24"/>
              </w:rPr>
              <w:t>3 mg/kg</w:t>
            </w:r>
            <w:r w:rsidR="00BB4D3F" w:rsidRPr="007A3223">
              <w:rPr>
                <w:szCs w:val="24"/>
              </w:rPr>
              <w:t xml:space="preserve"> every 2 weeks</w:t>
            </w:r>
          </w:p>
        </w:tc>
        <w:tc>
          <w:tcPr>
            <w:tcW w:w="3240" w:type="dxa"/>
            <w:tcBorders>
              <w:top w:val="double" w:sz="4" w:space="0" w:color="000000"/>
              <w:left w:val="single" w:sz="8" w:space="0" w:color="000000"/>
              <w:bottom w:val="single" w:sz="4" w:space="0" w:color="auto"/>
              <w:right w:val="double" w:sz="4" w:space="0" w:color="000000"/>
            </w:tcBorders>
          </w:tcPr>
          <w:p w14:paraId="430D1C05" w14:textId="77777777" w:rsidR="00883C65" w:rsidRPr="007A3223" w:rsidRDefault="00794AC5" w:rsidP="00883C65">
            <w:pPr>
              <w:rPr>
                <w:szCs w:val="24"/>
              </w:rPr>
            </w:pPr>
            <w:r w:rsidRPr="007A3223">
              <w:rPr>
                <w:szCs w:val="24"/>
              </w:rPr>
              <w:t>15 mg</w:t>
            </w:r>
          </w:p>
        </w:tc>
      </w:tr>
      <w:tr w:rsidR="004F475C" w:rsidRPr="007A3223" w14:paraId="12D01003" w14:textId="77777777" w:rsidTr="004F475C">
        <w:trPr>
          <w:trHeight w:val="336"/>
        </w:trPr>
        <w:tc>
          <w:tcPr>
            <w:tcW w:w="2340" w:type="dxa"/>
            <w:tcBorders>
              <w:top w:val="single" w:sz="4" w:space="0" w:color="auto"/>
              <w:left w:val="double" w:sz="4" w:space="0" w:color="000000"/>
              <w:bottom w:val="single" w:sz="7" w:space="0" w:color="000000"/>
              <w:right w:val="single" w:sz="8" w:space="0" w:color="000000"/>
            </w:tcBorders>
          </w:tcPr>
          <w:p w14:paraId="2AB5305A" w14:textId="77777777" w:rsidR="004F475C" w:rsidRPr="007A3223" w:rsidRDefault="004F475C" w:rsidP="00883C65">
            <w:pPr>
              <w:rPr>
                <w:b/>
                <w:szCs w:val="24"/>
              </w:rPr>
            </w:pPr>
            <w:r w:rsidRPr="007A3223">
              <w:rPr>
                <w:b/>
                <w:szCs w:val="24"/>
              </w:rPr>
              <w:t>DL</w:t>
            </w:r>
            <w:r w:rsidRPr="007A3223">
              <w:rPr>
                <w:szCs w:val="24"/>
              </w:rPr>
              <w:t xml:space="preserve"> -1</w:t>
            </w:r>
          </w:p>
        </w:tc>
        <w:tc>
          <w:tcPr>
            <w:tcW w:w="2880" w:type="dxa"/>
            <w:tcBorders>
              <w:top w:val="single" w:sz="4" w:space="0" w:color="auto"/>
              <w:left w:val="single" w:sz="8" w:space="0" w:color="000000"/>
              <w:bottom w:val="single" w:sz="8" w:space="0" w:color="000000"/>
              <w:right w:val="single" w:sz="8" w:space="0" w:color="000000"/>
            </w:tcBorders>
          </w:tcPr>
          <w:p w14:paraId="040CB455" w14:textId="77777777" w:rsidR="004F475C" w:rsidRPr="007A3223" w:rsidRDefault="004F475C" w:rsidP="00883C65">
            <w:pPr>
              <w:rPr>
                <w:szCs w:val="24"/>
              </w:rPr>
            </w:pPr>
            <w:r w:rsidRPr="007A3223">
              <w:rPr>
                <w:szCs w:val="24"/>
              </w:rPr>
              <w:t>3 mg/kg</w:t>
            </w:r>
            <w:r w:rsidR="00BB4D3F" w:rsidRPr="007A3223">
              <w:rPr>
                <w:szCs w:val="24"/>
              </w:rPr>
              <w:t xml:space="preserve"> every 2 weeks</w:t>
            </w:r>
          </w:p>
        </w:tc>
        <w:tc>
          <w:tcPr>
            <w:tcW w:w="3240" w:type="dxa"/>
            <w:tcBorders>
              <w:top w:val="single" w:sz="4" w:space="0" w:color="auto"/>
              <w:left w:val="single" w:sz="8" w:space="0" w:color="000000"/>
              <w:bottom w:val="single" w:sz="7" w:space="0" w:color="000000"/>
              <w:right w:val="double" w:sz="4" w:space="0" w:color="000000"/>
            </w:tcBorders>
          </w:tcPr>
          <w:p w14:paraId="766EC6DD" w14:textId="77777777" w:rsidR="004F475C" w:rsidRPr="007A3223" w:rsidRDefault="004F475C" w:rsidP="00883C65">
            <w:pPr>
              <w:rPr>
                <w:szCs w:val="24"/>
              </w:rPr>
            </w:pPr>
            <w:r w:rsidRPr="007A3223">
              <w:rPr>
                <w:szCs w:val="24"/>
              </w:rPr>
              <w:t>20 mg</w:t>
            </w:r>
          </w:p>
        </w:tc>
      </w:tr>
      <w:tr w:rsidR="00883C65" w:rsidRPr="007A3223" w14:paraId="7574F67E" w14:textId="77777777" w:rsidTr="00EA25D7">
        <w:tc>
          <w:tcPr>
            <w:tcW w:w="2340" w:type="dxa"/>
            <w:tcBorders>
              <w:top w:val="single" w:sz="7" w:space="0" w:color="000000"/>
              <w:left w:val="double" w:sz="4" w:space="0" w:color="000000"/>
              <w:bottom w:val="single" w:sz="7" w:space="0" w:color="000000"/>
              <w:right w:val="single" w:sz="8" w:space="0" w:color="000000"/>
            </w:tcBorders>
          </w:tcPr>
          <w:p w14:paraId="53030327" w14:textId="77777777" w:rsidR="00883C65" w:rsidRPr="007A3223" w:rsidRDefault="0062215F" w:rsidP="00CA62E8">
            <w:pPr>
              <w:rPr>
                <w:szCs w:val="24"/>
              </w:rPr>
            </w:pPr>
            <w:r w:rsidRPr="007A3223">
              <w:rPr>
                <w:b/>
                <w:szCs w:val="24"/>
              </w:rPr>
              <w:t>DL</w:t>
            </w:r>
            <w:r w:rsidR="00883C65" w:rsidRPr="007A3223">
              <w:rPr>
                <w:szCs w:val="24"/>
              </w:rPr>
              <w:t xml:space="preserve"> </w:t>
            </w:r>
            <w:r w:rsidR="00CA62E8" w:rsidRPr="007A3223">
              <w:rPr>
                <w:szCs w:val="24"/>
              </w:rPr>
              <w:t>1 (starting dose)</w:t>
            </w:r>
          </w:p>
        </w:tc>
        <w:tc>
          <w:tcPr>
            <w:tcW w:w="2880" w:type="dxa"/>
            <w:tcBorders>
              <w:top w:val="single" w:sz="8" w:space="0" w:color="000000"/>
              <w:left w:val="single" w:sz="8" w:space="0" w:color="000000"/>
              <w:bottom w:val="single" w:sz="8" w:space="0" w:color="000000"/>
              <w:right w:val="single" w:sz="8" w:space="0" w:color="000000"/>
            </w:tcBorders>
          </w:tcPr>
          <w:p w14:paraId="359CD49F" w14:textId="77777777" w:rsidR="00883C65" w:rsidRPr="007A3223" w:rsidRDefault="00CA62E8" w:rsidP="00883C65">
            <w:pPr>
              <w:rPr>
                <w:szCs w:val="24"/>
              </w:rPr>
            </w:pPr>
            <w:r w:rsidRPr="007A3223">
              <w:rPr>
                <w:szCs w:val="24"/>
              </w:rPr>
              <w:t>10 mg/kg</w:t>
            </w:r>
            <w:r w:rsidR="00BB4D3F" w:rsidRPr="007A3223">
              <w:rPr>
                <w:szCs w:val="24"/>
              </w:rPr>
              <w:t xml:space="preserve"> every 2 weeks</w:t>
            </w:r>
          </w:p>
        </w:tc>
        <w:tc>
          <w:tcPr>
            <w:tcW w:w="3240" w:type="dxa"/>
            <w:tcBorders>
              <w:top w:val="single" w:sz="7" w:space="0" w:color="000000"/>
              <w:left w:val="single" w:sz="8" w:space="0" w:color="000000"/>
              <w:bottom w:val="single" w:sz="7" w:space="0" w:color="000000"/>
              <w:right w:val="double" w:sz="4" w:space="0" w:color="000000"/>
            </w:tcBorders>
          </w:tcPr>
          <w:p w14:paraId="5C95AF5A" w14:textId="77777777" w:rsidR="00883C65" w:rsidRPr="007A3223" w:rsidRDefault="00CA62E8" w:rsidP="00883C65">
            <w:pPr>
              <w:rPr>
                <w:szCs w:val="24"/>
              </w:rPr>
            </w:pPr>
            <w:r w:rsidRPr="007A3223">
              <w:rPr>
                <w:szCs w:val="24"/>
              </w:rPr>
              <w:t>20 mg</w:t>
            </w:r>
          </w:p>
        </w:tc>
      </w:tr>
      <w:tr w:rsidR="00883C65" w:rsidRPr="007A3223" w14:paraId="45550B46" w14:textId="77777777" w:rsidTr="001D20B8">
        <w:trPr>
          <w:trHeight w:val="480"/>
        </w:trPr>
        <w:tc>
          <w:tcPr>
            <w:tcW w:w="2340" w:type="dxa"/>
            <w:tcBorders>
              <w:top w:val="single" w:sz="7" w:space="0" w:color="000000"/>
              <w:left w:val="double" w:sz="4" w:space="0" w:color="000000"/>
              <w:bottom w:val="single" w:sz="4" w:space="0" w:color="auto"/>
              <w:right w:val="single" w:sz="8" w:space="0" w:color="000000"/>
            </w:tcBorders>
          </w:tcPr>
          <w:p w14:paraId="23214812" w14:textId="77777777" w:rsidR="00883C65" w:rsidRPr="007A3223" w:rsidRDefault="0062215F" w:rsidP="00C0666F">
            <w:pPr>
              <w:rPr>
                <w:szCs w:val="24"/>
              </w:rPr>
            </w:pPr>
            <w:r w:rsidRPr="007A3223">
              <w:rPr>
                <w:b/>
                <w:szCs w:val="24"/>
              </w:rPr>
              <w:t>DL</w:t>
            </w:r>
            <w:r w:rsidR="00883C65" w:rsidRPr="007A3223">
              <w:rPr>
                <w:szCs w:val="24"/>
              </w:rPr>
              <w:t xml:space="preserve"> </w:t>
            </w:r>
            <w:r w:rsidR="00C0666F" w:rsidRPr="007A3223">
              <w:rPr>
                <w:szCs w:val="24"/>
              </w:rPr>
              <w:t>2</w:t>
            </w:r>
          </w:p>
        </w:tc>
        <w:tc>
          <w:tcPr>
            <w:tcW w:w="2880" w:type="dxa"/>
            <w:tcBorders>
              <w:top w:val="single" w:sz="8" w:space="0" w:color="000000"/>
              <w:left w:val="single" w:sz="8" w:space="0" w:color="000000"/>
              <w:bottom w:val="single" w:sz="4" w:space="0" w:color="auto"/>
              <w:right w:val="single" w:sz="8" w:space="0" w:color="000000"/>
            </w:tcBorders>
          </w:tcPr>
          <w:p w14:paraId="4ED69D99" w14:textId="77777777" w:rsidR="00883C65" w:rsidRPr="007A3223" w:rsidRDefault="00CA62E8" w:rsidP="00883C65">
            <w:pPr>
              <w:rPr>
                <w:szCs w:val="24"/>
              </w:rPr>
            </w:pPr>
            <w:r w:rsidRPr="007A3223">
              <w:rPr>
                <w:szCs w:val="24"/>
              </w:rPr>
              <w:t>10 mg/kg</w:t>
            </w:r>
            <w:r w:rsidR="00BB4D3F" w:rsidRPr="007A3223">
              <w:rPr>
                <w:szCs w:val="24"/>
              </w:rPr>
              <w:t xml:space="preserve"> every 2 weeks</w:t>
            </w:r>
          </w:p>
        </w:tc>
        <w:tc>
          <w:tcPr>
            <w:tcW w:w="3240" w:type="dxa"/>
            <w:tcBorders>
              <w:top w:val="single" w:sz="7" w:space="0" w:color="000000"/>
              <w:left w:val="single" w:sz="8" w:space="0" w:color="000000"/>
              <w:bottom w:val="single" w:sz="4" w:space="0" w:color="auto"/>
              <w:right w:val="double" w:sz="4" w:space="0" w:color="000000"/>
            </w:tcBorders>
          </w:tcPr>
          <w:p w14:paraId="1A68E63A" w14:textId="77777777" w:rsidR="001D20B8" w:rsidRPr="007A3223" w:rsidRDefault="00CA62E8" w:rsidP="00883C65">
            <w:pPr>
              <w:rPr>
                <w:szCs w:val="24"/>
              </w:rPr>
            </w:pPr>
            <w:r w:rsidRPr="007A3223">
              <w:rPr>
                <w:szCs w:val="24"/>
              </w:rPr>
              <w:t>30 mg</w:t>
            </w:r>
          </w:p>
        </w:tc>
      </w:tr>
      <w:tr w:rsidR="00EF3D91" w:rsidRPr="007A3223" w14:paraId="55D0D8B7" w14:textId="77777777" w:rsidTr="001B019B">
        <w:trPr>
          <w:trHeight w:val="74"/>
        </w:trPr>
        <w:tc>
          <w:tcPr>
            <w:tcW w:w="8460" w:type="dxa"/>
            <w:gridSpan w:val="3"/>
            <w:tcBorders>
              <w:top w:val="single" w:sz="4" w:space="0" w:color="auto"/>
              <w:left w:val="double" w:sz="4" w:space="0" w:color="000000"/>
              <w:bottom w:val="double" w:sz="4" w:space="0" w:color="000000"/>
              <w:right w:val="double" w:sz="4" w:space="0" w:color="000000"/>
            </w:tcBorders>
          </w:tcPr>
          <w:p w14:paraId="6A9E4BDA" w14:textId="77777777" w:rsidR="00883C65" w:rsidRPr="007A3223" w:rsidRDefault="00883C65" w:rsidP="001B019B">
            <w:pPr>
              <w:tabs>
                <w:tab w:val="left" w:pos="450"/>
              </w:tabs>
              <w:ind w:left="90"/>
              <w:rPr>
                <w:szCs w:val="24"/>
              </w:rPr>
            </w:pPr>
            <w:r w:rsidRPr="007A3223">
              <w:rPr>
                <w:bCs/>
                <w:szCs w:val="24"/>
              </w:rPr>
              <w:t xml:space="preserve"> </w:t>
            </w:r>
          </w:p>
        </w:tc>
      </w:tr>
    </w:tbl>
    <w:p w14:paraId="4816BB3F" w14:textId="47B5F88B" w:rsidR="00F45F17" w:rsidRPr="007A3223" w:rsidRDefault="008306C5" w:rsidP="001347B6">
      <w:pPr>
        <w:pStyle w:val="Caption"/>
      </w:pPr>
      <w:bookmarkStart w:id="158" w:name="_Toc82444442"/>
      <w:r w:rsidRPr="007A3223">
        <w:rPr>
          <w:b w:val="0"/>
        </w:rPr>
        <w:lastRenderedPageBreak/>
        <w:t xml:space="preserve">Table </w:t>
      </w:r>
      <w:r w:rsidRPr="00F33908">
        <w:rPr>
          <w:b w:val="0"/>
        </w:rPr>
        <w:fldChar w:fldCharType="begin"/>
      </w:r>
      <w:r w:rsidRPr="007A3223">
        <w:rPr>
          <w:b w:val="0"/>
        </w:rPr>
        <w:instrText xml:space="preserve"> SEQ Table \* ARABIC </w:instrText>
      </w:r>
      <w:r w:rsidRPr="00F33908">
        <w:rPr>
          <w:b w:val="0"/>
        </w:rPr>
        <w:fldChar w:fldCharType="separate"/>
      </w:r>
      <w:r w:rsidR="00E47ACA">
        <w:rPr>
          <w:b w:val="0"/>
          <w:noProof/>
        </w:rPr>
        <w:t>8</w:t>
      </w:r>
      <w:r w:rsidRPr="00F33908">
        <w:rPr>
          <w:b w:val="0"/>
        </w:rPr>
        <w:fldChar w:fldCharType="end"/>
      </w:r>
      <w:r w:rsidR="00F45F17" w:rsidRPr="007A3223">
        <w:rPr>
          <w:b w:val="0"/>
        </w:rPr>
        <w:t xml:space="preserve">. </w:t>
      </w:r>
      <w:r w:rsidR="00E7210F">
        <w:rPr>
          <w:b w:val="0"/>
          <w:lang w:val="en-US"/>
        </w:rPr>
        <w:t>Durvalumab</w:t>
      </w:r>
      <w:r w:rsidR="008858C9" w:rsidRPr="00F33908">
        <w:rPr>
          <w:b w:val="0"/>
        </w:rPr>
        <w:t>+</w:t>
      </w:r>
      <w:r w:rsidR="00F45F17" w:rsidRPr="007A3223">
        <w:rPr>
          <w:b w:val="0"/>
        </w:rPr>
        <w:t>C Intermittent Schedule Dose Escalation Table</w:t>
      </w:r>
      <w:bookmarkEnd w:id="158"/>
    </w:p>
    <w:tbl>
      <w:tblPr>
        <w:tblW w:w="0" w:type="auto"/>
        <w:tblLayout w:type="fixed"/>
        <w:tblCellMar>
          <w:left w:w="88" w:type="dxa"/>
          <w:right w:w="88" w:type="dxa"/>
        </w:tblCellMar>
        <w:tblLook w:val="0000" w:firstRow="0" w:lastRow="0" w:firstColumn="0" w:lastColumn="0" w:noHBand="0" w:noVBand="0"/>
      </w:tblPr>
      <w:tblGrid>
        <w:gridCol w:w="2428"/>
        <w:gridCol w:w="2880"/>
        <w:gridCol w:w="3060"/>
      </w:tblGrid>
      <w:tr w:rsidR="00F45F17" w:rsidRPr="007A3223" w14:paraId="0E06664A" w14:textId="77777777" w:rsidTr="0002512E">
        <w:tc>
          <w:tcPr>
            <w:tcW w:w="2428" w:type="dxa"/>
            <w:tcBorders>
              <w:top w:val="double" w:sz="4" w:space="0" w:color="000000"/>
              <w:left w:val="double" w:sz="4" w:space="0" w:color="000000"/>
              <w:bottom w:val="double" w:sz="4" w:space="0" w:color="000000"/>
              <w:right w:val="single" w:sz="8" w:space="0" w:color="000000"/>
            </w:tcBorders>
          </w:tcPr>
          <w:p w14:paraId="2B1A46C4" w14:textId="77777777" w:rsidR="00F45F17" w:rsidRPr="007A3223" w:rsidRDefault="00F45F17" w:rsidP="0002512E">
            <w:pPr>
              <w:keepNext/>
              <w:jc w:val="center"/>
              <w:rPr>
                <w:b/>
                <w:szCs w:val="24"/>
              </w:rPr>
            </w:pPr>
            <w:r w:rsidRPr="007A3223">
              <w:rPr>
                <w:b/>
                <w:szCs w:val="24"/>
              </w:rPr>
              <w:t>Dose Level</w:t>
            </w:r>
          </w:p>
          <w:p w14:paraId="2A198FBE" w14:textId="77777777" w:rsidR="00F45F17" w:rsidRPr="007A3223" w:rsidRDefault="00F45F17" w:rsidP="0002512E">
            <w:pPr>
              <w:keepNext/>
              <w:jc w:val="center"/>
              <w:rPr>
                <w:b/>
                <w:szCs w:val="24"/>
              </w:rPr>
            </w:pPr>
            <w:r w:rsidRPr="007A3223">
              <w:rPr>
                <w:b/>
                <w:szCs w:val="24"/>
              </w:rPr>
              <w:t>(DL)</w:t>
            </w:r>
          </w:p>
        </w:tc>
        <w:tc>
          <w:tcPr>
            <w:tcW w:w="2880" w:type="dxa"/>
            <w:tcBorders>
              <w:top w:val="double" w:sz="4" w:space="0" w:color="000000"/>
              <w:left w:val="single" w:sz="8" w:space="0" w:color="000000"/>
              <w:bottom w:val="double" w:sz="4" w:space="0" w:color="000000"/>
              <w:right w:val="single" w:sz="8" w:space="0" w:color="000000"/>
            </w:tcBorders>
          </w:tcPr>
          <w:p w14:paraId="31AC2AE4" w14:textId="0D152C09" w:rsidR="00F45F17" w:rsidRPr="007A3223" w:rsidRDefault="00E7210F" w:rsidP="0002512E">
            <w:pPr>
              <w:keepNext/>
              <w:spacing w:after="0" w:line="22" w:lineRule="atLeast"/>
              <w:jc w:val="center"/>
              <w:rPr>
                <w:b/>
                <w:bCs/>
                <w:szCs w:val="24"/>
              </w:rPr>
            </w:pPr>
            <w:r>
              <w:rPr>
                <w:b/>
                <w:bCs/>
                <w:szCs w:val="24"/>
              </w:rPr>
              <w:t>Durvalumab</w:t>
            </w:r>
          </w:p>
          <w:p w14:paraId="34F62F84" w14:textId="77777777" w:rsidR="00F45F17" w:rsidRPr="007A3223" w:rsidRDefault="00F45F17" w:rsidP="00016396">
            <w:pPr>
              <w:keepNext/>
              <w:jc w:val="center"/>
              <w:rPr>
                <w:b/>
                <w:szCs w:val="24"/>
              </w:rPr>
            </w:pPr>
            <w:r w:rsidRPr="007A3223">
              <w:rPr>
                <w:b/>
                <w:bCs/>
                <w:szCs w:val="24"/>
              </w:rPr>
              <w:t>(intravenously)</w:t>
            </w:r>
          </w:p>
        </w:tc>
        <w:tc>
          <w:tcPr>
            <w:tcW w:w="3060" w:type="dxa"/>
            <w:tcBorders>
              <w:top w:val="double" w:sz="4" w:space="0" w:color="000000"/>
              <w:left w:val="single" w:sz="8" w:space="0" w:color="000000"/>
              <w:bottom w:val="double" w:sz="4" w:space="0" w:color="000000"/>
              <w:right w:val="double" w:sz="4" w:space="0" w:color="000000"/>
            </w:tcBorders>
          </w:tcPr>
          <w:p w14:paraId="6389A7C1" w14:textId="77777777" w:rsidR="00F45F17" w:rsidRPr="007A3223" w:rsidRDefault="00F45F17" w:rsidP="0002512E">
            <w:pPr>
              <w:keepNext/>
              <w:spacing w:after="0" w:line="22" w:lineRule="atLeast"/>
              <w:jc w:val="center"/>
              <w:rPr>
                <w:b/>
                <w:bCs/>
                <w:szCs w:val="24"/>
              </w:rPr>
            </w:pPr>
            <w:r w:rsidRPr="007A3223">
              <w:rPr>
                <w:b/>
                <w:bCs/>
                <w:szCs w:val="24"/>
              </w:rPr>
              <w:t>Cediranib</w:t>
            </w:r>
          </w:p>
          <w:p w14:paraId="32F577EC" w14:textId="77777777" w:rsidR="00F45F17" w:rsidRPr="007A3223" w:rsidRDefault="00F45F17" w:rsidP="0002512E">
            <w:pPr>
              <w:keepNext/>
              <w:jc w:val="center"/>
              <w:rPr>
                <w:b/>
                <w:szCs w:val="24"/>
              </w:rPr>
            </w:pPr>
            <w:r w:rsidRPr="007A3223">
              <w:rPr>
                <w:b/>
                <w:bCs/>
                <w:szCs w:val="24"/>
              </w:rPr>
              <w:t>(oral, 5 days on/2 days off)</w:t>
            </w:r>
          </w:p>
        </w:tc>
      </w:tr>
      <w:tr w:rsidR="00F45F17" w:rsidRPr="007A3223" w14:paraId="50870532" w14:textId="77777777" w:rsidTr="0002512E">
        <w:trPr>
          <w:trHeight w:val="480"/>
        </w:trPr>
        <w:tc>
          <w:tcPr>
            <w:tcW w:w="2428" w:type="dxa"/>
            <w:tcBorders>
              <w:top w:val="double" w:sz="4" w:space="0" w:color="000000"/>
              <w:left w:val="double" w:sz="4" w:space="0" w:color="000000"/>
              <w:bottom w:val="single" w:sz="4" w:space="0" w:color="auto"/>
              <w:right w:val="single" w:sz="8" w:space="0" w:color="000000"/>
            </w:tcBorders>
          </w:tcPr>
          <w:p w14:paraId="268ED849" w14:textId="77777777" w:rsidR="00F45F17" w:rsidRPr="007A3223" w:rsidRDefault="00F45F17" w:rsidP="0002512E">
            <w:pPr>
              <w:jc w:val="center"/>
              <w:rPr>
                <w:szCs w:val="24"/>
              </w:rPr>
            </w:pPr>
            <w:r w:rsidRPr="007A3223">
              <w:rPr>
                <w:szCs w:val="24"/>
              </w:rPr>
              <w:t>DL -2</w:t>
            </w:r>
          </w:p>
        </w:tc>
        <w:tc>
          <w:tcPr>
            <w:tcW w:w="2880" w:type="dxa"/>
            <w:tcBorders>
              <w:top w:val="double" w:sz="4" w:space="0" w:color="000000"/>
              <w:left w:val="single" w:sz="8" w:space="0" w:color="000000"/>
              <w:bottom w:val="single" w:sz="4" w:space="0" w:color="auto"/>
              <w:right w:val="single" w:sz="8" w:space="0" w:color="000000"/>
            </w:tcBorders>
          </w:tcPr>
          <w:p w14:paraId="510C3339" w14:textId="77777777" w:rsidR="00F45F17" w:rsidRPr="007A3223" w:rsidRDefault="00F45F17" w:rsidP="0002512E">
            <w:pPr>
              <w:jc w:val="center"/>
              <w:rPr>
                <w:szCs w:val="24"/>
              </w:rPr>
            </w:pPr>
            <w:r w:rsidRPr="007A3223">
              <w:rPr>
                <w:szCs w:val="24"/>
              </w:rPr>
              <w:t>A fixed dose of 500mg every 4 weeks</w:t>
            </w:r>
          </w:p>
        </w:tc>
        <w:tc>
          <w:tcPr>
            <w:tcW w:w="3060" w:type="dxa"/>
            <w:tcBorders>
              <w:top w:val="double" w:sz="4" w:space="0" w:color="000000"/>
              <w:left w:val="single" w:sz="8" w:space="0" w:color="000000"/>
              <w:bottom w:val="single" w:sz="4" w:space="0" w:color="auto"/>
              <w:right w:val="double" w:sz="4" w:space="0" w:color="000000"/>
            </w:tcBorders>
          </w:tcPr>
          <w:p w14:paraId="5C15EF37" w14:textId="77777777" w:rsidR="00F45F17" w:rsidRPr="007A3223" w:rsidRDefault="00F45F17" w:rsidP="0002512E">
            <w:pPr>
              <w:jc w:val="center"/>
              <w:rPr>
                <w:szCs w:val="24"/>
              </w:rPr>
            </w:pPr>
            <w:r w:rsidRPr="007A3223">
              <w:rPr>
                <w:szCs w:val="24"/>
              </w:rPr>
              <w:t>15 mg</w:t>
            </w:r>
          </w:p>
        </w:tc>
      </w:tr>
      <w:tr w:rsidR="00F45F17" w:rsidRPr="007A3223" w14:paraId="375CA408" w14:textId="77777777" w:rsidTr="0002512E">
        <w:trPr>
          <w:trHeight w:val="304"/>
        </w:trPr>
        <w:tc>
          <w:tcPr>
            <w:tcW w:w="2428" w:type="dxa"/>
            <w:tcBorders>
              <w:top w:val="single" w:sz="4" w:space="0" w:color="auto"/>
              <w:left w:val="double" w:sz="4" w:space="0" w:color="000000"/>
              <w:bottom w:val="single" w:sz="7" w:space="0" w:color="000000"/>
              <w:right w:val="single" w:sz="8" w:space="0" w:color="000000"/>
            </w:tcBorders>
          </w:tcPr>
          <w:p w14:paraId="66DF1E70" w14:textId="77777777" w:rsidR="00F45F17" w:rsidRPr="007A3223" w:rsidRDefault="00F45F17" w:rsidP="0002512E">
            <w:pPr>
              <w:jc w:val="center"/>
              <w:rPr>
                <w:szCs w:val="24"/>
              </w:rPr>
            </w:pPr>
            <w:r w:rsidRPr="007A3223">
              <w:rPr>
                <w:szCs w:val="24"/>
              </w:rPr>
              <w:t>DL -1</w:t>
            </w:r>
          </w:p>
        </w:tc>
        <w:tc>
          <w:tcPr>
            <w:tcW w:w="2880" w:type="dxa"/>
            <w:tcBorders>
              <w:top w:val="single" w:sz="4" w:space="0" w:color="auto"/>
              <w:left w:val="single" w:sz="8" w:space="0" w:color="000000"/>
              <w:bottom w:val="single" w:sz="8" w:space="0" w:color="000000"/>
              <w:right w:val="single" w:sz="8" w:space="0" w:color="000000"/>
            </w:tcBorders>
          </w:tcPr>
          <w:p w14:paraId="189F8F46" w14:textId="77777777" w:rsidR="00F45F17" w:rsidRPr="007A3223" w:rsidRDefault="00F45F17" w:rsidP="0002512E">
            <w:pPr>
              <w:jc w:val="center"/>
              <w:rPr>
                <w:szCs w:val="24"/>
              </w:rPr>
            </w:pPr>
            <w:r w:rsidRPr="007A3223">
              <w:rPr>
                <w:szCs w:val="24"/>
              </w:rPr>
              <w:t>A fixed dose of 1500mg every 4 weeks</w:t>
            </w:r>
          </w:p>
        </w:tc>
        <w:tc>
          <w:tcPr>
            <w:tcW w:w="3060" w:type="dxa"/>
            <w:tcBorders>
              <w:top w:val="single" w:sz="4" w:space="0" w:color="auto"/>
              <w:left w:val="single" w:sz="8" w:space="0" w:color="000000"/>
              <w:bottom w:val="single" w:sz="7" w:space="0" w:color="000000"/>
              <w:right w:val="double" w:sz="4" w:space="0" w:color="000000"/>
            </w:tcBorders>
          </w:tcPr>
          <w:p w14:paraId="3C482913" w14:textId="77777777" w:rsidR="00F45F17" w:rsidRPr="007A3223" w:rsidRDefault="00F45F17" w:rsidP="0002512E">
            <w:pPr>
              <w:jc w:val="center"/>
              <w:rPr>
                <w:szCs w:val="24"/>
              </w:rPr>
            </w:pPr>
            <w:r w:rsidRPr="007A3223">
              <w:rPr>
                <w:szCs w:val="24"/>
              </w:rPr>
              <w:t>15 mg</w:t>
            </w:r>
          </w:p>
        </w:tc>
      </w:tr>
      <w:tr w:rsidR="00F45F17" w:rsidRPr="007A3223" w14:paraId="79C67B33" w14:textId="77777777" w:rsidTr="0002512E">
        <w:tc>
          <w:tcPr>
            <w:tcW w:w="2428" w:type="dxa"/>
            <w:tcBorders>
              <w:top w:val="single" w:sz="7" w:space="0" w:color="000000"/>
              <w:left w:val="double" w:sz="4" w:space="0" w:color="000000"/>
              <w:bottom w:val="single" w:sz="7" w:space="0" w:color="000000"/>
              <w:right w:val="single" w:sz="8" w:space="0" w:color="000000"/>
            </w:tcBorders>
          </w:tcPr>
          <w:p w14:paraId="780D907C" w14:textId="77777777" w:rsidR="00F45F17" w:rsidRPr="007A3223" w:rsidRDefault="00F45F17" w:rsidP="0002512E">
            <w:pPr>
              <w:jc w:val="center"/>
              <w:rPr>
                <w:b/>
                <w:szCs w:val="24"/>
              </w:rPr>
            </w:pPr>
            <w:r w:rsidRPr="007A3223">
              <w:rPr>
                <w:b/>
                <w:szCs w:val="24"/>
              </w:rPr>
              <w:t>DL 1 (starting dose)</w:t>
            </w:r>
          </w:p>
        </w:tc>
        <w:tc>
          <w:tcPr>
            <w:tcW w:w="2880" w:type="dxa"/>
            <w:tcBorders>
              <w:top w:val="single" w:sz="8" w:space="0" w:color="000000"/>
              <w:left w:val="single" w:sz="8" w:space="0" w:color="000000"/>
              <w:bottom w:val="single" w:sz="8" w:space="0" w:color="000000"/>
              <w:right w:val="single" w:sz="8" w:space="0" w:color="000000"/>
            </w:tcBorders>
          </w:tcPr>
          <w:p w14:paraId="3B6CCD1F" w14:textId="77777777" w:rsidR="00F45F17" w:rsidRPr="007A3223" w:rsidRDefault="00F45F17" w:rsidP="0002512E">
            <w:pPr>
              <w:jc w:val="center"/>
              <w:rPr>
                <w:b/>
                <w:szCs w:val="24"/>
              </w:rPr>
            </w:pPr>
            <w:r w:rsidRPr="007A3223">
              <w:rPr>
                <w:b/>
                <w:szCs w:val="24"/>
              </w:rPr>
              <w:t>A fixed dose of 1500mg every 4 weeks</w:t>
            </w:r>
          </w:p>
        </w:tc>
        <w:tc>
          <w:tcPr>
            <w:tcW w:w="3060" w:type="dxa"/>
            <w:tcBorders>
              <w:top w:val="single" w:sz="7" w:space="0" w:color="000000"/>
              <w:left w:val="single" w:sz="8" w:space="0" w:color="000000"/>
              <w:bottom w:val="single" w:sz="7" w:space="0" w:color="000000"/>
              <w:right w:val="double" w:sz="4" w:space="0" w:color="000000"/>
            </w:tcBorders>
          </w:tcPr>
          <w:p w14:paraId="580603A3" w14:textId="77777777" w:rsidR="00F45F17" w:rsidRPr="007A3223" w:rsidRDefault="00F45F17" w:rsidP="0002512E">
            <w:pPr>
              <w:jc w:val="center"/>
              <w:rPr>
                <w:b/>
                <w:szCs w:val="24"/>
              </w:rPr>
            </w:pPr>
            <w:r w:rsidRPr="007A3223">
              <w:rPr>
                <w:b/>
                <w:szCs w:val="24"/>
              </w:rPr>
              <w:t>20 mg</w:t>
            </w:r>
          </w:p>
        </w:tc>
      </w:tr>
      <w:tr w:rsidR="0002512E" w:rsidRPr="007A3223" w14:paraId="6975A368" w14:textId="77777777" w:rsidTr="001B019B">
        <w:trPr>
          <w:trHeight w:val="64"/>
        </w:trPr>
        <w:tc>
          <w:tcPr>
            <w:tcW w:w="8368" w:type="dxa"/>
            <w:gridSpan w:val="3"/>
            <w:tcBorders>
              <w:top w:val="single" w:sz="4" w:space="0" w:color="auto"/>
              <w:left w:val="double" w:sz="4" w:space="0" w:color="000000"/>
              <w:bottom w:val="single" w:sz="4" w:space="0" w:color="auto"/>
              <w:right w:val="double" w:sz="4" w:space="0" w:color="000000"/>
            </w:tcBorders>
          </w:tcPr>
          <w:p w14:paraId="4E713E73" w14:textId="77777777" w:rsidR="0002512E" w:rsidRPr="007A3223" w:rsidRDefault="0002512E" w:rsidP="00366887">
            <w:pPr>
              <w:rPr>
                <w:szCs w:val="24"/>
              </w:rPr>
            </w:pPr>
            <w:r w:rsidRPr="007A3223">
              <w:rPr>
                <w:szCs w:val="24"/>
              </w:rPr>
              <w:t xml:space="preserve"> </w:t>
            </w:r>
          </w:p>
        </w:tc>
      </w:tr>
    </w:tbl>
    <w:p w14:paraId="610AC09E" w14:textId="77777777" w:rsidR="00F45F17" w:rsidRPr="007A3223" w:rsidRDefault="00F45F17" w:rsidP="00F45F17"/>
    <w:p w14:paraId="748C668E" w14:textId="00470946" w:rsidR="00762828" w:rsidRPr="007A3223" w:rsidRDefault="000C1677" w:rsidP="000C1677">
      <w:pPr>
        <w:pStyle w:val="Caption"/>
      </w:pPr>
      <w:bookmarkStart w:id="159" w:name="_Toc82444443"/>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9</w:t>
      </w:r>
      <w:r w:rsidR="00F82420" w:rsidRPr="00F33908">
        <w:rPr>
          <w:noProof/>
        </w:rPr>
        <w:fldChar w:fldCharType="end"/>
      </w:r>
      <w:r w:rsidR="00762828" w:rsidRPr="007A3223">
        <w:t xml:space="preserve">. </w:t>
      </w:r>
      <w:r w:rsidR="00E7210F">
        <w:rPr>
          <w:lang w:val="en-US"/>
        </w:rPr>
        <w:t>Durvalumab</w:t>
      </w:r>
      <w:r w:rsidR="00762828" w:rsidRPr="007A3223">
        <w:t>+O+</w:t>
      </w:r>
      <w:r w:rsidR="00762828" w:rsidRPr="00F33908">
        <w:t>C</w:t>
      </w:r>
      <w:r w:rsidR="00762828" w:rsidRPr="007A3223">
        <w:t xml:space="preserve"> Dose Escalation Table</w:t>
      </w:r>
      <w:bookmarkEnd w:id="159"/>
    </w:p>
    <w:tbl>
      <w:tblPr>
        <w:tblW w:w="0" w:type="auto"/>
        <w:tblLayout w:type="fixed"/>
        <w:tblCellMar>
          <w:left w:w="88" w:type="dxa"/>
          <w:right w:w="88" w:type="dxa"/>
        </w:tblCellMar>
        <w:tblLook w:val="0000" w:firstRow="0" w:lastRow="0" w:firstColumn="0" w:lastColumn="0" w:noHBand="0" w:noVBand="0"/>
      </w:tblPr>
      <w:tblGrid>
        <w:gridCol w:w="1708"/>
        <w:gridCol w:w="2880"/>
        <w:gridCol w:w="2070"/>
        <w:gridCol w:w="2610"/>
      </w:tblGrid>
      <w:tr w:rsidR="00762828" w:rsidRPr="007A3223" w14:paraId="74C81CC9" w14:textId="77777777" w:rsidTr="00762828">
        <w:tc>
          <w:tcPr>
            <w:tcW w:w="1708" w:type="dxa"/>
            <w:tcBorders>
              <w:top w:val="double" w:sz="4" w:space="0" w:color="000000"/>
              <w:left w:val="double" w:sz="4" w:space="0" w:color="000000"/>
              <w:bottom w:val="double" w:sz="4" w:space="0" w:color="000000"/>
              <w:right w:val="single" w:sz="8" w:space="0" w:color="000000"/>
            </w:tcBorders>
          </w:tcPr>
          <w:p w14:paraId="49474AC6" w14:textId="77777777" w:rsidR="00762828" w:rsidRPr="007A3223" w:rsidRDefault="00762828" w:rsidP="00762828">
            <w:pPr>
              <w:keepNext/>
              <w:jc w:val="center"/>
              <w:rPr>
                <w:b/>
                <w:szCs w:val="24"/>
              </w:rPr>
            </w:pPr>
            <w:r w:rsidRPr="007A3223">
              <w:rPr>
                <w:b/>
                <w:szCs w:val="24"/>
              </w:rPr>
              <w:t>Dose Level</w:t>
            </w:r>
          </w:p>
          <w:p w14:paraId="4F0C6B11" w14:textId="77777777" w:rsidR="00762828" w:rsidRPr="007A3223" w:rsidRDefault="00762828" w:rsidP="00762828">
            <w:pPr>
              <w:keepNext/>
              <w:jc w:val="center"/>
              <w:rPr>
                <w:b/>
                <w:szCs w:val="24"/>
              </w:rPr>
            </w:pPr>
            <w:r w:rsidRPr="007A3223">
              <w:rPr>
                <w:b/>
                <w:szCs w:val="24"/>
              </w:rPr>
              <w:t>(DL)</w:t>
            </w:r>
          </w:p>
        </w:tc>
        <w:tc>
          <w:tcPr>
            <w:tcW w:w="2880" w:type="dxa"/>
            <w:tcBorders>
              <w:top w:val="double" w:sz="4" w:space="0" w:color="000000"/>
              <w:left w:val="single" w:sz="8" w:space="0" w:color="000000"/>
              <w:bottom w:val="double" w:sz="4" w:space="0" w:color="000000"/>
              <w:right w:val="single" w:sz="8" w:space="0" w:color="000000"/>
            </w:tcBorders>
          </w:tcPr>
          <w:p w14:paraId="2A743C8D" w14:textId="7FE67AFB" w:rsidR="00762828" w:rsidRPr="007A3223" w:rsidRDefault="00E7210F" w:rsidP="00762828">
            <w:pPr>
              <w:keepNext/>
              <w:spacing w:after="0"/>
              <w:jc w:val="center"/>
              <w:rPr>
                <w:b/>
                <w:bCs/>
                <w:szCs w:val="24"/>
              </w:rPr>
            </w:pPr>
            <w:r>
              <w:rPr>
                <w:b/>
                <w:bCs/>
                <w:szCs w:val="24"/>
              </w:rPr>
              <w:t>Durvalumab</w:t>
            </w:r>
          </w:p>
          <w:p w14:paraId="4843AABD" w14:textId="77777777" w:rsidR="00762828" w:rsidRPr="007A3223" w:rsidRDefault="00762828" w:rsidP="00762828">
            <w:pPr>
              <w:keepNext/>
              <w:jc w:val="center"/>
              <w:rPr>
                <w:b/>
                <w:szCs w:val="24"/>
              </w:rPr>
            </w:pPr>
            <w:r w:rsidRPr="007A3223">
              <w:rPr>
                <w:b/>
                <w:bCs/>
                <w:szCs w:val="24"/>
              </w:rPr>
              <w:t>(intravenously)</w:t>
            </w:r>
          </w:p>
        </w:tc>
        <w:tc>
          <w:tcPr>
            <w:tcW w:w="2070" w:type="dxa"/>
            <w:tcBorders>
              <w:top w:val="double" w:sz="4" w:space="0" w:color="000000"/>
              <w:left w:val="single" w:sz="8" w:space="0" w:color="000000"/>
              <w:bottom w:val="double" w:sz="4" w:space="0" w:color="000000"/>
              <w:right w:val="single" w:sz="4" w:space="0" w:color="auto"/>
            </w:tcBorders>
          </w:tcPr>
          <w:p w14:paraId="66F9F35E" w14:textId="77777777" w:rsidR="00762828" w:rsidRPr="007A3223" w:rsidRDefault="00762828" w:rsidP="00762828">
            <w:pPr>
              <w:keepNext/>
              <w:spacing w:after="0"/>
              <w:rPr>
                <w:b/>
                <w:szCs w:val="24"/>
              </w:rPr>
            </w:pPr>
            <w:r w:rsidRPr="007A3223">
              <w:rPr>
                <w:b/>
                <w:szCs w:val="24"/>
              </w:rPr>
              <w:t xml:space="preserve">  Olaparib tablet</w:t>
            </w:r>
          </w:p>
          <w:p w14:paraId="1DFA4DC5" w14:textId="77777777" w:rsidR="00762828" w:rsidRPr="007A3223" w:rsidRDefault="00762828" w:rsidP="00762828">
            <w:pPr>
              <w:keepNext/>
              <w:spacing w:after="0"/>
              <w:jc w:val="center"/>
              <w:rPr>
                <w:b/>
                <w:szCs w:val="24"/>
              </w:rPr>
            </w:pPr>
            <w:r w:rsidRPr="007A3223">
              <w:rPr>
                <w:b/>
                <w:szCs w:val="24"/>
              </w:rPr>
              <w:t>(oral, twice a day)</w:t>
            </w:r>
          </w:p>
          <w:p w14:paraId="26863245" w14:textId="77777777" w:rsidR="00762828" w:rsidRPr="007A3223" w:rsidRDefault="00762828" w:rsidP="00762828">
            <w:pPr>
              <w:keepNext/>
              <w:jc w:val="center"/>
              <w:rPr>
                <w:b/>
                <w:szCs w:val="24"/>
              </w:rPr>
            </w:pPr>
          </w:p>
        </w:tc>
        <w:tc>
          <w:tcPr>
            <w:tcW w:w="2610" w:type="dxa"/>
            <w:tcBorders>
              <w:top w:val="double" w:sz="4" w:space="0" w:color="000000"/>
              <w:left w:val="single" w:sz="4" w:space="0" w:color="auto"/>
              <w:bottom w:val="double" w:sz="4" w:space="0" w:color="000000"/>
              <w:right w:val="double" w:sz="4" w:space="0" w:color="000000"/>
            </w:tcBorders>
          </w:tcPr>
          <w:p w14:paraId="05434149" w14:textId="77777777" w:rsidR="00762828" w:rsidRPr="007A3223" w:rsidRDefault="00762828" w:rsidP="00762828">
            <w:pPr>
              <w:keepNext/>
              <w:spacing w:after="0"/>
              <w:jc w:val="center"/>
              <w:rPr>
                <w:b/>
                <w:bCs/>
                <w:szCs w:val="24"/>
              </w:rPr>
            </w:pPr>
            <w:r w:rsidRPr="007A3223">
              <w:rPr>
                <w:b/>
                <w:bCs/>
                <w:szCs w:val="24"/>
              </w:rPr>
              <w:t>Cediranib</w:t>
            </w:r>
          </w:p>
          <w:p w14:paraId="002C3430" w14:textId="77777777" w:rsidR="00762828" w:rsidRPr="007A3223" w:rsidRDefault="00762828" w:rsidP="00762828">
            <w:pPr>
              <w:keepNext/>
              <w:spacing w:after="0"/>
              <w:jc w:val="center"/>
              <w:rPr>
                <w:b/>
                <w:bCs/>
                <w:szCs w:val="24"/>
              </w:rPr>
            </w:pPr>
            <w:r w:rsidRPr="007A3223">
              <w:rPr>
                <w:b/>
                <w:bCs/>
                <w:szCs w:val="24"/>
              </w:rPr>
              <w:t>(oral, 5 days on/</w:t>
            </w:r>
          </w:p>
          <w:p w14:paraId="3ADABE6D" w14:textId="77777777" w:rsidR="00762828" w:rsidRPr="007A3223" w:rsidRDefault="00762828" w:rsidP="00762828">
            <w:pPr>
              <w:keepNext/>
              <w:spacing w:after="0"/>
              <w:jc w:val="center"/>
              <w:rPr>
                <w:b/>
                <w:szCs w:val="24"/>
              </w:rPr>
            </w:pPr>
            <w:r w:rsidRPr="007A3223">
              <w:rPr>
                <w:b/>
                <w:bCs/>
                <w:szCs w:val="24"/>
              </w:rPr>
              <w:t>2 days off)</w:t>
            </w:r>
          </w:p>
        </w:tc>
      </w:tr>
      <w:tr w:rsidR="00762828" w:rsidRPr="007A3223" w14:paraId="34958886" w14:textId="77777777" w:rsidTr="00762828">
        <w:trPr>
          <w:trHeight w:val="768"/>
        </w:trPr>
        <w:tc>
          <w:tcPr>
            <w:tcW w:w="1708" w:type="dxa"/>
            <w:tcBorders>
              <w:top w:val="single" w:sz="4" w:space="0" w:color="auto"/>
              <w:left w:val="double" w:sz="4" w:space="0" w:color="000000"/>
              <w:bottom w:val="single" w:sz="4" w:space="0" w:color="auto"/>
              <w:right w:val="single" w:sz="8" w:space="0" w:color="000000"/>
            </w:tcBorders>
          </w:tcPr>
          <w:p w14:paraId="3C05344B" w14:textId="77777777" w:rsidR="00762828" w:rsidRPr="007A3223" w:rsidRDefault="00762828" w:rsidP="00762828">
            <w:pPr>
              <w:jc w:val="center"/>
              <w:rPr>
                <w:szCs w:val="24"/>
              </w:rPr>
            </w:pPr>
            <w:r w:rsidRPr="007A3223">
              <w:rPr>
                <w:szCs w:val="24"/>
              </w:rPr>
              <w:t>DL -1</w:t>
            </w:r>
          </w:p>
        </w:tc>
        <w:tc>
          <w:tcPr>
            <w:tcW w:w="2880" w:type="dxa"/>
            <w:tcBorders>
              <w:top w:val="single" w:sz="4" w:space="0" w:color="auto"/>
              <w:left w:val="single" w:sz="8" w:space="0" w:color="000000"/>
              <w:bottom w:val="single" w:sz="4" w:space="0" w:color="auto"/>
              <w:right w:val="single" w:sz="8" w:space="0" w:color="000000"/>
            </w:tcBorders>
          </w:tcPr>
          <w:p w14:paraId="2EB40307" w14:textId="77777777" w:rsidR="00762828" w:rsidRPr="007A3223" w:rsidRDefault="00762828" w:rsidP="00762828">
            <w:pPr>
              <w:jc w:val="center"/>
              <w:rPr>
                <w:szCs w:val="24"/>
              </w:rPr>
            </w:pPr>
            <w:r w:rsidRPr="007A3223">
              <w:rPr>
                <w:szCs w:val="24"/>
              </w:rPr>
              <w:t>A fixed dose of 1500 mg every 4 weeks</w:t>
            </w:r>
          </w:p>
        </w:tc>
        <w:tc>
          <w:tcPr>
            <w:tcW w:w="2070" w:type="dxa"/>
            <w:tcBorders>
              <w:top w:val="single" w:sz="4" w:space="0" w:color="auto"/>
              <w:left w:val="single" w:sz="8" w:space="0" w:color="000000"/>
              <w:bottom w:val="single" w:sz="4" w:space="0" w:color="auto"/>
              <w:right w:val="single" w:sz="4" w:space="0" w:color="auto"/>
            </w:tcBorders>
          </w:tcPr>
          <w:p w14:paraId="4AE4FEF5" w14:textId="77777777" w:rsidR="00762828" w:rsidRPr="007A3223" w:rsidRDefault="006E7C7E" w:rsidP="00762828">
            <w:pPr>
              <w:jc w:val="center"/>
              <w:rPr>
                <w:szCs w:val="24"/>
              </w:rPr>
            </w:pPr>
            <w:r w:rsidRPr="007A3223">
              <w:rPr>
                <w:szCs w:val="24"/>
              </w:rPr>
              <w:t>20</w:t>
            </w:r>
            <w:r w:rsidR="00762828" w:rsidRPr="007A3223">
              <w:rPr>
                <w:szCs w:val="24"/>
              </w:rPr>
              <w:t>0 mg</w:t>
            </w:r>
          </w:p>
        </w:tc>
        <w:tc>
          <w:tcPr>
            <w:tcW w:w="2610" w:type="dxa"/>
            <w:tcBorders>
              <w:top w:val="single" w:sz="4" w:space="0" w:color="auto"/>
              <w:left w:val="single" w:sz="4" w:space="0" w:color="auto"/>
              <w:bottom w:val="single" w:sz="4" w:space="0" w:color="auto"/>
              <w:right w:val="double" w:sz="4" w:space="0" w:color="000000"/>
            </w:tcBorders>
          </w:tcPr>
          <w:p w14:paraId="4E15C78F" w14:textId="77777777" w:rsidR="00762828" w:rsidRPr="007A3223" w:rsidRDefault="006E7C7E" w:rsidP="00762828">
            <w:pPr>
              <w:jc w:val="center"/>
              <w:rPr>
                <w:szCs w:val="24"/>
              </w:rPr>
            </w:pPr>
            <w:r w:rsidRPr="007A3223">
              <w:rPr>
                <w:szCs w:val="24"/>
              </w:rPr>
              <w:t>15</w:t>
            </w:r>
            <w:r w:rsidR="00762828" w:rsidRPr="007A3223">
              <w:rPr>
                <w:szCs w:val="24"/>
              </w:rPr>
              <w:t xml:space="preserve"> mg</w:t>
            </w:r>
          </w:p>
        </w:tc>
      </w:tr>
      <w:tr w:rsidR="00762828" w:rsidRPr="007A3223" w14:paraId="20D012B4" w14:textId="77777777" w:rsidTr="00762828">
        <w:trPr>
          <w:trHeight w:val="304"/>
        </w:trPr>
        <w:tc>
          <w:tcPr>
            <w:tcW w:w="1708" w:type="dxa"/>
            <w:tcBorders>
              <w:top w:val="single" w:sz="4" w:space="0" w:color="auto"/>
              <w:left w:val="double" w:sz="4" w:space="0" w:color="000000"/>
              <w:bottom w:val="single" w:sz="7" w:space="0" w:color="000000"/>
              <w:right w:val="single" w:sz="8" w:space="0" w:color="000000"/>
            </w:tcBorders>
          </w:tcPr>
          <w:p w14:paraId="67A352C5" w14:textId="77777777" w:rsidR="00762828" w:rsidRPr="007A3223" w:rsidRDefault="00762828" w:rsidP="00762828">
            <w:pPr>
              <w:jc w:val="center"/>
              <w:rPr>
                <w:b/>
                <w:szCs w:val="24"/>
              </w:rPr>
            </w:pPr>
            <w:r w:rsidRPr="007A3223">
              <w:rPr>
                <w:b/>
                <w:szCs w:val="24"/>
              </w:rPr>
              <w:t xml:space="preserve">DL 1 </w:t>
            </w:r>
          </w:p>
          <w:p w14:paraId="7FAB4473" w14:textId="77777777" w:rsidR="00762828" w:rsidRPr="007A3223" w:rsidRDefault="00762828" w:rsidP="00762828">
            <w:pPr>
              <w:jc w:val="center"/>
              <w:rPr>
                <w:szCs w:val="24"/>
              </w:rPr>
            </w:pPr>
            <w:r w:rsidRPr="007A3223">
              <w:rPr>
                <w:b/>
                <w:szCs w:val="24"/>
              </w:rPr>
              <w:t>(starting dose)</w:t>
            </w:r>
          </w:p>
        </w:tc>
        <w:tc>
          <w:tcPr>
            <w:tcW w:w="2880" w:type="dxa"/>
            <w:tcBorders>
              <w:top w:val="single" w:sz="4" w:space="0" w:color="auto"/>
              <w:left w:val="single" w:sz="8" w:space="0" w:color="000000"/>
              <w:bottom w:val="single" w:sz="8" w:space="0" w:color="000000"/>
              <w:right w:val="single" w:sz="8" w:space="0" w:color="000000"/>
            </w:tcBorders>
          </w:tcPr>
          <w:p w14:paraId="686DFDC4" w14:textId="77777777" w:rsidR="00762828" w:rsidRPr="007A3223" w:rsidRDefault="00762828" w:rsidP="00762828">
            <w:pPr>
              <w:jc w:val="center"/>
              <w:rPr>
                <w:szCs w:val="24"/>
              </w:rPr>
            </w:pPr>
            <w:r w:rsidRPr="007A3223">
              <w:rPr>
                <w:szCs w:val="24"/>
              </w:rPr>
              <w:t>A fixed dose of 1500 mg every 4 weeks</w:t>
            </w:r>
          </w:p>
        </w:tc>
        <w:tc>
          <w:tcPr>
            <w:tcW w:w="2070" w:type="dxa"/>
            <w:tcBorders>
              <w:top w:val="single" w:sz="4" w:space="0" w:color="auto"/>
              <w:left w:val="single" w:sz="8" w:space="0" w:color="000000"/>
              <w:bottom w:val="single" w:sz="7" w:space="0" w:color="000000"/>
              <w:right w:val="single" w:sz="4" w:space="0" w:color="auto"/>
            </w:tcBorders>
          </w:tcPr>
          <w:p w14:paraId="5EAD2A22" w14:textId="77777777" w:rsidR="00762828" w:rsidRPr="007A3223" w:rsidRDefault="00762828" w:rsidP="00762828">
            <w:pPr>
              <w:jc w:val="center"/>
              <w:rPr>
                <w:szCs w:val="24"/>
              </w:rPr>
            </w:pPr>
            <w:r w:rsidRPr="007A3223">
              <w:rPr>
                <w:szCs w:val="24"/>
              </w:rPr>
              <w:t>300 mg</w:t>
            </w:r>
          </w:p>
        </w:tc>
        <w:tc>
          <w:tcPr>
            <w:tcW w:w="2610" w:type="dxa"/>
            <w:tcBorders>
              <w:top w:val="single" w:sz="4" w:space="0" w:color="auto"/>
              <w:left w:val="single" w:sz="4" w:space="0" w:color="auto"/>
              <w:bottom w:val="single" w:sz="7" w:space="0" w:color="000000"/>
              <w:right w:val="double" w:sz="4" w:space="0" w:color="000000"/>
            </w:tcBorders>
          </w:tcPr>
          <w:p w14:paraId="343643B4" w14:textId="77777777" w:rsidR="00762828" w:rsidRPr="007A3223" w:rsidRDefault="00762828" w:rsidP="00762828">
            <w:pPr>
              <w:jc w:val="center"/>
              <w:rPr>
                <w:szCs w:val="24"/>
              </w:rPr>
            </w:pPr>
            <w:r w:rsidRPr="007A3223">
              <w:rPr>
                <w:szCs w:val="24"/>
              </w:rPr>
              <w:t>15 mg</w:t>
            </w:r>
          </w:p>
        </w:tc>
      </w:tr>
      <w:tr w:rsidR="00762828" w:rsidRPr="007A3223" w14:paraId="7EC25100" w14:textId="77777777" w:rsidTr="00762828">
        <w:tc>
          <w:tcPr>
            <w:tcW w:w="1708" w:type="dxa"/>
            <w:tcBorders>
              <w:top w:val="single" w:sz="7" w:space="0" w:color="000000"/>
              <w:left w:val="double" w:sz="4" w:space="0" w:color="000000"/>
              <w:bottom w:val="single" w:sz="7" w:space="0" w:color="000000"/>
              <w:right w:val="single" w:sz="8" w:space="0" w:color="000000"/>
            </w:tcBorders>
          </w:tcPr>
          <w:p w14:paraId="696A53B6" w14:textId="77777777" w:rsidR="00762828" w:rsidRPr="007A3223" w:rsidRDefault="00762828" w:rsidP="00762828">
            <w:pPr>
              <w:jc w:val="center"/>
              <w:rPr>
                <w:szCs w:val="24"/>
              </w:rPr>
            </w:pPr>
            <w:r w:rsidRPr="007A3223">
              <w:rPr>
                <w:szCs w:val="24"/>
              </w:rPr>
              <w:t xml:space="preserve">DL 2 </w:t>
            </w:r>
          </w:p>
        </w:tc>
        <w:tc>
          <w:tcPr>
            <w:tcW w:w="2880" w:type="dxa"/>
            <w:tcBorders>
              <w:top w:val="single" w:sz="8" w:space="0" w:color="000000"/>
              <w:left w:val="single" w:sz="8" w:space="0" w:color="000000"/>
              <w:bottom w:val="single" w:sz="8" w:space="0" w:color="000000"/>
              <w:right w:val="single" w:sz="8" w:space="0" w:color="000000"/>
            </w:tcBorders>
          </w:tcPr>
          <w:p w14:paraId="2F1A6288" w14:textId="77777777" w:rsidR="00762828" w:rsidRPr="007A3223" w:rsidRDefault="00762828" w:rsidP="00762828">
            <w:pPr>
              <w:jc w:val="center"/>
              <w:rPr>
                <w:szCs w:val="24"/>
              </w:rPr>
            </w:pPr>
            <w:r w:rsidRPr="007A3223">
              <w:rPr>
                <w:szCs w:val="24"/>
              </w:rPr>
              <w:t>A fixed dose of 1500 mg every 4 weeks</w:t>
            </w:r>
          </w:p>
        </w:tc>
        <w:tc>
          <w:tcPr>
            <w:tcW w:w="2070" w:type="dxa"/>
            <w:tcBorders>
              <w:top w:val="single" w:sz="7" w:space="0" w:color="000000"/>
              <w:left w:val="single" w:sz="8" w:space="0" w:color="000000"/>
              <w:bottom w:val="single" w:sz="7" w:space="0" w:color="000000"/>
              <w:right w:val="single" w:sz="4" w:space="0" w:color="auto"/>
            </w:tcBorders>
          </w:tcPr>
          <w:p w14:paraId="2242C716" w14:textId="77777777" w:rsidR="00762828" w:rsidRPr="007A3223" w:rsidRDefault="00762828" w:rsidP="00762828">
            <w:pPr>
              <w:jc w:val="center"/>
              <w:rPr>
                <w:szCs w:val="24"/>
              </w:rPr>
            </w:pPr>
            <w:r w:rsidRPr="007A3223">
              <w:rPr>
                <w:szCs w:val="24"/>
              </w:rPr>
              <w:t>300 mg</w:t>
            </w:r>
          </w:p>
        </w:tc>
        <w:tc>
          <w:tcPr>
            <w:tcW w:w="2610" w:type="dxa"/>
            <w:tcBorders>
              <w:top w:val="single" w:sz="7" w:space="0" w:color="000000"/>
              <w:left w:val="single" w:sz="4" w:space="0" w:color="auto"/>
              <w:bottom w:val="single" w:sz="7" w:space="0" w:color="000000"/>
              <w:right w:val="double" w:sz="4" w:space="0" w:color="000000"/>
            </w:tcBorders>
          </w:tcPr>
          <w:p w14:paraId="76DC5C00" w14:textId="77777777" w:rsidR="00762828" w:rsidRPr="007A3223" w:rsidRDefault="00762828" w:rsidP="00762828">
            <w:pPr>
              <w:jc w:val="center"/>
              <w:rPr>
                <w:szCs w:val="24"/>
              </w:rPr>
            </w:pPr>
            <w:r w:rsidRPr="007A3223">
              <w:rPr>
                <w:szCs w:val="24"/>
              </w:rPr>
              <w:t>20 mg</w:t>
            </w:r>
          </w:p>
        </w:tc>
      </w:tr>
    </w:tbl>
    <w:p w14:paraId="7FAA6781" w14:textId="77777777" w:rsidR="000D16A6" w:rsidRPr="007A3223" w:rsidRDefault="000D16A6" w:rsidP="00F45F17"/>
    <w:p w14:paraId="4751BF77" w14:textId="3D40A236" w:rsidR="008306C5" w:rsidRPr="007A3223" w:rsidRDefault="008306C5" w:rsidP="001347B6">
      <w:pPr>
        <w:pStyle w:val="Caption"/>
      </w:pPr>
      <w:bookmarkStart w:id="160" w:name="_Toc82444444"/>
      <w:r w:rsidRPr="007A3223">
        <w:rPr>
          <w:b w:val="0"/>
        </w:rPr>
        <w:t xml:space="preserve">Table </w:t>
      </w:r>
      <w:r w:rsidRPr="00F33908">
        <w:rPr>
          <w:b w:val="0"/>
        </w:rPr>
        <w:fldChar w:fldCharType="begin"/>
      </w:r>
      <w:r w:rsidRPr="007A3223">
        <w:rPr>
          <w:b w:val="0"/>
        </w:rPr>
        <w:instrText xml:space="preserve"> SEQ Table \* ARABIC </w:instrText>
      </w:r>
      <w:r w:rsidRPr="00F33908">
        <w:rPr>
          <w:b w:val="0"/>
        </w:rPr>
        <w:fldChar w:fldCharType="separate"/>
      </w:r>
      <w:r w:rsidR="00E47ACA">
        <w:rPr>
          <w:b w:val="0"/>
          <w:noProof/>
        </w:rPr>
        <w:t>10</w:t>
      </w:r>
      <w:r w:rsidRPr="00F33908">
        <w:rPr>
          <w:b w:val="0"/>
        </w:rPr>
        <w:fldChar w:fldCharType="end"/>
      </w:r>
      <w:r w:rsidRPr="007A3223">
        <w:rPr>
          <w:b w:val="0"/>
          <w:lang w:val="en-US"/>
        </w:rPr>
        <w:t>.</w:t>
      </w:r>
      <w:r w:rsidRPr="00F33908">
        <w:rPr>
          <w:b w:val="0"/>
          <w:szCs w:val="24"/>
        </w:rPr>
        <w:t xml:space="preserve"> </w:t>
      </w:r>
      <w:r w:rsidRPr="007A3223">
        <w:rPr>
          <w:b w:val="0"/>
          <w:szCs w:val="24"/>
        </w:rPr>
        <w:t>Dose Escalation Decisions</w:t>
      </w:r>
      <w:bookmarkEnd w:id="160"/>
    </w:p>
    <w:tbl>
      <w:tblPr>
        <w:tblW w:w="0" w:type="auto"/>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700"/>
        <w:gridCol w:w="5850"/>
      </w:tblGrid>
      <w:tr w:rsidR="00EF3D91" w:rsidRPr="007A3223" w14:paraId="2F3E88D4" w14:textId="77777777" w:rsidTr="00345493">
        <w:trPr>
          <w:cantSplit/>
          <w:tblHeader/>
        </w:trPr>
        <w:tc>
          <w:tcPr>
            <w:tcW w:w="2700" w:type="dxa"/>
          </w:tcPr>
          <w:p w14:paraId="262B1EF6" w14:textId="77777777" w:rsidR="00EF3D91" w:rsidRPr="007A3223" w:rsidRDefault="008E6116" w:rsidP="002B203A">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jc w:val="center"/>
              <w:rPr>
                <w:b/>
                <w:sz w:val="22"/>
              </w:rPr>
            </w:pPr>
            <w:r w:rsidRPr="007A3223">
              <w:rPr>
                <w:b/>
                <w:sz w:val="22"/>
              </w:rPr>
              <w:t>Number of p</w:t>
            </w:r>
            <w:r w:rsidR="00EF3D91" w:rsidRPr="007A3223">
              <w:rPr>
                <w:b/>
                <w:sz w:val="22"/>
              </w:rPr>
              <w:t>atients with DLT</w:t>
            </w:r>
          </w:p>
          <w:p w14:paraId="5F4F77F7" w14:textId="77777777" w:rsidR="00EF3D91" w:rsidRPr="007A3223" w:rsidRDefault="008E6116" w:rsidP="008E611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b/>
                <w:sz w:val="22"/>
              </w:rPr>
            </w:pPr>
            <w:r w:rsidRPr="007A3223">
              <w:rPr>
                <w:b/>
                <w:sz w:val="22"/>
              </w:rPr>
              <w:t>at a g</w:t>
            </w:r>
            <w:r w:rsidR="00EF3D91" w:rsidRPr="007A3223">
              <w:rPr>
                <w:b/>
                <w:sz w:val="22"/>
              </w:rPr>
              <w:t xml:space="preserve">iven </w:t>
            </w:r>
            <w:r w:rsidRPr="007A3223">
              <w:rPr>
                <w:b/>
                <w:sz w:val="22"/>
              </w:rPr>
              <w:t>dose level (DL)</w:t>
            </w:r>
          </w:p>
        </w:tc>
        <w:tc>
          <w:tcPr>
            <w:tcW w:w="5850" w:type="dxa"/>
          </w:tcPr>
          <w:p w14:paraId="06BA2C34" w14:textId="77777777" w:rsidR="00EF3D91" w:rsidRPr="007A3223" w:rsidRDefault="00EF3D91" w:rsidP="002B203A">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b/>
                <w:sz w:val="22"/>
              </w:rPr>
            </w:pPr>
            <w:r w:rsidRPr="007A3223">
              <w:rPr>
                <w:b/>
                <w:sz w:val="22"/>
              </w:rPr>
              <w:t>Escalation Decision Rule</w:t>
            </w:r>
          </w:p>
        </w:tc>
      </w:tr>
      <w:tr w:rsidR="00EF3D91" w:rsidRPr="007A3223" w14:paraId="52018692" w14:textId="77777777" w:rsidTr="00345493">
        <w:trPr>
          <w:cantSplit/>
        </w:trPr>
        <w:tc>
          <w:tcPr>
            <w:tcW w:w="2700" w:type="dxa"/>
          </w:tcPr>
          <w:p w14:paraId="0D1400DD" w14:textId="77777777" w:rsidR="00EF3D91" w:rsidRPr="007A3223" w:rsidRDefault="00EF3D91" w:rsidP="002C2DF2">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sz w:val="22"/>
              </w:rPr>
            </w:pPr>
            <w:r w:rsidRPr="007A3223">
              <w:rPr>
                <w:sz w:val="22"/>
              </w:rPr>
              <w:t>0 out of 3</w:t>
            </w:r>
          </w:p>
        </w:tc>
        <w:tc>
          <w:tcPr>
            <w:tcW w:w="5850" w:type="dxa"/>
          </w:tcPr>
          <w:p w14:paraId="5371DB93" w14:textId="77777777" w:rsidR="00EF3D91" w:rsidRPr="007A3223" w:rsidRDefault="00EF3D91" w:rsidP="00D00820">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rPr>
                <w:sz w:val="22"/>
              </w:rPr>
            </w:pPr>
            <w:r w:rsidRPr="007A3223">
              <w:rPr>
                <w:sz w:val="22"/>
              </w:rPr>
              <w:t xml:space="preserve">Enter </w:t>
            </w:r>
            <w:r w:rsidR="00AB055D" w:rsidRPr="007A3223">
              <w:rPr>
                <w:sz w:val="22"/>
              </w:rPr>
              <w:t xml:space="preserve">up to </w:t>
            </w:r>
            <w:r w:rsidRPr="007A3223">
              <w:rPr>
                <w:sz w:val="22"/>
              </w:rPr>
              <w:t xml:space="preserve">3 patients at the next </w:t>
            </w:r>
            <w:r w:rsidR="008E6116" w:rsidRPr="007A3223">
              <w:rPr>
                <w:sz w:val="22"/>
              </w:rPr>
              <w:t>DL</w:t>
            </w:r>
            <w:r w:rsidR="00D00820" w:rsidRPr="007A3223">
              <w:rPr>
                <w:sz w:val="22"/>
              </w:rPr>
              <w:t>. If 0 of 3 have DLT at DL</w:t>
            </w:r>
            <w:r w:rsidR="00AC5087" w:rsidRPr="007A3223">
              <w:rPr>
                <w:sz w:val="22"/>
              </w:rPr>
              <w:t xml:space="preserve"> </w:t>
            </w:r>
            <w:r w:rsidR="00D00820" w:rsidRPr="007A3223">
              <w:rPr>
                <w:sz w:val="22"/>
              </w:rPr>
              <w:t xml:space="preserve">2, a total of 6 patients per arm will be enrolled, and if </w:t>
            </w:r>
            <w:r w:rsidR="00D00820" w:rsidRPr="007A3223">
              <w:rPr>
                <w:sz w:val="22"/>
                <w:u w:val="single"/>
              </w:rPr>
              <w:t>&lt;</w:t>
            </w:r>
            <w:r w:rsidR="00B35DBD" w:rsidRPr="007A3223">
              <w:rPr>
                <w:sz w:val="22"/>
                <w:u w:val="single"/>
              </w:rPr>
              <w:t xml:space="preserve"> </w:t>
            </w:r>
            <w:r w:rsidR="00D00820" w:rsidRPr="007A3223">
              <w:rPr>
                <w:sz w:val="22"/>
              </w:rPr>
              <w:t>1 of 6 experience DLT, this will be considered the RP2D although it may not be the MTD.</w:t>
            </w:r>
          </w:p>
        </w:tc>
      </w:tr>
      <w:tr w:rsidR="00EF3D91" w:rsidRPr="007A3223" w14:paraId="51D4393C" w14:textId="77777777" w:rsidTr="00345493">
        <w:trPr>
          <w:cantSplit/>
        </w:trPr>
        <w:tc>
          <w:tcPr>
            <w:tcW w:w="2700" w:type="dxa"/>
          </w:tcPr>
          <w:p w14:paraId="1F9465A9" w14:textId="77777777" w:rsidR="00EF3D91" w:rsidRPr="007A3223" w:rsidRDefault="00EF3D91" w:rsidP="002C2DF2">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sz w:val="22"/>
              </w:rPr>
            </w:pPr>
            <w:r w:rsidRPr="007A3223">
              <w:rPr>
                <w:sz w:val="22"/>
                <w:u w:val="single"/>
              </w:rPr>
              <w:lastRenderedPageBreak/>
              <w:t>&gt;</w:t>
            </w:r>
            <w:r w:rsidRPr="007A3223">
              <w:rPr>
                <w:sz w:val="22"/>
              </w:rPr>
              <w:t xml:space="preserve"> 2</w:t>
            </w:r>
          </w:p>
        </w:tc>
        <w:tc>
          <w:tcPr>
            <w:tcW w:w="5850" w:type="dxa"/>
          </w:tcPr>
          <w:p w14:paraId="1B0CB6F9" w14:textId="77777777" w:rsidR="00EF3D91" w:rsidRPr="007A3223" w:rsidRDefault="00EF3D91" w:rsidP="00AC5087">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rPr>
                <w:sz w:val="22"/>
              </w:rPr>
            </w:pPr>
            <w:r w:rsidRPr="007A3223">
              <w:rPr>
                <w:sz w:val="22"/>
              </w:rPr>
              <w:t>Do</w:t>
            </w:r>
            <w:r w:rsidR="008E6116" w:rsidRPr="007A3223">
              <w:rPr>
                <w:sz w:val="22"/>
              </w:rPr>
              <w:t xml:space="preserve">se escalation will be stopped. </w:t>
            </w:r>
            <w:r w:rsidRPr="007A3223">
              <w:rPr>
                <w:sz w:val="22"/>
              </w:rPr>
              <w:t xml:space="preserve">This </w:t>
            </w:r>
            <w:r w:rsidR="008E6116" w:rsidRPr="007A3223">
              <w:rPr>
                <w:sz w:val="22"/>
              </w:rPr>
              <w:t>DL</w:t>
            </w:r>
            <w:r w:rsidRPr="007A3223">
              <w:rPr>
                <w:sz w:val="22"/>
              </w:rPr>
              <w:t xml:space="preserve"> will be declared the maximally administered dose (highest dose administered).  </w:t>
            </w:r>
            <w:r w:rsidR="00AB055D" w:rsidRPr="007A3223">
              <w:rPr>
                <w:sz w:val="22"/>
              </w:rPr>
              <w:t>Up to t</w:t>
            </w:r>
            <w:r w:rsidRPr="007A3223">
              <w:rPr>
                <w:sz w:val="22"/>
              </w:rPr>
              <w:t xml:space="preserve">hree (3) additional patients will be entered at the next lowest </w:t>
            </w:r>
            <w:r w:rsidR="008E6116" w:rsidRPr="007A3223">
              <w:rPr>
                <w:sz w:val="22"/>
              </w:rPr>
              <w:t>DL</w:t>
            </w:r>
            <w:r w:rsidRPr="007A3223">
              <w:rPr>
                <w:sz w:val="22"/>
              </w:rPr>
              <w:t xml:space="preserve"> if </w:t>
            </w:r>
            <w:r w:rsidR="006F01CD" w:rsidRPr="007A3223">
              <w:rPr>
                <w:sz w:val="22"/>
              </w:rPr>
              <w:t xml:space="preserve">two of </w:t>
            </w:r>
            <w:r w:rsidR="00AC5087" w:rsidRPr="007A3223">
              <w:rPr>
                <w:sz w:val="22"/>
              </w:rPr>
              <w:t xml:space="preserve">from two to six patients experience DLT at DL 1. </w:t>
            </w:r>
          </w:p>
        </w:tc>
      </w:tr>
      <w:tr w:rsidR="00EF3D91" w:rsidRPr="007A3223" w14:paraId="207CF8B3" w14:textId="77777777" w:rsidTr="00345493">
        <w:trPr>
          <w:cantSplit/>
        </w:trPr>
        <w:tc>
          <w:tcPr>
            <w:tcW w:w="2700" w:type="dxa"/>
          </w:tcPr>
          <w:p w14:paraId="55A49746" w14:textId="77777777" w:rsidR="00EF3D91" w:rsidRPr="007A3223" w:rsidRDefault="00EF3D91" w:rsidP="002C2DF2">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sz w:val="22"/>
              </w:rPr>
            </w:pPr>
            <w:r w:rsidRPr="007A3223">
              <w:rPr>
                <w:sz w:val="22"/>
              </w:rPr>
              <w:t>1 out of 3</w:t>
            </w:r>
          </w:p>
        </w:tc>
        <w:tc>
          <w:tcPr>
            <w:tcW w:w="5850" w:type="dxa"/>
          </w:tcPr>
          <w:p w14:paraId="264C4886" w14:textId="77777777" w:rsidR="00EF3D91" w:rsidRPr="007A3223" w:rsidRDefault="00EF3D91" w:rsidP="002C2DF2">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sz w:val="22"/>
              </w:rPr>
            </w:pPr>
            <w:r w:rsidRPr="007A3223">
              <w:rPr>
                <w:sz w:val="22"/>
              </w:rPr>
              <w:t xml:space="preserve">Enter 3 more patients at this </w:t>
            </w:r>
            <w:r w:rsidR="00D00820" w:rsidRPr="007A3223">
              <w:rPr>
                <w:sz w:val="22"/>
              </w:rPr>
              <w:t>DL</w:t>
            </w:r>
            <w:r w:rsidRPr="007A3223">
              <w:rPr>
                <w:sz w:val="22"/>
              </w:rPr>
              <w:t>.</w:t>
            </w:r>
          </w:p>
          <w:p w14:paraId="57870C54" w14:textId="77777777" w:rsidR="00EF3D91" w:rsidRPr="007A3223" w:rsidRDefault="00EF3D91" w:rsidP="003009D9">
            <w:pPr>
              <w:numPr>
                <w:ilvl w:val="0"/>
                <w:numId w:val="2"/>
              </w:numPr>
              <w:tabs>
                <w:tab w:val="left" w:pos="-1068"/>
                <w:tab w:val="left" w:pos="-720"/>
                <w:tab w:val="left" w:pos="0"/>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0"/>
              <w:rPr>
                <w:sz w:val="22"/>
              </w:rPr>
            </w:pPr>
            <w:r w:rsidRPr="007A3223">
              <w:rPr>
                <w:sz w:val="22"/>
              </w:rPr>
              <w:t xml:space="preserve">If 0 of these 3 patients experience DLT, proceed to the next </w:t>
            </w:r>
            <w:r w:rsidR="008E6116" w:rsidRPr="007A3223">
              <w:rPr>
                <w:sz w:val="22"/>
              </w:rPr>
              <w:t>DL</w:t>
            </w:r>
            <w:r w:rsidRPr="007A3223">
              <w:rPr>
                <w:sz w:val="22"/>
              </w:rPr>
              <w:t>.</w:t>
            </w:r>
          </w:p>
          <w:p w14:paraId="72F0CF93" w14:textId="77777777" w:rsidR="00AC5087" w:rsidRPr="007A3223" w:rsidRDefault="00EF3D91" w:rsidP="00AC5087">
            <w:pPr>
              <w:pStyle w:val="Level1"/>
              <w:widowControl/>
              <w:numPr>
                <w:ilvl w:val="0"/>
                <w:numId w:val="2"/>
              </w:numPr>
              <w:tabs>
                <w:tab w:val="left" w:pos="-1068"/>
                <w:tab w:val="left" w:pos="-720"/>
                <w:tab w:val="left" w:pos="0"/>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rPr>
                <w:sz w:val="22"/>
                <w:szCs w:val="22"/>
              </w:rPr>
            </w:pPr>
            <w:r w:rsidRPr="007A3223">
              <w:rPr>
                <w:sz w:val="22"/>
                <w:szCs w:val="22"/>
              </w:rPr>
              <w:t xml:space="preserve">If 1 of </w:t>
            </w:r>
            <w:r w:rsidR="00AC5087" w:rsidRPr="007A3223">
              <w:rPr>
                <w:sz w:val="22"/>
                <w:szCs w:val="22"/>
              </w:rPr>
              <w:t>3 additional patients on DL1 experience</w:t>
            </w:r>
            <w:r w:rsidRPr="007A3223">
              <w:rPr>
                <w:sz w:val="22"/>
                <w:szCs w:val="22"/>
              </w:rPr>
              <w:t xml:space="preserve"> DLT, then dose escalation is stopped, and this dose is declared the maximally administered dose. </w:t>
            </w:r>
            <w:r w:rsidR="00AB055D" w:rsidRPr="007A3223">
              <w:rPr>
                <w:sz w:val="22"/>
                <w:szCs w:val="22"/>
              </w:rPr>
              <w:t xml:space="preserve"> </w:t>
            </w:r>
          </w:p>
          <w:p w14:paraId="1B582B2C" w14:textId="77777777" w:rsidR="00EF3D91" w:rsidRPr="007A3223" w:rsidRDefault="00D00820" w:rsidP="00707DE6">
            <w:pPr>
              <w:pStyle w:val="Level1"/>
              <w:widowControl/>
              <w:numPr>
                <w:ilvl w:val="0"/>
                <w:numId w:val="2"/>
              </w:numPr>
              <w:tabs>
                <w:tab w:val="left" w:pos="-1068"/>
                <w:tab w:val="left" w:pos="-720"/>
                <w:tab w:val="left" w:pos="0"/>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rPr>
                <w:sz w:val="22"/>
                <w:szCs w:val="22"/>
              </w:rPr>
            </w:pPr>
            <w:r w:rsidRPr="007A3223">
              <w:rPr>
                <w:sz w:val="22"/>
                <w:szCs w:val="22"/>
              </w:rPr>
              <w:t>Three</w:t>
            </w:r>
            <w:r w:rsidR="00EF3D91" w:rsidRPr="007A3223">
              <w:rPr>
                <w:sz w:val="22"/>
                <w:szCs w:val="22"/>
              </w:rPr>
              <w:t xml:space="preserve"> additional patients will be enter</w:t>
            </w:r>
            <w:r w:rsidR="008E6116" w:rsidRPr="007A3223">
              <w:rPr>
                <w:sz w:val="22"/>
                <w:szCs w:val="22"/>
              </w:rPr>
              <w:t>ed at the next lowest DL</w:t>
            </w:r>
            <w:r w:rsidR="00EF3D91" w:rsidRPr="007A3223">
              <w:rPr>
                <w:sz w:val="22"/>
                <w:szCs w:val="22"/>
              </w:rPr>
              <w:t xml:space="preserve"> </w:t>
            </w:r>
            <w:r w:rsidR="00707DE6" w:rsidRPr="007A3223">
              <w:rPr>
                <w:sz w:val="22"/>
                <w:szCs w:val="22"/>
              </w:rPr>
              <w:t>if two of from two to six patients experience DLT at DL1</w:t>
            </w:r>
            <w:r w:rsidR="00EF3D91" w:rsidRPr="007A3223">
              <w:rPr>
                <w:sz w:val="22"/>
                <w:szCs w:val="22"/>
              </w:rPr>
              <w:t>.</w:t>
            </w:r>
          </w:p>
        </w:tc>
      </w:tr>
      <w:tr w:rsidR="00EF3D91" w:rsidRPr="007A3223" w14:paraId="49AF8681" w14:textId="77777777" w:rsidTr="00345493">
        <w:trPr>
          <w:cantSplit/>
        </w:trPr>
        <w:tc>
          <w:tcPr>
            <w:tcW w:w="2700" w:type="dxa"/>
          </w:tcPr>
          <w:p w14:paraId="755DA9F7" w14:textId="77777777" w:rsidR="00EF3D91" w:rsidRPr="007A3223" w:rsidRDefault="00EF3D91" w:rsidP="00707DE6">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jc w:val="center"/>
              <w:rPr>
                <w:sz w:val="22"/>
              </w:rPr>
            </w:pPr>
            <w:r w:rsidRPr="007A3223">
              <w:rPr>
                <w:sz w:val="22"/>
                <w:u w:val="single"/>
              </w:rPr>
              <w:t>&lt;</w:t>
            </w:r>
            <w:r w:rsidRPr="007A3223">
              <w:rPr>
                <w:sz w:val="22"/>
              </w:rPr>
              <w:t xml:space="preserve">1 out of 6 at highest </w:t>
            </w:r>
            <w:r w:rsidR="008E6116" w:rsidRPr="007A3223">
              <w:rPr>
                <w:sz w:val="22"/>
              </w:rPr>
              <w:t xml:space="preserve">DL </w:t>
            </w:r>
          </w:p>
        </w:tc>
        <w:tc>
          <w:tcPr>
            <w:tcW w:w="5850" w:type="dxa"/>
          </w:tcPr>
          <w:p w14:paraId="254E58C0" w14:textId="77777777" w:rsidR="00EF3D91" w:rsidRPr="007A3223" w:rsidRDefault="00AB055D" w:rsidP="00707DE6">
            <w:pPr>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spacing w:after="58"/>
              <w:rPr>
                <w:sz w:val="22"/>
              </w:rPr>
            </w:pPr>
            <w:r w:rsidRPr="007A3223">
              <w:rPr>
                <w:sz w:val="22"/>
              </w:rPr>
              <w:t xml:space="preserve">This is </w:t>
            </w:r>
            <w:r w:rsidR="00EF3D91" w:rsidRPr="007A3223">
              <w:rPr>
                <w:sz w:val="22"/>
              </w:rPr>
              <w:t>generally</w:t>
            </w:r>
            <w:r w:rsidR="00023D36" w:rsidRPr="007A3223">
              <w:rPr>
                <w:sz w:val="22"/>
              </w:rPr>
              <w:t xml:space="preserve"> the recommended phase 2 dose. </w:t>
            </w:r>
            <w:r w:rsidR="00EF3D91" w:rsidRPr="007A3223">
              <w:rPr>
                <w:sz w:val="22"/>
              </w:rPr>
              <w:t xml:space="preserve">At least 6 patients must be </w:t>
            </w:r>
            <w:r w:rsidR="00D00820" w:rsidRPr="007A3223">
              <w:rPr>
                <w:sz w:val="22"/>
              </w:rPr>
              <w:t xml:space="preserve">treated </w:t>
            </w:r>
            <w:r w:rsidR="00EF3D91" w:rsidRPr="007A3223">
              <w:rPr>
                <w:sz w:val="22"/>
              </w:rPr>
              <w:t>at the recommended phase 2 dose.</w:t>
            </w:r>
          </w:p>
        </w:tc>
      </w:tr>
    </w:tbl>
    <w:p w14:paraId="6DC7EB03" w14:textId="77777777" w:rsidR="00857C5B" w:rsidRPr="007A3223" w:rsidRDefault="00857C5B" w:rsidP="00EA69AB">
      <w:bookmarkStart w:id="161" w:name="_Toc250632170"/>
      <w:bookmarkStart w:id="162" w:name="_Toc281240089"/>
      <w:bookmarkStart w:id="163" w:name="_Toc281240331"/>
      <w:bookmarkStart w:id="164" w:name="_Toc288125070"/>
    </w:p>
    <w:p w14:paraId="298FBE5D" w14:textId="77777777" w:rsidR="000069B1" w:rsidRPr="007A3223" w:rsidRDefault="00AB0F2B" w:rsidP="004E05E7">
      <w:pPr>
        <w:rPr>
          <w:u w:val="single"/>
        </w:rPr>
      </w:pPr>
      <w:r w:rsidRPr="007A3223">
        <w:rPr>
          <w:u w:val="single"/>
        </w:rPr>
        <w:t>Phase II</w:t>
      </w:r>
    </w:p>
    <w:p w14:paraId="0A86BB66" w14:textId="25C8E945" w:rsidR="00844640" w:rsidRPr="007A3223" w:rsidRDefault="00000A96" w:rsidP="00032B4A">
      <w:pPr>
        <w:spacing w:after="0"/>
        <w:rPr>
          <w:rFonts w:eastAsia="Times New Roman"/>
          <w:szCs w:val="24"/>
        </w:rPr>
      </w:pPr>
      <w:r w:rsidRPr="007A3223">
        <w:rPr>
          <w:szCs w:val="24"/>
        </w:rPr>
        <w:t xml:space="preserve">The phase II of </w:t>
      </w:r>
      <w:r w:rsidR="00E7210F">
        <w:rPr>
          <w:szCs w:val="24"/>
        </w:rPr>
        <w:t>Durvalumab</w:t>
      </w:r>
      <w:r w:rsidR="00E65C0E" w:rsidRPr="007A3223">
        <w:rPr>
          <w:szCs w:val="24"/>
        </w:rPr>
        <w:t>+</w:t>
      </w:r>
      <w:r w:rsidRPr="007A3223">
        <w:rPr>
          <w:szCs w:val="24"/>
        </w:rPr>
        <w:t>O</w:t>
      </w:r>
      <w:r w:rsidR="00F01CAD" w:rsidRPr="007A3223">
        <w:rPr>
          <w:szCs w:val="24"/>
        </w:rPr>
        <w:t>,</w:t>
      </w:r>
      <w:r w:rsidRPr="007A3223">
        <w:rPr>
          <w:szCs w:val="24"/>
        </w:rPr>
        <w:t xml:space="preserve"> </w:t>
      </w:r>
      <w:r w:rsidR="00E7210F">
        <w:rPr>
          <w:szCs w:val="24"/>
        </w:rPr>
        <w:t>Durvalumab</w:t>
      </w:r>
      <w:r w:rsidR="00E65C0E" w:rsidRPr="007A3223">
        <w:rPr>
          <w:szCs w:val="24"/>
        </w:rPr>
        <w:t>+</w:t>
      </w:r>
      <w:r w:rsidRPr="007A3223">
        <w:rPr>
          <w:szCs w:val="24"/>
        </w:rPr>
        <w:t xml:space="preserve">C </w:t>
      </w:r>
      <w:r w:rsidR="00F01CAD" w:rsidRPr="007A3223">
        <w:rPr>
          <w:szCs w:val="24"/>
        </w:rPr>
        <w:t>or C+</w:t>
      </w:r>
      <w:r w:rsidR="00E7210F">
        <w:rPr>
          <w:szCs w:val="24"/>
        </w:rPr>
        <w:t>Durvalumab</w:t>
      </w:r>
      <w:r w:rsidR="00F01CAD" w:rsidRPr="007A3223">
        <w:rPr>
          <w:szCs w:val="24"/>
        </w:rPr>
        <w:t xml:space="preserve"> and </w:t>
      </w:r>
      <w:r w:rsidR="00E7210F">
        <w:rPr>
          <w:szCs w:val="24"/>
        </w:rPr>
        <w:t>Durvalumab</w:t>
      </w:r>
      <w:r w:rsidR="00F01CAD" w:rsidRPr="007A3223">
        <w:rPr>
          <w:szCs w:val="24"/>
        </w:rPr>
        <w:t xml:space="preserve">+O+C </w:t>
      </w:r>
      <w:r w:rsidRPr="007A3223">
        <w:rPr>
          <w:szCs w:val="24"/>
        </w:rPr>
        <w:t xml:space="preserve">will be examined in different tumor types simultaneously. </w:t>
      </w:r>
      <w:r w:rsidR="00761261" w:rsidRPr="007A3223">
        <w:t xml:space="preserve">Randomization procedures do not apply to the Phase II OvCa </w:t>
      </w:r>
      <w:r w:rsidR="003B1128" w:rsidRPr="007A3223">
        <w:t xml:space="preserve">cohort 1 </w:t>
      </w:r>
      <w:r w:rsidR="00761261" w:rsidRPr="007A3223">
        <w:t xml:space="preserve">and Phase II NSCLC </w:t>
      </w:r>
      <w:r w:rsidR="003B1128" w:rsidRPr="007A3223">
        <w:t>cohort 2</w:t>
      </w:r>
      <w:r w:rsidR="00F01CAD" w:rsidRPr="007A3223">
        <w:t>. The treatment</w:t>
      </w:r>
      <w:r w:rsidR="00C066FE" w:rsidRPr="007A3223">
        <w:t xml:space="preserve"> </w:t>
      </w:r>
      <w:r w:rsidR="00761261" w:rsidRPr="007A3223">
        <w:t>arms will be open concurrently and treatment assignment for each patient will be at the PI’s discretion and/or based on prior treatment history.</w:t>
      </w:r>
    </w:p>
    <w:p w14:paraId="6DCFE1B6" w14:textId="77777777" w:rsidR="00844640" w:rsidRPr="007A3223" w:rsidRDefault="00844640" w:rsidP="00844640">
      <w:pPr>
        <w:spacing w:after="0"/>
      </w:pPr>
    </w:p>
    <w:p w14:paraId="5B130305" w14:textId="720604A3" w:rsidR="00C24B81" w:rsidRPr="007A3223" w:rsidRDefault="002D5B7A" w:rsidP="00E91D43">
      <w:pPr>
        <w:pStyle w:val="Heading4"/>
        <w:rPr>
          <w:noProof w:val="0"/>
        </w:rPr>
      </w:pPr>
      <w:r w:rsidRPr="007A3223">
        <w:rPr>
          <w:noProof w:val="0"/>
        </w:rPr>
        <w:t xml:space="preserve">Phase II OvCa </w:t>
      </w:r>
      <w:r w:rsidR="003B1128" w:rsidRPr="007A3223">
        <w:rPr>
          <w:noProof w:val="0"/>
        </w:rPr>
        <w:t xml:space="preserve">Cohort 1 </w:t>
      </w:r>
      <w:r w:rsidR="00C24B81" w:rsidRPr="007A3223">
        <w:rPr>
          <w:noProof w:val="0"/>
        </w:rPr>
        <w:t>Stage 1</w:t>
      </w:r>
    </w:p>
    <w:p w14:paraId="0367B30F" w14:textId="1866F4F5" w:rsidR="00EC568F" w:rsidRPr="007A3223" w:rsidRDefault="00844640" w:rsidP="00FB66BA">
      <w:pPr>
        <w:pStyle w:val="ListParagraph"/>
        <w:numPr>
          <w:ilvl w:val="0"/>
          <w:numId w:val="64"/>
        </w:numPr>
        <w:ind w:left="360"/>
      </w:pPr>
      <w:r w:rsidRPr="007A3223">
        <w:t xml:space="preserve">For patients with OvCa, </w:t>
      </w:r>
      <w:r w:rsidR="00B1010F" w:rsidRPr="007A3223">
        <w:t xml:space="preserve">12 evaluable patients will be enrolled to the appropriate </w:t>
      </w:r>
      <w:r w:rsidR="000F1C9D" w:rsidRPr="007A3223">
        <w:t xml:space="preserve">doublet treatment </w:t>
      </w:r>
      <w:r w:rsidR="00B1010F" w:rsidRPr="007A3223">
        <w:t>arm</w:t>
      </w:r>
      <w:r w:rsidR="008D499D" w:rsidRPr="007A3223">
        <w:t xml:space="preserve"> once RP2D is determined </w:t>
      </w:r>
      <w:r w:rsidR="008D499D" w:rsidRPr="007A3223">
        <w:rPr>
          <w:bCs/>
        </w:rPr>
        <w:t>for each cohort</w:t>
      </w:r>
      <w:r w:rsidR="00B1010F" w:rsidRPr="007A3223">
        <w:t xml:space="preserve"> </w:t>
      </w:r>
      <w:r w:rsidR="004F2BFE" w:rsidRPr="007A3223">
        <w:t>at the PI’s</w:t>
      </w:r>
      <w:r w:rsidRPr="007A3223">
        <w:t xml:space="preserve"> discretion</w:t>
      </w:r>
    </w:p>
    <w:p w14:paraId="79131E0F" w14:textId="77777777" w:rsidR="000F1C9D" w:rsidRPr="007A3223" w:rsidRDefault="000F1C9D" w:rsidP="00FB66BA">
      <w:pPr>
        <w:pStyle w:val="ListParagraph"/>
        <w:numPr>
          <w:ilvl w:val="0"/>
          <w:numId w:val="64"/>
        </w:numPr>
        <w:ind w:left="360"/>
      </w:pPr>
      <w:r w:rsidRPr="007A3223">
        <w:t>For patients with OvCa, 17 evaluable will be enrolled to the triplet treatment arm once RP2D is determined at the PI’s discretion</w:t>
      </w:r>
    </w:p>
    <w:p w14:paraId="3C4CEA91" w14:textId="77777777" w:rsidR="00EC568F" w:rsidRPr="007A3223" w:rsidRDefault="00EC568F" w:rsidP="000F708F">
      <w:pPr>
        <w:spacing w:after="0"/>
      </w:pPr>
    </w:p>
    <w:p w14:paraId="6DCF8547" w14:textId="6BECD9FF" w:rsidR="00C24B81" w:rsidRPr="007A3223" w:rsidRDefault="002D5B7A" w:rsidP="00E91D43">
      <w:pPr>
        <w:pStyle w:val="Heading4"/>
        <w:keepNext/>
        <w:rPr>
          <w:noProof w:val="0"/>
        </w:rPr>
      </w:pPr>
      <w:r w:rsidRPr="007A3223">
        <w:rPr>
          <w:noProof w:val="0"/>
        </w:rPr>
        <w:t xml:space="preserve">Phase II OvCa </w:t>
      </w:r>
      <w:r w:rsidR="003B1128" w:rsidRPr="007A3223">
        <w:rPr>
          <w:noProof w:val="0"/>
        </w:rPr>
        <w:t xml:space="preserve">Cohort 1 </w:t>
      </w:r>
      <w:r w:rsidR="00C24B81" w:rsidRPr="007A3223">
        <w:rPr>
          <w:noProof w:val="0"/>
        </w:rPr>
        <w:t>Stage 2</w:t>
      </w:r>
    </w:p>
    <w:p w14:paraId="4D38F55F" w14:textId="5F5FF529" w:rsidR="006C6150" w:rsidRPr="007A3223" w:rsidRDefault="009B741F" w:rsidP="009B741F">
      <w:pPr>
        <w:spacing w:after="0"/>
        <w:rPr>
          <w:szCs w:val="24"/>
        </w:rPr>
      </w:pPr>
      <w:r w:rsidRPr="007A3223">
        <w:rPr>
          <w:szCs w:val="24"/>
        </w:rPr>
        <w:t>For patients with OvCa, stage</w:t>
      </w:r>
      <w:r w:rsidR="005B5FAC" w:rsidRPr="007A3223">
        <w:rPr>
          <w:szCs w:val="24"/>
        </w:rPr>
        <w:t xml:space="preserve"> 2 </w:t>
      </w:r>
      <w:r w:rsidR="00000A96" w:rsidRPr="007A3223">
        <w:rPr>
          <w:szCs w:val="24"/>
        </w:rPr>
        <w:t xml:space="preserve">for an active arm </w:t>
      </w:r>
      <w:r w:rsidR="005B5FAC" w:rsidRPr="007A3223">
        <w:rPr>
          <w:szCs w:val="24"/>
        </w:rPr>
        <w:t xml:space="preserve">will </w:t>
      </w:r>
      <w:r w:rsidR="000B4B39" w:rsidRPr="007A3223">
        <w:rPr>
          <w:szCs w:val="24"/>
        </w:rPr>
        <w:t xml:space="preserve">begin after stage 1 has been completed. </w:t>
      </w:r>
      <w:r w:rsidR="0057242F" w:rsidRPr="007A3223">
        <w:rPr>
          <w:szCs w:val="24"/>
        </w:rPr>
        <w:t>If the minimum level of activity is not observed in stage 1 for either one or both arms, no further enrollment will occur into that arm (see Section 8).</w:t>
      </w:r>
      <w:r w:rsidR="002C39D2" w:rsidRPr="007A3223">
        <w:rPr>
          <w:szCs w:val="24"/>
        </w:rPr>
        <w:t xml:space="preserve"> For </w:t>
      </w:r>
      <w:r w:rsidR="00966D61">
        <w:rPr>
          <w:szCs w:val="24"/>
        </w:rPr>
        <w:t>Durvalumab</w:t>
      </w:r>
      <w:r w:rsidR="002C39D2" w:rsidRPr="007A3223">
        <w:rPr>
          <w:szCs w:val="24"/>
        </w:rPr>
        <w:t xml:space="preserve">+O and </w:t>
      </w:r>
      <w:r w:rsidR="00966D61">
        <w:rPr>
          <w:szCs w:val="24"/>
        </w:rPr>
        <w:t>Durvalumab</w:t>
      </w:r>
      <w:r w:rsidR="002C39D2" w:rsidRPr="007A3223">
        <w:rPr>
          <w:szCs w:val="24"/>
        </w:rPr>
        <w:t xml:space="preserve">+C arms, </w:t>
      </w:r>
      <w:r w:rsidR="0057242F" w:rsidRPr="007A3223">
        <w:rPr>
          <w:szCs w:val="24"/>
        </w:rPr>
        <w:t xml:space="preserve"> </w:t>
      </w:r>
      <w:r w:rsidR="005B5FAC" w:rsidRPr="007A3223">
        <w:rPr>
          <w:szCs w:val="24"/>
        </w:rPr>
        <w:t>23 additional eva</w:t>
      </w:r>
      <w:r w:rsidR="006C6150" w:rsidRPr="007A3223">
        <w:rPr>
          <w:szCs w:val="24"/>
        </w:rPr>
        <w:t>luable patients will be accrued</w:t>
      </w:r>
      <w:r w:rsidR="000B4B39" w:rsidRPr="007A3223">
        <w:rPr>
          <w:szCs w:val="24"/>
        </w:rPr>
        <w:t xml:space="preserve"> in each arm</w:t>
      </w:r>
      <w:r w:rsidR="008B76BF" w:rsidRPr="007A3223">
        <w:rPr>
          <w:szCs w:val="24"/>
        </w:rPr>
        <w:t xml:space="preserve"> if at least 2 of the 12 </w:t>
      </w:r>
      <w:r w:rsidR="008B76BF" w:rsidRPr="007A3223">
        <w:rPr>
          <w:szCs w:val="24"/>
        </w:rPr>
        <w:lastRenderedPageBreak/>
        <w:t>evaluable subjects from Stage 1 demonstrate an objective response</w:t>
      </w:r>
      <w:r w:rsidR="00344A4A" w:rsidRPr="007A3223">
        <w:rPr>
          <w:szCs w:val="24"/>
        </w:rPr>
        <w:t xml:space="preserve"> (</w:t>
      </w:r>
      <w:r w:rsidR="00154D97" w:rsidRPr="007A3223">
        <w:rPr>
          <w:szCs w:val="24"/>
        </w:rPr>
        <w:t xml:space="preserve">see </w:t>
      </w:r>
      <w:r w:rsidR="00344A4A" w:rsidRPr="007A3223">
        <w:rPr>
          <w:szCs w:val="24"/>
        </w:rPr>
        <w:t xml:space="preserve">Section </w:t>
      </w:r>
      <w:r w:rsidR="00307B04" w:rsidRPr="00F33908">
        <w:rPr>
          <w:b/>
          <w:color w:val="0000FF"/>
        </w:rPr>
        <w:fldChar w:fldCharType="begin"/>
      </w:r>
      <w:r w:rsidR="00307B04" w:rsidRPr="007A3223">
        <w:rPr>
          <w:b/>
          <w:color w:val="0000FF"/>
        </w:rPr>
        <w:instrText xml:space="preserve"> REF _Ref405293311 \r \h  \* MERGEFORMAT </w:instrText>
      </w:r>
      <w:r w:rsidR="00307B04" w:rsidRPr="00F33908">
        <w:rPr>
          <w:b/>
          <w:color w:val="0000FF"/>
        </w:rPr>
      </w:r>
      <w:r w:rsidR="00307B04" w:rsidRPr="00F33908">
        <w:rPr>
          <w:b/>
          <w:color w:val="0000FF"/>
        </w:rPr>
        <w:fldChar w:fldCharType="separate"/>
      </w:r>
      <w:r w:rsidR="00E47ACA">
        <w:rPr>
          <w:b/>
          <w:color w:val="0000FF"/>
        </w:rPr>
        <w:t>11</w:t>
      </w:r>
      <w:r w:rsidR="00307B04" w:rsidRPr="00F33908">
        <w:rPr>
          <w:b/>
          <w:color w:val="0000FF"/>
        </w:rPr>
        <w:fldChar w:fldCharType="end"/>
      </w:r>
      <w:r w:rsidR="00344A4A" w:rsidRPr="007A3223">
        <w:rPr>
          <w:szCs w:val="24"/>
        </w:rPr>
        <w:t>)</w:t>
      </w:r>
      <w:r w:rsidR="006C6150" w:rsidRPr="00F33908">
        <w:rPr>
          <w:szCs w:val="24"/>
        </w:rPr>
        <w:t xml:space="preserve">. </w:t>
      </w:r>
      <w:r w:rsidR="002C39D2" w:rsidRPr="007A3223">
        <w:rPr>
          <w:szCs w:val="24"/>
        </w:rPr>
        <w:t xml:space="preserve">For </w:t>
      </w:r>
      <w:r w:rsidR="00966D61">
        <w:rPr>
          <w:szCs w:val="24"/>
        </w:rPr>
        <w:t>Durvalumab</w:t>
      </w:r>
      <w:r w:rsidR="002C39D2" w:rsidRPr="007A3223">
        <w:rPr>
          <w:szCs w:val="24"/>
        </w:rPr>
        <w:t>+O+C arm, 20 additional evaluable patients will be accrued in triplet arm if at least 4 of the 17 evaluable subjects from Stage 1 demonstrate an objective response (see Section</w:t>
      </w:r>
      <w:r w:rsidR="00344853" w:rsidRPr="007A3223">
        <w:rPr>
          <w:szCs w:val="24"/>
        </w:rPr>
        <w:t xml:space="preserve"> </w:t>
      </w:r>
      <w:r w:rsidR="00344853" w:rsidRPr="00F33908">
        <w:rPr>
          <w:b/>
          <w:color w:val="0000FF"/>
        </w:rPr>
        <w:fldChar w:fldCharType="begin"/>
      </w:r>
      <w:r w:rsidR="00344853" w:rsidRPr="007A3223">
        <w:rPr>
          <w:b/>
          <w:color w:val="0000FF"/>
        </w:rPr>
        <w:instrText xml:space="preserve"> REF _Ref405293311 \r \h  \* MERGEFORMAT </w:instrText>
      </w:r>
      <w:r w:rsidR="00344853" w:rsidRPr="00F33908">
        <w:rPr>
          <w:b/>
          <w:color w:val="0000FF"/>
        </w:rPr>
      </w:r>
      <w:r w:rsidR="00344853" w:rsidRPr="00F33908">
        <w:rPr>
          <w:b/>
          <w:color w:val="0000FF"/>
        </w:rPr>
        <w:fldChar w:fldCharType="separate"/>
      </w:r>
      <w:r w:rsidR="00E47ACA">
        <w:rPr>
          <w:b/>
          <w:color w:val="0000FF"/>
        </w:rPr>
        <w:t>11</w:t>
      </w:r>
      <w:r w:rsidR="00344853" w:rsidRPr="00F33908">
        <w:rPr>
          <w:b/>
          <w:color w:val="0000FF"/>
        </w:rPr>
        <w:fldChar w:fldCharType="end"/>
      </w:r>
      <w:r w:rsidR="002C39D2" w:rsidRPr="007A3223">
        <w:rPr>
          <w:b/>
          <w:color w:val="0000FF"/>
        </w:rPr>
        <w:t>)</w:t>
      </w:r>
      <w:r w:rsidR="00344853" w:rsidRPr="00F33908">
        <w:rPr>
          <w:szCs w:val="24"/>
        </w:rPr>
        <w:t xml:space="preserve">. </w:t>
      </w:r>
      <w:r w:rsidR="00344A4A" w:rsidRPr="007A3223">
        <w:rPr>
          <w:szCs w:val="24"/>
        </w:rPr>
        <w:t xml:space="preserve">A </w:t>
      </w:r>
      <w:r w:rsidR="006C6150" w:rsidRPr="007A3223">
        <w:rPr>
          <w:szCs w:val="24"/>
        </w:rPr>
        <w:t xml:space="preserve">total of </w:t>
      </w:r>
      <w:r w:rsidR="003A0E6F" w:rsidRPr="007A3223">
        <w:rPr>
          <w:szCs w:val="24"/>
        </w:rPr>
        <w:t>107</w:t>
      </w:r>
      <w:r w:rsidR="006C6150" w:rsidRPr="007A3223">
        <w:rPr>
          <w:szCs w:val="24"/>
        </w:rPr>
        <w:t xml:space="preserve"> evaluable patients will be </w:t>
      </w:r>
      <w:r w:rsidR="009B73BA" w:rsidRPr="007A3223">
        <w:rPr>
          <w:szCs w:val="24"/>
        </w:rPr>
        <w:t xml:space="preserve">allocated </w:t>
      </w:r>
      <w:r w:rsidR="002B203A" w:rsidRPr="007A3223">
        <w:rPr>
          <w:szCs w:val="24"/>
        </w:rPr>
        <w:t>to receive</w:t>
      </w:r>
      <w:r w:rsidR="003A0E6F" w:rsidRPr="007A3223">
        <w:rPr>
          <w:szCs w:val="24"/>
        </w:rPr>
        <w:t xml:space="preserve"> </w:t>
      </w:r>
      <w:r w:rsidR="00966D61">
        <w:rPr>
          <w:szCs w:val="24"/>
        </w:rPr>
        <w:t>Durvalumab</w:t>
      </w:r>
      <w:r w:rsidR="00E65C0E" w:rsidRPr="007A3223">
        <w:rPr>
          <w:szCs w:val="24"/>
        </w:rPr>
        <w:t>+</w:t>
      </w:r>
      <w:r w:rsidR="002B203A" w:rsidRPr="007A3223">
        <w:rPr>
          <w:szCs w:val="24"/>
        </w:rPr>
        <w:t xml:space="preserve">C or </w:t>
      </w:r>
      <w:r w:rsidR="00966D61">
        <w:rPr>
          <w:szCs w:val="24"/>
        </w:rPr>
        <w:t>Durvalumab</w:t>
      </w:r>
      <w:r w:rsidR="00E65C0E" w:rsidRPr="007A3223">
        <w:rPr>
          <w:szCs w:val="24"/>
        </w:rPr>
        <w:t>+</w:t>
      </w:r>
      <w:r w:rsidR="002B203A" w:rsidRPr="007A3223">
        <w:rPr>
          <w:szCs w:val="24"/>
        </w:rPr>
        <w:t>O</w:t>
      </w:r>
      <w:r w:rsidR="000E2DE9" w:rsidRPr="007A3223">
        <w:rPr>
          <w:szCs w:val="24"/>
        </w:rPr>
        <w:t xml:space="preserve"> </w:t>
      </w:r>
      <w:r w:rsidR="00447035" w:rsidRPr="007A3223">
        <w:rPr>
          <w:szCs w:val="24"/>
        </w:rPr>
        <w:t xml:space="preserve">or </w:t>
      </w:r>
      <w:r w:rsidR="00966D61">
        <w:rPr>
          <w:szCs w:val="24"/>
        </w:rPr>
        <w:t>Durvalumab</w:t>
      </w:r>
      <w:r w:rsidR="00447035" w:rsidRPr="007A3223">
        <w:rPr>
          <w:szCs w:val="24"/>
        </w:rPr>
        <w:t xml:space="preserve">+O+C </w:t>
      </w:r>
      <w:r w:rsidR="002B203A" w:rsidRPr="007A3223">
        <w:rPr>
          <w:szCs w:val="24"/>
        </w:rPr>
        <w:t xml:space="preserve">at </w:t>
      </w:r>
      <w:r w:rsidR="00344A4A" w:rsidRPr="007A3223">
        <w:rPr>
          <w:szCs w:val="24"/>
        </w:rPr>
        <w:t>RP2D</w:t>
      </w:r>
      <w:r w:rsidR="00B72068" w:rsidRPr="007A3223">
        <w:rPr>
          <w:szCs w:val="24"/>
        </w:rPr>
        <w:t xml:space="preserve"> without stratification</w:t>
      </w:r>
      <w:r w:rsidR="00344A4A" w:rsidRPr="007A3223">
        <w:rPr>
          <w:szCs w:val="24"/>
        </w:rPr>
        <w:t xml:space="preserve">. </w:t>
      </w:r>
    </w:p>
    <w:p w14:paraId="1D2A0BAA" w14:textId="77777777" w:rsidR="002D5B7A" w:rsidRPr="007A3223" w:rsidRDefault="002D5B7A" w:rsidP="00D16D9B">
      <w:pPr>
        <w:spacing w:after="0"/>
        <w:rPr>
          <w:szCs w:val="24"/>
        </w:rPr>
      </w:pPr>
    </w:p>
    <w:p w14:paraId="710E3D8A" w14:textId="77777777" w:rsidR="00D16D9B" w:rsidRPr="007A3223" w:rsidRDefault="002D5B7A" w:rsidP="00762828">
      <w:pPr>
        <w:pStyle w:val="Heading4"/>
      </w:pPr>
      <w:r w:rsidRPr="007A3223">
        <w:t>Phase II Other tumor types</w:t>
      </w:r>
      <w:r w:rsidR="00363758" w:rsidRPr="007A3223">
        <w:t xml:space="preserve"> (See Section 8)</w:t>
      </w:r>
    </w:p>
    <w:p w14:paraId="4A5BCD98" w14:textId="56F7F5DE" w:rsidR="00032B4A" w:rsidRPr="007A3223" w:rsidRDefault="002D5B7A" w:rsidP="00FB66BA">
      <w:pPr>
        <w:pStyle w:val="ListParagraph"/>
        <w:numPr>
          <w:ilvl w:val="0"/>
          <w:numId w:val="64"/>
        </w:numPr>
        <w:ind w:left="360"/>
      </w:pPr>
      <w:r w:rsidRPr="007A3223">
        <w:t>For patients with NSCLC</w:t>
      </w:r>
      <w:r w:rsidR="003B1128" w:rsidRPr="007A3223">
        <w:t xml:space="preserve"> (cohort 2)</w:t>
      </w:r>
      <w:r w:rsidR="00884DDE" w:rsidRPr="007A3223">
        <w:t xml:space="preserve">, </w:t>
      </w:r>
    </w:p>
    <w:p w14:paraId="3EEB20CD" w14:textId="4A65A52A" w:rsidR="00095474" w:rsidRPr="007A3223" w:rsidRDefault="00884DDE" w:rsidP="00095474">
      <w:pPr>
        <w:pStyle w:val="ListParagraph"/>
        <w:ind w:left="360"/>
      </w:pPr>
      <w:r w:rsidRPr="007A3223">
        <w:t xml:space="preserve">37 evaluable patients will be assigned to </w:t>
      </w:r>
      <w:r w:rsidR="00966D61">
        <w:rPr>
          <w:lang w:val="en-US"/>
        </w:rPr>
        <w:t>Durvalumab</w:t>
      </w:r>
      <w:r w:rsidR="00E65C0E" w:rsidRPr="007A3223">
        <w:t>+</w:t>
      </w:r>
      <w:r w:rsidRPr="007A3223">
        <w:t xml:space="preserve">O and 37 evaluable patients will be assigned to </w:t>
      </w:r>
      <w:r w:rsidR="00966D61">
        <w:rPr>
          <w:lang w:val="en-US"/>
        </w:rPr>
        <w:t>Durvalumab</w:t>
      </w:r>
      <w:r w:rsidR="00E65C0E" w:rsidRPr="007A3223">
        <w:t>+</w:t>
      </w:r>
      <w:r w:rsidR="002D5B7A" w:rsidRPr="007A3223">
        <w:t xml:space="preserve">C </w:t>
      </w:r>
      <w:r w:rsidRPr="007A3223">
        <w:t xml:space="preserve">at PI’s discretion, without </w:t>
      </w:r>
      <w:r w:rsidR="00761261" w:rsidRPr="007A3223">
        <w:t>randomization</w:t>
      </w:r>
      <w:r w:rsidR="00363758" w:rsidRPr="007A3223">
        <w:t>.</w:t>
      </w:r>
      <w:r w:rsidR="002D5B7A" w:rsidRPr="007A3223">
        <w:t xml:space="preserve"> </w:t>
      </w:r>
    </w:p>
    <w:p w14:paraId="5D56377B" w14:textId="7826C198" w:rsidR="00363758" w:rsidRPr="007A3223" w:rsidRDefault="002D5B7A" w:rsidP="00FB66BA">
      <w:pPr>
        <w:pStyle w:val="ListParagraph"/>
        <w:numPr>
          <w:ilvl w:val="0"/>
          <w:numId w:val="64"/>
        </w:numPr>
        <w:ind w:left="360"/>
      </w:pPr>
      <w:r w:rsidRPr="007A3223">
        <w:t>For patients with SCLC</w:t>
      </w:r>
      <w:r w:rsidR="003B1128" w:rsidRPr="007A3223">
        <w:t xml:space="preserve"> (cohort 3)</w:t>
      </w:r>
      <w:r w:rsidRPr="007A3223">
        <w:t xml:space="preserve">, </w:t>
      </w:r>
    </w:p>
    <w:p w14:paraId="4F9B4FCF" w14:textId="387E120D" w:rsidR="00363758" w:rsidRPr="007A3223" w:rsidRDefault="00363758" w:rsidP="00FB66BA">
      <w:pPr>
        <w:pStyle w:val="ListParagraph"/>
        <w:numPr>
          <w:ilvl w:val="1"/>
          <w:numId w:val="69"/>
        </w:numPr>
      </w:pPr>
      <w:r w:rsidRPr="007A3223">
        <w:t xml:space="preserve">Stage 1: 19 evaluable patients </w:t>
      </w:r>
      <w:r w:rsidR="00076987" w:rsidRPr="007A3223">
        <w:t xml:space="preserve">will be enrolled to </w:t>
      </w:r>
      <w:r w:rsidR="00966D61">
        <w:rPr>
          <w:lang w:val="en-US"/>
        </w:rPr>
        <w:t>Durvalumab</w:t>
      </w:r>
      <w:r w:rsidR="00E65C0E" w:rsidRPr="007A3223">
        <w:t>+</w:t>
      </w:r>
      <w:r w:rsidR="00076987" w:rsidRPr="007A3223">
        <w:t>O only</w:t>
      </w:r>
      <w:r w:rsidRPr="007A3223">
        <w:t xml:space="preserve">, and if 0 to 3 of the </w:t>
      </w:r>
      <w:r w:rsidR="00032B4A" w:rsidRPr="007A3223">
        <w:t xml:space="preserve">first </w:t>
      </w:r>
      <w:r w:rsidRPr="007A3223">
        <w:t xml:space="preserve">19 have a response, then no further patients will be accrued in this cohort. </w:t>
      </w:r>
    </w:p>
    <w:p w14:paraId="1451A825" w14:textId="77777777" w:rsidR="00363758" w:rsidRPr="007A3223" w:rsidRDefault="00363758" w:rsidP="00FB66BA">
      <w:pPr>
        <w:pStyle w:val="ListParagraph"/>
        <w:numPr>
          <w:ilvl w:val="1"/>
          <w:numId w:val="69"/>
        </w:numPr>
      </w:pPr>
      <w:r w:rsidRPr="007A3223">
        <w:t>Stage 2: If 4 or more of the first 19 patients have a response, then accrual would continue until a total of 33 patients have been enrolled.</w:t>
      </w:r>
    </w:p>
    <w:p w14:paraId="1BAC5528" w14:textId="3851A35E" w:rsidR="00437CB9" w:rsidRPr="007A3223" w:rsidRDefault="00363758" w:rsidP="00FB66BA">
      <w:pPr>
        <w:pStyle w:val="ListParagraph"/>
        <w:numPr>
          <w:ilvl w:val="0"/>
          <w:numId w:val="64"/>
        </w:numPr>
        <w:ind w:left="360"/>
      </w:pPr>
      <w:r w:rsidRPr="007A3223">
        <w:t xml:space="preserve">For patients with </w:t>
      </w:r>
      <w:r w:rsidR="002D5B7A" w:rsidRPr="007A3223">
        <w:t>mCRPC</w:t>
      </w:r>
      <w:r w:rsidR="003B1128" w:rsidRPr="007A3223">
        <w:t xml:space="preserve"> (cohort 4)</w:t>
      </w:r>
      <w:r w:rsidRPr="007A3223">
        <w:t>,</w:t>
      </w:r>
      <w:r w:rsidR="00437CB9" w:rsidRPr="007A3223">
        <w:t xml:space="preserve"> </w:t>
      </w:r>
    </w:p>
    <w:p w14:paraId="3D4B9E79" w14:textId="578755BD" w:rsidR="00437CB9" w:rsidRPr="007A3223" w:rsidRDefault="00437CB9" w:rsidP="00FB66BA">
      <w:pPr>
        <w:pStyle w:val="ListParagraph"/>
        <w:numPr>
          <w:ilvl w:val="1"/>
          <w:numId w:val="64"/>
        </w:numPr>
        <w:ind w:left="720"/>
      </w:pPr>
      <w:r w:rsidRPr="007A3223">
        <w:t xml:space="preserve">25 evaluable patients will </w:t>
      </w:r>
      <w:r w:rsidR="00FF5432" w:rsidRPr="007A3223">
        <w:t xml:space="preserve">be enrolled to </w:t>
      </w:r>
      <w:r w:rsidR="00966D61">
        <w:rPr>
          <w:lang w:val="en-US"/>
        </w:rPr>
        <w:t>Durvalumab</w:t>
      </w:r>
      <w:r w:rsidR="00E65C0E" w:rsidRPr="007A3223">
        <w:t>+</w:t>
      </w:r>
      <w:r w:rsidRPr="007A3223">
        <w:t>O</w:t>
      </w:r>
      <w:r w:rsidR="00076987" w:rsidRPr="007A3223">
        <w:t xml:space="preserve"> only</w:t>
      </w:r>
      <w:r w:rsidR="00FF5432" w:rsidRPr="007A3223">
        <w:t>.</w:t>
      </w:r>
    </w:p>
    <w:p w14:paraId="190B519D" w14:textId="77777777" w:rsidR="00363758" w:rsidRPr="007A3223" w:rsidRDefault="00437CB9" w:rsidP="00FB66BA">
      <w:pPr>
        <w:pStyle w:val="ListParagraph"/>
        <w:numPr>
          <w:ilvl w:val="1"/>
          <w:numId w:val="64"/>
        </w:numPr>
        <w:ind w:left="720"/>
      </w:pPr>
      <w:r w:rsidRPr="007A3223">
        <w:t xml:space="preserve">An early stopping rule will be implemented: if </w:t>
      </w:r>
      <w:r w:rsidR="00FF5432" w:rsidRPr="007A3223">
        <w:t xml:space="preserve">the 4 month PFS is 50% or less, </w:t>
      </w:r>
      <w:r w:rsidRPr="007A3223">
        <w:t>after</w:t>
      </w:r>
      <w:r w:rsidR="00FF5432" w:rsidRPr="007A3223">
        <w:t xml:space="preserve"> the first </w:t>
      </w:r>
      <w:r w:rsidRPr="007A3223">
        <w:t xml:space="preserve">12 patients have been enrolled and potentially followed for 6 months, this mCRPC cohort will no longer enroll any patients.  </w:t>
      </w:r>
      <w:r w:rsidR="00363758" w:rsidRPr="007A3223">
        <w:t xml:space="preserve"> </w:t>
      </w:r>
    </w:p>
    <w:p w14:paraId="6246BCB7" w14:textId="0B0E614F" w:rsidR="00FF5432" w:rsidRPr="007A3223" w:rsidRDefault="00437CB9" w:rsidP="00FB66BA">
      <w:pPr>
        <w:pStyle w:val="ListParagraph"/>
        <w:numPr>
          <w:ilvl w:val="0"/>
          <w:numId w:val="64"/>
        </w:numPr>
        <w:ind w:left="360"/>
      </w:pPr>
      <w:r w:rsidRPr="007A3223">
        <w:t xml:space="preserve">For patients with </w:t>
      </w:r>
      <w:r w:rsidR="002D5B7A" w:rsidRPr="007A3223">
        <w:t>TNBC</w:t>
      </w:r>
      <w:r w:rsidR="003B1128" w:rsidRPr="007A3223">
        <w:t xml:space="preserve"> (cohort 5)</w:t>
      </w:r>
      <w:r w:rsidR="00032B4A" w:rsidRPr="007A3223">
        <w:t>,</w:t>
      </w:r>
    </w:p>
    <w:p w14:paraId="4EC299A9" w14:textId="7DF10567" w:rsidR="00032B4A" w:rsidRPr="007A3223" w:rsidRDefault="00032B4A" w:rsidP="00FB66BA">
      <w:pPr>
        <w:pStyle w:val="ListParagraph"/>
        <w:numPr>
          <w:ilvl w:val="1"/>
          <w:numId w:val="64"/>
        </w:numPr>
        <w:ind w:left="1260" w:hanging="540"/>
      </w:pPr>
      <w:r w:rsidRPr="007A3223">
        <w:t xml:space="preserve">BRCAwt patients will be assigned to </w:t>
      </w:r>
      <w:r w:rsidR="00966D61">
        <w:rPr>
          <w:lang w:val="en-US"/>
        </w:rPr>
        <w:t>Durvalumab</w:t>
      </w:r>
      <w:r w:rsidR="00E65C0E" w:rsidRPr="007A3223">
        <w:t>+</w:t>
      </w:r>
      <w:r w:rsidRPr="007A3223">
        <w:t xml:space="preserve">O only: </w:t>
      </w:r>
    </w:p>
    <w:p w14:paraId="1A8DD8CA" w14:textId="77777777" w:rsidR="00032B4A" w:rsidRPr="007A3223" w:rsidRDefault="00032B4A" w:rsidP="00FB66BA">
      <w:pPr>
        <w:pStyle w:val="ListParagraph"/>
        <w:numPr>
          <w:ilvl w:val="2"/>
          <w:numId w:val="64"/>
        </w:numPr>
        <w:ind w:left="1260" w:hanging="270"/>
      </w:pPr>
      <w:r w:rsidRPr="007A3223">
        <w:t xml:space="preserve">Stage 1: If 0 to 1 of the first 16 evaluable patients have a clinical response, then no further patients will be accrued. </w:t>
      </w:r>
    </w:p>
    <w:p w14:paraId="4EC2828B" w14:textId="77777777" w:rsidR="00032B4A" w:rsidRPr="007A3223" w:rsidRDefault="00032B4A" w:rsidP="00FB66BA">
      <w:pPr>
        <w:pStyle w:val="ListParagraph"/>
        <w:numPr>
          <w:ilvl w:val="2"/>
          <w:numId w:val="64"/>
        </w:numPr>
        <w:ind w:left="1260" w:hanging="270"/>
      </w:pPr>
      <w:r w:rsidRPr="007A3223">
        <w:t xml:space="preserve">Stage 2: If 2 or more of the first 16 patients have a response, then accrual would continue until a total of 25 evaluable patients have been enrolled. </w:t>
      </w:r>
    </w:p>
    <w:p w14:paraId="1716DB13" w14:textId="22694724" w:rsidR="00032B4A" w:rsidRPr="007A3223" w:rsidRDefault="00032B4A" w:rsidP="00FB66BA">
      <w:pPr>
        <w:pStyle w:val="ListParagraph"/>
        <w:numPr>
          <w:ilvl w:val="1"/>
          <w:numId w:val="64"/>
        </w:numPr>
        <w:ind w:left="1260" w:hanging="540"/>
      </w:pPr>
      <w:r w:rsidRPr="007A3223">
        <w:t xml:space="preserve">gBRCAm patients will be assigned to </w:t>
      </w:r>
      <w:r w:rsidR="00966D61">
        <w:rPr>
          <w:lang w:val="en-US"/>
        </w:rPr>
        <w:t>Durvalumab</w:t>
      </w:r>
      <w:r w:rsidR="00E65C0E" w:rsidRPr="007A3223">
        <w:t>+</w:t>
      </w:r>
      <w:r w:rsidRPr="007A3223">
        <w:t>O only</w:t>
      </w:r>
      <w:r w:rsidR="00076987" w:rsidRPr="007A3223">
        <w:t>:</w:t>
      </w:r>
      <w:r w:rsidRPr="007A3223">
        <w:t xml:space="preserve"> </w:t>
      </w:r>
    </w:p>
    <w:p w14:paraId="62DF33CE" w14:textId="77777777" w:rsidR="00032B4A" w:rsidRPr="007A3223" w:rsidRDefault="00032B4A" w:rsidP="00FB66BA">
      <w:pPr>
        <w:pStyle w:val="ListParagraph"/>
        <w:numPr>
          <w:ilvl w:val="2"/>
          <w:numId w:val="64"/>
        </w:numPr>
        <w:ind w:left="1260" w:hanging="270"/>
      </w:pPr>
      <w:r w:rsidRPr="007A3223">
        <w:t xml:space="preserve">A single cohort of 10 </w:t>
      </w:r>
      <w:r w:rsidR="00FF5432" w:rsidRPr="007A3223">
        <w:t xml:space="preserve">gBRCAm </w:t>
      </w:r>
      <w:r w:rsidRPr="007A3223">
        <w:t>patients will be enrolled, if 0 clinical responses are identified in the first 5 patients with gBRCAm then no further gBRCAm patients will be enrolled</w:t>
      </w:r>
      <w:r w:rsidR="00076987" w:rsidRPr="007A3223">
        <w:t>.</w:t>
      </w:r>
      <w:r w:rsidRPr="007A3223">
        <w:t xml:space="preserve"> </w:t>
      </w:r>
    </w:p>
    <w:p w14:paraId="27D33FC0" w14:textId="7E99D3F9" w:rsidR="00FF5432" w:rsidRPr="007A3223" w:rsidRDefault="002D5B7A" w:rsidP="00FB66BA">
      <w:pPr>
        <w:pStyle w:val="ListParagraph"/>
        <w:numPr>
          <w:ilvl w:val="0"/>
          <w:numId w:val="64"/>
        </w:numPr>
        <w:ind w:left="360"/>
      </w:pPr>
      <w:r w:rsidRPr="007A3223">
        <w:t>For patients with CRC</w:t>
      </w:r>
      <w:r w:rsidR="003B1128" w:rsidRPr="007A3223">
        <w:t xml:space="preserve"> (cohort 6)</w:t>
      </w:r>
      <w:r w:rsidR="00FF5432" w:rsidRPr="007A3223">
        <w:t>,</w:t>
      </w:r>
    </w:p>
    <w:p w14:paraId="6E418163" w14:textId="5AC268F1" w:rsidR="002D5B7A" w:rsidRPr="007A3223" w:rsidRDefault="00FF5432" w:rsidP="00E25C0A">
      <w:pPr>
        <w:pStyle w:val="ListParagraph"/>
        <w:ind w:left="360"/>
      </w:pPr>
      <w:r w:rsidRPr="007A3223">
        <w:t>A single cohort of 1</w:t>
      </w:r>
      <w:r w:rsidR="005474E4" w:rsidRPr="007A3223">
        <w:t>3</w:t>
      </w:r>
      <w:r w:rsidRPr="007A3223">
        <w:t xml:space="preserve"> patients will be enrolled </w:t>
      </w:r>
      <w:r w:rsidR="002D5B7A" w:rsidRPr="007A3223">
        <w:t xml:space="preserve">to </w:t>
      </w:r>
      <w:r w:rsidR="004D6977" w:rsidRPr="007A3223">
        <w:t>C+</w:t>
      </w:r>
      <w:r w:rsidR="00966D61">
        <w:rPr>
          <w:lang w:val="en-US"/>
        </w:rPr>
        <w:t>Durvalumab</w:t>
      </w:r>
      <w:r w:rsidR="002D5B7A" w:rsidRPr="007A3223">
        <w:t xml:space="preserve"> only. As a pilot biomarker study, CRC patients will start cediranib alone for 14 days (cycle 1 days </w:t>
      </w:r>
      <w:r w:rsidR="00485A3C" w:rsidRPr="007A3223">
        <w:t xml:space="preserve">– (minus) </w:t>
      </w:r>
      <w:r w:rsidR="002D5B7A" w:rsidRPr="007A3223">
        <w:t>1</w:t>
      </w:r>
      <w:r w:rsidR="00C13481" w:rsidRPr="007A3223">
        <w:t>4</w:t>
      </w:r>
      <w:r w:rsidR="002D5B7A" w:rsidRPr="007A3223">
        <w:t xml:space="preserve"> to </w:t>
      </w:r>
      <w:r w:rsidR="00485A3C" w:rsidRPr="007A3223">
        <w:t>-1</w:t>
      </w:r>
      <w:r w:rsidR="002D5B7A" w:rsidRPr="007A3223">
        <w:t xml:space="preserve">) and will begin </w:t>
      </w:r>
      <w:r w:rsidR="00966D61">
        <w:rPr>
          <w:lang w:val="en-US"/>
        </w:rPr>
        <w:t>Durvalumab</w:t>
      </w:r>
      <w:r w:rsidR="002D5B7A" w:rsidRPr="007A3223">
        <w:t xml:space="preserve"> in combinaition with cediranib on cycle 1 day 1. </w:t>
      </w:r>
    </w:p>
    <w:p w14:paraId="620DAE98" w14:textId="77777777" w:rsidR="002D5B7A" w:rsidRPr="007A3223" w:rsidRDefault="002D5B7A" w:rsidP="002D5B7A">
      <w:pPr>
        <w:spacing w:after="0"/>
        <w:rPr>
          <w:szCs w:val="24"/>
        </w:rPr>
      </w:pPr>
    </w:p>
    <w:p w14:paraId="41EFF255" w14:textId="77777777" w:rsidR="0071778D" w:rsidRPr="007A3223" w:rsidRDefault="0071778D" w:rsidP="00ED703B">
      <w:pPr>
        <w:pStyle w:val="Heading2"/>
        <w:rPr>
          <w:lang w:eastAsia="ko-KR"/>
        </w:rPr>
      </w:pPr>
      <w:bookmarkStart w:id="165" w:name="_Toc434242205"/>
      <w:bookmarkStart w:id="166" w:name="_Toc82444356"/>
      <w:bookmarkEnd w:id="165"/>
      <w:r w:rsidRPr="007A3223">
        <w:t>Drug Administration</w:t>
      </w:r>
      <w:bookmarkEnd w:id="161"/>
      <w:bookmarkEnd w:id="162"/>
      <w:bookmarkEnd w:id="163"/>
      <w:bookmarkEnd w:id="164"/>
      <w:bookmarkEnd w:id="166"/>
    </w:p>
    <w:p w14:paraId="2D307D0C" w14:textId="76C0C26A" w:rsidR="00B704CF" w:rsidRPr="007A3223" w:rsidRDefault="00966D61" w:rsidP="000C1D10">
      <w:pPr>
        <w:pStyle w:val="Heading3"/>
      </w:pPr>
      <w:bookmarkStart w:id="167" w:name="_Ref399156616"/>
      <w:r>
        <w:t>Durvalumab</w:t>
      </w:r>
      <w:r w:rsidR="003456E4" w:rsidRPr="007A3223">
        <w:t xml:space="preserve"> (</w:t>
      </w:r>
      <w:r w:rsidR="00762828" w:rsidRPr="007A3223">
        <w:t xml:space="preserve">All </w:t>
      </w:r>
      <w:r w:rsidR="003456E4" w:rsidRPr="007A3223">
        <w:t>Arms)</w:t>
      </w:r>
      <w:bookmarkEnd w:id="167"/>
    </w:p>
    <w:p w14:paraId="383A0ADA" w14:textId="2C223D87" w:rsidR="000D1B26" w:rsidRPr="007A3223" w:rsidRDefault="006B0FAC" w:rsidP="00AC270B">
      <w:pPr>
        <w:ind w:firstLine="360"/>
        <w:rPr>
          <w:szCs w:val="24"/>
        </w:rPr>
      </w:pPr>
      <w:r w:rsidRPr="007A3223">
        <w:rPr>
          <w:szCs w:val="24"/>
          <w:lang w:eastAsia="ko-KR"/>
        </w:rPr>
        <w:t xml:space="preserve">See </w:t>
      </w:r>
      <w:r w:rsidR="000D1B26" w:rsidRPr="007A3223">
        <w:rPr>
          <w:szCs w:val="24"/>
        </w:rPr>
        <w:t xml:space="preserve">section </w:t>
      </w:r>
      <w:r w:rsidR="00307B04" w:rsidRPr="00F33908">
        <w:fldChar w:fldCharType="begin"/>
      </w:r>
      <w:r w:rsidR="00307B04" w:rsidRPr="007A3223">
        <w:instrText xml:space="preserve"> REF _Ref405286342 \r \h  \* MERGEFORMAT </w:instrText>
      </w:r>
      <w:r w:rsidR="00307B04" w:rsidRPr="00F33908">
        <w:fldChar w:fldCharType="separate"/>
      </w:r>
      <w:r w:rsidR="00E47ACA" w:rsidRPr="00E47ACA">
        <w:rPr>
          <w:b/>
          <w:color w:val="0000FF"/>
          <w:szCs w:val="24"/>
        </w:rPr>
        <w:t>14.1.3</w:t>
      </w:r>
      <w:r w:rsidR="00307B04" w:rsidRPr="00F33908">
        <w:fldChar w:fldCharType="end"/>
      </w:r>
      <w:r w:rsidR="00772708" w:rsidRPr="007A3223">
        <w:rPr>
          <w:b/>
          <w:color w:val="0000FF"/>
          <w:szCs w:val="24"/>
        </w:rPr>
        <w:t xml:space="preserve"> </w:t>
      </w:r>
      <w:r w:rsidR="000D1B26" w:rsidRPr="00F33908">
        <w:t>for</w:t>
      </w:r>
      <w:r w:rsidR="000D1B26" w:rsidRPr="007A3223">
        <w:rPr>
          <w:szCs w:val="24"/>
        </w:rPr>
        <w:t xml:space="preserve"> preparation instructions.</w:t>
      </w:r>
    </w:p>
    <w:p w14:paraId="25BF30B4" w14:textId="75AACE3D" w:rsidR="00796FC4" w:rsidRPr="007A3223" w:rsidRDefault="00450C14" w:rsidP="00AC270B">
      <w:r w:rsidRPr="007A3223">
        <w:t xml:space="preserve">     </w:t>
      </w:r>
      <w:r w:rsidR="00A324DE">
        <w:t>Durvalumab</w:t>
      </w:r>
      <w:r w:rsidR="006C6150" w:rsidRPr="007A3223">
        <w:t xml:space="preserve"> will be administered</w:t>
      </w:r>
      <w:r w:rsidR="00AE6E8A" w:rsidRPr="007A3223">
        <w:t xml:space="preserve"> </w:t>
      </w:r>
      <w:r w:rsidR="00B14F7D" w:rsidRPr="007A3223">
        <w:t xml:space="preserve">once every 28 days for </w:t>
      </w:r>
      <w:r w:rsidR="00433623" w:rsidRPr="007A3223">
        <w:t>a fixed dose schedule</w:t>
      </w:r>
      <w:r w:rsidR="00B14F7D" w:rsidRPr="007A3223">
        <w:t xml:space="preserve"> or </w:t>
      </w:r>
      <w:r w:rsidR="006C6150" w:rsidRPr="007A3223">
        <w:t xml:space="preserve">once every 14 days </w:t>
      </w:r>
      <w:r w:rsidR="00672ABE" w:rsidRPr="007A3223">
        <w:t xml:space="preserve">for </w:t>
      </w:r>
      <w:r w:rsidR="00B14F7D" w:rsidRPr="007A3223">
        <w:t xml:space="preserve">other dose levels except </w:t>
      </w:r>
      <w:r w:rsidR="00433623" w:rsidRPr="007A3223">
        <w:t>a fixed dose schedule</w:t>
      </w:r>
      <w:r w:rsidR="00B14F7D" w:rsidRPr="007A3223">
        <w:t xml:space="preserve"> </w:t>
      </w:r>
      <w:r w:rsidR="006C6150" w:rsidRPr="007A3223">
        <w:t>in each 28</w:t>
      </w:r>
      <w:r w:rsidR="002D6642" w:rsidRPr="007A3223">
        <w:t>-</w:t>
      </w:r>
      <w:r w:rsidR="006C6150" w:rsidRPr="007A3223">
        <w:t>day cycle</w:t>
      </w:r>
      <w:r w:rsidR="00DF3598" w:rsidRPr="007A3223">
        <w:t xml:space="preserve"> until </w:t>
      </w:r>
      <w:r w:rsidR="006C6150" w:rsidRPr="007A3223">
        <w:t xml:space="preserve">disease progression, patient withdrawal or toxicities. </w:t>
      </w:r>
      <w:r w:rsidR="00A324DE">
        <w:t>Durvalumab</w:t>
      </w:r>
      <w:r w:rsidR="00E06725" w:rsidRPr="007A3223">
        <w:t xml:space="preserve"> is administered intravenously</w:t>
      </w:r>
      <w:r w:rsidR="00627408" w:rsidRPr="007A3223">
        <w:t xml:space="preserve">, through </w:t>
      </w:r>
      <w:r w:rsidR="00627408" w:rsidRPr="007A3223">
        <w:lastRenderedPageBreak/>
        <w:t>an intravenous line containing a sterile, low-protein binding 0.2 or 0.22-micrometer in-line filter,</w:t>
      </w:r>
      <w:r w:rsidR="00E06725" w:rsidRPr="007A3223">
        <w:t xml:space="preserve"> at the assigned dose over approximately 60 </w:t>
      </w:r>
      <w:r w:rsidRPr="007A3223">
        <w:t xml:space="preserve">+/- </w:t>
      </w:r>
      <w:r w:rsidR="000F1134" w:rsidRPr="007A3223">
        <w:t>5</w:t>
      </w:r>
      <w:r w:rsidRPr="007A3223">
        <w:t xml:space="preserve"> </w:t>
      </w:r>
      <w:r w:rsidR="00E06725" w:rsidRPr="007A3223">
        <w:t xml:space="preserve">minutes. </w:t>
      </w:r>
      <w:r w:rsidR="00EC3EE7" w:rsidRPr="007A3223">
        <w:rPr>
          <w:u w:val="single"/>
        </w:rPr>
        <w:t>An</w:t>
      </w:r>
      <w:r w:rsidR="00EC3EE7" w:rsidRPr="007A3223">
        <w:t xml:space="preserve"> </w:t>
      </w:r>
      <w:r w:rsidR="00EC3EE7" w:rsidRPr="007A3223">
        <w:rPr>
          <w:u w:val="single"/>
        </w:rPr>
        <w:t>infusion time of less than 55 minutes is a deviation.</w:t>
      </w:r>
      <w:r w:rsidR="00EC3EE7" w:rsidRPr="007A3223">
        <w:t xml:space="preserve">  </w:t>
      </w:r>
      <w:r w:rsidR="00E04D24" w:rsidRPr="007A3223">
        <w:t>If</w:t>
      </w:r>
      <w:r w:rsidR="00B51623" w:rsidRPr="007A3223">
        <w:t xml:space="preserve"> the infusion is interrupted, the reason for interruption will be documented in the clinical record.  </w:t>
      </w:r>
    </w:p>
    <w:p w14:paraId="32BC2542" w14:textId="34B6E9E1" w:rsidR="000D1B26" w:rsidRPr="007A3223" w:rsidRDefault="00796FC4" w:rsidP="00AC270B">
      <w:pPr>
        <w:ind w:firstLine="360"/>
      </w:pPr>
      <w:r w:rsidRPr="007A3223">
        <w:rPr>
          <w:szCs w:val="24"/>
        </w:rPr>
        <w:t>Administration</w:t>
      </w:r>
      <w:r w:rsidRPr="007A3223">
        <w:t xml:space="preserve"> of </w:t>
      </w:r>
      <w:r w:rsidR="00A324DE">
        <w:t>Durvalumab</w:t>
      </w:r>
      <w:r w:rsidRPr="007A3223">
        <w:t xml:space="preserve"> may be </w:t>
      </w:r>
      <w:r w:rsidR="00722D56" w:rsidRPr="007A3223">
        <w:t xml:space="preserve">given one day </w:t>
      </w:r>
      <w:r w:rsidR="00762828" w:rsidRPr="007A3223">
        <w:t xml:space="preserve">(every 2 weeks schedule) or 4 days (every 4 weeks schedule) </w:t>
      </w:r>
      <w:r w:rsidR="00722D56" w:rsidRPr="007A3223">
        <w:t xml:space="preserve">earlier or </w:t>
      </w:r>
      <w:r w:rsidRPr="007A3223">
        <w:t xml:space="preserve">delayed up to </w:t>
      </w:r>
      <w:r w:rsidR="00DF0FA6" w:rsidRPr="007A3223">
        <w:t>8</w:t>
      </w:r>
      <w:r w:rsidRPr="007A3223">
        <w:t xml:space="preserve"> days due to holidays, inclement weather, conflicts, or similar reasons. The timing of subsequent administrations is then adjusted to maintain</w:t>
      </w:r>
      <w:r w:rsidR="00B653C3" w:rsidRPr="007A3223">
        <w:t xml:space="preserve"> a 28 days-interval for dose level 3 or </w:t>
      </w:r>
      <w:r w:rsidRPr="007A3223">
        <w:t>a 14 days-interval</w:t>
      </w:r>
      <w:r w:rsidR="00B653C3" w:rsidRPr="007A3223">
        <w:t xml:space="preserve"> for other dose levels except dose level 3</w:t>
      </w:r>
      <w:r w:rsidRPr="007A3223">
        <w:t xml:space="preserve">.  </w:t>
      </w:r>
    </w:p>
    <w:p w14:paraId="76EE33D5" w14:textId="20B144B3" w:rsidR="00CF61D1" w:rsidRPr="007A3223" w:rsidRDefault="00CF61D1" w:rsidP="00AC270B">
      <w:pPr>
        <w:ind w:firstLine="360"/>
      </w:pPr>
      <w:bookmarkStart w:id="168" w:name="_Ref399156964"/>
      <w:r w:rsidRPr="007A3223">
        <w:t xml:space="preserve">Since the compatibility of </w:t>
      </w:r>
      <w:r w:rsidR="00A324DE">
        <w:t>Durvalumab</w:t>
      </w:r>
      <w:r w:rsidRPr="007A3223">
        <w:t xml:space="preserve"> with other IV medications and solutions, other than normal saline (0.9% [weight/volume] sodium chloride for injection), is not known, the </w:t>
      </w:r>
      <w:r w:rsidR="00A324DE">
        <w:t>Durvalumab</w:t>
      </w:r>
      <w:r w:rsidRPr="007A3223">
        <w:t xml:space="preserve"> solution should not be infused through an IV line in which other solutions or medications are being administered.</w:t>
      </w:r>
    </w:p>
    <w:p w14:paraId="2B4770EF" w14:textId="4CDFBDC3" w:rsidR="00CF61D1" w:rsidRPr="007A3223" w:rsidRDefault="00CF61D1" w:rsidP="00AC270B">
      <w:pPr>
        <w:ind w:firstLine="360"/>
      </w:pPr>
      <w:r w:rsidRPr="007A3223">
        <w:rPr>
          <w:szCs w:val="24"/>
        </w:rPr>
        <w:t>Patients</w:t>
      </w:r>
      <w:r w:rsidRPr="007A3223">
        <w:t xml:space="preserve"> will be monitored during and after the infusion with assessment of vital signs at the times specified in the Study Calendar (see Section </w:t>
      </w:r>
      <w:r w:rsidR="00307B04" w:rsidRPr="00F33908">
        <w:fldChar w:fldCharType="begin"/>
      </w:r>
      <w:r w:rsidR="00307B04" w:rsidRPr="007A3223">
        <w:instrText xml:space="preserve"> REF _Ref408917671 \r \h  \* MERGEFORMAT </w:instrText>
      </w:r>
      <w:r w:rsidR="00307B04" w:rsidRPr="00F33908">
        <w:fldChar w:fldCharType="separate"/>
      </w:r>
      <w:r w:rsidR="00E47ACA" w:rsidRPr="00E47ACA">
        <w:rPr>
          <w:b/>
          <w:color w:val="0000FF"/>
        </w:rPr>
        <w:t>3.5</w:t>
      </w:r>
      <w:r w:rsidR="00307B04" w:rsidRPr="00F33908">
        <w:fldChar w:fldCharType="end"/>
      </w:r>
      <w:r w:rsidRPr="007A3223">
        <w:t>)</w:t>
      </w:r>
      <w:r w:rsidR="00C320E2" w:rsidRPr="00F33908">
        <w:t>.</w:t>
      </w:r>
      <w:r w:rsidRPr="007A3223">
        <w:t xml:space="preserve"> </w:t>
      </w:r>
    </w:p>
    <w:p w14:paraId="6EC452B8" w14:textId="5FD41246" w:rsidR="00CF61D1" w:rsidRPr="007A3223" w:rsidRDefault="00CF61D1" w:rsidP="00AC270B">
      <w:pPr>
        <w:ind w:firstLine="360"/>
      </w:pPr>
      <w:r w:rsidRPr="007A3223">
        <w:t xml:space="preserve">In the event of a </w:t>
      </w:r>
      <w:r w:rsidRPr="007A3223">
        <w:rPr>
          <w:rFonts w:hint="eastAsia"/>
        </w:rPr>
        <w:t>≤</w:t>
      </w:r>
      <w:r w:rsidR="006B0FAC" w:rsidRPr="007A3223">
        <w:t xml:space="preserve"> </w:t>
      </w:r>
      <w:r w:rsidR="00AE6E8A" w:rsidRPr="007A3223">
        <w:t>g</w:t>
      </w:r>
      <w:r w:rsidRPr="007A3223">
        <w:t xml:space="preserve">rade 2 infusion-related reaction, the infusion rate of study drug may be decreased by 50% or interrupted until resolution of the event (up to 4 hours) and re-initiated at 50% of the initial rate until completion of the infusion.  For subjects with a </w:t>
      </w:r>
      <w:r w:rsidRPr="007A3223">
        <w:rPr>
          <w:rFonts w:hint="eastAsia"/>
        </w:rPr>
        <w:t>≤</w:t>
      </w:r>
      <w:r w:rsidR="00AE6E8A" w:rsidRPr="007A3223">
        <w:t xml:space="preserve"> g</w:t>
      </w:r>
      <w:r w:rsidRPr="007A3223">
        <w:t>rade 2 infusion related reaction, subsequent infusions may be administered at 50% of the initial rate.  Acetaminophen and/or an antihistamine (e.g., diphenhydramine) or equivalent medications may be administered at the discretion of the investigator</w:t>
      </w:r>
      <w:r w:rsidR="006B0FAC" w:rsidRPr="007A3223">
        <w:t xml:space="preserve"> (see</w:t>
      </w:r>
      <w:r w:rsidR="006E148A" w:rsidRPr="007A3223">
        <w:t xml:space="preserve"> </w:t>
      </w:r>
      <w:r w:rsidR="00307B04" w:rsidRPr="00F33908">
        <w:fldChar w:fldCharType="begin"/>
      </w:r>
      <w:r w:rsidR="00307B04" w:rsidRPr="007A3223">
        <w:instrText xml:space="preserve"> REF _Ref408917140 \h  \* MERGEFORMAT </w:instrText>
      </w:r>
      <w:r w:rsidR="00307B04" w:rsidRPr="00F33908">
        <w:fldChar w:fldCharType="separate"/>
      </w:r>
      <w:r w:rsidR="00E47ACA" w:rsidRPr="00E47ACA">
        <w:rPr>
          <w:b/>
          <w:color w:val="0000FF"/>
        </w:rPr>
        <w:t>Table 16</w:t>
      </w:r>
      <w:r w:rsidR="00307B04" w:rsidRPr="00F33908">
        <w:fldChar w:fldCharType="end"/>
      </w:r>
      <w:r w:rsidR="006B0FAC" w:rsidRPr="007A3223">
        <w:t>)</w:t>
      </w:r>
      <w:r w:rsidRPr="00F33908">
        <w:rPr>
          <w:rFonts w:hint="eastAsia"/>
        </w:rPr>
        <w:t xml:space="preserve">. </w:t>
      </w:r>
    </w:p>
    <w:p w14:paraId="7CA64B23" w14:textId="77777777" w:rsidR="00BB4809" w:rsidRPr="007A3223" w:rsidRDefault="00BB4809" w:rsidP="00305794">
      <w:pPr>
        <w:spacing w:after="0"/>
      </w:pPr>
    </w:p>
    <w:p w14:paraId="129D65F1" w14:textId="2193610E" w:rsidR="00E06725" w:rsidRPr="007A3223" w:rsidRDefault="00E06725" w:rsidP="000C1D10">
      <w:pPr>
        <w:pStyle w:val="Heading3"/>
      </w:pPr>
      <w:bookmarkStart w:id="169" w:name="_Ref405286570"/>
      <w:r w:rsidRPr="007A3223">
        <w:t>Ola</w:t>
      </w:r>
      <w:r w:rsidR="00700D08" w:rsidRPr="007A3223">
        <w:t>p</w:t>
      </w:r>
      <w:r w:rsidRPr="007A3223">
        <w:t>a</w:t>
      </w:r>
      <w:r w:rsidR="00700D08" w:rsidRPr="007A3223">
        <w:t>r</w:t>
      </w:r>
      <w:r w:rsidRPr="007A3223">
        <w:t>ib</w:t>
      </w:r>
      <w:r w:rsidR="001C5D86" w:rsidRPr="007A3223">
        <w:t xml:space="preserve"> (</w:t>
      </w:r>
      <w:r w:rsidR="00A324DE">
        <w:t>Durvalumab</w:t>
      </w:r>
      <w:r w:rsidR="00E65C0E" w:rsidRPr="007A3223">
        <w:t>+</w:t>
      </w:r>
      <w:r w:rsidR="001C5D86" w:rsidRPr="007A3223">
        <w:t xml:space="preserve">O </w:t>
      </w:r>
      <w:r w:rsidR="00762828" w:rsidRPr="007A3223">
        <w:t xml:space="preserve">and </w:t>
      </w:r>
      <w:r w:rsidR="00A324DE">
        <w:t>Durvalumab</w:t>
      </w:r>
      <w:r w:rsidR="00762828" w:rsidRPr="007A3223">
        <w:t xml:space="preserve">+O+C </w:t>
      </w:r>
      <w:r w:rsidR="001C5D86" w:rsidRPr="007A3223">
        <w:t>Arm</w:t>
      </w:r>
      <w:r w:rsidR="00762828" w:rsidRPr="007A3223">
        <w:t>s</w:t>
      </w:r>
      <w:r w:rsidR="001C5D86" w:rsidRPr="007A3223">
        <w:t xml:space="preserve"> only)</w:t>
      </w:r>
      <w:bookmarkEnd w:id="168"/>
      <w:bookmarkEnd w:id="169"/>
    </w:p>
    <w:p w14:paraId="3B5C9B81" w14:textId="33D77ED3" w:rsidR="00723B25" w:rsidRPr="007A3223" w:rsidRDefault="00723B25" w:rsidP="00AC270B">
      <w:pPr>
        <w:ind w:firstLine="360"/>
        <w:rPr>
          <w:szCs w:val="24"/>
        </w:rPr>
      </w:pPr>
      <w:r w:rsidRPr="007A3223">
        <w:rPr>
          <w:szCs w:val="24"/>
        </w:rPr>
        <w:t>Olaparib at the appropriate dose level will be given orally continuously twice daily</w:t>
      </w:r>
      <w:r w:rsidR="008D23C5" w:rsidRPr="007A3223">
        <w:rPr>
          <w:szCs w:val="24"/>
        </w:rPr>
        <w:t>. O</w:t>
      </w:r>
      <w:r w:rsidR="006E5D27" w:rsidRPr="007A3223">
        <w:rPr>
          <w:bCs/>
          <w:szCs w:val="24"/>
        </w:rPr>
        <w:t>laparib tablet maintenance 300</w:t>
      </w:r>
      <w:r w:rsidR="002F7B4E" w:rsidRPr="007A3223">
        <w:rPr>
          <w:bCs/>
          <w:szCs w:val="24"/>
        </w:rPr>
        <w:t xml:space="preserve"> </w:t>
      </w:r>
      <w:r w:rsidR="006E5D27" w:rsidRPr="007A3223">
        <w:rPr>
          <w:bCs/>
          <w:szCs w:val="24"/>
        </w:rPr>
        <w:t>mg twice daily will be administered</w:t>
      </w:r>
      <w:r w:rsidR="00DF3598" w:rsidRPr="007A3223">
        <w:rPr>
          <w:bCs/>
          <w:szCs w:val="24"/>
        </w:rPr>
        <w:t xml:space="preserve">, </w:t>
      </w:r>
      <w:r w:rsidR="00E04B99" w:rsidRPr="007A3223">
        <w:rPr>
          <w:bCs/>
          <w:szCs w:val="24"/>
        </w:rPr>
        <w:t>even</w:t>
      </w:r>
      <w:r w:rsidR="00DF3598" w:rsidRPr="007A3223">
        <w:rPr>
          <w:bCs/>
          <w:szCs w:val="24"/>
        </w:rPr>
        <w:t xml:space="preserve"> if</w:t>
      </w:r>
      <w:r w:rsidR="006E5D27" w:rsidRPr="007A3223">
        <w:rPr>
          <w:bCs/>
          <w:szCs w:val="24"/>
        </w:rPr>
        <w:t xml:space="preserve"> </w:t>
      </w:r>
      <w:r w:rsidR="008352AC" w:rsidRPr="007A3223">
        <w:rPr>
          <w:bCs/>
          <w:szCs w:val="24"/>
        </w:rPr>
        <w:t xml:space="preserve">the patient </w:t>
      </w:r>
      <w:r w:rsidR="006E5D27" w:rsidRPr="007A3223">
        <w:rPr>
          <w:bCs/>
          <w:szCs w:val="24"/>
        </w:rPr>
        <w:t>discontin</w:t>
      </w:r>
      <w:r w:rsidR="008352AC" w:rsidRPr="007A3223">
        <w:rPr>
          <w:bCs/>
          <w:szCs w:val="24"/>
        </w:rPr>
        <w:t>ues</w:t>
      </w:r>
      <w:r w:rsidR="006E5D27" w:rsidRPr="007A3223">
        <w:rPr>
          <w:bCs/>
          <w:szCs w:val="24"/>
        </w:rPr>
        <w:t xml:space="preserve"> </w:t>
      </w:r>
      <w:r w:rsidR="00A324DE">
        <w:rPr>
          <w:bCs/>
          <w:szCs w:val="24"/>
        </w:rPr>
        <w:t>Durvalumab</w:t>
      </w:r>
      <w:r w:rsidR="006E5D27" w:rsidRPr="007A3223">
        <w:rPr>
          <w:bCs/>
          <w:szCs w:val="24"/>
        </w:rPr>
        <w:t xml:space="preserve"> </w:t>
      </w:r>
      <w:r w:rsidR="008352AC" w:rsidRPr="007A3223">
        <w:rPr>
          <w:bCs/>
          <w:szCs w:val="24"/>
        </w:rPr>
        <w:t xml:space="preserve">due to </w:t>
      </w:r>
      <w:r w:rsidR="00A324DE">
        <w:rPr>
          <w:bCs/>
          <w:szCs w:val="24"/>
        </w:rPr>
        <w:t>Durvalumab</w:t>
      </w:r>
      <w:r w:rsidR="008352AC" w:rsidRPr="007A3223">
        <w:rPr>
          <w:bCs/>
          <w:szCs w:val="24"/>
        </w:rPr>
        <w:t>-related toxicities</w:t>
      </w:r>
      <w:r w:rsidR="00E04B99" w:rsidRPr="007A3223">
        <w:rPr>
          <w:bCs/>
          <w:szCs w:val="24"/>
        </w:rPr>
        <w:t>; olaparib will be given</w:t>
      </w:r>
      <w:r w:rsidR="008352AC" w:rsidRPr="007A3223">
        <w:rPr>
          <w:bCs/>
          <w:szCs w:val="24"/>
        </w:rPr>
        <w:t xml:space="preserve"> </w:t>
      </w:r>
      <w:r w:rsidR="00DF3598" w:rsidRPr="007A3223">
        <w:rPr>
          <w:bCs/>
          <w:szCs w:val="24"/>
        </w:rPr>
        <w:t>until disease progression, patient withdrawal or toxicities</w:t>
      </w:r>
      <w:r w:rsidR="006E5D27" w:rsidRPr="007A3223">
        <w:rPr>
          <w:bCs/>
          <w:szCs w:val="24"/>
        </w:rPr>
        <w:t>.</w:t>
      </w:r>
      <w:r w:rsidR="006E5D27" w:rsidRPr="007A3223">
        <w:rPr>
          <w:szCs w:val="24"/>
        </w:rPr>
        <w:t xml:space="preserve"> </w:t>
      </w:r>
      <w:r w:rsidRPr="007A3223">
        <w:rPr>
          <w:szCs w:val="24"/>
        </w:rPr>
        <w:t xml:space="preserve">The correct number of </w:t>
      </w:r>
      <w:r w:rsidR="00383D44" w:rsidRPr="007A3223">
        <w:rPr>
          <w:szCs w:val="24"/>
        </w:rPr>
        <w:t xml:space="preserve">tablets </w:t>
      </w:r>
      <w:r w:rsidRPr="007A3223">
        <w:rPr>
          <w:szCs w:val="24"/>
        </w:rPr>
        <w:t xml:space="preserve">comprising the appropriate dose should be taken at the same times each day with approximately 240 mL of water. Patients </w:t>
      </w:r>
      <w:r w:rsidR="006B38C7" w:rsidRPr="007A3223">
        <w:rPr>
          <w:szCs w:val="24"/>
        </w:rPr>
        <w:t>may</w:t>
      </w:r>
      <w:r w:rsidRPr="007A3223">
        <w:rPr>
          <w:szCs w:val="24"/>
        </w:rPr>
        <w:t xml:space="preserve"> take olaparib </w:t>
      </w:r>
      <w:r w:rsidR="00450C14" w:rsidRPr="007A3223">
        <w:rPr>
          <w:szCs w:val="24"/>
        </w:rPr>
        <w:t xml:space="preserve">tablet with </w:t>
      </w:r>
      <w:r w:rsidR="00B83744" w:rsidRPr="007A3223">
        <w:rPr>
          <w:szCs w:val="24"/>
        </w:rPr>
        <w:t xml:space="preserve">a </w:t>
      </w:r>
      <w:r w:rsidR="00450C14" w:rsidRPr="007A3223">
        <w:rPr>
          <w:szCs w:val="24"/>
        </w:rPr>
        <w:t xml:space="preserve">snack or light </w:t>
      </w:r>
      <w:r w:rsidR="00CA0455" w:rsidRPr="007A3223">
        <w:rPr>
          <w:szCs w:val="24"/>
        </w:rPr>
        <w:t xml:space="preserve">meals and </w:t>
      </w:r>
      <w:r w:rsidR="00B51623" w:rsidRPr="007A3223">
        <w:rPr>
          <w:szCs w:val="24"/>
        </w:rPr>
        <w:t xml:space="preserve">should avoid eating grapefruit or Seville oranges (including juice of these fruits), while on study, due to </w:t>
      </w:r>
      <w:r w:rsidR="00CF61D1" w:rsidRPr="007A3223">
        <w:rPr>
          <w:szCs w:val="24"/>
        </w:rPr>
        <w:t xml:space="preserve">cytochrome </w:t>
      </w:r>
      <w:r w:rsidR="00B51623" w:rsidRPr="007A3223">
        <w:rPr>
          <w:szCs w:val="24"/>
        </w:rPr>
        <w:t xml:space="preserve">P450 interactions. </w:t>
      </w:r>
      <w:r w:rsidR="00383D44" w:rsidRPr="007A3223">
        <w:rPr>
          <w:szCs w:val="24"/>
        </w:rPr>
        <w:t>The olaparib tablets</w:t>
      </w:r>
      <w:r w:rsidR="00B87DF6" w:rsidRPr="007A3223">
        <w:rPr>
          <w:szCs w:val="24"/>
        </w:rPr>
        <w:t xml:space="preserve"> </w:t>
      </w:r>
      <w:r w:rsidRPr="007A3223">
        <w:rPr>
          <w:szCs w:val="24"/>
        </w:rPr>
        <w:t xml:space="preserve">should be swallowed whole and not chewed, crushed, dissolved, or divided. </w:t>
      </w:r>
    </w:p>
    <w:p w14:paraId="6AC66C3E" w14:textId="68E7D1E5" w:rsidR="003456E4" w:rsidRPr="00EB0A36" w:rsidRDefault="00723B25" w:rsidP="00EB0A36">
      <w:pPr>
        <w:ind w:firstLine="360"/>
        <w:rPr>
          <w:szCs w:val="24"/>
        </w:rPr>
      </w:pPr>
      <w:r w:rsidRPr="007A3223">
        <w:rPr>
          <w:szCs w:val="24"/>
        </w:rPr>
        <w:t>Olaparib will be dispensed at the start of each cycle. Patients will be provided with a pill diary (</w:t>
      </w:r>
      <w:r w:rsidR="00307B04" w:rsidRPr="00F33908">
        <w:fldChar w:fldCharType="begin"/>
      </w:r>
      <w:r w:rsidR="00307B04" w:rsidRPr="007A3223">
        <w:instrText xml:space="preserve"> REF _Ref408917355 \h  \* MERGEFORMAT </w:instrText>
      </w:r>
      <w:r w:rsidR="00307B04" w:rsidRPr="00F33908">
        <w:fldChar w:fldCharType="separate"/>
      </w:r>
      <w:r w:rsidR="00E47ACA" w:rsidRPr="00E47ACA">
        <w:rPr>
          <w:b/>
          <w:color w:val="0000FF"/>
        </w:rPr>
        <w:t>Appendix C</w:t>
      </w:r>
      <w:r w:rsidR="00307B04" w:rsidRPr="00F33908">
        <w:fldChar w:fldCharType="end"/>
      </w:r>
      <w:r w:rsidRPr="007A3223">
        <w:rPr>
          <w:szCs w:val="24"/>
        </w:rPr>
        <w:t>)</w:t>
      </w:r>
      <w:r w:rsidRPr="00F33908">
        <w:rPr>
          <w:szCs w:val="24"/>
        </w:rPr>
        <w:t>, instructed in its use, and asked to bring it with them to each appointment.</w:t>
      </w:r>
      <w:r w:rsidR="007E75A4">
        <w:rPr>
          <w:szCs w:val="24"/>
        </w:rPr>
        <w:t xml:space="preserve">  </w:t>
      </w:r>
      <w:r w:rsidR="00EB0A36" w:rsidRPr="00EB0A36">
        <w:rPr>
          <w:szCs w:val="24"/>
        </w:rPr>
        <w:t>This will be used as a memory aide for subjects. A clinical research team maintains the primary</w:t>
      </w:r>
      <w:r w:rsidR="00EB0A36">
        <w:rPr>
          <w:szCs w:val="24"/>
        </w:rPr>
        <w:t xml:space="preserve"> </w:t>
      </w:r>
      <w:r w:rsidR="00EB0A36" w:rsidRPr="00EB0A36">
        <w:rPr>
          <w:szCs w:val="24"/>
        </w:rPr>
        <w:t>source record</w:t>
      </w:r>
      <w:r w:rsidR="007A6D5F">
        <w:rPr>
          <w:szCs w:val="24"/>
        </w:rPr>
        <w:t xml:space="preserve"> in CRIS</w:t>
      </w:r>
      <w:r w:rsidR="00EB0A36">
        <w:rPr>
          <w:szCs w:val="24"/>
        </w:rPr>
        <w:t>.</w:t>
      </w:r>
    </w:p>
    <w:p w14:paraId="59337232" w14:textId="2279D80E" w:rsidR="00C05039" w:rsidRPr="007A3223" w:rsidRDefault="00723B25" w:rsidP="00AC270B">
      <w:pPr>
        <w:ind w:firstLine="360"/>
        <w:rPr>
          <w:szCs w:val="24"/>
        </w:rPr>
      </w:pPr>
      <w:r w:rsidRPr="007A3223">
        <w:rPr>
          <w:szCs w:val="24"/>
        </w:rPr>
        <w:t xml:space="preserve">If vomiting occurs shortly after olaparib </w:t>
      </w:r>
      <w:r w:rsidR="008468D7" w:rsidRPr="007A3223">
        <w:rPr>
          <w:szCs w:val="24"/>
        </w:rPr>
        <w:t>is</w:t>
      </w:r>
      <w:r w:rsidRPr="007A3223">
        <w:rPr>
          <w:szCs w:val="24"/>
        </w:rPr>
        <w:t xml:space="preserve"> swallowed, the dose should only be replaced if all of the intact </w:t>
      </w:r>
      <w:r w:rsidR="008468D7" w:rsidRPr="007A3223">
        <w:rPr>
          <w:szCs w:val="24"/>
        </w:rPr>
        <w:t xml:space="preserve">product </w:t>
      </w:r>
      <w:r w:rsidRPr="007A3223">
        <w:rPr>
          <w:szCs w:val="24"/>
        </w:rPr>
        <w:t xml:space="preserve">can be seen and counted. Should any patient enrolled on the study miss a scheduled dose, the patient will be allowed to take the scheduled dose up to a maximum of 2 hours </w:t>
      </w:r>
      <w:r w:rsidR="001E1928" w:rsidRPr="007A3223">
        <w:rPr>
          <w:szCs w:val="24"/>
        </w:rPr>
        <w:t>before/</w:t>
      </w:r>
      <w:r w:rsidRPr="007A3223">
        <w:rPr>
          <w:szCs w:val="24"/>
        </w:rPr>
        <w:t xml:space="preserve">after that scheduled dose time. If greater than 2 hours </w:t>
      </w:r>
      <w:r w:rsidR="00611238" w:rsidRPr="007A3223">
        <w:rPr>
          <w:szCs w:val="24"/>
        </w:rPr>
        <w:t>before/</w:t>
      </w:r>
      <w:r w:rsidRPr="007A3223">
        <w:rPr>
          <w:szCs w:val="24"/>
        </w:rPr>
        <w:t xml:space="preserve">after the scheduled </w:t>
      </w:r>
      <w:r w:rsidRPr="007A3223">
        <w:rPr>
          <w:szCs w:val="24"/>
        </w:rPr>
        <w:lastRenderedPageBreak/>
        <w:t>dose time, the missed dose should not be taken, and the patient should take their allotted dose at the next scheduled time.</w:t>
      </w:r>
    </w:p>
    <w:p w14:paraId="25B0C2C1" w14:textId="110A5042" w:rsidR="0015588E" w:rsidRPr="007A3223" w:rsidRDefault="0015588E" w:rsidP="000C1D10">
      <w:pPr>
        <w:pStyle w:val="Heading3"/>
      </w:pPr>
      <w:bookmarkStart w:id="170" w:name="_Ref405286732"/>
      <w:r w:rsidRPr="007A3223">
        <w:t>Cediranib (</w:t>
      </w:r>
      <w:r w:rsidR="00A324DE">
        <w:t>Durvalumab</w:t>
      </w:r>
      <w:r w:rsidR="00E65C0E" w:rsidRPr="007A3223">
        <w:t>+</w:t>
      </w:r>
      <w:r w:rsidRPr="007A3223">
        <w:t>C</w:t>
      </w:r>
      <w:r w:rsidR="00185822" w:rsidRPr="007A3223">
        <w:t>, C+</w:t>
      </w:r>
      <w:r w:rsidR="00A324DE">
        <w:t>Durvalumab</w:t>
      </w:r>
      <w:r w:rsidRPr="007A3223">
        <w:t xml:space="preserve"> </w:t>
      </w:r>
      <w:r w:rsidR="00CF3AFF" w:rsidRPr="007A3223">
        <w:t xml:space="preserve">and </w:t>
      </w:r>
      <w:r w:rsidR="00A324DE">
        <w:t>Durvalumab</w:t>
      </w:r>
      <w:r w:rsidR="00CF3AFF" w:rsidRPr="007A3223">
        <w:t xml:space="preserve">+O+C </w:t>
      </w:r>
      <w:r w:rsidRPr="007A3223">
        <w:t>Arm</w:t>
      </w:r>
      <w:r w:rsidR="00CF3AFF" w:rsidRPr="007A3223">
        <w:t>s</w:t>
      </w:r>
      <w:r w:rsidRPr="007A3223">
        <w:t xml:space="preserve"> only)</w:t>
      </w:r>
      <w:bookmarkEnd w:id="170"/>
    </w:p>
    <w:p w14:paraId="092C30BF" w14:textId="3B50BFD8" w:rsidR="0015588E" w:rsidRPr="007A3223" w:rsidRDefault="0015588E" w:rsidP="00743F44">
      <w:pPr>
        <w:ind w:firstLine="360"/>
      </w:pPr>
      <w:r w:rsidRPr="007A3223">
        <w:rPr>
          <w:szCs w:val="24"/>
        </w:rPr>
        <w:t xml:space="preserve">Patients will take cediranib </w:t>
      </w:r>
      <w:r w:rsidR="00627671" w:rsidRPr="007A3223">
        <w:rPr>
          <w:szCs w:val="24"/>
        </w:rPr>
        <w:t>once daily</w:t>
      </w:r>
      <w:r w:rsidR="00611238" w:rsidRPr="007A3223">
        <w:rPr>
          <w:szCs w:val="24"/>
        </w:rPr>
        <w:t xml:space="preserve"> (+/- 2 hours)</w:t>
      </w:r>
      <w:r w:rsidR="00627671" w:rsidRPr="007A3223">
        <w:rPr>
          <w:szCs w:val="24"/>
        </w:rPr>
        <w:t xml:space="preserve"> for cediranib </w:t>
      </w:r>
      <w:r w:rsidR="00854EE3" w:rsidRPr="007A3223">
        <w:rPr>
          <w:szCs w:val="24"/>
        </w:rPr>
        <w:t>daily</w:t>
      </w:r>
      <w:r w:rsidR="00627671" w:rsidRPr="007A3223">
        <w:rPr>
          <w:szCs w:val="24"/>
        </w:rPr>
        <w:t xml:space="preserve"> schedule of </w:t>
      </w:r>
      <w:r w:rsidR="00A16CBB">
        <w:rPr>
          <w:szCs w:val="24"/>
        </w:rPr>
        <w:t>Durvalumab</w:t>
      </w:r>
      <w:r w:rsidR="00627671" w:rsidRPr="007A3223">
        <w:rPr>
          <w:szCs w:val="24"/>
        </w:rPr>
        <w:t>+C arm or will take cediranib every 24 hours (5 days</w:t>
      </w:r>
      <w:r w:rsidR="00AB2554" w:rsidRPr="007A3223">
        <w:rPr>
          <w:szCs w:val="24"/>
        </w:rPr>
        <w:t xml:space="preserve"> on</w:t>
      </w:r>
      <w:r w:rsidR="00627671" w:rsidRPr="007A3223">
        <w:rPr>
          <w:szCs w:val="24"/>
        </w:rPr>
        <w:t>/2 days off) for</w:t>
      </w:r>
      <w:r w:rsidR="005972F1" w:rsidRPr="007A3223">
        <w:rPr>
          <w:szCs w:val="24"/>
        </w:rPr>
        <w:t xml:space="preserve"> cediranib</w:t>
      </w:r>
      <w:r w:rsidR="00627671" w:rsidRPr="007A3223">
        <w:rPr>
          <w:szCs w:val="24"/>
        </w:rPr>
        <w:t xml:space="preserve"> intermittent schedule of </w:t>
      </w:r>
      <w:r w:rsidR="00A16CBB">
        <w:rPr>
          <w:szCs w:val="24"/>
        </w:rPr>
        <w:t>Durvalumab</w:t>
      </w:r>
      <w:r w:rsidR="00627671" w:rsidRPr="007A3223">
        <w:rPr>
          <w:szCs w:val="24"/>
        </w:rPr>
        <w:t>+C</w:t>
      </w:r>
      <w:r w:rsidR="00185822" w:rsidRPr="007A3223">
        <w:rPr>
          <w:szCs w:val="24"/>
        </w:rPr>
        <w:t>, C+</w:t>
      </w:r>
      <w:r w:rsidR="00A16CBB">
        <w:rPr>
          <w:szCs w:val="24"/>
        </w:rPr>
        <w:t>Durvalumab</w:t>
      </w:r>
      <w:r w:rsidR="00185822" w:rsidRPr="007A3223">
        <w:rPr>
          <w:szCs w:val="24"/>
        </w:rPr>
        <w:t xml:space="preserve"> </w:t>
      </w:r>
      <w:r w:rsidR="00627671" w:rsidRPr="007A3223">
        <w:rPr>
          <w:szCs w:val="24"/>
        </w:rPr>
        <w:t xml:space="preserve">and </w:t>
      </w:r>
      <w:r w:rsidR="00A16CBB">
        <w:rPr>
          <w:szCs w:val="24"/>
        </w:rPr>
        <w:t>Durvalumab</w:t>
      </w:r>
      <w:r w:rsidR="00627671" w:rsidRPr="007A3223">
        <w:rPr>
          <w:szCs w:val="24"/>
        </w:rPr>
        <w:t>+O+C arms</w:t>
      </w:r>
      <w:r w:rsidR="008D23C5" w:rsidRPr="007A3223">
        <w:rPr>
          <w:szCs w:val="24"/>
        </w:rPr>
        <w:t xml:space="preserve">. Patients </w:t>
      </w:r>
      <w:r w:rsidR="006E5D27" w:rsidRPr="007A3223">
        <w:rPr>
          <w:szCs w:val="24"/>
        </w:rPr>
        <w:t>will continue</w:t>
      </w:r>
      <w:r w:rsidR="006E5D27" w:rsidRPr="007A3223">
        <w:rPr>
          <w:bCs/>
          <w:szCs w:val="24"/>
        </w:rPr>
        <w:t xml:space="preserve"> cediranib maintenance with an initially assigned dose</w:t>
      </w:r>
      <w:r w:rsidR="00DF3598" w:rsidRPr="007A3223">
        <w:rPr>
          <w:bCs/>
          <w:szCs w:val="24"/>
        </w:rPr>
        <w:t>,</w:t>
      </w:r>
      <w:r w:rsidR="006E5D27" w:rsidRPr="007A3223">
        <w:rPr>
          <w:bCs/>
          <w:szCs w:val="24"/>
        </w:rPr>
        <w:t xml:space="preserve"> </w:t>
      </w:r>
      <w:r w:rsidR="00D36EE1" w:rsidRPr="007A3223">
        <w:rPr>
          <w:bCs/>
          <w:szCs w:val="24"/>
        </w:rPr>
        <w:t>even</w:t>
      </w:r>
      <w:r w:rsidR="008352AC" w:rsidRPr="007A3223">
        <w:rPr>
          <w:bCs/>
          <w:szCs w:val="24"/>
        </w:rPr>
        <w:t xml:space="preserve"> if the patient discontinues </w:t>
      </w:r>
      <w:r w:rsidR="00A16CBB">
        <w:rPr>
          <w:bCs/>
          <w:szCs w:val="24"/>
        </w:rPr>
        <w:t>Durvalumab</w:t>
      </w:r>
      <w:r w:rsidR="008352AC" w:rsidRPr="007A3223">
        <w:rPr>
          <w:bCs/>
          <w:szCs w:val="24"/>
        </w:rPr>
        <w:t xml:space="preserve"> due to </w:t>
      </w:r>
      <w:r w:rsidR="00A16CBB">
        <w:rPr>
          <w:bCs/>
          <w:szCs w:val="24"/>
        </w:rPr>
        <w:t>Durvalumab</w:t>
      </w:r>
      <w:r w:rsidR="008352AC" w:rsidRPr="007A3223">
        <w:rPr>
          <w:bCs/>
          <w:szCs w:val="24"/>
        </w:rPr>
        <w:t>-related toxicities</w:t>
      </w:r>
      <w:r w:rsidR="00D36EE1" w:rsidRPr="007A3223">
        <w:rPr>
          <w:bCs/>
          <w:szCs w:val="24"/>
        </w:rPr>
        <w:t>; cediranib will be given</w:t>
      </w:r>
      <w:r w:rsidR="008352AC" w:rsidRPr="007A3223">
        <w:rPr>
          <w:bCs/>
          <w:szCs w:val="24"/>
        </w:rPr>
        <w:t xml:space="preserve"> </w:t>
      </w:r>
      <w:r w:rsidR="00DF3598" w:rsidRPr="007A3223">
        <w:rPr>
          <w:bCs/>
          <w:szCs w:val="24"/>
        </w:rPr>
        <w:t>until disease progression, patient withdrawal or toxicities.</w:t>
      </w:r>
      <w:r w:rsidR="00DF3598" w:rsidRPr="007A3223">
        <w:rPr>
          <w:szCs w:val="24"/>
        </w:rPr>
        <w:t xml:space="preserve"> </w:t>
      </w:r>
      <w:r w:rsidRPr="007A3223">
        <w:rPr>
          <w:szCs w:val="24"/>
        </w:rPr>
        <w:t xml:space="preserve"> Cediranib at the appropriate dose level will be given orally each morning on an empty stomach, either 1 hour before or 2 hours after breakfast. </w:t>
      </w:r>
      <w:r w:rsidR="00CA0455" w:rsidRPr="007A3223">
        <w:rPr>
          <w:szCs w:val="24"/>
        </w:rPr>
        <w:t>Patients</w:t>
      </w:r>
      <w:r w:rsidRPr="007A3223">
        <w:rPr>
          <w:szCs w:val="24"/>
        </w:rPr>
        <w:t xml:space="preserve"> should not “make up” a missed dose or a dose that was vomited. </w:t>
      </w:r>
      <w:r w:rsidR="00CA0455" w:rsidRPr="007A3223">
        <w:rPr>
          <w:szCs w:val="24"/>
        </w:rPr>
        <w:t>Patients</w:t>
      </w:r>
      <w:r w:rsidRPr="007A3223">
        <w:rPr>
          <w:szCs w:val="24"/>
        </w:rPr>
        <w:t xml:space="preserve"> should take cediranib with a glass of water. Cediranib will be dispensed at the start of each cycle. Patients will be provided with a pill diary for each drug (</w:t>
      </w:r>
      <w:r w:rsidR="00307B04" w:rsidRPr="00F33908">
        <w:fldChar w:fldCharType="begin"/>
      </w:r>
      <w:r w:rsidR="00307B04" w:rsidRPr="007A3223">
        <w:instrText xml:space="preserve"> REF _Ref408917355 \h  \* MERGEFORMAT </w:instrText>
      </w:r>
      <w:r w:rsidR="00307B04" w:rsidRPr="00F33908">
        <w:fldChar w:fldCharType="separate"/>
      </w:r>
      <w:r w:rsidR="00E47ACA" w:rsidRPr="00E47ACA">
        <w:rPr>
          <w:b/>
          <w:color w:val="0000FF"/>
        </w:rPr>
        <w:t>Appendix C</w:t>
      </w:r>
      <w:r w:rsidR="00307B04" w:rsidRPr="00F33908">
        <w:fldChar w:fldCharType="end"/>
      </w:r>
      <w:r w:rsidRPr="007A3223">
        <w:rPr>
          <w:szCs w:val="24"/>
        </w:rPr>
        <w:t xml:space="preserve">), instructed in its use, and asked to bring it with them </w:t>
      </w:r>
      <w:r w:rsidRPr="00F33908">
        <w:rPr>
          <w:szCs w:val="24"/>
        </w:rPr>
        <w:t xml:space="preserve">to each appointment. </w:t>
      </w:r>
      <w:r w:rsidR="00A072CA" w:rsidRPr="00EB0A36">
        <w:rPr>
          <w:szCs w:val="24"/>
        </w:rPr>
        <w:t>This will be used as a memory aide for subjects. A clinical research team maintains the primary</w:t>
      </w:r>
      <w:r w:rsidR="00A072CA">
        <w:rPr>
          <w:szCs w:val="24"/>
        </w:rPr>
        <w:t xml:space="preserve"> </w:t>
      </w:r>
      <w:r w:rsidR="00A072CA" w:rsidRPr="00EB0A36">
        <w:rPr>
          <w:szCs w:val="24"/>
        </w:rPr>
        <w:t>source record</w:t>
      </w:r>
      <w:r w:rsidR="007A6D5F">
        <w:rPr>
          <w:szCs w:val="24"/>
        </w:rPr>
        <w:t xml:space="preserve"> in CRIS</w:t>
      </w:r>
      <w:r w:rsidR="00A072CA">
        <w:rPr>
          <w:szCs w:val="24"/>
        </w:rPr>
        <w:t>.</w:t>
      </w:r>
    </w:p>
    <w:p w14:paraId="7F56BF90" w14:textId="77777777" w:rsidR="000D1B26" w:rsidRPr="007A3223" w:rsidRDefault="000D1B26" w:rsidP="00772708">
      <w:pPr>
        <w:ind w:firstLine="360"/>
        <w:rPr>
          <w:szCs w:val="24"/>
        </w:rPr>
      </w:pPr>
      <w:r w:rsidRPr="007A3223">
        <w:rPr>
          <w:szCs w:val="24"/>
        </w:rPr>
        <w:t>For patients who later become unable to swallow whole tablets, and who are determined to be benefitting from therapy, tablets may be administered as a dispersion in water; cediranib tablets may be dispersed by dropping the tablet in 50</w:t>
      </w:r>
      <w:r w:rsidR="00143B47" w:rsidRPr="007A3223">
        <w:rPr>
          <w:szCs w:val="24"/>
        </w:rPr>
        <w:t xml:space="preserve"> </w:t>
      </w:r>
      <w:r w:rsidRPr="007A3223">
        <w:rPr>
          <w:szCs w:val="24"/>
        </w:rPr>
        <w:t>mL (approximately half a glass) of non-carbonated drinking water, and stirring for 10 minutes, and immediately swallowing this suspension. Any residues left in the glass are to be mixed with another half a glass of water as described above, and then swallowed immediately</w:t>
      </w:r>
      <w:r w:rsidRPr="007A3223">
        <w:rPr>
          <w:color w:val="0000FF"/>
          <w:szCs w:val="24"/>
        </w:rPr>
        <w:t>.</w:t>
      </w:r>
    </w:p>
    <w:p w14:paraId="3DFFEFA6" w14:textId="60D77C06" w:rsidR="00D53A82" w:rsidRPr="007A3223" w:rsidRDefault="0015588E" w:rsidP="00772708">
      <w:pPr>
        <w:ind w:firstLine="360"/>
        <w:rPr>
          <w:szCs w:val="24"/>
        </w:rPr>
      </w:pPr>
      <w:r w:rsidRPr="007A3223">
        <w:rPr>
          <w:szCs w:val="24"/>
        </w:rPr>
        <w:t xml:space="preserve">Frequent blood pressure monitoring is important in patients receiving cediranib. Patients </w:t>
      </w:r>
      <w:r w:rsidR="00BE7868" w:rsidRPr="007A3223">
        <w:rPr>
          <w:szCs w:val="24"/>
        </w:rPr>
        <w:t>during the combination</w:t>
      </w:r>
      <w:r w:rsidR="00266864" w:rsidRPr="007A3223">
        <w:rPr>
          <w:szCs w:val="24"/>
        </w:rPr>
        <w:t>s</w:t>
      </w:r>
      <w:r w:rsidR="00BE7868" w:rsidRPr="007A3223">
        <w:rPr>
          <w:szCs w:val="24"/>
        </w:rPr>
        <w:t xml:space="preserve"> (</w:t>
      </w:r>
      <w:r w:rsidR="00A16CBB">
        <w:rPr>
          <w:szCs w:val="24"/>
        </w:rPr>
        <w:t>Durvalumab</w:t>
      </w:r>
      <w:r w:rsidR="00266864" w:rsidRPr="007A3223">
        <w:rPr>
          <w:szCs w:val="24"/>
        </w:rPr>
        <w:t>+</w:t>
      </w:r>
      <w:r w:rsidR="00BE7868" w:rsidRPr="007A3223">
        <w:rPr>
          <w:szCs w:val="24"/>
        </w:rPr>
        <w:t>cediranib</w:t>
      </w:r>
      <w:r w:rsidR="00266864" w:rsidRPr="007A3223">
        <w:rPr>
          <w:szCs w:val="24"/>
        </w:rPr>
        <w:t xml:space="preserve"> or </w:t>
      </w:r>
      <w:r w:rsidR="00A16CBB">
        <w:rPr>
          <w:szCs w:val="24"/>
        </w:rPr>
        <w:t>Durvalumab</w:t>
      </w:r>
      <w:r w:rsidR="00266864" w:rsidRPr="007A3223">
        <w:rPr>
          <w:szCs w:val="24"/>
        </w:rPr>
        <w:t>+olaparib+cediranib</w:t>
      </w:r>
      <w:r w:rsidR="00BE7868" w:rsidRPr="007A3223">
        <w:rPr>
          <w:szCs w:val="24"/>
        </w:rPr>
        <w:t xml:space="preserve">) or </w:t>
      </w:r>
      <w:r w:rsidR="00BE7868" w:rsidRPr="007A3223">
        <w:rPr>
          <w:bCs/>
          <w:szCs w:val="24"/>
        </w:rPr>
        <w:t xml:space="preserve">cediranib maintenance </w:t>
      </w:r>
      <w:r w:rsidRPr="007A3223">
        <w:rPr>
          <w:szCs w:val="24"/>
        </w:rPr>
        <w:t>will be asked to record twic</w:t>
      </w:r>
      <w:r w:rsidR="007B16B6" w:rsidRPr="007A3223">
        <w:rPr>
          <w:szCs w:val="24"/>
        </w:rPr>
        <w:t>e-daily blood pressure readings</w:t>
      </w:r>
      <w:r w:rsidR="00143B47" w:rsidRPr="007A3223">
        <w:rPr>
          <w:szCs w:val="24"/>
        </w:rPr>
        <w:t xml:space="preserve"> </w:t>
      </w:r>
      <w:r w:rsidR="00834C1B" w:rsidRPr="007A3223">
        <w:rPr>
          <w:szCs w:val="24"/>
        </w:rPr>
        <w:t xml:space="preserve">and bring </w:t>
      </w:r>
      <w:r w:rsidR="00B56607" w:rsidRPr="007A3223">
        <w:rPr>
          <w:szCs w:val="24"/>
        </w:rPr>
        <w:t xml:space="preserve">a </w:t>
      </w:r>
      <w:r w:rsidR="00834C1B" w:rsidRPr="007A3223">
        <w:rPr>
          <w:szCs w:val="24"/>
        </w:rPr>
        <w:t xml:space="preserve">BP diary at </w:t>
      </w:r>
      <w:r w:rsidR="00305794" w:rsidRPr="007A3223">
        <w:rPr>
          <w:szCs w:val="24"/>
        </w:rPr>
        <w:t>subsequent</w:t>
      </w:r>
      <w:r w:rsidR="00834C1B" w:rsidRPr="007A3223">
        <w:rPr>
          <w:szCs w:val="24"/>
        </w:rPr>
        <w:t xml:space="preserve"> visits </w:t>
      </w:r>
      <w:r w:rsidR="00143B47" w:rsidRPr="007A3223">
        <w:rPr>
          <w:szCs w:val="24"/>
        </w:rPr>
        <w:t>(</w:t>
      </w:r>
      <w:r w:rsidR="002004F2" w:rsidRPr="007A3223">
        <w:rPr>
          <w:szCs w:val="24"/>
        </w:rPr>
        <w:t xml:space="preserve">see </w:t>
      </w:r>
      <w:r w:rsidR="00307B04" w:rsidRPr="00F33908">
        <w:fldChar w:fldCharType="begin"/>
      </w:r>
      <w:r w:rsidR="00307B04" w:rsidRPr="007A3223">
        <w:instrText xml:space="preserve"> REF _Ref405291048 \h  \* MERGEFORMAT </w:instrText>
      </w:r>
      <w:r w:rsidR="00307B04" w:rsidRPr="00F33908">
        <w:fldChar w:fldCharType="separate"/>
      </w:r>
      <w:r w:rsidR="00E47ACA" w:rsidRPr="00E47ACA">
        <w:rPr>
          <w:b/>
          <w:color w:val="0000FF"/>
        </w:rPr>
        <w:t>Appendix D</w:t>
      </w:r>
      <w:r w:rsidR="00307B04" w:rsidRPr="00F33908">
        <w:fldChar w:fldCharType="end"/>
      </w:r>
      <w:r w:rsidR="002004F2" w:rsidRPr="007A3223">
        <w:rPr>
          <w:szCs w:val="24"/>
        </w:rPr>
        <w:t>)</w:t>
      </w:r>
      <w:r w:rsidR="00143B47" w:rsidRPr="00F33908">
        <w:rPr>
          <w:szCs w:val="24"/>
        </w:rPr>
        <w:t>.</w:t>
      </w:r>
      <w:r w:rsidR="002004F2" w:rsidRPr="007A3223">
        <w:rPr>
          <w:szCs w:val="24"/>
        </w:rPr>
        <w:t xml:space="preserve"> </w:t>
      </w:r>
      <w:r w:rsidRPr="007A3223">
        <w:rPr>
          <w:szCs w:val="24"/>
        </w:rPr>
        <w:t>If two successive systolic readings are &gt;</w:t>
      </w:r>
      <w:r w:rsidR="001F2447" w:rsidRPr="007A3223">
        <w:rPr>
          <w:szCs w:val="24"/>
        </w:rPr>
        <w:t xml:space="preserve"> </w:t>
      </w:r>
      <w:r w:rsidRPr="007A3223">
        <w:rPr>
          <w:szCs w:val="24"/>
        </w:rPr>
        <w:t>140 mmHg OR two successive diastolic readings are &gt;</w:t>
      </w:r>
      <w:r w:rsidR="001F2447" w:rsidRPr="007A3223">
        <w:rPr>
          <w:szCs w:val="24"/>
        </w:rPr>
        <w:t xml:space="preserve"> </w:t>
      </w:r>
      <w:r w:rsidRPr="007A3223">
        <w:rPr>
          <w:szCs w:val="24"/>
        </w:rPr>
        <w:t xml:space="preserve">90 mmHg OR any combination of elevated systolic and diastolic blood pressure are observed, patients will be instructed to contact their physician as soon as possible. </w:t>
      </w:r>
    </w:p>
    <w:p w14:paraId="1E99825B" w14:textId="711D0C10" w:rsidR="0015588E" w:rsidRPr="007A3223" w:rsidRDefault="0015588E" w:rsidP="00772708">
      <w:pPr>
        <w:ind w:firstLine="360"/>
        <w:rPr>
          <w:szCs w:val="24"/>
        </w:rPr>
      </w:pPr>
      <w:r w:rsidRPr="007A3223">
        <w:rPr>
          <w:szCs w:val="24"/>
        </w:rPr>
        <w:t>Patients should seek medical advice if their BP exceeds 180 mmHg (systolic) or 105 mmHg (diastolic) at any time and should also be encouraged to contact their physician if they are concerned about any symptoms that may be associated with high blood pressure (</w:t>
      </w:r>
      <w:r w:rsidRPr="007A3223">
        <w:rPr>
          <w:iCs/>
          <w:szCs w:val="24"/>
        </w:rPr>
        <w:t>e.g</w:t>
      </w:r>
      <w:r w:rsidRPr="007A3223">
        <w:rPr>
          <w:i/>
          <w:iCs/>
          <w:szCs w:val="24"/>
        </w:rPr>
        <w:t>.</w:t>
      </w:r>
      <w:r w:rsidRPr="007A3223">
        <w:rPr>
          <w:szCs w:val="24"/>
        </w:rPr>
        <w:t xml:space="preserve">, headache). Section </w:t>
      </w:r>
      <w:r w:rsidR="00307B04" w:rsidRPr="00F33908">
        <w:fldChar w:fldCharType="begin"/>
      </w:r>
      <w:r w:rsidR="00307B04" w:rsidRPr="007A3223">
        <w:instrText xml:space="preserve"> REF _Ref405282281 \r \h  \* MERGEFORMAT </w:instrText>
      </w:r>
      <w:r w:rsidR="00307B04" w:rsidRPr="00F33908">
        <w:fldChar w:fldCharType="separate"/>
      </w:r>
      <w:r w:rsidR="00E47ACA" w:rsidRPr="00E47ACA">
        <w:rPr>
          <w:b/>
          <w:color w:val="0000FF"/>
          <w:szCs w:val="24"/>
        </w:rPr>
        <w:t>3.4</w:t>
      </w:r>
      <w:r w:rsidR="00307B04" w:rsidRPr="00F33908">
        <w:fldChar w:fldCharType="end"/>
      </w:r>
      <w:r w:rsidRPr="007A3223">
        <w:rPr>
          <w:szCs w:val="24"/>
        </w:rPr>
        <w:t xml:space="preserve"> includes specific guidelines on the management and, if appropriate, dose modifications for treatment-emergent hypertension.</w:t>
      </w:r>
      <w:r w:rsidR="00834C1B" w:rsidRPr="00F33908">
        <w:rPr>
          <w:szCs w:val="24"/>
        </w:rPr>
        <w:t xml:space="preserve"> Clinical trials of cediranib demonstrate th</w:t>
      </w:r>
      <w:r w:rsidR="00834C1B" w:rsidRPr="007A3223">
        <w:rPr>
          <w:szCs w:val="24"/>
        </w:rPr>
        <w:t>at increases in blood pressure may occur following dosing with cediranib for a number of weeks and that these increases may occur relatively quickly when starting the drug.</w:t>
      </w:r>
    </w:p>
    <w:p w14:paraId="022AA8BE" w14:textId="77777777" w:rsidR="005E217C" w:rsidRPr="007A3223" w:rsidRDefault="005E217C" w:rsidP="00772708">
      <w:pPr>
        <w:ind w:firstLine="360"/>
        <w:rPr>
          <w:szCs w:val="24"/>
        </w:rPr>
      </w:pPr>
    </w:p>
    <w:p w14:paraId="39981FAB" w14:textId="77777777" w:rsidR="00D624FA" w:rsidRPr="007A3223" w:rsidRDefault="00D624FA" w:rsidP="00ED703B">
      <w:pPr>
        <w:pStyle w:val="Heading2"/>
      </w:pPr>
      <w:bookmarkStart w:id="171" w:name="_Toc82444357"/>
      <w:bookmarkStart w:id="172" w:name="_Hlk43123311"/>
      <w:r w:rsidRPr="007A3223">
        <w:t>Self Administered IND agents</w:t>
      </w:r>
      <w:bookmarkEnd w:id="171"/>
      <w:r w:rsidRPr="007A3223">
        <w:t xml:space="preserve"> </w:t>
      </w:r>
    </w:p>
    <w:bookmarkEnd w:id="172"/>
    <w:p w14:paraId="1C03C821" w14:textId="77777777" w:rsidR="00C0666F" w:rsidRPr="007A3223" w:rsidRDefault="00C0666F" w:rsidP="003C7D8E">
      <w:pPr>
        <w:spacing w:after="0"/>
        <w:ind w:firstLine="360"/>
        <w:rPr>
          <w:szCs w:val="24"/>
        </w:rPr>
      </w:pPr>
      <w:r w:rsidRPr="007A3223">
        <w:rPr>
          <w:szCs w:val="24"/>
        </w:rPr>
        <w:t>The cediranib and olaparib used in this study are self</w:t>
      </w:r>
      <w:r w:rsidR="003C7D8E" w:rsidRPr="007A3223">
        <w:rPr>
          <w:szCs w:val="24"/>
        </w:rPr>
        <w:t>-</w:t>
      </w:r>
      <w:r w:rsidRPr="007A3223">
        <w:rPr>
          <w:szCs w:val="24"/>
        </w:rPr>
        <w:t xml:space="preserve">administered </w:t>
      </w:r>
      <w:r w:rsidR="00D31968" w:rsidRPr="007A3223">
        <w:rPr>
          <w:szCs w:val="24"/>
        </w:rPr>
        <w:t>investigational</w:t>
      </w:r>
      <w:r w:rsidRPr="007A3223">
        <w:rPr>
          <w:szCs w:val="24"/>
        </w:rPr>
        <w:t xml:space="preserve"> agents.</w:t>
      </w:r>
      <w:r w:rsidR="00D31968" w:rsidRPr="007A3223">
        <w:rPr>
          <w:szCs w:val="24"/>
        </w:rPr>
        <w:t xml:space="preserve"> Such agents are dispensed from the pharmacy to a participant or to a Patient Care Unit for self</w:t>
      </w:r>
      <w:r w:rsidR="003C7D8E" w:rsidRPr="007A3223">
        <w:rPr>
          <w:szCs w:val="24"/>
        </w:rPr>
        <w:t>-</w:t>
      </w:r>
      <w:r w:rsidR="00D31968" w:rsidRPr="007A3223">
        <w:rPr>
          <w:szCs w:val="24"/>
        </w:rPr>
        <w:t>medication and a record of the dispensed investigational agent is generated and kept by the dispensing pharmacy.</w:t>
      </w:r>
    </w:p>
    <w:p w14:paraId="58215EC5" w14:textId="77777777" w:rsidR="007901C0" w:rsidRPr="007A3223" w:rsidRDefault="00D31968" w:rsidP="008C09D6">
      <w:pPr>
        <w:spacing w:after="0"/>
        <w:ind w:firstLine="360"/>
        <w:rPr>
          <w:szCs w:val="24"/>
        </w:rPr>
      </w:pPr>
      <w:r w:rsidRPr="007A3223">
        <w:rPr>
          <w:szCs w:val="24"/>
        </w:rPr>
        <w:lastRenderedPageBreak/>
        <w:t xml:space="preserve">As indicated above, patients will be asked to keep a </w:t>
      </w:r>
      <w:r w:rsidR="007901C0" w:rsidRPr="007A3223">
        <w:rPr>
          <w:szCs w:val="24"/>
        </w:rPr>
        <w:t xml:space="preserve">medication diary and bring it with them on each study visit. </w:t>
      </w:r>
      <w:r w:rsidR="00700D08" w:rsidRPr="007A3223">
        <w:rPr>
          <w:szCs w:val="24"/>
        </w:rPr>
        <w:t xml:space="preserve">Patients will also bring any remaining pills to each study visit. </w:t>
      </w:r>
      <w:r w:rsidR="007901C0" w:rsidRPr="007A3223">
        <w:rPr>
          <w:szCs w:val="24"/>
        </w:rPr>
        <w:t>The Research Nurse reviews and validates the completeness and accuracy of the participant’s diary with the participant.</w:t>
      </w:r>
    </w:p>
    <w:p w14:paraId="133DA208" w14:textId="77777777" w:rsidR="00B21787" w:rsidRPr="007A3223" w:rsidRDefault="007901C0" w:rsidP="00CB7068">
      <w:pPr>
        <w:spacing w:after="0"/>
        <w:ind w:firstLine="360"/>
        <w:rPr>
          <w:szCs w:val="24"/>
        </w:rPr>
      </w:pPr>
      <w:r w:rsidRPr="007A3223">
        <w:rPr>
          <w:szCs w:val="24"/>
        </w:rPr>
        <w:t>If a participant goes off study while at home, the Research Nurse will ensure and document the return of the unused oral investigational agents from the participant. Unused investigational agent will be destroyed per dispensing pharmacy procedure.</w:t>
      </w:r>
    </w:p>
    <w:p w14:paraId="3E7DC70D" w14:textId="77777777" w:rsidR="00184BC1" w:rsidRPr="007A3223" w:rsidRDefault="00184BC1" w:rsidP="00CB7068">
      <w:pPr>
        <w:spacing w:after="0"/>
      </w:pPr>
      <w:bookmarkStart w:id="173" w:name="_Toc250632173"/>
      <w:bookmarkStart w:id="174" w:name="_Toc281240092"/>
      <w:bookmarkStart w:id="175" w:name="_Toc281240334"/>
      <w:bookmarkStart w:id="176" w:name="_Toc288125073"/>
    </w:p>
    <w:p w14:paraId="7A4A15C3" w14:textId="45BDECD6" w:rsidR="00184BC1" w:rsidRPr="007A3223" w:rsidRDefault="00184BC1" w:rsidP="00ED703B">
      <w:pPr>
        <w:pStyle w:val="Heading2"/>
      </w:pPr>
      <w:bookmarkStart w:id="177" w:name="_Ref405282281"/>
      <w:bookmarkStart w:id="178" w:name="_Toc82444358"/>
      <w:r w:rsidRPr="007A3223">
        <w:t>Dosing Delays</w:t>
      </w:r>
      <w:r w:rsidR="00BE2CB6" w:rsidRPr="007A3223">
        <w:t>/</w:t>
      </w:r>
      <w:r w:rsidRPr="007A3223">
        <w:t xml:space="preserve">Dose Modifications </w:t>
      </w:r>
      <w:r w:rsidR="00BE2CB6" w:rsidRPr="007A3223">
        <w:t xml:space="preserve">And </w:t>
      </w:r>
      <w:r w:rsidRPr="007A3223">
        <w:t xml:space="preserve">Management </w:t>
      </w:r>
      <w:r w:rsidR="00BE2CB6" w:rsidRPr="007A3223">
        <w:t xml:space="preserve">Of </w:t>
      </w:r>
      <w:r w:rsidRPr="007A3223">
        <w:t xml:space="preserve">Toxicities </w:t>
      </w:r>
      <w:r w:rsidR="00BE2CB6" w:rsidRPr="007A3223">
        <w:t xml:space="preserve">Associated With </w:t>
      </w:r>
      <w:r w:rsidR="00A16CBB">
        <w:rPr>
          <w:lang w:val="en-US"/>
        </w:rPr>
        <w:t>Durvalumab</w:t>
      </w:r>
      <w:r w:rsidR="00BE2CB6" w:rsidRPr="007A3223">
        <w:t xml:space="preserve">, Olaparib, </w:t>
      </w:r>
      <w:r w:rsidRPr="007A3223">
        <w:t>Cediranib</w:t>
      </w:r>
      <w:bookmarkEnd w:id="177"/>
      <w:bookmarkEnd w:id="178"/>
      <w:r w:rsidRPr="007A3223">
        <w:t xml:space="preserve"> </w:t>
      </w:r>
    </w:p>
    <w:p w14:paraId="0731C418" w14:textId="77777777" w:rsidR="0058589D" w:rsidRPr="007A3223" w:rsidRDefault="00184BC1" w:rsidP="008C09D6">
      <w:pPr>
        <w:widowControl w:val="0"/>
        <w:autoSpaceDE w:val="0"/>
        <w:autoSpaceDN w:val="0"/>
        <w:adjustRightInd w:val="0"/>
        <w:spacing w:after="0"/>
        <w:ind w:firstLine="360"/>
        <w:rPr>
          <w:szCs w:val="24"/>
        </w:rPr>
      </w:pPr>
      <w:r w:rsidRPr="007A3223">
        <w:rPr>
          <w:szCs w:val="24"/>
        </w:rPr>
        <w:t xml:space="preserve">Dose delays and modifications will be made using the following recommendations. </w:t>
      </w:r>
    </w:p>
    <w:p w14:paraId="5B5A513E" w14:textId="77777777" w:rsidR="00BC6314" w:rsidRPr="007A3223" w:rsidRDefault="00BC6314" w:rsidP="00BC6314">
      <w:pPr>
        <w:spacing w:before="0" w:after="0"/>
        <w:rPr>
          <w:rFonts w:eastAsia="Times New Roman"/>
          <w:i/>
          <w:iCs/>
          <w:color w:val="000000"/>
          <w:szCs w:val="24"/>
        </w:rPr>
      </w:pPr>
    </w:p>
    <w:p w14:paraId="10608FA9" w14:textId="03E3814B" w:rsidR="004A0031" w:rsidRPr="007A3223" w:rsidRDefault="00BC6314" w:rsidP="00BC6314">
      <w:pPr>
        <w:spacing w:before="0" w:after="0"/>
        <w:rPr>
          <w:rFonts w:eastAsia="Times New Roman"/>
          <w:szCs w:val="24"/>
        </w:rPr>
      </w:pPr>
      <w:r w:rsidRPr="007A3223">
        <w:rPr>
          <w:rFonts w:eastAsia="Times New Roman"/>
          <w:i/>
          <w:iCs/>
          <w:color w:val="000000"/>
          <w:szCs w:val="24"/>
        </w:rPr>
        <w:t>BRCA</w:t>
      </w:r>
      <w:r w:rsidRPr="007A3223">
        <w:rPr>
          <w:rFonts w:eastAsia="Times New Roman"/>
          <w:color w:val="000000"/>
          <w:szCs w:val="24"/>
        </w:rPr>
        <w:t> mutant patients who are benefiting from treatment on the study drugs may also benefit from risk-reducing prophylactic surgery such as risk-reducing bilateral salpingo-oophorectomy or mastectomy.  In these cases study drugs may be held for up to </w:t>
      </w:r>
      <w:r w:rsidR="00DF31AD" w:rsidRPr="00AB40EF">
        <w:rPr>
          <w:rFonts w:eastAsia="Times New Roman"/>
          <w:szCs w:val="24"/>
        </w:rPr>
        <w:t>4 weeks (up to 6 weeks for total mastectomy)</w:t>
      </w:r>
      <w:r w:rsidR="00DF31AD" w:rsidRPr="007A3223">
        <w:rPr>
          <w:rFonts w:eastAsia="Times New Roman"/>
          <w:color w:val="FF0000"/>
          <w:szCs w:val="24"/>
        </w:rPr>
        <w:t xml:space="preserve"> </w:t>
      </w:r>
      <w:r w:rsidRPr="007A3223">
        <w:rPr>
          <w:rFonts w:eastAsia="Times New Roman"/>
          <w:color w:val="000000"/>
          <w:szCs w:val="24"/>
        </w:rPr>
        <w:t>at the discretion of the PI.</w:t>
      </w:r>
    </w:p>
    <w:p w14:paraId="1368B325" w14:textId="77777777" w:rsidR="00BC6314" w:rsidRPr="007A3223" w:rsidRDefault="00BC6314" w:rsidP="00867D32">
      <w:pPr>
        <w:spacing w:before="0" w:after="0"/>
        <w:rPr>
          <w:rFonts w:eastAsia="Times New Roman"/>
        </w:rPr>
      </w:pPr>
    </w:p>
    <w:p w14:paraId="1B3C6FB6" w14:textId="77777777" w:rsidR="00184BC1" w:rsidRPr="007A3223" w:rsidRDefault="00184BC1" w:rsidP="00CB7068">
      <w:pPr>
        <w:widowControl w:val="0"/>
        <w:autoSpaceDE w:val="0"/>
        <w:autoSpaceDN w:val="0"/>
        <w:adjustRightInd w:val="0"/>
        <w:spacing w:after="0"/>
        <w:rPr>
          <w:color w:val="151515"/>
          <w:szCs w:val="24"/>
        </w:rPr>
      </w:pPr>
      <w:r w:rsidRPr="007A3223">
        <w:rPr>
          <w:szCs w:val="24"/>
        </w:rPr>
        <w:t xml:space="preserve">Management of specific toxicities </w:t>
      </w:r>
      <w:r w:rsidRPr="007A3223">
        <w:rPr>
          <w:color w:val="151515"/>
          <w:szCs w:val="24"/>
        </w:rPr>
        <w:t xml:space="preserve">including </w:t>
      </w:r>
      <w:r w:rsidR="00184FA9" w:rsidRPr="007A3223">
        <w:rPr>
          <w:color w:val="151515"/>
          <w:szCs w:val="24"/>
        </w:rPr>
        <w:t xml:space="preserve">pneumonitis, diarrhea/enterocolitis, hepatitis (elevated LFTs), rash, endocrinopathy, immune mediated neurotoxicity, immune mediated peripheral neuromotor syndromes, infusion-related reactions, </w:t>
      </w:r>
      <w:r w:rsidRPr="007A3223">
        <w:rPr>
          <w:color w:val="151515"/>
          <w:szCs w:val="24"/>
        </w:rPr>
        <w:t xml:space="preserve">hypertension, proteinuria, decreased in LVEF, fever and neutropenia, thyroid toxicities, and </w:t>
      </w:r>
      <w:r w:rsidR="009051E9" w:rsidRPr="007A3223">
        <w:rPr>
          <w:color w:val="151515"/>
          <w:szCs w:val="24"/>
        </w:rPr>
        <w:t>reversible posterior leukoencephalopathy syndrome (</w:t>
      </w:r>
      <w:r w:rsidRPr="007A3223">
        <w:rPr>
          <w:color w:val="151515"/>
          <w:szCs w:val="24"/>
        </w:rPr>
        <w:t>RPLS</w:t>
      </w:r>
      <w:r w:rsidR="009051E9" w:rsidRPr="007A3223">
        <w:rPr>
          <w:color w:val="151515"/>
          <w:szCs w:val="24"/>
        </w:rPr>
        <w:t>)</w:t>
      </w:r>
      <w:r w:rsidRPr="007A3223">
        <w:rPr>
          <w:color w:val="151515"/>
          <w:szCs w:val="24"/>
        </w:rPr>
        <w:t xml:space="preserve"> will be as further outlined in specific subsections to follow.</w:t>
      </w:r>
    </w:p>
    <w:p w14:paraId="78966C49" w14:textId="77777777" w:rsidR="00F97086" w:rsidRPr="007A3223" w:rsidRDefault="00184BC1" w:rsidP="00CB7068">
      <w:pPr>
        <w:spacing w:after="0"/>
      </w:pPr>
      <w:r w:rsidRPr="007A3223">
        <w:t xml:space="preserve"> </w:t>
      </w:r>
    </w:p>
    <w:p w14:paraId="4E23E00B" w14:textId="2233B4D8" w:rsidR="002D3A69" w:rsidRPr="007A3223" w:rsidRDefault="002767B4" w:rsidP="000C1D10">
      <w:pPr>
        <w:pStyle w:val="Heading3"/>
      </w:pPr>
      <w:bookmarkStart w:id="179" w:name="_Ref405292402"/>
      <w:bookmarkStart w:id="180" w:name="_Ref405292409"/>
      <w:r w:rsidRPr="007A3223">
        <w:t xml:space="preserve">General Management of Toxicities Related </w:t>
      </w:r>
      <w:r w:rsidR="00D66E69" w:rsidRPr="007A3223">
        <w:t>t</w:t>
      </w:r>
      <w:r w:rsidRPr="007A3223">
        <w:t xml:space="preserve">o </w:t>
      </w:r>
      <w:r w:rsidR="00A16CBB">
        <w:t>Durvalumab</w:t>
      </w:r>
      <w:r w:rsidRPr="007A3223">
        <w:t>, Olaparib, Cediranib</w:t>
      </w:r>
      <w:bookmarkEnd w:id="179"/>
      <w:bookmarkEnd w:id="180"/>
      <w:r w:rsidRPr="007A3223">
        <w:t xml:space="preserve"> </w:t>
      </w:r>
    </w:p>
    <w:p w14:paraId="5156E036" w14:textId="77777777" w:rsidR="009D303E" w:rsidRPr="007A3223" w:rsidRDefault="00F97086" w:rsidP="00FB66BA">
      <w:pPr>
        <w:pStyle w:val="ListParagraph"/>
        <w:widowControl w:val="0"/>
        <w:numPr>
          <w:ilvl w:val="0"/>
          <w:numId w:val="33"/>
        </w:numPr>
        <w:autoSpaceDE w:val="0"/>
        <w:autoSpaceDN w:val="0"/>
        <w:adjustRightInd w:val="0"/>
        <w:ind w:left="360"/>
      </w:pPr>
      <w:r w:rsidRPr="007A3223">
        <w:t xml:space="preserve">In the case of toxicity, appropriate medical treatment should be used (including anti-emetics, anti-diarrheals, etc.). </w:t>
      </w:r>
    </w:p>
    <w:p w14:paraId="0CE445C5" w14:textId="77777777" w:rsidR="005F7E66" w:rsidRPr="007A3223" w:rsidRDefault="00206704" w:rsidP="00FB66BA">
      <w:pPr>
        <w:pStyle w:val="ListParagraph"/>
        <w:widowControl w:val="0"/>
        <w:numPr>
          <w:ilvl w:val="0"/>
          <w:numId w:val="33"/>
        </w:numPr>
        <w:autoSpaceDE w:val="0"/>
        <w:autoSpaceDN w:val="0"/>
        <w:adjustRightInd w:val="0"/>
        <w:ind w:left="360"/>
      </w:pPr>
      <w:r w:rsidRPr="007A3223">
        <w:t xml:space="preserve">Once a patient has a dose reduction for toxicity, the dose will not be increased.  </w:t>
      </w:r>
    </w:p>
    <w:p w14:paraId="2C555B5A" w14:textId="77777777" w:rsidR="00206704" w:rsidRPr="007A3223" w:rsidRDefault="00F97086" w:rsidP="00FB66BA">
      <w:pPr>
        <w:pStyle w:val="ListParagraph"/>
        <w:widowControl w:val="0"/>
        <w:numPr>
          <w:ilvl w:val="0"/>
          <w:numId w:val="33"/>
        </w:numPr>
        <w:autoSpaceDE w:val="0"/>
        <w:autoSpaceDN w:val="0"/>
        <w:adjustRightInd w:val="0"/>
        <w:ind w:left="360"/>
      </w:pPr>
      <w:r w:rsidRPr="007A3223">
        <w:t xml:space="preserve">Participants continuing to experience toxicity at the off study visit </w:t>
      </w:r>
      <w:r w:rsidR="009D303E" w:rsidRPr="007A3223">
        <w:t xml:space="preserve">will </w:t>
      </w:r>
      <w:r w:rsidRPr="007A3223">
        <w:t>be contacted for additional assessments until the toxicity has resolved or is deemed irreversible.</w:t>
      </w:r>
      <w:r w:rsidR="00FF7B9C" w:rsidRPr="007A3223">
        <w:t xml:space="preserve"> Patients must remain on the study to have additional assessment.</w:t>
      </w:r>
    </w:p>
    <w:p w14:paraId="35DE9CF0" w14:textId="6BC0B170" w:rsidR="00943F7F" w:rsidRPr="007A3223" w:rsidRDefault="005C744A" w:rsidP="00FB66BA">
      <w:pPr>
        <w:pStyle w:val="ListParagraph"/>
        <w:widowControl w:val="0"/>
        <w:numPr>
          <w:ilvl w:val="0"/>
          <w:numId w:val="33"/>
        </w:numPr>
        <w:autoSpaceDE w:val="0"/>
        <w:autoSpaceDN w:val="0"/>
        <w:adjustRightInd w:val="0"/>
        <w:ind w:left="360"/>
      </w:pPr>
      <w:r w:rsidRPr="007A3223">
        <w:t xml:space="preserve">For AEs that are unrelated to the study drugs, study drug may be held for up to 14 days at the discretion of the </w:t>
      </w:r>
      <w:r w:rsidR="0078144C" w:rsidRPr="007A3223">
        <w:t>PI</w:t>
      </w:r>
      <w:r w:rsidRPr="007A3223">
        <w:t xml:space="preserve">. </w:t>
      </w:r>
    </w:p>
    <w:p w14:paraId="13345B42" w14:textId="77777777" w:rsidR="008D54FE" w:rsidRPr="007A3223" w:rsidRDefault="008D54FE" w:rsidP="00060964">
      <w:pPr>
        <w:pStyle w:val="ListParagraph"/>
        <w:widowControl w:val="0"/>
        <w:autoSpaceDE w:val="0"/>
        <w:autoSpaceDN w:val="0"/>
        <w:adjustRightInd w:val="0"/>
        <w:ind w:left="360"/>
      </w:pPr>
    </w:p>
    <w:p w14:paraId="5A9DA4A7" w14:textId="34AD99E9" w:rsidR="00060964" w:rsidRPr="007A3223" w:rsidRDefault="00060964" w:rsidP="00060964">
      <w:r w:rsidRPr="007A3223">
        <w:t xml:space="preserve">The dose levels and the general approach to dose modification of </w:t>
      </w:r>
      <w:r w:rsidR="00A16CBB">
        <w:t>Durvalumab</w:t>
      </w:r>
      <w:r w:rsidRPr="007A3223">
        <w:t xml:space="preserve"> and olaparib or cediranib combination therapy are shown below. AEs should be treated with the appropriate maximum </w:t>
      </w:r>
      <w:r w:rsidR="00D10179" w:rsidRPr="007A3223">
        <w:t>intervention</w:t>
      </w:r>
      <w:r w:rsidRPr="007A3223">
        <w:t>, and dose reductions should be clearly documented in the note.</w:t>
      </w:r>
    </w:p>
    <w:p w14:paraId="6CC284EA" w14:textId="77777777" w:rsidR="00060964" w:rsidRPr="007A3223" w:rsidRDefault="00C53CDB" w:rsidP="000C1D10">
      <w:pPr>
        <w:pStyle w:val="Heading3"/>
      </w:pPr>
      <w:r w:rsidRPr="007A3223">
        <w:t xml:space="preserve">General Recommendation for Dose Modification </w:t>
      </w:r>
    </w:p>
    <w:p w14:paraId="7D71F493" w14:textId="77777777" w:rsidR="00C53CDB" w:rsidRPr="007A3223" w:rsidRDefault="00C53CDB" w:rsidP="00060964">
      <w:pPr>
        <w:rPr>
          <w:b/>
          <w:u w:val="single"/>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5454"/>
      </w:tblGrid>
      <w:tr w:rsidR="00060964" w:rsidRPr="007A3223" w14:paraId="43174267" w14:textId="77777777" w:rsidTr="00060964">
        <w:trPr>
          <w:trHeight w:val="316"/>
          <w:jc w:val="center"/>
        </w:trPr>
        <w:tc>
          <w:tcPr>
            <w:tcW w:w="3884" w:type="dxa"/>
            <w:shd w:val="clear" w:color="auto" w:fill="D9D9D9"/>
          </w:tcPr>
          <w:p w14:paraId="17C09714" w14:textId="77777777" w:rsidR="00060964" w:rsidRPr="007A3223" w:rsidRDefault="00060964" w:rsidP="00060964">
            <w:pPr>
              <w:tabs>
                <w:tab w:val="left" w:pos="720"/>
                <w:tab w:val="left" w:pos="1845"/>
              </w:tabs>
              <w:jc w:val="center"/>
              <w:rPr>
                <w:b/>
              </w:rPr>
            </w:pPr>
            <w:r w:rsidRPr="007A3223">
              <w:rPr>
                <w:b/>
              </w:rPr>
              <w:lastRenderedPageBreak/>
              <w:t>Dose Level</w:t>
            </w:r>
          </w:p>
        </w:tc>
        <w:tc>
          <w:tcPr>
            <w:tcW w:w="5454" w:type="dxa"/>
            <w:shd w:val="clear" w:color="auto" w:fill="D9D9D9"/>
          </w:tcPr>
          <w:p w14:paraId="52708E7D" w14:textId="77777777" w:rsidR="00060964" w:rsidRPr="007A3223" w:rsidRDefault="00060964" w:rsidP="00060964">
            <w:pPr>
              <w:tabs>
                <w:tab w:val="left" w:pos="720"/>
                <w:tab w:val="left" w:pos="1845"/>
              </w:tabs>
              <w:jc w:val="center"/>
              <w:rPr>
                <w:b/>
              </w:rPr>
            </w:pPr>
            <w:r w:rsidRPr="007A3223">
              <w:rPr>
                <w:b/>
              </w:rPr>
              <w:t>Olaparib tablets</w:t>
            </w:r>
          </w:p>
        </w:tc>
      </w:tr>
      <w:tr w:rsidR="00060964" w:rsidRPr="007A3223" w14:paraId="6047E2A7" w14:textId="77777777" w:rsidTr="00060964">
        <w:trPr>
          <w:trHeight w:val="300"/>
          <w:jc w:val="center"/>
        </w:trPr>
        <w:tc>
          <w:tcPr>
            <w:tcW w:w="3884" w:type="dxa"/>
            <w:shd w:val="clear" w:color="auto" w:fill="auto"/>
          </w:tcPr>
          <w:p w14:paraId="6E5B3FF5" w14:textId="77777777" w:rsidR="00060964" w:rsidRPr="007A3223" w:rsidRDefault="00060964" w:rsidP="00060964">
            <w:pPr>
              <w:tabs>
                <w:tab w:val="left" w:pos="720"/>
                <w:tab w:val="left" w:pos="1845"/>
              </w:tabs>
              <w:jc w:val="center"/>
            </w:pPr>
            <w:r w:rsidRPr="007A3223">
              <w:t>1</w:t>
            </w:r>
          </w:p>
        </w:tc>
        <w:tc>
          <w:tcPr>
            <w:tcW w:w="5454" w:type="dxa"/>
            <w:shd w:val="clear" w:color="auto" w:fill="auto"/>
          </w:tcPr>
          <w:p w14:paraId="3DB19257" w14:textId="77777777" w:rsidR="00060964" w:rsidRPr="007A3223" w:rsidRDefault="00060964" w:rsidP="00060964">
            <w:pPr>
              <w:tabs>
                <w:tab w:val="left" w:pos="720"/>
                <w:tab w:val="left" w:pos="1845"/>
              </w:tabs>
              <w:jc w:val="center"/>
            </w:pPr>
            <w:r w:rsidRPr="007A3223">
              <w:t>300 mg twice daily</w:t>
            </w:r>
          </w:p>
        </w:tc>
      </w:tr>
      <w:tr w:rsidR="00060964" w:rsidRPr="007A3223" w14:paraId="1B1ED1A2" w14:textId="77777777" w:rsidTr="00060964">
        <w:trPr>
          <w:trHeight w:val="300"/>
          <w:jc w:val="center"/>
        </w:trPr>
        <w:tc>
          <w:tcPr>
            <w:tcW w:w="3884" w:type="dxa"/>
            <w:shd w:val="clear" w:color="auto" w:fill="auto"/>
          </w:tcPr>
          <w:p w14:paraId="40CF12B6" w14:textId="77777777" w:rsidR="00060964" w:rsidRPr="007A3223" w:rsidRDefault="00060964" w:rsidP="00060964">
            <w:pPr>
              <w:tabs>
                <w:tab w:val="left" w:pos="720"/>
                <w:tab w:val="left" w:pos="1845"/>
              </w:tabs>
              <w:jc w:val="center"/>
            </w:pPr>
            <w:r w:rsidRPr="007A3223">
              <w:t xml:space="preserve">-1 </w:t>
            </w:r>
          </w:p>
        </w:tc>
        <w:tc>
          <w:tcPr>
            <w:tcW w:w="5454" w:type="dxa"/>
            <w:shd w:val="clear" w:color="auto" w:fill="auto"/>
          </w:tcPr>
          <w:p w14:paraId="630D9520" w14:textId="77777777" w:rsidR="00060964" w:rsidRPr="007A3223" w:rsidRDefault="00060964" w:rsidP="00060964">
            <w:pPr>
              <w:tabs>
                <w:tab w:val="left" w:pos="720"/>
                <w:tab w:val="left" w:pos="1845"/>
              </w:tabs>
              <w:jc w:val="center"/>
            </w:pPr>
            <w:r w:rsidRPr="007A3223">
              <w:t>2</w:t>
            </w:r>
            <w:r w:rsidR="003625DB" w:rsidRPr="007A3223">
              <w:t>5</w:t>
            </w:r>
            <w:r w:rsidRPr="007A3223">
              <w:t>0 mg twice daily</w:t>
            </w:r>
          </w:p>
        </w:tc>
      </w:tr>
      <w:tr w:rsidR="00060964" w:rsidRPr="007A3223" w14:paraId="7C53C222" w14:textId="77777777" w:rsidTr="00060964">
        <w:trPr>
          <w:trHeight w:val="88"/>
          <w:jc w:val="center"/>
        </w:trPr>
        <w:tc>
          <w:tcPr>
            <w:tcW w:w="3884" w:type="dxa"/>
            <w:shd w:val="clear" w:color="auto" w:fill="auto"/>
          </w:tcPr>
          <w:p w14:paraId="085CE1A3" w14:textId="77777777" w:rsidR="00060964" w:rsidRPr="007A3223" w:rsidRDefault="00060964" w:rsidP="00060964">
            <w:pPr>
              <w:tabs>
                <w:tab w:val="left" w:pos="720"/>
                <w:tab w:val="left" w:pos="1845"/>
              </w:tabs>
              <w:jc w:val="center"/>
            </w:pPr>
            <w:r w:rsidRPr="007A3223">
              <w:t>-2</w:t>
            </w:r>
          </w:p>
        </w:tc>
        <w:tc>
          <w:tcPr>
            <w:tcW w:w="5454" w:type="dxa"/>
            <w:shd w:val="clear" w:color="auto" w:fill="auto"/>
          </w:tcPr>
          <w:p w14:paraId="6E48DD04" w14:textId="77777777" w:rsidR="00060964" w:rsidRPr="007A3223" w:rsidRDefault="003625DB" w:rsidP="00060964">
            <w:pPr>
              <w:tabs>
                <w:tab w:val="left" w:pos="720"/>
                <w:tab w:val="left" w:pos="1845"/>
              </w:tabs>
              <w:jc w:val="center"/>
            </w:pPr>
            <w:r w:rsidRPr="007A3223">
              <w:t>20</w:t>
            </w:r>
            <w:r w:rsidR="00060964" w:rsidRPr="007A3223">
              <w:t>0 mg twice daily</w:t>
            </w:r>
            <w:r w:rsidR="00060964" w:rsidRPr="007A3223" w:rsidDel="00F74D25">
              <w:t xml:space="preserve"> </w:t>
            </w:r>
          </w:p>
        </w:tc>
      </w:tr>
    </w:tbl>
    <w:p w14:paraId="344B90E8" w14:textId="77777777" w:rsidR="00060964" w:rsidRPr="007A3223" w:rsidRDefault="00060964" w:rsidP="00060964"/>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5469"/>
      </w:tblGrid>
      <w:tr w:rsidR="00060964" w:rsidRPr="007A3223" w14:paraId="7EE78DCD" w14:textId="77777777" w:rsidTr="00060964">
        <w:tc>
          <w:tcPr>
            <w:tcW w:w="3891" w:type="dxa"/>
            <w:shd w:val="clear" w:color="auto" w:fill="D9D9D9"/>
          </w:tcPr>
          <w:p w14:paraId="5202E62D" w14:textId="77777777" w:rsidR="00060964" w:rsidRPr="007A3223" w:rsidRDefault="00060964" w:rsidP="00060964">
            <w:pPr>
              <w:jc w:val="center"/>
              <w:rPr>
                <w:b/>
              </w:rPr>
            </w:pPr>
            <w:r w:rsidRPr="007A3223">
              <w:rPr>
                <w:b/>
              </w:rPr>
              <w:t>Dose level</w:t>
            </w:r>
          </w:p>
        </w:tc>
        <w:tc>
          <w:tcPr>
            <w:tcW w:w="5469" w:type="dxa"/>
            <w:shd w:val="clear" w:color="auto" w:fill="D9D9D9"/>
          </w:tcPr>
          <w:p w14:paraId="54453AA4" w14:textId="77777777" w:rsidR="00060964" w:rsidRPr="007A3223" w:rsidRDefault="00060964" w:rsidP="00060964">
            <w:pPr>
              <w:tabs>
                <w:tab w:val="left" w:pos="720"/>
                <w:tab w:val="left" w:pos="1845"/>
              </w:tabs>
              <w:jc w:val="center"/>
              <w:rPr>
                <w:b/>
              </w:rPr>
            </w:pPr>
            <w:r w:rsidRPr="007A3223">
              <w:rPr>
                <w:b/>
              </w:rPr>
              <w:t xml:space="preserve">Cediranib tablets </w:t>
            </w:r>
          </w:p>
        </w:tc>
      </w:tr>
      <w:tr w:rsidR="00060964" w:rsidRPr="007A3223" w14:paraId="2EB1375D" w14:textId="77777777" w:rsidTr="00060964">
        <w:tc>
          <w:tcPr>
            <w:tcW w:w="3891" w:type="dxa"/>
          </w:tcPr>
          <w:p w14:paraId="1437E4B7" w14:textId="77777777" w:rsidR="00060964" w:rsidRPr="007A3223" w:rsidRDefault="00060964" w:rsidP="00060964">
            <w:pPr>
              <w:jc w:val="center"/>
            </w:pPr>
            <w:r w:rsidRPr="007A3223">
              <w:t>1</w:t>
            </w:r>
          </w:p>
        </w:tc>
        <w:tc>
          <w:tcPr>
            <w:tcW w:w="5469" w:type="dxa"/>
          </w:tcPr>
          <w:p w14:paraId="3F4E020B" w14:textId="77777777" w:rsidR="00060964" w:rsidRPr="007A3223" w:rsidRDefault="00E65C0E" w:rsidP="00433623">
            <w:pPr>
              <w:tabs>
                <w:tab w:val="left" w:pos="720"/>
                <w:tab w:val="left" w:pos="1845"/>
              </w:tabs>
              <w:jc w:val="center"/>
            </w:pPr>
            <w:r w:rsidRPr="007A3223">
              <w:t>2</w:t>
            </w:r>
            <w:r w:rsidR="00060964" w:rsidRPr="007A3223">
              <w:t xml:space="preserve">0 mg </w:t>
            </w:r>
            <w:r w:rsidR="00433623" w:rsidRPr="007A3223">
              <w:t>(5 days on/2 days off)</w:t>
            </w:r>
          </w:p>
        </w:tc>
      </w:tr>
      <w:tr w:rsidR="00060964" w:rsidRPr="007A3223" w14:paraId="7B5E3616" w14:textId="77777777" w:rsidTr="00060964">
        <w:tc>
          <w:tcPr>
            <w:tcW w:w="3891" w:type="dxa"/>
          </w:tcPr>
          <w:p w14:paraId="5FA5BCAE" w14:textId="77777777" w:rsidR="00060964" w:rsidRPr="007A3223" w:rsidRDefault="00060964" w:rsidP="00060964">
            <w:pPr>
              <w:jc w:val="center"/>
            </w:pPr>
            <w:r w:rsidRPr="007A3223">
              <w:t>-1</w:t>
            </w:r>
          </w:p>
        </w:tc>
        <w:tc>
          <w:tcPr>
            <w:tcW w:w="5469" w:type="dxa"/>
          </w:tcPr>
          <w:p w14:paraId="74444D81" w14:textId="77777777" w:rsidR="00060964" w:rsidRPr="007A3223" w:rsidRDefault="00E65C0E" w:rsidP="00060964">
            <w:pPr>
              <w:tabs>
                <w:tab w:val="left" w:pos="720"/>
                <w:tab w:val="left" w:pos="1845"/>
              </w:tabs>
              <w:jc w:val="center"/>
            </w:pPr>
            <w:r w:rsidRPr="007A3223">
              <w:t>15</w:t>
            </w:r>
            <w:r w:rsidR="00060964" w:rsidRPr="007A3223">
              <w:t xml:space="preserve"> mg </w:t>
            </w:r>
            <w:r w:rsidR="00433623" w:rsidRPr="007A3223">
              <w:t>(5 days on/2 days off)</w:t>
            </w:r>
          </w:p>
        </w:tc>
      </w:tr>
      <w:tr w:rsidR="00060964" w:rsidRPr="007A3223" w14:paraId="5EEA12CF" w14:textId="77777777" w:rsidTr="00060964">
        <w:tc>
          <w:tcPr>
            <w:tcW w:w="3891" w:type="dxa"/>
          </w:tcPr>
          <w:p w14:paraId="684DDD4E" w14:textId="77777777" w:rsidR="00060964" w:rsidRPr="007A3223" w:rsidRDefault="00060964" w:rsidP="00060964">
            <w:pPr>
              <w:jc w:val="center"/>
            </w:pPr>
            <w:r w:rsidRPr="007A3223">
              <w:t>-2</w:t>
            </w:r>
          </w:p>
        </w:tc>
        <w:tc>
          <w:tcPr>
            <w:tcW w:w="5469" w:type="dxa"/>
          </w:tcPr>
          <w:p w14:paraId="0E2FE829" w14:textId="77777777" w:rsidR="00060964" w:rsidRPr="007A3223" w:rsidRDefault="00060964" w:rsidP="00060964">
            <w:pPr>
              <w:tabs>
                <w:tab w:val="left" w:pos="720"/>
                <w:tab w:val="left" w:pos="1845"/>
              </w:tabs>
              <w:jc w:val="center"/>
            </w:pPr>
            <w:r w:rsidRPr="007A3223">
              <w:t>1</w:t>
            </w:r>
            <w:r w:rsidR="00E65C0E" w:rsidRPr="007A3223">
              <w:t>0</w:t>
            </w:r>
            <w:r w:rsidRPr="007A3223">
              <w:t xml:space="preserve"> mg </w:t>
            </w:r>
            <w:r w:rsidR="00433623" w:rsidRPr="007A3223">
              <w:t>(5 days on/2 days off)</w:t>
            </w:r>
          </w:p>
        </w:tc>
      </w:tr>
    </w:tbl>
    <w:p w14:paraId="54E06597" w14:textId="77777777" w:rsidR="00060964" w:rsidRPr="007A3223" w:rsidRDefault="00060964" w:rsidP="00060964"/>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5454"/>
      </w:tblGrid>
      <w:tr w:rsidR="00060964" w:rsidRPr="007A3223" w14:paraId="4426AF78" w14:textId="77777777" w:rsidTr="00060964">
        <w:trPr>
          <w:trHeight w:val="467"/>
          <w:jc w:val="center"/>
        </w:trPr>
        <w:tc>
          <w:tcPr>
            <w:tcW w:w="3884" w:type="dxa"/>
            <w:shd w:val="clear" w:color="auto" w:fill="D9D9D9"/>
          </w:tcPr>
          <w:p w14:paraId="3FA63C41" w14:textId="77777777" w:rsidR="00060964" w:rsidRPr="007A3223" w:rsidRDefault="00060964" w:rsidP="00060964">
            <w:pPr>
              <w:tabs>
                <w:tab w:val="left" w:pos="720"/>
                <w:tab w:val="left" w:pos="1845"/>
              </w:tabs>
              <w:jc w:val="center"/>
              <w:rPr>
                <w:b/>
              </w:rPr>
            </w:pPr>
            <w:r w:rsidRPr="007A3223">
              <w:rPr>
                <w:b/>
              </w:rPr>
              <w:t>Dose Level</w:t>
            </w:r>
          </w:p>
        </w:tc>
        <w:tc>
          <w:tcPr>
            <w:tcW w:w="5454" w:type="dxa"/>
            <w:shd w:val="clear" w:color="auto" w:fill="D9D9D9"/>
          </w:tcPr>
          <w:p w14:paraId="676260C1" w14:textId="02F65883" w:rsidR="00060964" w:rsidRPr="007A3223" w:rsidRDefault="00A16CBB" w:rsidP="00060964">
            <w:pPr>
              <w:tabs>
                <w:tab w:val="left" w:pos="720"/>
                <w:tab w:val="left" w:pos="1845"/>
              </w:tabs>
              <w:jc w:val="center"/>
              <w:rPr>
                <w:b/>
              </w:rPr>
            </w:pPr>
            <w:r>
              <w:rPr>
                <w:b/>
              </w:rPr>
              <w:t>Durvalumab</w:t>
            </w:r>
            <w:r w:rsidR="00D10179" w:rsidRPr="007A3223">
              <w:rPr>
                <w:b/>
              </w:rPr>
              <w:t xml:space="preserve"> IV</w:t>
            </w:r>
          </w:p>
        </w:tc>
      </w:tr>
      <w:tr w:rsidR="00060964" w:rsidRPr="007A3223" w14:paraId="378CE31E" w14:textId="77777777" w:rsidTr="00060964">
        <w:trPr>
          <w:trHeight w:val="300"/>
          <w:jc w:val="center"/>
        </w:trPr>
        <w:tc>
          <w:tcPr>
            <w:tcW w:w="3884" w:type="dxa"/>
            <w:shd w:val="clear" w:color="auto" w:fill="auto"/>
          </w:tcPr>
          <w:p w14:paraId="1B2662E4" w14:textId="77777777" w:rsidR="00060964" w:rsidRPr="007A3223" w:rsidRDefault="00060964" w:rsidP="00060964">
            <w:pPr>
              <w:tabs>
                <w:tab w:val="left" w:pos="720"/>
                <w:tab w:val="left" w:pos="1845"/>
              </w:tabs>
              <w:jc w:val="center"/>
            </w:pPr>
            <w:r w:rsidRPr="007A3223">
              <w:t>1</w:t>
            </w:r>
          </w:p>
        </w:tc>
        <w:tc>
          <w:tcPr>
            <w:tcW w:w="5454" w:type="dxa"/>
            <w:shd w:val="clear" w:color="auto" w:fill="auto"/>
          </w:tcPr>
          <w:p w14:paraId="2AAC8591" w14:textId="77777777" w:rsidR="00060964" w:rsidRPr="007A3223" w:rsidRDefault="00636634" w:rsidP="00060964">
            <w:pPr>
              <w:tabs>
                <w:tab w:val="left" w:pos="720"/>
                <w:tab w:val="left" w:pos="1845"/>
              </w:tabs>
              <w:jc w:val="center"/>
            </w:pPr>
            <w:r w:rsidRPr="007A3223">
              <w:t xml:space="preserve">A fixed dose of </w:t>
            </w:r>
            <w:r w:rsidR="00D10179" w:rsidRPr="007A3223">
              <w:t>1500</w:t>
            </w:r>
            <w:r w:rsidR="00D36694" w:rsidRPr="007A3223">
              <w:t xml:space="preserve"> </w:t>
            </w:r>
            <w:r w:rsidR="00D10179" w:rsidRPr="007A3223">
              <w:t xml:space="preserve">mg </w:t>
            </w:r>
            <w:r w:rsidR="00060964" w:rsidRPr="007A3223">
              <w:t>every 4 weeks</w:t>
            </w:r>
          </w:p>
        </w:tc>
      </w:tr>
      <w:tr w:rsidR="00060964" w:rsidRPr="007A3223" w14:paraId="717ED0B0" w14:textId="77777777" w:rsidTr="00060964">
        <w:trPr>
          <w:trHeight w:val="300"/>
          <w:jc w:val="center"/>
        </w:trPr>
        <w:tc>
          <w:tcPr>
            <w:tcW w:w="3884" w:type="dxa"/>
            <w:shd w:val="clear" w:color="auto" w:fill="auto"/>
          </w:tcPr>
          <w:p w14:paraId="32F1CEC4" w14:textId="77777777" w:rsidR="00060964" w:rsidRPr="007A3223" w:rsidRDefault="00060964" w:rsidP="00060964">
            <w:pPr>
              <w:tabs>
                <w:tab w:val="left" w:pos="720"/>
                <w:tab w:val="left" w:pos="1845"/>
              </w:tabs>
              <w:jc w:val="center"/>
            </w:pPr>
            <w:r w:rsidRPr="007A3223">
              <w:t>-1</w:t>
            </w:r>
          </w:p>
        </w:tc>
        <w:tc>
          <w:tcPr>
            <w:tcW w:w="5454" w:type="dxa"/>
            <w:shd w:val="clear" w:color="auto" w:fill="auto"/>
          </w:tcPr>
          <w:p w14:paraId="0195F904" w14:textId="77777777" w:rsidR="00060964" w:rsidRPr="007A3223" w:rsidRDefault="00433623" w:rsidP="00433623">
            <w:pPr>
              <w:tabs>
                <w:tab w:val="left" w:pos="720"/>
                <w:tab w:val="left" w:pos="1845"/>
              </w:tabs>
              <w:jc w:val="center"/>
            </w:pPr>
            <w:r w:rsidRPr="007A3223">
              <w:t>A fixed dose of 500 mg every 4 weeks</w:t>
            </w:r>
          </w:p>
        </w:tc>
      </w:tr>
    </w:tbl>
    <w:p w14:paraId="2918DFA9" w14:textId="77777777" w:rsidR="008D54FE" w:rsidRPr="007A3223" w:rsidRDefault="008D54FE" w:rsidP="00060964">
      <w:pPr>
        <w:pStyle w:val="ListParagraph"/>
        <w:widowControl w:val="0"/>
        <w:autoSpaceDE w:val="0"/>
        <w:autoSpaceDN w:val="0"/>
        <w:adjustRightInd w:val="0"/>
        <w:ind w:left="360"/>
      </w:pPr>
    </w:p>
    <w:p w14:paraId="3A490ED1" w14:textId="77777777" w:rsidR="00406AA7" w:rsidRPr="007A3223" w:rsidRDefault="00406AA7" w:rsidP="00406AA7">
      <w:pPr>
        <w:rPr>
          <w:b/>
        </w:rPr>
      </w:pPr>
      <w:r w:rsidRPr="007A3223">
        <w:t xml:space="preserve">Patients experiencing ongoing clinical benefit who experience a related AE where continuation of one of the drugs is considered, </w:t>
      </w:r>
      <w:r w:rsidRPr="007A3223">
        <w:rPr>
          <w:b/>
        </w:rPr>
        <w:t xml:space="preserve">in the judgment of the treating investigator AND the </w:t>
      </w:r>
      <w:r w:rsidR="00D10179" w:rsidRPr="007A3223">
        <w:rPr>
          <w:b/>
        </w:rPr>
        <w:t>PI</w:t>
      </w:r>
      <w:r w:rsidRPr="007A3223">
        <w:t xml:space="preserve">, to be potentially life-threatening or with the potential for long-term harm to the patient, may be allowed to continue on the unrelated drug </w:t>
      </w:r>
      <w:r w:rsidRPr="007A3223">
        <w:rPr>
          <w:b/>
        </w:rPr>
        <w:t xml:space="preserve">after discussion with the </w:t>
      </w:r>
      <w:r w:rsidR="00D10179" w:rsidRPr="007A3223">
        <w:rPr>
          <w:b/>
        </w:rPr>
        <w:t>PI.</w:t>
      </w:r>
    </w:p>
    <w:p w14:paraId="1FCA3926" w14:textId="77777777" w:rsidR="00D10179" w:rsidRPr="007A3223" w:rsidRDefault="00D10179" w:rsidP="00406AA7">
      <w:pPr>
        <w:rPr>
          <w:szCs w:val="24"/>
        </w:rPr>
      </w:pPr>
    </w:p>
    <w:p w14:paraId="2BFF3CC0" w14:textId="77777777" w:rsidR="00D10179" w:rsidRPr="007A3223" w:rsidRDefault="00D10179" w:rsidP="008B602C">
      <w:pPr>
        <w:widowControl w:val="0"/>
        <w:autoSpaceDE w:val="0"/>
        <w:autoSpaceDN w:val="0"/>
        <w:adjustRightInd w:val="0"/>
      </w:pPr>
      <w:r w:rsidRPr="007A3223">
        <w:t>The associate investigator and/or PI will determine whether one or both drugs is responsible for an observed toxicity and will manage that toxicity as described below.</w:t>
      </w:r>
    </w:p>
    <w:p w14:paraId="79CA5256" w14:textId="77777777" w:rsidR="00636634" w:rsidRPr="007A3223" w:rsidRDefault="00636634" w:rsidP="008B602C">
      <w:pPr>
        <w:widowControl w:val="0"/>
        <w:autoSpaceDE w:val="0"/>
        <w:autoSpaceDN w:val="0"/>
        <w:adjustRightInd w:val="0"/>
      </w:pPr>
    </w:p>
    <w:p w14:paraId="61C59D1C" w14:textId="77777777" w:rsidR="00635409" w:rsidRPr="007A3223" w:rsidRDefault="00FF490E" w:rsidP="000C1D10">
      <w:pPr>
        <w:pStyle w:val="Heading3"/>
      </w:pPr>
      <w:r w:rsidRPr="007A3223">
        <w:t xml:space="preserve">General </w:t>
      </w:r>
      <w:r w:rsidR="004E405B" w:rsidRPr="007A3223">
        <w:t xml:space="preserve">Recommendations for </w:t>
      </w:r>
      <w:r w:rsidR="00FC1A05" w:rsidRPr="007A3223">
        <w:t>Management of Hematologic Adverse Events</w:t>
      </w:r>
    </w:p>
    <w:tbl>
      <w:tblPr>
        <w:tblStyle w:val="TableGrid"/>
        <w:tblW w:w="0" w:type="auto"/>
        <w:tblLook w:val="04A0" w:firstRow="1" w:lastRow="0" w:firstColumn="1" w:lastColumn="0" w:noHBand="0" w:noVBand="1"/>
      </w:tblPr>
      <w:tblGrid>
        <w:gridCol w:w="3966"/>
        <w:gridCol w:w="5384"/>
      </w:tblGrid>
      <w:tr w:rsidR="00FC1A05" w:rsidRPr="007A3223" w14:paraId="45319916" w14:textId="77777777" w:rsidTr="00054D7F">
        <w:trPr>
          <w:tblHeader/>
        </w:trPr>
        <w:tc>
          <w:tcPr>
            <w:tcW w:w="9576" w:type="dxa"/>
            <w:gridSpan w:val="2"/>
          </w:tcPr>
          <w:p w14:paraId="75291C5A" w14:textId="2D624583" w:rsidR="00FC1A05" w:rsidRPr="007A3223" w:rsidRDefault="000C1677" w:rsidP="00054D7F">
            <w:pPr>
              <w:pStyle w:val="Caption"/>
              <w:widowControl/>
              <w:rPr>
                <w:sz w:val="24"/>
                <w:szCs w:val="24"/>
              </w:rPr>
            </w:pPr>
            <w:bookmarkStart w:id="181" w:name="_Toc82444445"/>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11</w:t>
            </w:r>
            <w:r w:rsidR="00F82420" w:rsidRPr="007A3223">
              <w:rPr>
                <w:noProof/>
              </w:rPr>
              <w:fldChar w:fldCharType="end"/>
            </w:r>
            <w:r w:rsidR="00FC1A05" w:rsidRPr="007A3223">
              <w:rPr>
                <w:b w:val="0"/>
                <w:sz w:val="24"/>
                <w:szCs w:val="24"/>
              </w:rPr>
              <w:t>. Management of Hematologic Adverse Events</w:t>
            </w:r>
            <w:bookmarkEnd w:id="181"/>
          </w:p>
        </w:tc>
      </w:tr>
      <w:tr w:rsidR="00FC1A05" w:rsidRPr="007A3223" w14:paraId="41C51D4F" w14:textId="77777777" w:rsidTr="00054D7F">
        <w:trPr>
          <w:tblHeader/>
        </w:trPr>
        <w:tc>
          <w:tcPr>
            <w:tcW w:w="4068" w:type="dxa"/>
            <w:shd w:val="clear" w:color="auto" w:fill="BFBFBF" w:themeFill="background1" w:themeFillShade="BF"/>
          </w:tcPr>
          <w:p w14:paraId="1ACACC84" w14:textId="77777777" w:rsidR="00FC1A05" w:rsidRPr="007A3223" w:rsidRDefault="00FC1A05" w:rsidP="00054D7F">
            <w:pPr>
              <w:keepNext/>
              <w:jc w:val="center"/>
              <w:rPr>
                <w:b/>
                <w:sz w:val="24"/>
                <w:szCs w:val="24"/>
              </w:rPr>
            </w:pPr>
            <w:r w:rsidRPr="007A3223">
              <w:rPr>
                <w:b/>
                <w:szCs w:val="24"/>
              </w:rPr>
              <w:t>Observation</w:t>
            </w:r>
          </w:p>
        </w:tc>
        <w:tc>
          <w:tcPr>
            <w:tcW w:w="5508" w:type="dxa"/>
            <w:shd w:val="clear" w:color="auto" w:fill="BFBFBF" w:themeFill="background1" w:themeFillShade="BF"/>
          </w:tcPr>
          <w:p w14:paraId="7114B087" w14:textId="77777777" w:rsidR="00FC1A05" w:rsidRPr="007A3223" w:rsidRDefault="00FC1A05" w:rsidP="00054D7F">
            <w:pPr>
              <w:keepNext/>
              <w:jc w:val="center"/>
              <w:rPr>
                <w:b/>
                <w:sz w:val="24"/>
                <w:szCs w:val="24"/>
              </w:rPr>
            </w:pPr>
            <w:r w:rsidRPr="007A3223">
              <w:rPr>
                <w:b/>
                <w:szCs w:val="24"/>
              </w:rPr>
              <w:t>Action</w:t>
            </w:r>
          </w:p>
        </w:tc>
      </w:tr>
      <w:tr w:rsidR="00FC1A05" w:rsidRPr="007A3223" w14:paraId="3FA64708" w14:textId="77777777" w:rsidTr="00977681">
        <w:tc>
          <w:tcPr>
            <w:tcW w:w="4068" w:type="dxa"/>
          </w:tcPr>
          <w:p w14:paraId="420239B0" w14:textId="77777777" w:rsidR="00FC1A05" w:rsidRPr="007A3223" w:rsidRDefault="00FC1A05" w:rsidP="00B8531B">
            <w:pPr>
              <w:widowControl w:val="0"/>
              <w:autoSpaceDE w:val="0"/>
              <w:autoSpaceDN w:val="0"/>
              <w:adjustRightInd w:val="0"/>
              <w:spacing w:after="0"/>
              <w:rPr>
                <w:sz w:val="24"/>
                <w:szCs w:val="24"/>
              </w:rPr>
            </w:pPr>
            <w:r w:rsidRPr="007A3223">
              <w:rPr>
                <w:szCs w:val="24"/>
              </w:rPr>
              <w:t xml:space="preserve">Absolute neutrophil count </w:t>
            </w:r>
            <w:r w:rsidR="004C45AA" w:rsidRPr="007A3223">
              <w:rPr>
                <w:szCs w:val="24"/>
              </w:rPr>
              <w:t xml:space="preserve">(ANC) </w:t>
            </w:r>
            <w:r w:rsidRPr="007A3223">
              <w:rPr>
                <w:rFonts w:hint="eastAsia"/>
                <w:szCs w:val="24"/>
              </w:rPr>
              <w:t>≥</w:t>
            </w:r>
            <w:r w:rsidRPr="007A3223">
              <w:rPr>
                <w:szCs w:val="24"/>
              </w:rPr>
              <w:t xml:space="preserve"> 1000/mcL</w:t>
            </w:r>
          </w:p>
          <w:p w14:paraId="6A6BF48B" w14:textId="77777777" w:rsidR="00FC1A05" w:rsidRPr="007A3223" w:rsidRDefault="00FC1A05" w:rsidP="00B8531B">
            <w:pPr>
              <w:widowControl w:val="0"/>
              <w:autoSpaceDE w:val="0"/>
              <w:autoSpaceDN w:val="0"/>
              <w:adjustRightInd w:val="0"/>
              <w:spacing w:after="0"/>
              <w:rPr>
                <w:b/>
                <w:sz w:val="24"/>
                <w:szCs w:val="24"/>
              </w:rPr>
            </w:pPr>
            <w:r w:rsidRPr="007A3223">
              <w:rPr>
                <w:b/>
                <w:szCs w:val="24"/>
              </w:rPr>
              <w:t>AND</w:t>
            </w:r>
          </w:p>
          <w:p w14:paraId="4A917002" w14:textId="77777777" w:rsidR="00FC1A05" w:rsidRPr="007A3223" w:rsidRDefault="00FC1A05" w:rsidP="00B8531B">
            <w:pPr>
              <w:widowControl w:val="0"/>
              <w:autoSpaceDE w:val="0"/>
              <w:autoSpaceDN w:val="0"/>
              <w:adjustRightInd w:val="0"/>
              <w:spacing w:after="0"/>
              <w:rPr>
                <w:sz w:val="24"/>
                <w:szCs w:val="24"/>
              </w:rPr>
            </w:pPr>
            <w:r w:rsidRPr="007A3223">
              <w:rPr>
                <w:szCs w:val="24"/>
              </w:rPr>
              <w:lastRenderedPageBreak/>
              <w:t xml:space="preserve">Platelets </w:t>
            </w:r>
            <w:r w:rsidRPr="007A3223">
              <w:rPr>
                <w:rFonts w:hint="eastAsia"/>
                <w:szCs w:val="24"/>
              </w:rPr>
              <w:t>≥</w:t>
            </w:r>
            <w:r w:rsidRPr="007A3223">
              <w:rPr>
                <w:szCs w:val="24"/>
              </w:rPr>
              <w:t xml:space="preserve"> 75,000/mcL</w:t>
            </w:r>
          </w:p>
          <w:p w14:paraId="4882CBB3" w14:textId="77777777" w:rsidR="00FC1A05" w:rsidRPr="007A3223" w:rsidRDefault="00FC1A05" w:rsidP="00B8531B">
            <w:pPr>
              <w:widowControl w:val="0"/>
              <w:autoSpaceDE w:val="0"/>
              <w:autoSpaceDN w:val="0"/>
              <w:adjustRightInd w:val="0"/>
              <w:spacing w:after="0"/>
              <w:rPr>
                <w:b/>
                <w:sz w:val="24"/>
                <w:szCs w:val="24"/>
              </w:rPr>
            </w:pPr>
            <w:r w:rsidRPr="007A3223">
              <w:rPr>
                <w:b/>
                <w:szCs w:val="24"/>
              </w:rPr>
              <w:t>AND</w:t>
            </w:r>
          </w:p>
          <w:p w14:paraId="5CCD7D19" w14:textId="77777777" w:rsidR="00FC1A05" w:rsidRPr="007A3223" w:rsidRDefault="00FC1A05" w:rsidP="00B8531B">
            <w:pPr>
              <w:rPr>
                <w:sz w:val="24"/>
                <w:szCs w:val="24"/>
              </w:rPr>
            </w:pPr>
            <w:r w:rsidRPr="007A3223">
              <w:rPr>
                <w:szCs w:val="24"/>
              </w:rPr>
              <w:t xml:space="preserve">Hemoglobin </w:t>
            </w:r>
            <w:r w:rsidRPr="007A3223">
              <w:rPr>
                <w:rFonts w:hint="eastAsia"/>
                <w:szCs w:val="24"/>
              </w:rPr>
              <w:t>≥</w:t>
            </w:r>
            <w:r w:rsidRPr="007A3223">
              <w:rPr>
                <w:szCs w:val="24"/>
              </w:rPr>
              <w:t xml:space="preserve"> 8 mg/dL</w:t>
            </w:r>
          </w:p>
        </w:tc>
        <w:tc>
          <w:tcPr>
            <w:tcW w:w="5508" w:type="dxa"/>
          </w:tcPr>
          <w:p w14:paraId="52451793" w14:textId="77777777" w:rsidR="00FC1A05" w:rsidRPr="007A3223" w:rsidRDefault="003B4570" w:rsidP="00B8531B">
            <w:pPr>
              <w:rPr>
                <w:sz w:val="24"/>
                <w:szCs w:val="24"/>
              </w:rPr>
            </w:pPr>
            <w:r w:rsidRPr="007A3223">
              <w:rPr>
                <w:szCs w:val="24"/>
              </w:rPr>
              <w:lastRenderedPageBreak/>
              <w:t>No interruption.</w:t>
            </w:r>
          </w:p>
        </w:tc>
      </w:tr>
      <w:tr w:rsidR="00FC1A05" w:rsidRPr="007A3223" w14:paraId="43B0C8C1" w14:textId="77777777" w:rsidTr="00977681">
        <w:tc>
          <w:tcPr>
            <w:tcW w:w="4068" w:type="dxa"/>
          </w:tcPr>
          <w:p w14:paraId="68FFD592" w14:textId="77777777" w:rsidR="00FC1A05" w:rsidRPr="007A3223" w:rsidRDefault="004C45AA" w:rsidP="00B8531B">
            <w:pPr>
              <w:widowControl w:val="0"/>
              <w:autoSpaceDE w:val="0"/>
              <w:autoSpaceDN w:val="0"/>
              <w:adjustRightInd w:val="0"/>
              <w:spacing w:after="0"/>
              <w:rPr>
                <w:sz w:val="24"/>
                <w:szCs w:val="24"/>
              </w:rPr>
            </w:pPr>
            <w:bookmarkStart w:id="182" w:name="_Hlk504753807"/>
            <w:r w:rsidRPr="007A3223">
              <w:rPr>
                <w:szCs w:val="24"/>
              </w:rPr>
              <w:t xml:space="preserve">ANC </w:t>
            </w:r>
            <w:r w:rsidR="00FC1A05" w:rsidRPr="007A3223">
              <w:rPr>
                <w:szCs w:val="24"/>
              </w:rPr>
              <w:t>&lt; 1000/mcL</w:t>
            </w:r>
          </w:p>
          <w:p w14:paraId="39B12FCF" w14:textId="77777777" w:rsidR="00FC1A05" w:rsidRPr="007A3223" w:rsidRDefault="00FC1A05" w:rsidP="00B8531B">
            <w:pPr>
              <w:widowControl w:val="0"/>
              <w:autoSpaceDE w:val="0"/>
              <w:autoSpaceDN w:val="0"/>
              <w:adjustRightInd w:val="0"/>
              <w:spacing w:after="0"/>
              <w:rPr>
                <w:b/>
                <w:sz w:val="24"/>
                <w:szCs w:val="24"/>
              </w:rPr>
            </w:pPr>
            <w:r w:rsidRPr="007A3223">
              <w:rPr>
                <w:b/>
                <w:szCs w:val="24"/>
              </w:rPr>
              <w:t>OR</w:t>
            </w:r>
          </w:p>
          <w:p w14:paraId="5D83F602" w14:textId="77777777" w:rsidR="00FC1A05" w:rsidRPr="007A3223" w:rsidRDefault="00FC1A05" w:rsidP="00B8531B">
            <w:pPr>
              <w:widowControl w:val="0"/>
              <w:autoSpaceDE w:val="0"/>
              <w:autoSpaceDN w:val="0"/>
              <w:adjustRightInd w:val="0"/>
              <w:spacing w:after="0"/>
              <w:rPr>
                <w:sz w:val="24"/>
                <w:szCs w:val="24"/>
              </w:rPr>
            </w:pPr>
            <w:r w:rsidRPr="007A3223">
              <w:rPr>
                <w:szCs w:val="24"/>
              </w:rPr>
              <w:t>Platelets &lt; 75,000/mcL</w:t>
            </w:r>
          </w:p>
          <w:p w14:paraId="2A819474" w14:textId="77777777" w:rsidR="00FC1A05" w:rsidRPr="007A3223" w:rsidRDefault="00FC1A05" w:rsidP="00B8531B">
            <w:pPr>
              <w:widowControl w:val="0"/>
              <w:autoSpaceDE w:val="0"/>
              <w:autoSpaceDN w:val="0"/>
              <w:adjustRightInd w:val="0"/>
              <w:spacing w:after="0"/>
              <w:rPr>
                <w:b/>
                <w:sz w:val="24"/>
                <w:szCs w:val="24"/>
              </w:rPr>
            </w:pPr>
            <w:r w:rsidRPr="007A3223">
              <w:rPr>
                <w:b/>
                <w:szCs w:val="24"/>
              </w:rPr>
              <w:t>OR</w:t>
            </w:r>
          </w:p>
          <w:p w14:paraId="4828E4EE" w14:textId="77777777" w:rsidR="00FC1A05" w:rsidRPr="007A3223" w:rsidRDefault="00FC1A05" w:rsidP="00B8531B">
            <w:pPr>
              <w:rPr>
                <w:sz w:val="24"/>
                <w:szCs w:val="24"/>
              </w:rPr>
            </w:pPr>
            <w:r w:rsidRPr="007A3223">
              <w:rPr>
                <w:szCs w:val="24"/>
              </w:rPr>
              <w:t>Hemoglobin &lt; 8 mg/dL</w:t>
            </w:r>
            <w:bookmarkEnd w:id="182"/>
          </w:p>
        </w:tc>
        <w:tc>
          <w:tcPr>
            <w:tcW w:w="5508" w:type="dxa"/>
          </w:tcPr>
          <w:p w14:paraId="63E3608A" w14:textId="16C58E8D" w:rsidR="00275C86" w:rsidRPr="007A3223" w:rsidRDefault="00D65701" w:rsidP="00B8531B">
            <w:pPr>
              <w:widowControl w:val="0"/>
              <w:autoSpaceDE w:val="0"/>
              <w:autoSpaceDN w:val="0"/>
              <w:adjustRightInd w:val="0"/>
              <w:spacing w:after="0"/>
              <w:rPr>
                <w:sz w:val="24"/>
                <w:szCs w:val="24"/>
              </w:rPr>
            </w:pPr>
            <w:r w:rsidRPr="007A3223">
              <w:rPr>
                <w:i/>
                <w:szCs w:val="24"/>
              </w:rPr>
              <w:t>On first occurrence</w:t>
            </w:r>
            <w:r w:rsidRPr="007A3223">
              <w:rPr>
                <w:szCs w:val="24"/>
              </w:rPr>
              <w:t>, h</w:t>
            </w:r>
            <w:r w:rsidR="00FC1A05" w:rsidRPr="007A3223">
              <w:rPr>
                <w:szCs w:val="24"/>
              </w:rPr>
              <w:t xml:space="preserve">old </w:t>
            </w:r>
            <w:r w:rsidR="0024714A" w:rsidRPr="007A3223">
              <w:rPr>
                <w:szCs w:val="24"/>
              </w:rPr>
              <w:t>the drug(s) causing the toxicity</w:t>
            </w:r>
            <w:r w:rsidR="0024714A" w:rsidRPr="007A3223" w:rsidDel="0024714A">
              <w:rPr>
                <w:szCs w:val="24"/>
              </w:rPr>
              <w:t xml:space="preserve"> </w:t>
            </w:r>
            <w:r w:rsidR="00FC1A05" w:rsidRPr="007A3223">
              <w:rPr>
                <w:szCs w:val="24"/>
              </w:rPr>
              <w:t>for up to 14 days until</w:t>
            </w:r>
            <w:r w:rsidRPr="007A3223">
              <w:rPr>
                <w:szCs w:val="24"/>
              </w:rPr>
              <w:t xml:space="preserve"> </w:t>
            </w:r>
            <w:r w:rsidR="004C45AA" w:rsidRPr="007A3223">
              <w:rPr>
                <w:szCs w:val="24"/>
              </w:rPr>
              <w:t>ANC</w:t>
            </w:r>
            <w:r w:rsidR="00FC1A05" w:rsidRPr="007A3223">
              <w:rPr>
                <w:rFonts w:hint="eastAsia"/>
                <w:szCs w:val="24"/>
              </w:rPr>
              <w:t xml:space="preserve"> </w:t>
            </w:r>
            <w:r w:rsidR="00FC1A05" w:rsidRPr="007A3223">
              <w:rPr>
                <w:rFonts w:hint="eastAsia"/>
                <w:szCs w:val="24"/>
              </w:rPr>
              <w:t>≥</w:t>
            </w:r>
            <w:r w:rsidR="00FC1A05" w:rsidRPr="007A3223">
              <w:rPr>
                <w:rFonts w:hint="eastAsia"/>
                <w:szCs w:val="24"/>
              </w:rPr>
              <w:t xml:space="preserve"> 1000/mcL,</w:t>
            </w:r>
            <w:r w:rsidR="0039532E" w:rsidRPr="007A3223">
              <w:rPr>
                <w:szCs w:val="24"/>
              </w:rPr>
              <w:t xml:space="preserve"> </w:t>
            </w:r>
            <w:r w:rsidR="00FC1A05" w:rsidRPr="007A3223">
              <w:rPr>
                <w:rFonts w:hint="eastAsia"/>
                <w:szCs w:val="24"/>
              </w:rPr>
              <w:t xml:space="preserve">platelets </w:t>
            </w:r>
            <w:r w:rsidR="00FC1A05" w:rsidRPr="007A3223">
              <w:rPr>
                <w:rFonts w:hint="eastAsia"/>
                <w:szCs w:val="24"/>
              </w:rPr>
              <w:t>≥</w:t>
            </w:r>
            <w:r w:rsidR="00FC1A05" w:rsidRPr="007A3223">
              <w:rPr>
                <w:rFonts w:hint="eastAsia"/>
                <w:szCs w:val="24"/>
              </w:rPr>
              <w:t xml:space="preserve"> 75,000/mcL, and hemoglobin </w:t>
            </w:r>
            <w:r w:rsidR="00FC1A05" w:rsidRPr="007A3223">
              <w:rPr>
                <w:rFonts w:hint="eastAsia"/>
                <w:szCs w:val="24"/>
              </w:rPr>
              <w:t>≥</w:t>
            </w:r>
            <w:r w:rsidR="00FC1A05" w:rsidRPr="007A3223">
              <w:rPr>
                <w:rFonts w:hint="eastAsia"/>
                <w:szCs w:val="24"/>
              </w:rPr>
              <w:t xml:space="preserve"> </w:t>
            </w:r>
            <w:r w:rsidR="00CA4202" w:rsidRPr="007A3223">
              <w:rPr>
                <w:szCs w:val="24"/>
              </w:rPr>
              <w:t>9</w:t>
            </w:r>
            <w:r w:rsidR="00FC1A05" w:rsidRPr="007A3223">
              <w:rPr>
                <w:szCs w:val="24"/>
              </w:rPr>
              <w:t xml:space="preserve"> mg/dL.</w:t>
            </w:r>
          </w:p>
          <w:p w14:paraId="24FB856C" w14:textId="08D5C224" w:rsidR="00D65701" w:rsidRPr="007A3223" w:rsidRDefault="00275C86" w:rsidP="00B8531B">
            <w:pPr>
              <w:widowControl w:val="0"/>
              <w:autoSpaceDE w:val="0"/>
              <w:autoSpaceDN w:val="0"/>
              <w:adjustRightInd w:val="0"/>
              <w:spacing w:after="0"/>
              <w:rPr>
                <w:sz w:val="24"/>
                <w:szCs w:val="24"/>
              </w:rPr>
            </w:pPr>
            <w:r w:rsidRPr="007A3223">
              <w:rPr>
                <w:szCs w:val="24"/>
              </w:rPr>
              <w:t xml:space="preserve">The associate investigator and/or PI will determine whether one or both drugs </w:t>
            </w:r>
            <w:r w:rsidR="00991A74" w:rsidRPr="007A3223">
              <w:rPr>
                <w:szCs w:val="24"/>
              </w:rPr>
              <w:t>are</w:t>
            </w:r>
            <w:r w:rsidRPr="007A3223">
              <w:rPr>
                <w:szCs w:val="24"/>
              </w:rPr>
              <w:t xml:space="preserve"> responsible for an observed toxicity and will i</w:t>
            </w:r>
            <w:r w:rsidR="00D65701" w:rsidRPr="007A3223">
              <w:rPr>
                <w:szCs w:val="24"/>
              </w:rPr>
              <w:t>nitiate appropriate medical therapy and no change in dose upon re-initiation</w:t>
            </w:r>
            <w:bookmarkStart w:id="183" w:name="_Hlk504753774"/>
            <w:r w:rsidR="005906DB" w:rsidRPr="007A3223">
              <w:rPr>
                <w:szCs w:val="24"/>
              </w:rPr>
              <w:t xml:space="preserve">. Treatment with olaparib may be restarted at one dose level (DL) lower on first occurrence </w:t>
            </w:r>
            <w:r w:rsidR="0091120A" w:rsidRPr="007A3223">
              <w:rPr>
                <w:szCs w:val="24"/>
              </w:rPr>
              <w:t xml:space="preserve">after discussion with the PI </w:t>
            </w:r>
            <w:r w:rsidR="005906DB" w:rsidRPr="007A3223">
              <w:rPr>
                <w:szCs w:val="24"/>
              </w:rPr>
              <w:t xml:space="preserve">if </w:t>
            </w:r>
            <w:r w:rsidR="0091120A" w:rsidRPr="007A3223">
              <w:rPr>
                <w:szCs w:val="24"/>
              </w:rPr>
              <w:t xml:space="preserve">the patient's bone marrow may not tolerate the higher dose of olaparib </w:t>
            </w:r>
            <w:r w:rsidR="006A389E" w:rsidRPr="007A3223">
              <w:rPr>
                <w:szCs w:val="24"/>
              </w:rPr>
              <w:t xml:space="preserve">due to prior radiation therapy or multiple chemotherapies, </w:t>
            </w:r>
            <w:r w:rsidR="0091120A" w:rsidRPr="007A3223">
              <w:rPr>
                <w:szCs w:val="24"/>
              </w:rPr>
              <w:t>considering a transfusion has already been required to achieve recovery of anemia.</w:t>
            </w:r>
            <w:bookmarkEnd w:id="183"/>
          </w:p>
          <w:p w14:paraId="603A3A4D" w14:textId="77777777" w:rsidR="00D65701" w:rsidRPr="007A3223" w:rsidRDefault="00D65701" w:rsidP="00B8531B">
            <w:pPr>
              <w:widowControl w:val="0"/>
              <w:autoSpaceDE w:val="0"/>
              <w:autoSpaceDN w:val="0"/>
              <w:adjustRightInd w:val="0"/>
              <w:spacing w:after="0"/>
              <w:rPr>
                <w:sz w:val="24"/>
                <w:szCs w:val="24"/>
              </w:rPr>
            </w:pPr>
          </w:p>
          <w:p w14:paraId="34DB9369" w14:textId="33FA8406" w:rsidR="00FC1A05" w:rsidRPr="007A3223" w:rsidRDefault="00D65701" w:rsidP="00D65701">
            <w:pPr>
              <w:widowControl w:val="0"/>
              <w:autoSpaceDE w:val="0"/>
              <w:autoSpaceDN w:val="0"/>
              <w:adjustRightInd w:val="0"/>
              <w:spacing w:after="0"/>
              <w:rPr>
                <w:sz w:val="24"/>
                <w:szCs w:val="24"/>
              </w:rPr>
            </w:pPr>
            <w:r w:rsidRPr="007A3223">
              <w:rPr>
                <w:i/>
                <w:szCs w:val="24"/>
              </w:rPr>
              <w:t>On second occurrence</w:t>
            </w:r>
            <w:r w:rsidRPr="007A3223">
              <w:rPr>
                <w:szCs w:val="24"/>
              </w:rPr>
              <w:t xml:space="preserve">, hold </w:t>
            </w:r>
            <w:r w:rsidR="0024714A" w:rsidRPr="007A3223">
              <w:rPr>
                <w:szCs w:val="24"/>
              </w:rPr>
              <w:t>the drug(s) causing the toxicity</w:t>
            </w:r>
            <w:r w:rsidRPr="007A3223">
              <w:rPr>
                <w:szCs w:val="24"/>
              </w:rPr>
              <w:t xml:space="preserve"> for up to 14 days until </w:t>
            </w:r>
            <w:r w:rsidR="004C45AA" w:rsidRPr="007A3223">
              <w:rPr>
                <w:szCs w:val="24"/>
              </w:rPr>
              <w:t>ANC</w:t>
            </w:r>
            <w:r w:rsidRPr="007A3223">
              <w:rPr>
                <w:rFonts w:hint="eastAsia"/>
                <w:szCs w:val="24"/>
              </w:rPr>
              <w:t xml:space="preserve"> </w:t>
            </w:r>
            <w:r w:rsidRPr="007A3223">
              <w:rPr>
                <w:rFonts w:hint="eastAsia"/>
                <w:szCs w:val="24"/>
              </w:rPr>
              <w:t>≥</w:t>
            </w:r>
            <w:r w:rsidRPr="007A3223">
              <w:rPr>
                <w:rFonts w:hint="eastAsia"/>
                <w:szCs w:val="24"/>
              </w:rPr>
              <w:t xml:space="preserve"> 1000/mcL,</w:t>
            </w:r>
            <w:r w:rsidR="0039532E" w:rsidRPr="007A3223">
              <w:rPr>
                <w:szCs w:val="24"/>
              </w:rPr>
              <w:t xml:space="preserve"> </w:t>
            </w:r>
            <w:r w:rsidRPr="007A3223">
              <w:rPr>
                <w:rFonts w:hint="eastAsia"/>
                <w:szCs w:val="24"/>
              </w:rPr>
              <w:t xml:space="preserve">platelets </w:t>
            </w:r>
            <w:r w:rsidRPr="007A3223">
              <w:rPr>
                <w:rFonts w:hint="eastAsia"/>
                <w:szCs w:val="24"/>
              </w:rPr>
              <w:t>≥</w:t>
            </w:r>
            <w:r w:rsidRPr="007A3223">
              <w:rPr>
                <w:rFonts w:hint="eastAsia"/>
                <w:szCs w:val="24"/>
              </w:rPr>
              <w:t xml:space="preserve"> 75,000/mcL, and hemoglobin </w:t>
            </w:r>
            <w:r w:rsidRPr="007A3223">
              <w:rPr>
                <w:rFonts w:hint="eastAsia"/>
                <w:szCs w:val="24"/>
              </w:rPr>
              <w:t>≥</w:t>
            </w:r>
            <w:r w:rsidRPr="007A3223">
              <w:rPr>
                <w:rFonts w:hint="eastAsia"/>
                <w:szCs w:val="24"/>
              </w:rPr>
              <w:t xml:space="preserve"> </w:t>
            </w:r>
            <w:r w:rsidR="00CA4202" w:rsidRPr="007A3223">
              <w:rPr>
                <w:szCs w:val="24"/>
              </w:rPr>
              <w:t>9</w:t>
            </w:r>
            <w:r w:rsidRPr="007A3223">
              <w:rPr>
                <w:szCs w:val="24"/>
              </w:rPr>
              <w:t xml:space="preserve"> mg/dL. Initiate appropriate </w:t>
            </w:r>
            <w:r w:rsidR="00662B60" w:rsidRPr="007A3223">
              <w:rPr>
                <w:szCs w:val="24"/>
              </w:rPr>
              <w:t xml:space="preserve">medical therapy. </w:t>
            </w:r>
            <w:r w:rsidR="00FC1A05" w:rsidRPr="007A3223">
              <w:rPr>
                <w:szCs w:val="24"/>
              </w:rPr>
              <w:t xml:space="preserve">Treatment </w:t>
            </w:r>
            <w:r w:rsidR="00275C86" w:rsidRPr="007A3223">
              <w:rPr>
                <w:szCs w:val="24"/>
              </w:rPr>
              <w:t xml:space="preserve">with olaparib or cediranib </w:t>
            </w:r>
            <w:r w:rsidR="00FC1A05" w:rsidRPr="007A3223">
              <w:rPr>
                <w:szCs w:val="24"/>
              </w:rPr>
              <w:t xml:space="preserve">may be restarted at one dose level </w:t>
            </w:r>
            <w:r w:rsidR="0039532E" w:rsidRPr="007A3223">
              <w:rPr>
                <w:szCs w:val="24"/>
              </w:rPr>
              <w:t xml:space="preserve">(DL) </w:t>
            </w:r>
            <w:r w:rsidR="00FC1A05" w:rsidRPr="007A3223">
              <w:rPr>
                <w:szCs w:val="24"/>
              </w:rPr>
              <w:t>lower</w:t>
            </w:r>
            <w:r w:rsidR="00275C86" w:rsidRPr="007A3223">
              <w:rPr>
                <w:szCs w:val="24"/>
              </w:rPr>
              <w:t>.</w:t>
            </w:r>
            <w:r w:rsidR="00FC1A05" w:rsidRPr="007A3223">
              <w:rPr>
                <w:szCs w:val="24"/>
              </w:rPr>
              <w:t xml:space="preserve"> </w:t>
            </w:r>
          </w:p>
          <w:p w14:paraId="66B2EB26" w14:textId="77777777" w:rsidR="009C5AE7" w:rsidRPr="007A3223" w:rsidRDefault="009C5AE7" w:rsidP="00B8531B">
            <w:pPr>
              <w:widowControl w:val="0"/>
              <w:autoSpaceDE w:val="0"/>
              <w:autoSpaceDN w:val="0"/>
              <w:adjustRightInd w:val="0"/>
              <w:spacing w:after="0"/>
              <w:rPr>
                <w:sz w:val="24"/>
                <w:szCs w:val="24"/>
              </w:rPr>
            </w:pPr>
          </w:p>
          <w:p w14:paraId="78F3FFFF" w14:textId="2CA7BAFD" w:rsidR="00FC1A05" w:rsidRPr="007A3223" w:rsidRDefault="00FC1A05" w:rsidP="00CE4CDB">
            <w:pPr>
              <w:widowControl w:val="0"/>
              <w:autoSpaceDE w:val="0"/>
              <w:autoSpaceDN w:val="0"/>
              <w:adjustRightInd w:val="0"/>
              <w:spacing w:after="0"/>
              <w:rPr>
                <w:sz w:val="24"/>
                <w:szCs w:val="24"/>
              </w:rPr>
            </w:pPr>
            <w:r w:rsidRPr="007A3223">
              <w:rPr>
                <w:szCs w:val="24"/>
              </w:rPr>
              <w:t>Patients whose counts have not</w:t>
            </w:r>
            <w:r w:rsidR="00662B60" w:rsidRPr="007A3223">
              <w:rPr>
                <w:szCs w:val="24"/>
              </w:rPr>
              <w:t xml:space="preserve"> </w:t>
            </w:r>
            <w:r w:rsidRPr="007A3223">
              <w:rPr>
                <w:szCs w:val="24"/>
              </w:rPr>
              <w:t xml:space="preserve">recovered to </w:t>
            </w:r>
            <w:r w:rsidR="004C45AA" w:rsidRPr="007A3223">
              <w:rPr>
                <w:szCs w:val="24"/>
              </w:rPr>
              <w:t>ANC</w:t>
            </w:r>
            <w:r w:rsidR="00662B60" w:rsidRPr="007A3223">
              <w:rPr>
                <w:szCs w:val="24"/>
              </w:rPr>
              <w:t xml:space="preserve"> </w:t>
            </w:r>
            <w:r w:rsidRPr="007A3223">
              <w:rPr>
                <w:rFonts w:hint="eastAsia"/>
                <w:szCs w:val="24"/>
              </w:rPr>
              <w:t>≥</w:t>
            </w:r>
            <w:r w:rsidRPr="007A3223">
              <w:rPr>
                <w:szCs w:val="24"/>
              </w:rPr>
              <w:t xml:space="preserve"> 1000/mcL, platelets </w:t>
            </w:r>
            <w:r w:rsidRPr="007A3223">
              <w:rPr>
                <w:rFonts w:hint="eastAsia"/>
                <w:szCs w:val="24"/>
              </w:rPr>
              <w:t>≥</w:t>
            </w:r>
            <w:r w:rsidRPr="007A3223">
              <w:rPr>
                <w:szCs w:val="24"/>
              </w:rPr>
              <w:t xml:space="preserve"> 75,000/mcL,</w:t>
            </w:r>
            <w:r w:rsidR="00CE4CDB" w:rsidRPr="007A3223">
              <w:rPr>
                <w:szCs w:val="24"/>
              </w:rPr>
              <w:t xml:space="preserve"> </w:t>
            </w:r>
            <w:r w:rsidRPr="007A3223">
              <w:rPr>
                <w:rFonts w:hint="eastAsia"/>
                <w:szCs w:val="24"/>
              </w:rPr>
              <w:t xml:space="preserve">and hemoglobin </w:t>
            </w:r>
            <w:r w:rsidRPr="007A3223">
              <w:rPr>
                <w:rFonts w:hint="eastAsia"/>
                <w:szCs w:val="24"/>
              </w:rPr>
              <w:t>≥</w:t>
            </w:r>
            <w:r w:rsidRPr="007A3223">
              <w:rPr>
                <w:rFonts w:hint="eastAsia"/>
                <w:szCs w:val="24"/>
              </w:rPr>
              <w:t xml:space="preserve"> </w:t>
            </w:r>
            <w:r w:rsidR="00CA4202" w:rsidRPr="007A3223">
              <w:rPr>
                <w:szCs w:val="24"/>
              </w:rPr>
              <w:t>9</w:t>
            </w:r>
            <w:r w:rsidRPr="007A3223">
              <w:rPr>
                <w:szCs w:val="24"/>
              </w:rPr>
              <w:t xml:space="preserve"> mg/dL after 14</w:t>
            </w:r>
            <w:r w:rsidR="00CE4CDB" w:rsidRPr="007A3223">
              <w:rPr>
                <w:szCs w:val="24"/>
              </w:rPr>
              <w:t xml:space="preserve"> </w:t>
            </w:r>
            <w:r w:rsidRPr="007A3223">
              <w:rPr>
                <w:szCs w:val="24"/>
              </w:rPr>
              <w:t>days should be removed from study</w:t>
            </w:r>
            <w:r w:rsidR="002F7B4E" w:rsidRPr="007A3223">
              <w:rPr>
                <w:szCs w:val="24"/>
              </w:rPr>
              <w:t xml:space="preserve"> regimen</w:t>
            </w:r>
            <w:r w:rsidRPr="007A3223">
              <w:rPr>
                <w:szCs w:val="24"/>
              </w:rPr>
              <w:t>.</w:t>
            </w:r>
          </w:p>
        </w:tc>
      </w:tr>
      <w:tr w:rsidR="00FC1A05" w:rsidRPr="007A3223" w14:paraId="774B99AD" w14:textId="77777777" w:rsidTr="00977681">
        <w:tc>
          <w:tcPr>
            <w:tcW w:w="4068" w:type="dxa"/>
          </w:tcPr>
          <w:p w14:paraId="70127C56" w14:textId="77777777" w:rsidR="00FC1A05" w:rsidRPr="007A3223" w:rsidRDefault="00FC1A05" w:rsidP="005051B7">
            <w:pPr>
              <w:widowControl w:val="0"/>
              <w:autoSpaceDE w:val="0"/>
              <w:autoSpaceDN w:val="0"/>
              <w:adjustRightInd w:val="0"/>
              <w:spacing w:after="0"/>
              <w:rPr>
                <w:sz w:val="24"/>
                <w:szCs w:val="24"/>
              </w:rPr>
            </w:pPr>
            <w:r w:rsidRPr="007A3223">
              <w:rPr>
                <w:szCs w:val="24"/>
              </w:rPr>
              <w:t xml:space="preserve">Grade 4 hematologic AE </w:t>
            </w:r>
          </w:p>
        </w:tc>
        <w:tc>
          <w:tcPr>
            <w:tcW w:w="5508" w:type="dxa"/>
          </w:tcPr>
          <w:p w14:paraId="1038E27C" w14:textId="39BD4976" w:rsidR="00665BF9" w:rsidRPr="007A3223" w:rsidRDefault="0058589D" w:rsidP="00665BF9">
            <w:pPr>
              <w:widowControl w:val="0"/>
              <w:autoSpaceDE w:val="0"/>
              <w:autoSpaceDN w:val="0"/>
              <w:adjustRightInd w:val="0"/>
              <w:spacing w:after="0"/>
              <w:rPr>
                <w:sz w:val="24"/>
                <w:szCs w:val="24"/>
              </w:rPr>
            </w:pPr>
            <w:r w:rsidRPr="007A3223">
              <w:rPr>
                <w:i/>
                <w:szCs w:val="24"/>
              </w:rPr>
              <w:t>On first occurrence,</w:t>
            </w:r>
            <w:r w:rsidRPr="007A3223">
              <w:rPr>
                <w:szCs w:val="24"/>
              </w:rPr>
              <w:t xml:space="preserve"> </w:t>
            </w:r>
            <w:r w:rsidR="00665BF9" w:rsidRPr="007A3223">
              <w:rPr>
                <w:szCs w:val="24"/>
              </w:rPr>
              <w:t xml:space="preserve">hold </w:t>
            </w:r>
            <w:r w:rsidR="0024714A" w:rsidRPr="007A3223">
              <w:rPr>
                <w:szCs w:val="24"/>
              </w:rPr>
              <w:t>the drug(s) causing the toxicity</w:t>
            </w:r>
            <w:r w:rsidR="00665BF9" w:rsidRPr="007A3223">
              <w:rPr>
                <w:rFonts w:hint="eastAsia"/>
                <w:szCs w:val="24"/>
              </w:rPr>
              <w:t xml:space="preserve"> for up to 14 days until ANC </w:t>
            </w:r>
            <w:r w:rsidR="00665BF9" w:rsidRPr="007A3223">
              <w:rPr>
                <w:rFonts w:hint="eastAsia"/>
                <w:szCs w:val="24"/>
              </w:rPr>
              <w:t>≥</w:t>
            </w:r>
            <w:r w:rsidR="00665BF9" w:rsidRPr="007A3223">
              <w:rPr>
                <w:rFonts w:hint="eastAsia"/>
                <w:szCs w:val="24"/>
              </w:rPr>
              <w:t xml:space="preserve"> 1000/mcL,</w:t>
            </w:r>
            <w:r w:rsidR="00CE4CDB" w:rsidRPr="007A3223">
              <w:rPr>
                <w:szCs w:val="24"/>
              </w:rPr>
              <w:t xml:space="preserve"> </w:t>
            </w:r>
            <w:r w:rsidR="00665BF9" w:rsidRPr="007A3223">
              <w:rPr>
                <w:rFonts w:hint="eastAsia"/>
                <w:szCs w:val="24"/>
              </w:rPr>
              <w:t xml:space="preserve">platelets </w:t>
            </w:r>
            <w:r w:rsidR="00665BF9" w:rsidRPr="007A3223">
              <w:rPr>
                <w:rFonts w:hint="eastAsia"/>
                <w:szCs w:val="24"/>
              </w:rPr>
              <w:t>≥</w:t>
            </w:r>
            <w:r w:rsidR="00665BF9" w:rsidRPr="007A3223">
              <w:rPr>
                <w:rFonts w:hint="eastAsia"/>
                <w:szCs w:val="24"/>
              </w:rPr>
              <w:t xml:space="preserve"> 75,000/mcL, and hemoglobin </w:t>
            </w:r>
            <w:r w:rsidR="00665BF9" w:rsidRPr="007A3223">
              <w:rPr>
                <w:rFonts w:hint="eastAsia"/>
                <w:szCs w:val="24"/>
              </w:rPr>
              <w:t>≥</w:t>
            </w:r>
            <w:r w:rsidR="00665BF9" w:rsidRPr="007A3223">
              <w:rPr>
                <w:rFonts w:hint="eastAsia"/>
                <w:szCs w:val="24"/>
              </w:rPr>
              <w:t xml:space="preserve"> </w:t>
            </w:r>
            <w:r w:rsidR="00CA4202" w:rsidRPr="007A3223">
              <w:rPr>
                <w:szCs w:val="24"/>
              </w:rPr>
              <w:t>9</w:t>
            </w:r>
            <w:r w:rsidR="00665BF9" w:rsidRPr="007A3223">
              <w:rPr>
                <w:szCs w:val="24"/>
              </w:rPr>
              <w:t xml:space="preserve"> mg/dL. Initiate appropriate medical therapy. Treatment </w:t>
            </w:r>
            <w:r w:rsidR="000B05E6" w:rsidRPr="007A3223">
              <w:rPr>
                <w:szCs w:val="24"/>
              </w:rPr>
              <w:t xml:space="preserve">with olaparib or cediranib </w:t>
            </w:r>
            <w:r w:rsidR="00665BF9" w:rsidRPr="007A3223">
              <w:rPr>
                <w:szCs w:val="24"/>
              </w:rPr>
              <w:t xml:space="preserve">may be restarted at one </w:t>
            </w:r>
            <w:r w:rsidR="0039532E" w:rsidRPr="007A3223">
              <w:rPr>
                <w:szCs w:val="24"/>
              </w:rPr>
              <w:t>DL</w:t>
            </w:r>
            <w:r w:rsidR="00665BF9" w:rsidRPr="007A3223">
              <w:rPr>
                <w:szCs w:val="24"/>
              </w:rPr>
              <w:t xml:space="preserve"> lower</w:t>
            </w:r>
            <w:r w:rsidR="000B05E6" w:rsidRPr="007A3223">
              <w:rPr>
                <w:szCs w:val="24"/>
              </w:rPr>
              <w:t>.</w:t>
            </w:r>
            <w:r w:rsidR="00665BF9" w:rsidRPr="007A3223">
              <w:rPr>
                <w:szCs w:val="24"/>
              </w:rPr>
              <w:t xml:space="preserve"> </w:t>
            </w:r>
          </w:p>
          <w:p w14:paraId="7155709B" w14:textId="77777777" w:rsidR="00665BF9" w:rsidRPr="007A3223" w:rsidRDefault="00665BF9" w:rsidP="0058589D">
            <w:pPr>
              <w:widowControl w:val="0"/>
              <w:autoSpaceDE w:val="0"/>
              <w:autoSpaceDN w:val="0"/>
              <w:adjustRightInd w:val="0"/>
              <w:spacing w:after="0"/>
              <w:rPr>
                <w:sz w:val="24"/>
                <w:szCs w:val="24"/>
              </w:rPr>
            </w:pPr>
          </w:p>
          <w:p w14:paraId="75CDE809" w14:textId="3FAE5D66" w:rsidR="0058589D" w:rsidRPr="007A3223" w:rsidRDefault="00665BF9" w:rsidP="005051B7">
            <w:pPr>
              <w:widowControl w:val="0"/>
              <w:autoSpaceDE w:val="0"/>
              <w:autoSpaceDN w:val="0"/>
              <w:adjustRightInd w:val="0"/>
              <w:spacing w:after="0"/>
              <w:rPr>
                <w:sz w:val="24"/>
                <w:szCs w:val="24"/>
              </w:rPr>
            </w:pPr>
            <w:r w:rsidRPr="007A3223">
              <w:rPr>
                <w:i/>
                <w:szCs w:val="24"/>
              </w:rPr>
              <w:t>On second occurrence,</w:t>
            </w:r>
            <w:r w:rsidRPr="007A3223">
              <w:rPr>
                <w:szCs w:val="24"/>
              </w:rPr>
              <w:t xml:space="preserve"> discontinue the drug(s) causing the toxicity.</w:t>
            </w:r>
            <w:r w:rsidRPr="007A3223">
              <w:rPr>
                <w:i/>
                <w:szCs w:val="24"/>
              </w:rPr>
              <w:t xml:space="preserve"> </w:t>
            </w:r>
            <w:r w:rsidR="00A16CBB">
              <w:rPr>
                <w:szCs w:val="24"/>
              </w:rPr>
              <w:t>Durvalumab</w:t>
            </w:r>
            <w:r w:rsidRPr="007A3223">
              <w:rPr>
                <w:szCs w:val="24"/>
              </w:rPr>
              <w:t xml:space="preserve"> may be continued at PI’s discretion if </w:t>
            </w:r>
            <w:r w:rsidR="0058589D" w:rsidRPr="007A3223">
              <w:rPr>
                <w:szCs w:val="24"/>
              </w:rPr>
              <w:t xml:space="preserve">counts have recovered to ANC </w:t>
            </w:r>
            <w:r w:rsidR="0058589D" w:rsidRPr="007A3223">
              <w:rPr>
                <w:rFonts w:hint="eastAsia"/>
                <w:szCs w:val="24"/>
              </w:rPr>
              <w:t>≥</w:t>
            </w:r>
            <w:r w:rsidR="0058589D" w:rsidRPr="007A3223">
              <w:rPr>
                <w:szCs w:val="24"/>
              </w:rPr>
              <w:t xml:space="preserve"> 1000/mcL, platelets </w:t>
            </w:r>
            <w:r w:rsidR="0058589D" w:rsidRPr="007A3223">
              <w:rPr>
                <w:rFonts w:hint="eastAsia"/>
                <w:szCs w:val="24"/>
              </w:rPr>
              <w:t>≥</w:t>
            </w:r>
            <w:r w:rsidR="0058589D" w:rsidRPr="007A3223">
              <w:rPr>
                <w:szCs w:val="24"/>
              </w:rPr>
              <w:t xml:space="preserve"> 75,000/mcL,</w:t>
            </w:r>
            <w:r w:rsidRPr="007A3223">
              <w:rPr>
                <w:szCs w:val="24"/>
              </w:rPr>
              <w:t xml:space="preserve"> </w:t>
            </w:r>
            <w:r w:rsidR="0058589D" w:rsidRPr="007A3223">
              <w:rPr>
                <w:rFonts w:hint="eastAsia"/>
                <w:szCs w:val="24"/>
              </w:rPr>
              <w:t xml:space="preserve">and hemoglobin </w:t>
            </w:r>
            <w:r w:rsidR="0058589D" w:rsidRPr="007A3223">
              <w:rPr>
                <w:rFonts w:hint="eastAsia"/>
                <w:szCs w:val="24"/>
              </w:rPr>
              <w:t>≥</w:t>
            </w:r>
            <w:r w:rsidR="0058589D" w:rsidRPr="007A3223">
              <w:rPr>
                <w:rFonts w:hint="eastAsia"/>
                <w:szCs w:val="24"/>
              </w:rPr>
              <w:t xml:space="preserve"> </w:t>
            </w:r>
            <w:r w:rsidR="000B05E6" w:rsidRPr="007A3223">
              <w:rPr>
                <w:szCs w:val="24"/>
              </w:rPr>
              <w:t>9</w:t>
            </w:r>
            <w:r w:rsidR="0058589D" w:rsidRPr="007A3223">
              <w:rPr>
                <w:szCs w:val="24"/>
              </w:rPr>
              <w:t xml:space="preserve"> mg/dL within 14</w:t>
            </w:r>
            <w:r w:rsidRPr="007A3223">
              <w:rPr>
                <w:szCs w:val="24"/>
              </w:rPr>
              <w:t xml:space="preserve"> </w:t>
            </w:r>
            <w:r w:rsidR="0058589D" w:rsidRPr="007A3223">
              <w:rPr>
                <w:szCs w:val="24"/>
              </w:rPr>
              <w:t xml:space="preserve">days, </w:t>
            </w:r>
            <w:r w:rsidR="008B1796" w:rsidRPr="007A3223">
              <w:rPr>
                <w:szCs w:val="24"/>
              </w:rPr>
              <w:t xml:space="preserve">Follow patient until resolution/stabilization of </w:t>
            </w:r>
            <w:r w:rsidR="008B1796" w:rsidRPr="007A3223">
              <w:rPr>
                <w:szCs w:val="24"/>
              </w:rPr>
              <w:lastRenderedPageBreak/>
              <w:t xml:space="preserve">toxicity. </w:t>
            </w:r>
          </w:p>
        </w:tc>
      </w:tr>
    </w:tbl>
    <w:p w14:paraId="2A537E28" w14:textId="43260018" w:rsidR="00FC1A05" w:rsidRPr="007A3223" w:rsidRDefault="00FC1A05" w:rsidP="00D6174F"/>
    <w:p w14:paraId="601B8531" w14:textId="77777777" w:rsidR="008C4E61" w:rsidRPr="007A3223" w:rsidRDefault="008C4E61" w:rsidP="00AC270B">
      <w:pPr>
        <w:pStyle w:val="Heading4"/>
        <w:rPr>
          <w:b/>
          <w:noProof w:val="0"/>
        </w:rPr>
      </w:pPr>
      <w:r w:rsidRPr="007A3223">
        <w:rPr>
          <w:b/>
          <w:noProof w:val="0"/>
        </w:rPr>
        <w:t>Hematologic toxicities</w:t>
      </w:r>
    </w:p>
    <w:p w14:paraId="1AD19FA4" w14:textId="77777777" w:rsidR="008B1796" w:rsidRPr="007A3223" w:rsidRDefault="008B1796" w:rsidP="00FB66BA">
      <w:pPr>
        <w:pStyle w:val="ListParagraph"/>
        <w:numPr>
          <w:ilvl w:val="0"/>
          <w:numId w:val="33"/>
        </w:numPr>
        <w:ind w:left="360"/>
      </w:pPr>
      <w:r w:rsidRPr="007A3223">
        <w:t>Treatment m</w:t>
      </w:r>
      <w:r w:rsidR="008C4E61" w:rsidRPr="007A3223">
        <w:t xml:space="preserve">ay be delayed for a maximum of </w:t>
      </w:r>
      <w:r w:rsidR="00BA5EE9" w:rsidRPr="007A3223">
        <w:t>14 days</w:t>
      </w:r>
      <w:r w:rsidRPr="007A3223">
        <w:t xml:space="preserve"> after holding the treatment for toxicities that develop and do not resolve as defined above (exemptions: lymphopenia, or leukopenia in the absence of grade 3 or higher neutropenia).</w:t>
      </w:r>
    </w:p>
    <w:p w14:paraId="76E60D33" w14:textId="77777777" w:rsidR="003C4583" w:rsidRPr="007A3223" w:rsidRDefault="00CE4CDB" w:rsidP="00FB66BA">
      <w:pPr>
        <w:pStyle w:val="ListParagraph"/>
        <w:numPr>
          <w:ilvl w:val="0"/>
          <w:numId w:val="33"/>
        </w:numPr>
        <w:ind w:left="360"/>
      </w:pPr>
      <w:r w:rsidRPr="007A3223">
        <w:t>W</w:t>
      </w:r>
      <w:r w:rsidR="008B1796" w:rsidRPr="007A3223">
        <w:t xml:space="preserve">eekly blood counts will be obtained during the first cycle, and then at the start of each cycle. If any </w:t>
      </w:r>
      <w:r w:rsidRPr="007A3223">
        <w:t>weekly</w:t>
      </w:r>
      <w:r w:rsidR="008B1796" w:rsidRPr="007A3223">
        <w:t xml:space="preserve"> evaluation demonstrates grade </w:t>
      </w:r>
      <w:r w:rsidR="008B1796" w:rsidRPr="007A3223">
        <w:rPr>
          <w:rFonts w:hint="eastAsia"/>
        </w:rPr>
        <w:t>≥</w:t>
      </w:r>
      <w:r w:rsidR="003C4583" w:rsidRPr="007A3223">
        <w:t xml:space="preserve"> </w:t>
      </w:r>
      <w:r w:rsidR="00441F81" w:rsidRPr="007A3223">
        <w:t>3</w:t>
      </w:r>
      <w:r w:rsidR="008B1796" w:rsidRPr="007A3223">
        <w:t xml:space="preserve"> neutropenia or </w:t>
      </w:r>
      <w:r w:rsidR="005051B7" w:rsidRPr="007A3223">
        <w:t xml:space="preserve">grade </w:t>
      </w:r>
      <w:r w:rsidR="005051B7" w:rsidRPr="007A3223">
        <w:rPr>
          <w:rFonts w:hint="eastAsia"/>
        </w:rPr>
        <w:t>≥</w:t>
      </w:r>
      <w:r w:rsidR="005051B7" w:rsidRPr="007A3223">
        <w:t xml:space="preserve"> 2 </w:t>
      </w:r>
      <w:r w:rsidR="008B1796" w:rsidRPr="007A3223">
        <w:t>thrombocytopenia, a repeat hematology assessment will be obtained 2-</w:t>
      </w:r>
      <w:r w:rsidR="00E341FF" w:rsidRPr="007A3223">
        <w:t>4</w:t>
      </w:r>
      <w:r w:rsidR="008B1796" w:rsidRPr="007A3223">
        <w:t xml:space="preserve"> days later.</w:t>
      </w:r>
    </w:p>
    <w:p w14:paraId="72954753" w14:textId="77777777" w:rsidR="00B96100" w:rsidRPr="007A3223" w:rsidRDefault="00B96100" w:rsidP="00FB66BA">
      <w:pPr>
        <w:pStyle w:val="ListParagraph"/>
        <w:numPr>
          <w:ilvl w:val="0"/>
          <w:numId w:val="33"/>
        </w:numPr>
        <w:ind w:left="360"/>
        <w:rPr>
          <w:rFonts w:ascii="Times" w:hAnsi="Times"/>
        </w:rPr>
      </w:pPr>
      <w:r w:rsidRPr="007A3223">
        <w:rPr>
          <w:rFonts w:ascii="Times" w:hAnsi="Times"/>
        </w:rPr>
        <w:t>Management of prolonged hematological toxicities while on study treatment</w:t>
      </w:r>
    </w:p>
    <w:p w14:paraId="63DE2746" w14:textId="77777777" w:rsidR="00367935" w:rsidRPr="007A3223" w:rsidRDefault="00B96100" w:rsidP="00FB66BA">
      <w:pPr>
        <w:pStyle w:val="ListParagraph"/>
        <w:numPr>
          <w:ilvl w:val="0"/>
          <w:numId w:val="53"/>
        </w:numPr>
        <w:tabs>
          <w:tab w:val="left" w:pos="720"/>
        </w:tabs>
        <w:ind w:hanging="1800"/>
        <w:rPr>
          <w:rFonts w:ascii="Times" w:hAnsi="Times"/>
        </w:rPr>
      </w:pPr>
      <w:r w:rsidRPr="007A3223">
        <w:rPr>
          <w:rFonts w:ascii="Times" w:hAnsi="Times"/>
        </w:rPr>
        <w:t>If a patient develops prolonged hematological toxicity such as:</w:t>
      </w:r>
    </w:p>
    <w:p w14:paraId="5C958677" w14:textId="77777777" w:rsidR="00D34576" w:rsidRPr="007A3223" w:rsidRDefault="00367935" w:rsidP="00FB66BA">
      <w:pPr>
        <w:pStyle w:val="ListParagraph"/>
        <w:numPr>
          <w:ilvl w:val="0"/>
          <w:numId w:val="53"/>
        </w:numPr>
        <w:tabs>
          <w:tab w:val="left" w:pos="990"/>
        </w:tabs>
        <w:ind w:left="990"/>
        <w:rPr>
          <w:rFonts w:ascii="Times" w:hAnsi="Times"/>
        </w:rPr>
      </w:pPr>
      <w:r w:rsidRPr="007A3223">
        <w:rPr>
          <w:rFonts w:ascii="Times" w:hAnsi="Times"/>
          <w:u w:val="single"/>
        </w:rPr>
        <w:t>&gt;</w:t>
      </w:r>
      <w:r w:rsidRPr="007A3223">
        <w:rPr>
          <w:rFonts w:ascii="Times" w:hAnsi="Times"/>
        </w:rPr>
        <w:t xml:space="preserve"> 14 days of </w:t>
      </w:r>
      <w:r w:rsidRPr="007A3223">
        <w:rPr>
          <w:rFonts w:ascii="Times" w:hAnsi="Times" w:cs="TimesNewRoman"/>
        </w:rPr>
        <w:t xml:space="preserve">interruption/delay in study treatment due to </w:t>
      </w:r>
      <w:r w:rsidR="00E341FF" w:rsidRPr="007A3223">
        <w:rPr>
          <w:rFonts w:ascii="Times" w:hAnsi="Times" w:cs="TimesNewRoman"/>
        </w:rPr>
        <w:t>g</w:t>
      </w:r>
      <w:r w:rsidRPr="007A3223">
        <w:rPr>
          <w:rFonts w:ascii="Times" w:hAnsi="Times" w:cs="TimesNewRoman"/>
        </w:rPr>
        <w:t>rade 3 or worse anemia and/or development of blood transfusion dependence</w:t>
      </w:r>
    </w:p>
    <w:p w14:paraId="6F545B7E" w14:textId="77777777" w:rsidR="00367935" w:rsidRPr="007A3223" w:rsidRDefault="00D34576" w:rsidP="00FB66BA">
      <w:pPr>
        <w:pStyle w:val="ListParagraph"/>
        <w:numPr>
          <w:ilvl w:val="0"/>
          <w:numId w:val="53"/>
        </w:numPr>
        <w:tabs>
          <w:tab w:val="left" w:pos="990"/>
        </w:tabs>
        <w:ind w:left="990"/>
        <w:rPr>
          <w:rFonts w:ascii="Times" w:hAnsi="Times"/>
        </w:rPr>
      </w:pPr>
      <w:r w:rsidRPr="007A3223">
        <w:rPr>
          <w:rFonts w:ascii="Times" w:hAnsi="Times"/>
          <w:u w:val="single"/>
        </w:rPr>
        <w:t>&gt;</w:t>
      </w:r>
      <w:r w:rsidRPr="007A3223">
        <w:rPr>
          <w:rFonts w:ascii="Times" w:hAnsi="Times"/>
        </w:rPr>
        <w:t xml:space="preserve"> 14 days </w:t>
      </w:r>
      <w:r w:rsidR="00367935" w:rsidRPr="007A3223">
        <w:rPr>
          <w:rFonts w:ascii="Times" w:hAnsi="Times" w:cs="TimesNewRoman"/>
        </w:rPr>
        <w:t xml:space="preserve">interruption/delay in study treatment due to </w:t>
      </w:r>
      <w:r w:rsidR="00E341FF" w:rsidRPr="007A3223">
        <w:rPr>
          <w:rFonts w:ascii="Times" w:hAnsi="Times" w:cs="TimesNewRoman"/>
        </w:rPr>
        <w:t>g</w:t>
      </w:r>
      <w:r w:rsidR="00367935" w:rsidRPr="007A3223">
        <w:rPr>
          <w:rFonts w:ascii="Times" w:hAnsi="Times" w:cs="TimesNewRoman"/>
        </w:rPr>
        <w:t>rade 3 or worse neutropenia (ANC &lt; 1</w:t>
      </w:r>
      <w:r w:rsidR="00ED3AC1" w:rsidRPr="007A3223">
        <w:rPr>
          <w:rFonts w:ascii="Times" w:hAnsi="Times"/>
        </w:rPr>
        <w:t>000</w:t>
      </w:r>
      <w:r w:rsidR="00367935" w:rsidRPr="007A3223">
        <w:rPr>
          <w:rFonts w:ascii="Times" w:hAnsi="Times"/>
        </w:rPr>
        <w:t>/</w:t>
      </w:r>
      <w:r w:rsidR="00ED3AC1" w:rsidRPr="007A3223">
        <w:rPr>
          <w:rFonts w:ascii="Times" w:hAnsi="Times"/>
        </w:rPr>
        <w:t>mc</w:t>
      </w:r>
      <w:r w:rsidR="00367935" w:rsidRPr="007A3223">
        <w:rPr>
          <w:rFonts w:ascii="Times" w:hAnsi="Times"/>
        </w:rPr>
        <w:t>L)</w:t>
      </w:r>
    </w:p>
    <w:p w14:paraId="1246EFEE" w14:textId="77777777" w:rsidR="00D34576" w:rsidRPr="007A3223" w:rsidRDefault="00367935" w:rsidP="00FB66BA">
      <w:pPr>
        <w:pStyle w:val="ListParagraph"/>
        <w:numPr>
          <w:ilvl w:val="0"/>
          <w:numId w:val="54"/>
        </w:numPr>
        <w:tabs>
          <w:tab w:val="left" w:pos="990"/>
        </w:tabs>
        <w:ind w:left="990"/>
        <w:rPr>
          <w:rFonts w:ascii="Times" w:hAnsi="Times"/>
        </w:rPr>
      </w:pPr>
      <w:r w:rsidRPr="007A3223">
        <w:rPr>
          <w:rFonts w:ascii="Times" w:hAnsi="Times" w:cs="TimesNewRoman" w:hint="eastAsia"/>
        </w:rPr>
        <w:t>≥</w:t>
      </w:r>
      <w:r w:rsidR="004F0D8C" w:rsidRPr="007A3223">
        <w:rPr>
          <w:rFonts w:ascii="Times" w:hAnsi="Times" w:cs="TimesNewRoman"/>
        </w:rPr>
        <w:t xml:space="preserve"> 14 days</w:t>
      </w:r>
      <w:r w:rsidRPr="007A3223">
        <w:rPr>
          <w:rFonts w:ascii="Times" w:hAnsi="Times" w:cs="TimesNewRoman"/>
        </w:rPr>
        <w:t xml:space="preserve"> interruption/delay in study treatment due to </w:t>
      </w:r>
      <w:r w:rsidR="00E341FF" w:rsidRPr="007A3223">
        <w:rPr>
          <w:rFonts w:ascii="Times" w:hAnsi="Times" w:cs="TimesNewRoman"/>
        </w:rPr>
        <w:t>g</w:t>
      </w:r>
      <w:r w:rsidRPr="007A3223">
        <w:rPr>
          <w:rFonts w:ascii="Times" w:hAnsi="Times" w:cs="TimesNewRoman"/>
        </w:rPr>
        <w:t>rade 3 or worse thrombocytopenia (Platelets &lt; 50</w:t>
      </w:r>
      <w:r w:rsidR="00ED3AC1" w:rsidRPr="007A3223">
        <w:rPr>
          <w:rFonts w:ascii="Times" w:hAnsi="Times"/>
        </w:rPr>
        <w:t>,000</w:t>
      </w:r>
      <w:r w:rsidRPr="007A3223">
        <w:rPr>
          <w:rFonts w:ascii="Times" w:hAnsi="Times"/>
        </w:rPr>
        <w:t>/</w:t>
      </w:r>
      <w:r w:rsidR="00ED3AC1" w:rsidRPr="007A3223">
        <w:rPr>
          <w:rFonts w:ascii="Times" w:hAnsi="Times"/>
        </w:rPr>
        <w:t>mc</w:t>
      </w:r>
      <w:r w:rsidRPr="007A3223">
        <w:rPr>
          <w:rFonts w:ascii="Times" w:hAnsi="Times"/>
        </w:rPr>
        <w:t>L)</w:t>
      </w:r>
      <w:r w:rsidR="00D34576" w:rsidRPr="007A3223">
        <w:rPr>
          <w:rFonts w:ascii="Times" w:hAnsi="Times"/>
        </w:rPr>
        <w:t xml:space="preserve"> </w:t>
      </w:r>
    </w:p>
    <w:p w14:paraId="466F3A61" w14:textId="77777777" w:rsidR="00B96100" w:rsidRPr="007A3223" w:rsidRDefault="00B96100" w:rsidP="00FB66BA">
      <w:pPr>
        <w:pStyle w:val="ListParagraph"/>
        <w:numPr>
          <w:ilvl w:val="0"/>
          <w:numId w:val="54"/>
        </w:numPr>
        <w:tabs>
          <w:tab w:val="left" w:pos="360"/>
        </w:tabs>
        <w:ind w:left="360"/>
        <w:rPr>
          <w:rFonts w:ascii="Times" w:hAnsi="Times"/>
        </w:rPr>
      </w:pPr>
      <w:r w:rsidRPr="007A3223">
        <w:rPr>
          <w:rFonts w:ascii="Times" w:hAnsi="Times"/>
        </w:rPr>
        <w:t xml:space="preserve">Weekly differential blood counts including reticulocytes (calculate reticulocyte index (RI), RI = reticulocyte count x hematocrit (Hct)/normal Hct; a value of 45 is usually used for normal Hct) and peripheral blood smear should be performed.  If any blood parameters remain clinically abnormal after 4 weeks of dose interruption, the patient should be referred to hematologist for further investigations.  Bone marrow analysis and/or blood cytogenetic analysis should be considered at this stage according to standard hematological practice. </w:t>
      </w:r>
    </w:p>
    <w:p w14:paraId="341F6891" w14:textId="7011C2FA" w:rsidR="00B96100" w:rsidRPr="007A3223" w:rsidRDefault="00B96100" w:rsidP="00FB66BA">
      <w:pPr>
        <w:pStyle w:val="ListParagraph"/>
        <w:numPr>
          <w:ilvl w:val="0"/>
          <w:numId w:val="33"/>
        </w:numPr>
        <w:ind w:left="360"/>
        <w:rPr>
          <w:rFonts w:ascii="Times" w:hAnsi="Times"/>
        </w:rPr>
      </w:pPr>
      <w:r w:rsidRPr="007A3223">
        <w:rPr>
          <w:rFonts w:ascii="Times" w:hAnsi="Times"/>
        </w:rPr>
        <w:t xml:space="preserve">Development of a confirmed myelodysplastic syndrome or other clonal blood disorder should be reported as an SAE </w:t>
      </w:r>
      <w:r w:rsidR="00792B58" w:rsidRPr="007A3223">
        <w:rPr>
          <w:rFonts w:ascii="Times" w:hAnsi="Times"/>
          <w:lang w:val="en-US"/>
        </w:rPr>
        <w:t xml:space="preserve">to the sponsor and manufacturer (see section </w:t>
      </w:r>
      <w:r w:rsidR="00792B58" w:rsidRPr="00F33908">
        <w:rPr>
          <w:rStyle w:val="crossreferenceChar"/>
        </w:rPr>
        <w:fldChar w:fldCharType="begin"/>
      </w:r>
      <w:r w:rsidR="00792B58" w:rsidRPr="007A3223">
        <w:rPr>
          <w:rStyle w:val="crossreferenceChar"/>
        </w:rPr>
        <w:instrText xml:space="preserve"> REF _Ref12352996 \r \h  \* MERGEFORMAT </w:instrText>
      </w:r>
      <w:r w:rsidR="00792B58" w:rsidRPr="00F33908">
        <w:rPr>
          <w:rStyle w:val="crossreferenceChar"/>
        </w:rPr>
      </w:r>
      <w:r w:rsidR="00792B58" w:rsidRPr="00F33908">
        <w:rPr>
          <w:rStyle w:val="crossreferenceChar"/>
        </w:rPr>
        <w:fldChar w:fldCharType="separate"/>
      </w:r>
      <w:r w:rsidR="00E47ACA">
        <w:rPr>
          <w:rStyle w:val="crossreferenceChar"/>
        </w:rPr>
        <w:t>9</w:t>
      </w:r>
      <w:r w:rsidR="00792B58" w:rsidRPr="00F33908">
        <w:rPr>
          <w:rStyle w:val="crossreferenceChar"/>
        </w:rPr>
        <w:fldChar w:fldCharType="end"/>
      </w:r>
      <w:r w:rsidR="00792B58" w:rsidRPr="007A3223">
        <w:rPr>
          <w:rFonts w:ascii="Times" w:hAnsi="Times"/>
          <w:lang w:val="en-US"/>
        </w:rPr>
        <w:t xml:space="preserve">) </w:t>
      </w:r>
      <w:r w:rsidRPr="00F33908">
        <w:rPr>
          <w:rFonts w:ascii="Times" w:hAnsi="Times"/>
        </w:rPr>
        <w:t>and full reports must be provided by the investigator to AstraZeneca Patient Safety.  Study treatment should be discontinued if diagnosis of myelodysplastic syndr</w:t>
      </w:r>
      <w:r w:rsidRPr="007A3223">
        <w:rPr>
          <w:rFonts w:ascii="Times" w:hAnsi="Times"/>
        </w:rPr>
        <w:t xml:space="preserve">ome is confirmed. </w:t>
      </w:r>
    </w:p>
    <w:p w14:paraId="33FB4789" w14:textId="77777777" w:rsidR="00B96100" w:rsidRPr="007A3223" w:rsidRDefault="00B96100" w:rsidP="007530B5">
      <w:pPr>
        <w:pStyle w:val="ListParagraph"/>
        <w:ind w:left="360"/>
      </w:pPr>
    </w:p>
    <w:p w14:paraId="49F429D6" w14:textId="77777777" w:rsidR="008B1796" w:rsidRPr="007A3223" w:rsidRDefault="008B1796" w:rsidP="00AC270B">
      <w:pPr>
        <w:pStyle w:val="Heading4"/>
        <w:rPr>
          <w:b/>
          <w:noProof w:val="0"/>
        </w:rPr>
      </w:pPr>
      <w:r w:rsidRPr="007A3223">
        <w:rPr>
          <w:b/>
          <w:noProof w:val="0"/>
        </w:rPr>
        <w:t>Neutropenia</w:t>
      </w:r>
    </w:p>
    <w:p w14:paraId="36F5D321" w14:textId="77777777" w:rsidR="008B1796" w:rsidRPr="007A3223" w:rsidRDefault="008B1796" w:rsidP="00FB66BA">
      <w:pPr>
        <w:pStyle w:val="ListParagraph"/>
        <w:numPr>
          <w:ilvl w:val="0"/>
          <w:numId w:val="34"/>
        </w:numPr>
        <w:ind w:left="360"/>
      </w:pPr>
      <w:r w:rsidRPr="007A3223">
        <w:t>Growth factors to prevent neutropenia will not be administered prophylactically, but can be used during a drug hold to assist the recovery.</w:t>
      </w:r>
    </w:p>
    <w:p w14:paraId="0FB17168" w14:textId="77777777" w:rsidR="008B1796" w:rsidRPr="007A3223" w:rsidRDefault="008B1796" w:rsidP="00FB66BA">
      <w:pPr>
        <w:pStyle w:val="ListParagraph"/>
        <w:numPr>
          <w:ilvl w:val="0"/>
          <w:numId w:val="34"/>
        </w:numPr>
        <w:ind w:left="360"/>
      </w:pPr>
      <w:r w:rsidRPr="007A3223">
        <w:t>Filgrastim/PEG filgrastim will be used only if the patient has neutropenia with sepsis for the purpose of facilitating reco</w:t>
      </w:r>
      <w:r w:rsidR="00441F81" w:rsidRPr="007A3223">
        <w:t>very of the neutropenic sepsis</w:t>
      </w:r>
      <w:r w:rsidRPr="007A3223">
        <w:t>.</w:t>
      </w:r>
    </w:p>
    <w:p w14:paraId="25586326" w14:textId="77777777" w:rsidR="008B1796" w:rsidRPr="007A3223" w:rsidRDefault="008B1796" w:rsidP="00AC270B">
      <w:pPr>
        <w:pStyle w:val="Heading4"/>
        <w:rPr>
          <w:b/>
          <w:noProof w:val="0"/>
        </w:rPr>
      </w:pPr>
      <w:r w:rsidRPr="007A3223">
        <w:rPr>
          <w:b/>
          <w:noProof w:val="0"/>
        </w:rPr>
        <w:t>Thrombocytopenia</w:t>
      </w:r>
    </w:p>
    <w:p w14:paraId="4AE05D67" w14:textId="77777777" w:rsidR="008B1796" w:rsidRPr="007A3223" w:rsidRDefault="008B1796" w:rsidP="00FB66BA">
      <w:pPr>
        <w:pStyle w:val="ListParagraph"/>
        <w:numPr>
          <w:ilvl w:val="0"/>
          <w:numId w:val="35"/>
        </w:numPr>
        <w:ind w:left="360"/>
      </w:pPr>
      <w:r w:rsidRPr="007A3223">
        <w:t xml:space="preserve">Thrombocytopenia will be treated conservatively. In the absence of bleeding, or a necessary invasive procedure, platelet transfusions should be given for a platelet count </w:t>
      </w:r>
      <w:r w:rsidRPr="007A3223">
        <w:rPr>
          <w:rFonts w:hint="eastAsia"/>
        </w:rPr>
        <w:t>≤</w:t>
      </w:r>
      <w:r w:rsidRPr="007A3223">
        <w:t xml:space="preserve"> 10,000/</w:t>
      </w:r>
      <w:r w:rsidR="00ED3AC1" w:rsidRPr="007A3223">
        <w:t>mcL</w:t>
      </w:r>
      <w:r w:rsidRPr="007A3223">
        <w:t>.</w:t>
      </w:r>
    </w:p>
    <w:p w14:paraId="1C6C25E4" w14:textId="77777777" w:rsidR="008B1796" w:rsidRPr="007A3223" w:rsidRDefault="008B1796" w:rsidP="00FB66BA">
      <w:pPr>
        <w:pStyle w:val="ListParagraph"/>
        <w:numPr>
          <w:ilvl w:val="0"/>
          <w:numId w:val="35"/>
        </w:numPr>
        <w:ind w:left="360"/>
      </w:pPr>
      <w:r w:rsidRPr="007A3223">
        <w:lastRenderedPageBreak/>
        <w:t>If invasive procedure(s) is (are) planned, or the patient develops bleeding, platelet transfusions should be administered in accordance with the standard of practice, usually maintaining a platelet count above 50,000/</w:t>
      </w:r>
      <w:r w:rsidR="00441F81" w:rsidRPr="007A3223">
        <w:t>mcL</w:t>
      </w:r>
      <w:r w:rsidRPr="007A3223">
        <w:t>.</w:t>
      </w:r>
    </w:p>
    <w:p w14:paraId="7BF65DC3" w14:textId="77777777" w:rsidR="008B1796" w:rsidRPr="007A3223" w:rsidRDefault="008B1796" w:rsidP="00AC270B">
      <w:pPr>
        <w:pStyle w:val="Heading4"/>
        <w:rPr>
          <w:b/>
          <w:noProof w:val="0"/>
        </w:rPr>
      </w:pPr>
      <w:r w:rsidRPr="007A3223">
        <w:rPr>
          <w:b/>
          <w:noProof w:val="0"/>
        </w:rPr>
        <w:t>Anemia</w:t>
      </w:r>
    </w:p>
    <w:p w14:paraId="3577FC0D" w14:textId="77777777" w:rsidR="008B1796" w:rsidRPr="007A3223" w:rsidRDefault="008B1796" w:rsidP="00FB66BA">
      <w:pPr>
        <w:pStyle w:val="ListParagraph"/>
        <w:numPr>
          <w:ilvl w:val="0"/>
          <w:numId w:val="36"/>
        </w:numPr>
        <w:ind w:left="360"/>
      </w:pPr>
      <w:r w:rsidRPr="007A3223">
        <w:t>Symptomatic anemia should be treated with red blood cell transfusion and is recommended if the hemoglobin falls below 8 g/dL or the patient is symptomatic.</w:t>
      </w:r>
    </w:p>
    <w:p w14:paraId="570D3C16" w14:textId="77777777" w:rsidR="008B1796" w:rsidRPr="00F33908" w:rsidRDefault="008B1796" w:rsidP="00FB66BA">
      <w:pPr>
        <w:pStyle w:val="ListParagraph"/>
        <w:numPr>
          <w:ilvl w:val="0"/>
          <w:numId w:val="36"/>
        </w:numPr>
        <w:ind w:left="360"/>
      </w:pPr>
      <w:r w:rsidRPr="007A3223">
        <w:t>The initiation of erythropoietic therapy for the management of chemotherapy-induced anemia follows the American Society of Hematology/ASCO clinical practice guidelines (</w:t>
      </w:r>
      <w:hyperlink r:id="rId45" w:history="1">
        <w:r w:rsidR="00934FE8" w:rsidRPr="00F33908">
          <w:rPr>
            <w:rStyle w:val="Hyperlink"/>
          </w:rPr>
          <w:t>http://www.asco.org</w:t>
        </w:r>
      </w:hyperlink>
      <w:r w:rsidRPr="007A3223">
        <w:t>).</w:t>
      </w:r>
    </w:p>
    <w:p w14:paraId="31C70F21" w14:textId="77777777" w:rsidR="00934FE8" w:rsidRPr="007A3223" w:rsidRDefault="00934FE8" w:rsidP="00934FE8">
      <w:pPr>
        <w:pStyle w:val="ListParagraph"/>
        <w:ind w:left="360"/>
      </w:pPr>
    </w:p>
    <w:p w14:paraId="3C9C377C" w14:textId="77777777" w:rsidR="00487C01" w:rsidRPr="007A3223" w:rsidRDefault="004E405B" w:rsidP="000C1D10">
      <w:pPr>
        <w:pStyle w:val="Heading3"/>
      </w:pPr>
      <w:r w:rsidRPr="007A3223">
        <w:t xml:space="preserve">General Recommendations for </w:t>
      </w:r>
      <w:r w:rsidR="00FC1A05" w:rsidRPr="007A3223">
        <w:t xml:space="preserve">Management of </w:t>
      </w:r>
      <w:r w:rsidRPr="007A3223">
        <w:t xml:space="preserve">Non-Hematologic Adverse Events </w:t>
      </w:r>
    </w:p>
    <w:p w14:paraId="5009695C" w14:textId="1E7B3D57" w:rsidR="000875C9" w:rsidRPr="00F33908" w:rsidRDefault="00BB6E43" w:rsidP="00FB66BA">
      <w:pPr>
        <w:pStyle w:val="ListParagraph"/>
        <w:numPr>
          <w:ilvl w:val="0"/>
          <w:numId w:val="37"/>
        </w:numPr>
        <w:ind w:left="360"/>
      </w:pPr>
      <w:r w:rsidRPr="007A3223">
        <w:t xml:space="preserve">The management of general </w:t>
      </w:r>
      <w:r w:rsidR="001363DF" w:rsidRPr="007A3223">
        <w:t>AEs</w:t>
      </w:r>
      <w:r w:rsidRPr="007A3223">
        <w:t xml:space="preserve"> not otherwise specified in the following sections should be as per </w:t>
      </w:r>
      <w:r w:rsidR="00307B04" w:rsidRPr="00F33908">
        <w:fldChar w:fldCharType="begin"/>
      </w:r>
      <w:r w:rsidR="00307B04" w:rsidRPr="007A3223">
        <w:instrText xml:space="preserve"> REF _Ref405292192 \h  \* MERGEFORMAT </w:instrText>
      </w:r>
      <w:r w:rsidR="00307B04" w:rsidRPr="00F33908">
        <w:fldChar w:fldCharType="separate"/>
      </w:r>
      <w:r w:rsidR="00E47ACA" w:rsidRPr="00E47ACA">
        <w:rPr>
          <w:b/>
          <w:color w:val="0000FF"/>
        </w:rPr>
        <w:t xml:space="preserve">Table </w:t>
      </w:r>
      <w:r w:rsidR="00E47ACA" w:rsidRPr="00E47ACA">
        <w:rPr>
          <w:b/>
          <w:noProof/>
          <w:color w:val="0000FF"/>
        </w:rPr>
        <w:t>12</w:t>
      </w:r>
      <w:r w:rsidR="00307B04" w:rsidRPr="00F33908">
        <w:fldChar w:fldCharType="end"/>
      </w:r>
      <w:r w:rsidRPr="007A3223">
        <w:t>. Management of specific toxicities, including hypertension, diarrhea, proteinuria, decrease in LVEF, thyroid toxicities, and RPLS should be as further outlined in the below</w:t>
      </w:r>
      <w:r w:rsidRPr="00F33908">
        <w:t xml:space="preserve"> specific subsectio</w:t>
      </w:r>
      <w:r w:rsidRPr="007A3223">
        <w:t xml:space="preserve">ns and not per </w:t>
      </w:r>
      <w:r w:rsidR="00307B04" w:rsidRPr="00F33908">
        <w:fldChar w:fldCharType="begin"/>
      </w:r>
      <w:r w:rsidR="00307B04" w:rsidRPr="007A3223">
        <w:instrText xml:space="preserve"> REF _Ref405292192 \h  \* MERGEFORMAT </w:instrText>
      </w:r>
      <w:r w:rsidR="00307B04" w:rsidRPr="00F33908">
        <w:fldChar w:fldCharType="separate"/>
      </w:r>
      <w:r w:rsidR="00E47ACA" w:rsidRPr="00E47ACA">
        <w:rPr>
          <w:b/>
          <w:color w:val="0000FF"/>
        </w:rPr>
        <w:t xml:space="preserve">Table </w:t>
      </w:r>
      <w:r w:rsidR="00E47ACA" w:rsidRPr="00E47ACA">
        <w:rPr>
          <w:b/>
          <w:noProof/>
          <w:color w:val="0000FF"/>
        </w:rPr>
        <w:t>12</w:t>
      </w:r>
      <w:r w:rsidR="00307B04" w:rsidRPr="00F33908">
        <w:fldChar w:fldCharType="end"/>
      </w:r>
      <w:r w:rsidRPr="007A3223">
        <w:t>.</w:t>
      </w:r>
    </w:p>
    <w:p w14:paraId="141BDC0C" w14:textId="77777777" w:rsidR="00BB6E43" w:rsidRPr="007A3223" w:rsidRDefault="002647C2" w:rsidP="00FB66BA">
      <w:pPr>
        <w:pStyle w:val="ListParagraph"/>
        <w:numPr>
          <w:ilvl w:val="0"/>
          <w:numId w:val="37"/>
        </w:numPr>
        <w:ind w:left="360"/>
      </w:pPr>
      <w:r w:rsidRPr="007A3223">
        <w:t xml:space="preserve">Dose modifications for </w:t>
      </w:r>
      <w:r w:rsidRPr="007A3223">
        <w:rPr>
          <w:i/>
        </w:rPr>
        <w:t>nausea, vomiting, and diarrhea</w:t>
      </w:r>
      <w:r w:rsidRPr="007A3223">
        <w:t xml:space="preserve"> will be made </w:t>
      </w:r>
      <w:r w:rsidRPr="007A3223">
        <w:rPr>
          <w:i/>
        </w:rPr>
        <w:t>only if</w:t>
      </w:r>
      <w:r w:rsidRPr="007A3223">
        <w:t xml:space="preserve"> they are refractory to treatment. </w:t>
      </w:r>
      <w:r w:rsidR="001363DF" w:rsidRPr="007A3223">
        <w:t>The time a given drug is held should not exceed 14 days.</w:t>
      </w:r>
    </w:p>
    <w:p w14:paraId="24B4536B" w14:textId="77777777" w:rsidR="00CC61CC" w:rsidRPr="007A3223" w:rsidRDefault="00D05194" w:rsidP="00FB66BA">
      <w:pPr>
        <w:pStyle w:val="ListParagraph"/>
        <w:numPr>
          <w:ilvl w:val="0"/>
          <w:numId w:val="37"/>
        </w:numPr>
        <w:ind w:left="360"/>
      </w:pPr>
      <w:r w:rsidRPr="007A3223">
        <w:t>Asymptomatic electrolyte abnormalities</w:t>
      </w:r>
      <w:r w:rsidR="002647C2" w:rsidRPr="007A3223">
        <w:t xml:space="preserve"> with optimal repletion</w:t>
      </w:r>
      <w:r w:rsidRPr="007A3223">
        <w:t xml:space="preserve"> will not require d</w:t>
      </w:r>
      <w:r w:rsidR="00934FE8" w:rsidRPr="007A3223">
        <w:t>ose reduction if resolution to g</w:t>
      </w:r>
      <w:r w:rsidRPr="007A3223">
        <w:t>rade 1</w:t>
      </w:r>
      <w:r w:rsidR="00CA7A6A" w:rsidRPr="007A3223">
        <w:t xml:space="preserve"> or less is documented within </w:t>
      </w:r>
      <w:r w:rsidR="00ED39EF" w:rsidRPr="007A3223">
        <w:t>4 days after onset of the event</w:t>
      </w:r>
      <w:r w:rsidRPr="007A3223">
        <w:t>.</w:t>
      </w:r>
    </w:p>
    <w:p w14:paraId="6FE7531A" w14:textId="0B859CE6" w:rsidR="00CC61CC" w:rsidRPr="007A3223" w:rsidRDefault="00CC61CC" w:rsidP="00FB66BA">
      <w:pPr>
        <w:pStyle w:val="ListParagraph"/>
        <w:numPr>
          <w:ilvl w:val="0"/>
          <w:numId w:val="37"/>
        </w:numPr>
        <w:ind w:left="360"/>
      </w:pPr>
      <w:bookmarkStart w:id="184" w:name="_Hlk504754347"/>
      <w:r w:rsidRPr="007A3223">
        <w:t xml:space="preserve">Treatment with olaparib may be restarted at </w:t>
      </w:r>
      <w:r w:rsidR="00714E99" w:rsidRPr="007A3223">
        <w:t>150 mg tablets twice daily</w:t>
      </w:r>
      <w:r w:rsidRPr="007A3223">
        <w:t xml:space="preserve"> </w:t>
      </w:r>
      <w:r w:rsidR="00D83444" w:rsidRPr="007A3223">
        <w:t xml:space="preserve">after discussion with the PI </w:t>
      </w:r>
      <w:r w:rsidRPr="007A3223">
        <w:t xml:space="preserve">to avoid potential drug interactions if </w:t>
      </w:r>
      <w:r w:rsidR="00714E99" w:rsidRPr="007A3223">
        <w:t xml:space="preserve">a </w:t>
      </w:r>
      <w:r w:rsidRPr="007A3223">
        <w:t xml:space="preserve">permanent </w:t>
      </w:r>
      <w:r w:rsidR="003400AC" w:rsidRPr="007A3223">
        <w:t xml:space="preserve">use of </w:t>
      </w:r>
      <w:r w:rsidRPr="007A3223">
        <w:t xml:space="preserve">anti-arrhythmic </w:t>
      </w:r>
      <w:r w:rsidR="004969B1" w:rsidRPr="007A3223">
        <w:t xml:space="preserve">drug </w:t>
      </w:r>
      <w:r w:rsidRPr="007A3223">
        <w:t>e.g. amiodarone</w:t>
      </w:r>
      <w:r w:rsidR="003400AC" w:rsidRPr="007A3223">
        <w:t>,</w:t>
      </w:r>
      <w:r w:rsidRPr="007A3223">
        <w:t xml:space="preserve"> is clinically indicated. </w:t>
      </w:r>
    </w:p>
    <w:bookmarkEnd w:id="184"/>
    <w:p w14:paraId="490845C2" w14:textId="77777777" w:rsidR="00CC61CC" w:rsidRPr="007A3223" w:rsidRDefault="00CC61CC" w:rsidP="001B56F2">
      <w:pPr>
        <w:pStyle w:val="ListParagraph"/>
        <w:ind w:left="360"/>
      </w:pPr>
    </w:p>
    <w:p w14:paraId="1418739E" w14:textId="77777777" w:rsidR="00635409" w:rsidRPr="007A3223" w:rsidRDefault="00635409" w:rsidP="00EA69AB">
      <w:pPr>
        <w:pStyle w:val="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4"/>
        <w:gridCol w:w="4756"/>
      </w:tblGrid>
      <w:tr w:rsidR="00F97086" w:rsidRPr="007A3223" w14:paraId="0053DBD1" w14:textId="77777777" w:rsidTr="00D05194">
        <w:trPr>
          <w:trHeight w:val="107"/>
        </w:trPr>
        <w:tc>
          <w:tcPr>
            <w:tcW w:w="0" w:type="auto"/>
            <w:gridSpan w:val="2"/>
          </w:tcPr>
          <w:p w14:paraId="09183271" w14:textId="477DCEF0" w:rsidR="00F97086" w:rsidRPr="007A3223" w:rsidRDefault="000C1677" w:rsidP="000C1677">
            <w:pPr>
              <w:pStyle w:val="Caption"/>
              <w:rPr>
                <w:color w:val="000000"/>
                <w:szCs w:val="24"/>
              </w:rPr>
            </w:pPr>
            <w:bookmarkStart w:id="185" w:name="_Ref450557346"/>
            <w:bookmarkStart w:id="186" w:name="_Ref405292192"/>
            <w:bookmarkStart w:id="187" w:name="_Toc82444446"/>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12</w:t>
            </w:r>
            <w:r w:rsidR="00F82420" w:rsidRPr="00F33908">
              <w:rPr>
                <w:noProof/>
              </w:rPr>
              <w:fldChar w:fldCharType="end"/>
            </w:r>
            <w:bookmarkEnd w:id="185"/>
            <w:bookmarkEnd w:id="186"/>
            <w:r w:rsidR="00487C01" w:rsidRPr="007A3223">
              <w:rPr>
                <w:b w:val="0"/>
                <w:bCs w:val="0"/>
                <w:color w:val="000000"/>
                <w:szCs w:val="24"/>
              </w:rPr>
              <w:t xml:space="preserve">. </w:t>
            </w:r>
            <w:r w:rsidR="00F97086" w:rsidRPr="00F33908">
              <w:rPr>
                <w:b w:val="0"/>
                <w:bCs w:val="0"/>
                <w:color w:val="000000"/>
                <w:szCs w:val="24"/>
              </w:rPr>
              <w:t xml:space="preserve">General Management of </w:t>
            </w:r>
            <w:r w:rsidR="00F97086" w:rsidRPr="007A3223">
              <w:rPr>
                <w:b w:val="0"/>
                <w:bCs w:val="0"/>
                <w:color w:val="000000"/>
                <w:szCs w:val="24"/>
              </w:rPr>
              <w:t>Adverse Events (Non-Hematologic)</w:t>
            </w:r>
            <w:bookmarkEnd w:id="187"/>
          </w:p>
        </w:tc>
      </w:tr>
      <w:tr w:rsidR="00F97086" w:rsidRPr="007A3223" w14:paraId="57AEA9FC" w14:textId="77777777" w:rsidTr="00EA25D7">
        <w:trPr>
          <w:trHeight w:val="107"/>
        </w:trPr>
        <w:tc>
          <w:tcPr>
            <w:tcW w:w="4698" w:type="dxa"/>
            <w:shd w:val="clear" w:color="auto" w:fill="BFBFBF" w:themeFill="background1" w:themeFillShade="BF"/>
          </w:tcPr>
          <w:p w14:paraId="2C248E55" w14:textId="77777777" w:rsidR="00F97086" w:rsidRPr="007A3223" w:rsidRDefault="00F97086" w:rsidP="00A47950">
            <w:pPr>
              <w:autoSpaceDE w:val="0"/>
              <w:autoSpaceDN w:val="0"/>
              <w:adjustRightInd w:val="0"/>
              <w:spacing w:after="0"/>
              <w:jc w:val="center"/>
              <w:rPr>
                <w:color w:val="000000"/>
                <w:szCs w:val="24"/>
              </w:rPr>
            </w:pPr>
            <w:r w:rsidRPr="007A3223">
              <w:rPr>
                <w:b/>
                <w:bCs/>
                <w:color w:val="000000"/>
                <w:szCs w:val="24"/>
              </w:rPr>
              <w:t>Observation</w:t>
            </w:r>
          </w:p>
        </w:tc>
        <w:tc>
          <w:tcPr>
            <w:tcW w:w="4878" w:type="dxa"/>
            <w:shd w:val="clear" w:color="auto" w:fill="BFBFBF" w:themeFill="background1" w:themeFillShade="BF"/>
          </w:tcPr>
          <w:p w14:paraId="11752F92" w14:textId="77777777" w:rsidR="00F97086" w:rsidRPr="007A3223" w:rsidRDefault="00F97086" w:rsidP="00A47950">
            <w:pPr>
              <w:autoSpaceDE w:val="0"/>
              <w:autoSpaceDN w:val="0"/>
              <w:adjustRightInd w:val="0"/>
              <w:spacing w:after="0"/>
              <w:jc w:val="center"/>
              <w:rPr>
                <w:color w:val="000000"/>
                <w:szCs w:val="24"/>
              </w:rPr>
            </w:pPr>
            <w:r w:rsidRPr="007A3223">
              <w:rPr>
                <w:b/>
                <w:bCs/>
                <w:color w:val="000000"/>
                <w:szCs w:val="24"/>
              </w:rPr>
              <w:t>Action</w:t>
            </w:r>
          </w:p>
        </w:tc>
      </w:tr>
      <w:tr w:rsidR="00F97086" w:rsidRPr="007A3223" w14:paraId="2E17F7DF" w14:textId="77777777" w:rsidTr="00EA25D7">
        <w:trPr>
          <w:trHeight w:val="109"/>
        </w:trPr>
        <w:tc>
          <w:tcPr>
            <w:tcW w:w="4698" w:type="dxa"/>
          </w:tcPr>
          <w:p w14:paraId="62BC205B" w14:textId="77777777" w:rsidR="00F97086" w:rsidRPr="007A3223" w:rsidRDefault="00BC23B5" w:rsidP="00DF47C3">
            <w:pPr>
              <w:autoSpaceDE w:val="0"/>
              <w:autoSpaceDN w:val="0"/>
              <w:adjustRightInd w:val="0"/>
              <w:spacing w:before="240" w:after="0"/>
              <w:outlineLvl w:val="6"/>
              <w:rPr>
                <w:color w:val="000000"/>
                <w:szCs w:val="24"/>
              </w:rPr>
            </w:pPr>
            <w:r w:rsidRPr="007A3223">
              <w:rPr>
                <w:color w:val="000000"/>
                <w:szCs w:val="24"/>
              </w:rPr>
              <w:t xml:space="preserve">Grade 1 or 2 </w:t>
            </w:r>
            <w:r w:rsidR="00F97086" w:rsidRPr="007A3223">
              <w:rPr>
                <w:color w:val="000000"/>
                <w:szCs w:val="24"/>
              </w:rPr>
              <w:t>AE</w:t>
            </w:r>
            <w:r w:rsidRPr="007A3223">
              <w:rPr>
                <w:color w:val="000000"/>
                <w:szCs w:val="24"/>
              </w:rPr>
              <w:t>s</w:t>
            </w:r>
            <w:r w:rsidR="00F97086" w:rsidRPr="007A3223">
              <w:rPr>
                <w:color w:val="000000"/>
                <w:szCs w:val="24"/>
              </w:rPr>
              <w:t xml:space="preserve"> resolves promptly </w:t>
            </w:r>
            <w:r w:rsidR="00DF47C3" w:rsidRPr="007A3223">
              <w:rPr>
                <w:color w:val="000000"/>
                <w:szCs w:val="24"/>
              </w:rPr>
              <w:t xml:space="preserve">(within 48 hours) </w:t>
            </w:r>
            <w:r w:rsidR="00F97086" w:rsidRPr="007A3223">
              <w:rPr>
                <w:color w:val="000000"/>
                <w:szCs w:val="24"/>
              </w:rPr>
              <w:t xml:space="preserve">with supportive care </w:t>
            </w:r>
          </w:p>
        </w:tc>
        <w:tc>
          <w:tcPr>
            <w:tcW w:w="4878" w:type="dxa"/>
          </w:tcPr>
          <w:p w14:paraId="66322DE8" w14:textId="77777777" w:rsidR="00F97086" w:rsidRPr="007A3223" w:rsidRDefault="00F97086" w:rsidP="00A47950">
            <w:pPr>
              <w:autoSpaceDE w:val="0"/>
              <w:autoSpaceDN w:val="0"/>
              <w:adjustRightInd w:val="0"/>
              <w:spacing w:before="240" w:after="0"/>
              <w:outlineLvl w:val="6"/>
              <w:rPr>
                <w:color w:val="000000"/>
                <w:szCs w:val="24"/>
              </w:rPr>
            </w:pPr>
            <w:r w:rsidRPr="007A3223">
              <w:rPr>
                <w:color w:val="000000"/>
                <w:szCs w:val="24"/>
              </w:rPr>
              <w:t xml:space="preserve">Maintain dose level </w:t>
            </w:r>
            <w:r w:rsidR="00934FE8" w:rsidRPr="007A3223">
              <w:rPr>
                <w:color w:val="000000"/>
                <w:szCs w:val="24"/>
              </w:rPr>
              <w:t>(DL)</w:t>
            </w:r>
          </w:p>
        </w:tc>
      </w:tr>
      <w:tr w:rsidR="00F97086" w:rsidRPr="007A3223" w14:paraId="0E50541E" w14:textId="77777777" w:rsidTr="00EA25D7">
        <w:trPr>
          <w:trHeight w:val="1360"/>
        </w:trPr>
        <w:tc>
          <w:tcPr>
            <w:tcW w:w="4698" w:type="dxa"/>
          </w:tcPr>
          <w:p w14:paraId="688CF0A3" w14:textId="77777777" w:rsidR="00F97086" w:rsidRPr="007A3223" w:rsidRDefault="00F97086" w:rsidP="00645C2F">
            <w:pPr>
              <w:autoSpaceDE w:val="0"/>
              <w:autoSpaceDN w:val="0"/>
              <w:adjustRightInd w:val="0"/>
              <w:spacing w:before="240" w:after="0"/>
              <w:outlineLvl w:val="6"/>
              <w:rPr>
                <w:color w:val="000000"/>
                <w:szCs w:val="24"/>
              </w:rPr>
            </w:pPr>
            <w:r w:rsidRPr="007A3223">
              <w:rPr>
                <w:color w:val="000000"/>
                <w:szCs w:val="24"/>
              </w:rPr>
              <w:t xml:space="preserve">Any </w:t>
            </w:r>
            <w:r w:rsidRPr="007A3223">
              <w:rPr>
                <w:rFonts w:hint="eastAsia"/>
                <w:color w:val="000000"/>
                <w:szCs w:val="24"/>
              </w:rPr>
              <w:t>≥</w:t>
            </w:r>
            <w:r w:rsidRPr="007A3223">
              <w:rPr>
                <w:color w:val="000000"/>
                <w:szCs w:val="24"/>
              </w:rPr>
              <w:t xml:space="preserve"> grade 3 non-hematologic</w:t>
            </w:r>
            <w:r w:rsidR="00645C2F" w:rsidRPr="007A3223">
              <w:rPr>
                <w:color w:val="000000"/>
                <w:szCs w:val="24"/>
              </w:rPr>
              <w:t>*</w:t>
            </w:r>
            <w:r w:rsidRPr="007A3223">
              <w:rPr>
                <w:color w:val="000000"/>
                <w:szCs w:val="24"/>
              </w:rPr>
              <w:t xml:space="preserve"> </w:t>
            </w:r>
          </w:p>
        </w:tc>
        <w:tc>
          <w:tcPr>
            <w:tcW w:w="4878" w:type="dxa"/>
          </w:tcPr>
          <w:p w14:paraId="01F89A20" w14:textId="77777777" w:rsidR="00D05194" w:rsidRPr="007A3223" w:rsidRDefault="00F97086" w:rsidP="00D05194">
            <w:pPr>
              <w:autoSpaceDE w:val="0"/>
              <w:autoSpaceDN w:val="0"/>
              <w:adjustRightInd w:val="0"/>
              <w:spacing w:before="240" w:after="0"/>
              <w:outlineLvl w:val="6"/>
              <w:rPr>
                <w:i/>
                <w:color w:val="000000"/>
                <w:szCs w:val="24"/>
                <w:u w:val="single"/>
              </w:rPr>
            </w:pPr>
            <w:r w:rsidRPr="007A3223">
              <w:rPr>
                <w:i/>
                <w:color w:val="000000"/>
                <w:szCs w:val="24"/>
                <w:u w:val="single"/>
              </w:rPr>
              <w:t>During DLT evaluation period</w:t>
            </w:r>
            <w:r w:rsidR="00D05194" w:rsidRPr="007A3223">
              <w:rPr>
                <w:i/>
                <w:color w:val="000000"/>
                <w:szCs w:val="24"/>
                <w:u w:val="single"/>
              </w:rPr>
              <w:t xml:space="preserve">: </w:t>
            </w:r>
          </w:p>
          <w:p w14:paraId="393D693C" w14:textId="77777777" w:rsidR="00F97086" w:rsidRPr="007A3223" w:rsidRDefault="00F97086" w:rsidP="00D05194">
            <w:pPr>
              <w:autoSpaceDE w:val="0"/>
              <w:autoSpaceDN w:val="0"/>
              <w:adjustRightInd w:val="0"/>
              <w:spacing w:before="240" w:after="0"/>
              <w:outlineLvl w:val="6"/>
              <w:rPr>
                <w:i/>
                <w:color w:val="000000"/>
                <w:szCs w:val="24"/>
                <w:u w:val="single"/>
              </w:rPr>
            </w:pPr>
            <w:r w:rsidRPr="007A3223">
              <w:rPr>
                <w:color w:val="000000"/>
                <w:szCs w:val="24"/>
              </w:rPr>
              <w:t>Patient will be removed from study</w:t>
            </w:r>
            <w:r w:rsidR="00FF7B9C" w:rsidRPr="007A3223">
              <w:rPr>
                <w:color w:val="000000"/>
                <w:szCs w:val="24"/>
              </w:rPr>
              <w:t xml:space="preserve"> regimen.</w:t>
            </w:r>
          </w:p>
          <w:p w14:paraId="03FAF1B4" w14:textId="77777777" w:rsidR="00645C2F" w:rsidRPr="007A3223" w:rsidRDefault="00F97086" w:rsidP="00D05194">
            <w:pPr>
              <w:autoSpaceDE w:val="0"/>
              <w:autoSpaceDN w:val="0"/>
              <w:adjustRightInd w:val="0"/>
              <w:spacing w:before="240" w:after="0"/>
              <w:outlineLvl w:val="6"/>
              <w:rPr>
                <w:i/>
                <w:color w:val="000000"/>
                <w:szCs w:val="24"/>
                <w:u w:val="single"/>
              </w:rPr>
            </w:pPr>
            <w:r w:rsidRPr="007A3223">
              <w:rPr>
                <w:i/>
                <w:color w:val="000000"/>
                <w:szCs w:val="24"/>
                <w:u w:val="single"/>
              </w:rPr>
              <w:t>At any other time</w:t>
            </w:r>
          </w:p>
          <w:p w14:paraId="4D1734C5" w14:textId="1D08431A" w:rsidR="00F97086" w:rsidRPr="007A3223" w:rsidRDefault="00F97086" w:rsidP="00B654DF">
            <w:pPr>
              <w:autoSpaceDE w:val="0"/>
              <w:autoSpaceDN w:val="0"/>
              <w:adjustRightInd w:val="0"/>
              <w:spacing w:before="240" w:after="0"/>
              <w:outlineLvl w:val="6"/>
              <w:rPr>
                <w:color w:val="000000"/>
                <w:szCs w:val="24"/>
              </w:rPr>
            </w:pPr>
            <w:r w:rsidRPr="007A3223">
              <w:rPr>
                <w:rFonts w:hint="eastAsia"/>
                <w:color w:val="000000"/>
                <w:szCs w:val="24"/>
              </w:rPr>
              <w:t xml:space="preserve">Hold study drug(s)** for up to 14 days until toxicity resolves to </w:t>
            </w:r>
            <w:r w:rsidRPr="007A3223">
              <w:rPr>
                <w:rFonts w:hint="eastAsia"/>
                <w:color w:val="000000"/>
                <w:szCs w:val="24"/>
              </w:rPr>
              <w:t>≤</w:t>
            </w:r>
            <w:r w:rsidRPr="007A3223">
              <w:rPr>
                <w:rFonts w:hint="eastAsia"/>
                <w:color w:val="000000"/>
                <w:szCs w:val="24"/>
              </w:rPr>
              <w:t xml:space="preserve"> grade 1. Treatment </w:t>
            </w:r>
            <w:r w:rsidR="00B654DF" w:rsidRPr="007A3223">
              <w:rPr>
                <w:color w:val="000000"/>
                <w:szCs w:val="24"/>
              </w:rPr>
              <w:t xml:space="preserve">with olaparib or cediranib </w:t>
            </w:r>
            <w:r w:rsidRPr="007A3223">
              <w:rPr>
                <w:color w:val="000000"/>
                <w:szCs w:val="24"/>
              </w:rPr>
              <w:t xml:space="preserve">may be restarted at one </w:t>
            </w:r>
            <w:r w:rsidR="00934FE8" w:rsidRPr="007A3223">
              <w:rPr>
                <w:color w:val="000000"/>
                <w:szCs w:val="24"/>
              </w:rPr>
              <w:t>DL</w:t>
            </w:r>
            <w:r w:rsidRPr="007A3223">
              <w:rPr>
                <w:color w:val="000000"/>
                <w:szCs w:val="24"/>
              </w:rPr>
              <w:t xml:space="preserve"> lower, as per the dose reduction levels in </w:t>
            </w:r>
            <w:r w:rsidR="00307B04" w:rsidRPr="00F33908">
              <w:fldChar w:fldCharType="begin"/>
            </w:r>
            <w:r w:rsidR="00307B04" w:rsidRPr="007A3223">
              <w:instrText xml:space="preserve"> REF _Ref405292230 \h  \* MERGEFORMAT </w:instrText>
            </w:r>
            <w:r w:rsidR="00307B04" w:rsidRPr="00F33908">
              <w:fldChar w:fldCharType="separate"/>
            </w:r>
            <w:r w:rsidR="00E47ACA" w:rsidRPr="00E47ACA">
              <w:rPr>
                <w:b/>
                <w:color w:val="0000FF"/>
              </w:rPr>
              <w:t>Table 6</w:t>
            </w:r>
            <w:r w:rsidR="00307B04" w:rsidRPr="00F33908">
              <w:fldChar w:fldCharType="end"/>
            </w:r>
            <w:r w:rsidR="00635409" w:rsidRPr="007A3223">
              <w:rPr>
                <w:color w:val="000000"/>
                <w:szCs w:val="24"/>
              </w:rPr>
              <w:t xml:space="preserve"> and </w:t>
            </w:r>
            <w:r w:rsidR="00307B04" w:rsidRPr="00F33908">
              <w:fldChar w:fldCharType="begin"/>
            </w:r>
            <w:r w:rsidR="00307B04" w:rsidRPr="007A3223">
              <w:instrText xml:space="preserve"> REF _Ref405292235 \h  \* MERGEFORMAT </w:instrText>
            </w:r>
            <w:r w:rsidR="00307B04" w:rsidRPr="00F33908">
              <w:fldChar w:fldCharType="separate"/>
            </w:r>
            <w:r w:rsidR="00E47ACA" w:rsidRPr="00E47ACA">
              <w:rPr>
                <w:b/>
                <w:color w:val="0000FF"/>
              </w:rPr>
              <w:t>Table 7</w:t>
            </w:r>
            <w:r w:rsidR="00307B04" w:rsidRPr="00F33908">
              <w:fldChar w:fldCharType="end"/>
            </w:r>
            <w:r w:rsidR="00EC34F2" w:rsidRPr="007A3223">
              <w:rPr>
                <w:color w:val="000000"/>
                <w:szCs w:val="24"/>
              </w:rPr>
              <w:t>.</w:t>
            </w:r>
            <w:r w:rsidRPr="00F33908">
              <w:rPr>
                <w:color w:val="000000"/>
                <w:szCs w:val="24"/>
              </w:rPr>
              <w:t xml:space="preserve"> </w:t>
            </w:r>
          </w:p>
        </w:tc>
      </w:tr>
      <w:tr w:rsidR="00F97086" w:rsidRPr="007A3223" w14:paraId="58EF046C" w14:textId="77777777" w:rsidTr="00EA25D7">
        <w:trPr>
          <w:trHeight w:val="1635"/>
        </w:trPr>
        <w:tc>
          <w:tcPr>
            <w:tcW w:w="4698" w:type="dxa"/>
          </w:tcPr>
          <w:p w14:paraId="3AB7C19D" w14:textId="77777777" w:rsidR="00F97086" w:rsidRPr="007A3223" w:rsidRDefault="00F97086" w:rsidP="00F33615">
            <w:pPr>
              <w:autoSpaceDE w:val="0"/>
              <w:autoSpaceDN w:val="0"/>
              <w:adjustRightInd w:val="0"/>
              <w:spacing w:before="240" w:after="0"/>
              <w:outlineLvl w:val="6"/>
              <w:rPr>
                <w:color w:val="000000"/>
                <w:szCs w:val="24"/>
              </w:rPr>
            </w:pPr>
            <w:r w:rsidRPr="007A3223">
              <w:rPr>
                <w:color w:val="000000"/>
                <w:szCs w:val="24"/>
              </w:rPr>
              <w:lastRenderedPageBreak/>
              <w:t xml:space="preserve">Any grade 2 non-hematologic AE or grade 3 fatigue or hypertension related to </w:t>
            </w:r>
            <w:r w:rsidR="00CA27BF" w:rsidRPr="007A3223">
              <w:rPr>
                <w:color w:val="000000"/>
                <w:szCs w:val="24"/>
              </w:rPr>
              <w:t>study drug(s)</w:t>
            </w:r>
            <w:r w:rsidRPr="007A3223">
              <w:rPr>
                <w:color w:val="000000"/>
                <w:szCs w:val="24"/>
              </w:rPr>
              <w:t xml:space="preserve"> lasting &gt; 7 days despite maximal </w:t>
            </w:r>
            <w:r w:rsidR="00F33615" w:rsidRPr="007A3223">
              <w:rPr>
                <w:color w:val="000000"/>
                <w:szCs w:val="24"/>
              </w:rPr>
              <w:t>intervention</w:t>
            </w:r>
            <w:r w:rsidRPr="007A3223">
              <w:rPr>
                <w:color w:val="000000"/>
                <w:szCs w:val="24"/>
              </w:rPr>
              <w:t xml:space="preserve">. </w:t>
            </w:r>
          </w:p>
        </w:tc>
        <w:tc>
          <w:tcPr>
            <w:tcW w:w="4878" w:type="dxa"/>
          </w:tcPr>
          <w:p w14:paraId="368B7F26" w14:textId="77777777" w:rsidR="00F97086" w:rsidRPr="007A3223" w:rsidRDefault="00F97086" w:rsidP="00E15A4F">
            <w:pPr>
              <w:autoSpaceDE w:val="0"/>
              <w:autoSpaceDN w:val="0"/>
              <w:adjustRightInd w:val="0"/>
              <w:spacing w:before="240" w:after="0"/>
              <w:outlineLvl w:val="6"/>
              <w:rPr>
                <w:color w:val="000000"/>
                <w:szCs w:val="24"/>
              </w:rPr>
            </w:pPr>
            <w:r w:rsidRPr="007A3223">
              <w:rPr>
                <w:rFonts w:hint="eastAsia"/>
                <w:color w:val="000000"/>
                <w:szCs w:val="24"/>
              </w:rPr>
              <w:t xml:space="preserve">Hold study drug(s)** for up to 14 days until toxicity resolves to </w:t>
            </w:r>
            <w:r w:rsidRPr="007A3223">
              <w:rPr>
                <w:rFonts w:hint="eastAsia"/>
                <w:color w:val="000000"/>
                <w:szCs w:val="24"/>
              </w:rPr>
              <w:t>≤</w:t>
            </w:r>
            <w:r w:rsidRPr="007A3223">
              <w:rPr>
                <w:rFonts w:hint="eastAsia"/>
                <w:color w:val="000000"/>
                <w:szCs w:val="24"/>
              </w:rPr>
              <w:t xml:space="preserve"> grade 1. </w:t>
            </w:r>
          </w:p>
          <w:p w14:paraId="2099A9DA" w14:textId="6A41BB1F" w:rsidR="00F97086" w:rsidRPr="00F33908" w:rsidRDefault="00F97086" w:rsidP="00E15A4F">
            <w:pPr>
              <w:autoSpaceDE w:val="0"/>
              <w:autoSpaceDN w:val="0"/>
              <w:adjustRightInd w:val="0"/>
              <w:spacing w:before="240" w:after="0"/>
              <w:outlineLvl w:val="6"/>
              <w:rPr>
                <w:color w:val="000000"/>
                <w:szCs w:val="24"/>
              </w:rPr>
            </w:pPr>
            <w:r w:rsidRPr="007A3223">
              <w:rPr>
                <w:color w:val="000000"/>
                <w:szCs w:val="24"/>
              </w:rPr>
              <w:t xml:space="preserve">Treatment </w:t>
            </w:r>
            <w:r w:rsidR="00B654DF" w:rsidRPr="007A3223">
              <w:rPr>
                <w:color w:val="000000"/>
                <w:szCs w:val="24"/>
              </w:rPr>
              <w:t xml:space="preserve">with olaparib or cediranib </w:t>
            </w:r>
            <w:r w:rsidRPr="007A3223">
              <w:rPr>
                <w:color w:val="000000"/>
                <w:szCs w:val="24"/>
              </w:rPr>
              <w:t xml:space="preserve">may be restarted at one </w:t>
            </w:r>
            <w:r w:rsidR="00CB7AFC" w:rsidRPr="007A3223">
              <w:rPr>
                <w:color w:val="000000"/>
                <w:szCs w:val="24"/>
              </w:rPr>
              <w:t>DL</w:t>
            </w:r>
            <w:r w:rsidRPr="007A3223">
              <w:rPr>
                <w:color w:val="000000"/>
                <w:szCs w:val="24"/>
              </w:rPr>
              <w:t xml:space="preserve"> lower, as per th</w:t>
            </w:r>
            <w:r w:rsidR="009A768F" w:rsidRPr="007A3223">
              <w:rPr>
                <w:color w:val="000000"/>
                <w:szCs w:val="24"/>
              </w:rPr>
              <w:t xml:space="preserve">e dose reduction levels in </w:t>
            </w:r>
            <w:r w:rsidR="00307B04" w:rsidRPr="00F33908">
              <w:fldChar w:fldCharType="begin"/>
            </w:r>
            <w:r w:rsidR="00307B04" w:rsidRPr="007A3223">
              <w:instrText xml:space="preserve"> REF _Ref405292230 \h  \* MERGEFORMAT </w:instrText>
            </w:r>
            <w:r w:rsidR="00307B04" w:rsidRPr="00F33908">
              <w:fldChar w:fldCharType="separate"/>
            </w:r>
            <w:r w:rsidR="00E47ACA" w:rsidRPr="00E47ACA">
              <w:rPr>
                <w:b/>
                <w:color w:val="0000FF"/>
              </w:rPr>
              <w:t>Table 6</w:t>
            </w:r>
            <w:r w:rsidR="00307B04" w:rsidRPr="00F33908">
              <w:fldChar w:fldCharType="end"/>
            </w:r>
            <w:r w:rsidR="00635409" w:rsidRPr="007A3223">
              <w:rPr>
                <w:color w:val="000000"/>
                <w:szCs w:val="24"/>
              </w:rPr>
              <w:t xml:space="preserve"> and </w:t>
            </w:r>
            <w:r w:rsidR="00307B04" w:rsidRPr="00F33908">
              <w:fldChar w:fldCharType="begin"/>
            </w:r>
            <w:r w:rsidR="00307B04" w:rsidRPr="007A3223">
              <w:instrText xml:space="preserve"> REF _Ref405292235 \h  \* MERGEFORMAT </w:instrText>
            </w:r>
            <w:r w:rsidR="00307B04" w:rsidRPr="00F33908">
              <w:fldChar w:fldCharType="separate"/>
            </w:r>
            <w:r w:rsidR="00E47ACA" w:rsidRPr="00E47ACA">
              <w:rPr>
                <w:b/>
                <w:color w:val="0000FF"/>
              </w:rPr>
              <w:t>Table 7</w:t>
            </w:r>
            <w:r w:rsidR="00307B04" w:rsidRPr="00F33908">
              <w:fldChar w:fldCharType="end"/>
            </w:r>
            <w:r w:rsidR="009A768F" w:rsidRPr="007A3223">
              <w:rPr>
                <w:color w:val="000000"/>
                <w:szCs w:val="24"/>
              </w:rPr>
              <w:t>.</w:t>
            </w:r>
          </w:p>
          <w:p w14:paraId="4215C9E4" w14:textId="77777777" w:rsidR="00F97086" w:rsidRPr="007A3223" w:rsidRDefault="00F97086" w:rsidP="00E15A4F">
            <w:pPr>
              <w:autoSpaceDE w:val="0"/>
              <w:autoSpaceDN w:val="0"/>
              <w:adjustRightInd w:val="0"/>
              <w:spacing w:before="240" w:after="0"/>
              <w:outlineLvl w:val="6"/>
              <w:rPr>
                <w:color w:val="000000"/>
                <w:szCs w:val="24"/>
              </w:rPr>
            </w:pPr>
            <w:r w:rsidRPr="007A3223">
              <w:rPr>
                <w:color w:val="000000"/>
                <w:szCs w:val="24"/>
              </w:rPr>
              <w:t>Patients whose toxicity has not resolved after 14 days will be removed from study</w:t>
            </w:r>
            <w:r w:rsidR="00FF7B9C" w:rsidRPr="007A3223">
              <w:rPr>
                <w:color w:val="000000"/>
                <w:szCs w:val="24"/>
              </w:rPr>
              <w:t xml:space="preserve"> regimen</w:t>
            </w:r>
            <w:r w:rsidRPr="007A3223">
              <w:rPr>
                <w:color w:val="000000"/>
                <w:szCs w:val="24"/>
              </w:rPr>
              <w:t xml:space="preserve">. </w:t>
            </w:r>
          </w:p>
        </w:tc>
      </w:tr>
      <w:tr w:rsidR="00F97086" w:rsidRPr="007A3223" w14:paraId="677915BF" w14:textId="77777777" w:rsidTr="00EA25D7">
        <w:trPr>
          <w:trHeight w:val="683"/>
        </w:trPr>
        <w:tc>
          <w:tcPr>
            <w:tcW w:w="4698" w:type="dxa"/>
          </w:tcPr>
          <w:p w14:paraId="64897FD8" w14:textId="1F41FAA9" w:rsidR="00F97086" w:rsidRPr="007A3223" w:rsidRDefault="00F97086" w:rsidP="00F33615">
            <w:pPr>
              <w:autoSpaceDE w:val="0"/>
              <w:autoSpaceDN w:val="0"/>
              <w:adjustRightInd w:val="0"/>
              <w:spacing w:before="240"/>
              <w:outlineLvl w:val="6"/>
              <w:rPr>
                <w:szCs w:val="24"/>
              </w:rPr>
            </w:pPr>
            <w:r w:rsidRPr="007A3223">
              <w:rPr>
                <w:color w:val="000000"/>
              </w:rPr>
              <w:t xml:space="preserve">Grade 3 or 4 non-hematologic AE related to </w:t>
            </w:r>
            <w:r w:rsidR="00A16CBB">
              <w:rPr>
                <w:color w:val="000000"/>
              </w:rPr>
              <w:t>Durvalumab</w:t>
            </w:r>
            <w:r w:rsidR="00CA27BF" w:rsidRPr="007A3223">
              <w:rPr>
                <w:color w:val="000000"/>
              </w:rPr>
              <w:t>*</w:t>
            </w:r>
            <w:r w:rsidR="00D10179" w:rsidRPr="007A3223">
              <w:rPr>
                <w:color w:val="000000"/>
              </w:rPr>
              <w:t>,</w:t>
            </w:r>
            <w:r w:rsidR="003265EB" w:rsidRPr="007A3223">
              <w:rPr>
                <w:color w:val="000000"/>
              </w:rPr>
              <w:t xml:space="preserve"> </w:t>
            </w:r>
            <w:r w:rsidRPr="007A3223">
              <w:rPr>
                <w:color w:val="000000"/>
              </w:rPr>
              <w:t xml:space="preserve">cediranib </w:t>
            </w:r>
            <w:r w:rsidR="003265EB" w:rsidRPr="007A3223">
              <w:rPr>
                <w:color w:val="000000"/>
              </w:rPr>
              <w:t xml:space="preserve">or </w:t>
            </w:r>
            <w:r w:rsidRPr="007A3223">
              <w:rPr>
                <w:color w:val="000000"/>
              </w:rPr>
              <w:t>olaparib</w:t>
            </w:r>
            <w:r w:rsidR="003265EB" w:rsidRPr="007A3223">
              <w:rPr>
                <w:color w:val="000000"/>
              </w:rPr>
              <w:t xml:space="preserve"> combination therapy </w:t>
            </w:r>
            <w:r w:rsidRPr="007A3223">
              <w:rPr>
                <w:color w:val="000000"/>
              </w:rPr>
              <w:t>th</w:t>
            </w:r>
            <w:r w:rsidR="00CB7AFC" w:rsidRPr="007A3223">
              <w:rPr>
                <w:color w:val="000000"/>
              </w:rPr>
              <w:t>at does not resolve to grade 1 or less</w:t>
            </w:r>
            <w:r w:rsidRPr="007A3223">
              <w:rPr>
                <w:color w:val="000000"/>
              </w:rPr>
              <w:t xml:space="preserve"> within 14 days despite maximum </w:t>
            </w:r>
            <w:r w:rsidR="00F33615" w:rsidRPr="007A3223">
              <w:rPr>
                <w:color w:val="000000"/>
              </w:rPr>
              <w:t>intervention</w:t>
            </w:r>
            <w:r w:rsidRPr="007A3223">
              <w:rPr>
                <w:color w:val="000000"/>
              </w:rPr>
              <w:t xml:space="preserve"> after treating patient </w:t>
            </w:r>
            <w:r w:rsidR="00CB7AFC" w:rsidRPr="007A3223">
              <w:rPr>
                <w:color w:val="000000"/>
              </w:rPr>
              <w:t>at the lowest reduced DL</w:t>
            </w:r>
            <w:r w:rsidR="0045080E" w:rsidRPr="007A3223">
              <w:rPr>
                <w:color w:val="000000"/>
              </w:rPr>
              <w:t>***</w:t>
            </w:r>
          </w:p>
        </w:tc>
        <w:tc>
          <w:tcPr>
            <w:tcW w:w="4878" w:type="dxa"/>
          </w:tcPr>
          <w:p w14:paraId="09FA6ECB" w14:textId="77777777" w:rsidR="00F97086" w:rsidRPr="007A3223" w:rsidRDefault="00F97086" w:rsidP="00A47950">
            <w:pPr>
              <w:autoSpaceDE w:val="0"/>
              <w:autoSpaceDN w:val="0"/>
              <w:adjustRightInd w:val="0"/>
              <w:spacing w:before="240" w:after="0"/>
              <w:outlineLvl w:val="6"/>
              <w:rPr>
                <w:color w:val="000000"/>
                <w:szCs w:val="24"/>
              </w:rPr>
            </w:pPr>
            <w:r w:rsidRPr="007A3223">
              <w:rPr>
                <w:color w:val="000000"/>
                <w:szCs w:val="24"/>
              </w:rPr>
              <w:t>Remove patient from study</w:t>
            </w:r>
            <w:r w:rsidR="00FF7B9C" w:rsidRPr="007A3223">
              <w:rPr>
                <w:color w:val="000000"/>
                <w:szCs w:val="24"/>
              </w:rPr>
              <w:t xml:space="preserve"> regimen</w:t>
            </w:r>
            <w:r w:rsidRPr="007A3223">
              <w:rPr>
                <w:color w:val="000000"/>
                <w:szCs w:val="24"/>
              </w:rPr>
              <w:t xml:space="preserve">. </w:t>
            </w:r>
          </w:p>
        </w:tc>
      </w:tr>
    </w:tbl>
    <w:p w14:paraId="2B441C7A" w14:textId="77777777" w:rsidR="00645C2F" w:rsidRPr="007A3223" w:rsidRDefault="00645C2F" w:rsidP="00BA6344">
      <w:pPr>
        <w:pStyle w:val="Default"/>
      </w:pPr>
      <w:r w:rsidRPr="007A3223">
        <w:t xml:space="preserve">* Excluding </w:t>
      </w:r>
      <w:r w:rsidR="00CA27BF" w:rsidRPr="007A3223">
        <w:t xml:space="preserve">1) </w:t>
      </w:r>
      <w:r w:rsidRPr="007A3223">
        <w:t>Grade 3 hypertension controlled with anti-hypertensive therapy, or</w:t>
      </w:r>
      <w:r w:rsidR="00ED39EF" w:rsidRPr="007A3223">
        <w:t xml:space="preserve"> </w:t>
      </w:r>
      <w:r w:rsidR="009D639C" w:rsidRPr="007A3223">
        <w:t xml:space="preserve">grade 3 </w:t>
      </w:r>
      <w:r w:rsidR="00ED39EF" w:rsidRPr="007A3223">
        <w:t>asymptomatic electrolyte</w:t>
      </w:r>
      <w:r w:rsidR="009D639C" w:rsidRPr="007A3223">
        <w:t>s</w:t>
      </w:r>
      <w:r w:rsidR="00ED39EF" w:rsidRPr="007A3223">
        <w:t xml:space="preserve"> </w:t>
      </w:r>
      <w:r w:rsidR="009D639C" w:rsidRPr="007A3223">
        <w:t>imbalance</w:t>
      </w:r>
      <w:r w:rsidR="00ED39EF" w:rsidRPr="007A3223">
        <w:t xml:space="preserve"> with optimal </w:t>
      </w:r>
      <w:r w:rsidR="009D639C" w:rsidRPr="007A3223">
        <w:t xml:space="preserve">and continuing </w:t>
      </w:r>
      <w:r w:rsidR="00ED39EF" w:rsidRPr="007A3223">
        <w:t xml:space="preserve">repletion </w:t>
      </w:r>
      <w:r w:rsidR="009D639C" w:rsidRPr="007A3223">
        <w:t>that downgrades to grade 1 or better within 3 days after onset of the event</w:t>
      </w:r>
      <w:r w:rsidR="00CA27BF" w:rsidRPr="007A3223">
        <w:t xml:space="preserve">; 2) </w:t>
      </w:r>
      <w:r w:rsidRPr="007A3223">
        <w:t xml:space="preserve">Grade 3 </w:t>
      </w:r>
      <w:r w:rsidR="003626BA" w:rsidRPr="007A3223">
        <w:t xml:space="preserve">asymptomatic </w:t>
      </w:r>
      <w:r w:rsidRPr="007A3223">
        <w:t xml:space="preserve">increase in gamma glutamyl transferase (GGT) </w:t>
      </w:r>
      <w:r w:rsidR="003626BA" w:rsidRPr="007A3223">
        <w:t xml:space="preserve">OR grade 3 asymptomatic increase </w:t>
      </w:r>
      <w:r w:rsidR="00A81546" w:rsidRPr="007A3223">
        <w:t xml:space="preserve">in </w:t>
      </w:r>
      <w:r w:rsidR="003626BA" w:rsidRPr="007A3223">
        <w:t xml:space="preserve">amylase or lipase </w:t>
      </w:r>
      <w:r w:rsidRPr="007A3223">
        <w:t xml:space="preserve">that downgrades to Grade </w:t>
      </w:r>
      <w:r w:rsidR="00A81546" w:rsidRPr="007A3223">
        <w:t>1</w:t>
      </w:r>
      <w:r w:rsidRPr="007A3223">
        <w:t xml:space="preserve"> or better within 7 days after onset of the event</w:t>
      </w:r>
      <w:r w:rsidR="00CA27BF" w:rsidRPr="007A3223">
        <w:t xml:space="preserve">; 3) </w:t>
      </w:r>
      <w:r w:rsidRPr="007A3223">
        <w:t>Grade 3 endocrinopathy that is managed with or without systemic corticosteroid therapy and/or hormone replacement therapy and the patient is asymptomatic</w:t>
      </w:r>
      <w:r w:rsidR="00400E8A" w:rsidRPr="007A3223">
        <w:t>.</w:t>
      </w:r>
      <w:r w:rsidR="00CA27BF" w:rsidRPr="007A3223">
        <w:t xml:space="preserve"> </w:t>
      </w:r>
    </w:p>
    <w:p w14:paraId="6F0530DC" w14:textId="77777777" w:rsidR="008D7D0B" w:rsidRPr="007A3223" w:rsidRDefault="00F97086" w:rsidP="00904826">
      <w:pPr>
        <w:spacing w:after="0"/>
        <w:rPr>
          <w:szCs w:val="24"/>
        </w:rPr>
      </w:pPr>
      <w:r w:rsidRPr="007A3223">
        <w:rPr>
          <w:szCs w:val="24"/>
        </w:rPr>
        <w:t>** For patients on combination therapy, if the observed AE is specifically attributed to only 1 of the drugs, that drug may be held while the patient continues to receive the drug not associated with the observed AE.</w:t>
      </w:r>
      <w:r w:rsidR="008D7D0B" w:rsidRPr="007A3223">
        <w:rPr>
          <w:szCs w:val="24"/>
        </w:rPr>
        <w:t xml:space="preserve"> The time a given drug is held should not exceed 14 days.</w:t>
      </w:r>
    </w:p>
    <w:p w14:paraId="35305F22" w14:textId="77777777" w:rsidR="008D7D0B" w:rsidRPr="007A3223" w:rsidRDefault="008D7D0B" w:rsidP="00904826">
      <w:pPr>
        <w:spacing w:after="0"/>
        <w:rPr>
          <w:szCs w:val="24"/>
        </w:rPr>
      </w:pPr>
      <w:r w:rsidRPr="007A3223">
        <w:rPr>
          <w:szCs w:val="24"/>
        </w:rPr>
        <w:t>*** Excluding hypertension, see below.</w:t>
      </w:r>
    </w:p>
    <w:p w14:paraId="1BBE74E5" w14:textId="77777777" w:rsidR="00B72780" w:rsidRPr="007A3223" w:rsidRDefault="00B72780" w:rsidP="00904826">
      <w:pPr>
        <w:spacing w:after="0"/>
        <w:rPr>
          <w:sz w:val="22"/>
        </w:rPr>
      </w:pPr>
    </w:p>
    <w:p w14:paraId="74972AFD" w14:textId="77777777" w:rsidR="00902EAD" w:rsidRPr="007A3223" w:rsidRDefault="00952626" w:rsidP="0045080E">
      <w:pPr>
        <w:pStyle w:val="Heading4"/>
        <w:spacing w:before="120"/>
        <w:rPr>
          <w:noProof w:val="0"/>
        </w:rPr>
      </w:pPr>
      <w:r w:rsidRPr="007A3223">
        <w:rPr>
          <w:noProof w:val="0"/>
        </w:rPr>
        <w:t>Cediranib</w:t>
      </w:r>
    </w:p>
    <w:p w14:paraId="665915C8" w14:textId="77777777" w:rsidR="00F339F0" w:rsidRPr="007A3223" w:rsidRDefault="00943D45" w:rsidP="0045080E">
      <w:pPr>
        <w:pStyle w:val="Heading5"/>
      </w:pPr>
      <w:r w:rsidRPr="007A3223">
        <w:t>Dose Modification and Management of Hypertension</w:t>
      </w:r>
      <w:r w:rsidR="00877DBD" w:rsidRPr="007A3223">
        <w:t xml:space="preserve"> for Cediranib</w:t>
      </w:r>
    </w:p>
    <w:p w14:paraId="02A58CD3" w14:textId="4139DF64" w:rsidR="006F3101" w:rsidRPr="007A3223" w:rsidRDefault="00A140CE" w:rsidP="00977E29">
      <w:pPr>
        <w:tabs>
          <w:tab w:val="left" w:pos="4590"/>
          <w:tab w:val="left" w:pos="5130"/>
          <w:tab w:val="left" w:pos="8640"/>
        </w:tabs>
        <w:rPr>
          <w:szCs w:val="24"/>
        </w:rPr>
      </w:pPr>
      <w:r w:rsidRPr="007A3223">
        <w:rPr>
          <w:szCs w:val="24"/>
        </w:rPr>
        <w:t xml:space="preserve">Only doses of cediranib will be modified for hypertension; olaparib </w:t>
      </w:r>
      <w:r w:rsidR="00D457EC" w:rsidRPr="007A3223">
        <w:rPr>
          <w:szCs w:val="24"/>
        </w:rPr>
        <w:t xml:space="preserve">or </w:t>
      </w:r>
      <w:r w:rsidR="00A16CBB">
        <w:rPr>
          <w:szCs w:val="24"/>
        </w:rPr>
        <w:t>Durvalumab</w:t>
      </w:r>
      <w:r w:rsidR="00D457EC" w:rsidRPr="007A3223">
        <w:rPr>
          <w:szCs w:val="24"/>
        </w:rPr>
        <w:t xml:space="preserve"> </w:t>
      </w:r>
      <w:r w:rsidRPr="007A3223">
        <w:rPr>
          <w:szCs w:val="24"/>
        </w:rPr>
        <w:t xml:space="preserve">doses will not be </w:t>
      </w:r>
      <w:r w:rsidR="00DC0C05" w:rsidRPr="007A3223">
        <w:rPr>
          <w:szCs w:val="24"/>
        </w:rPr>
        <w:t xml:space="preserve">altered </w:t>
      </w:r>
      <w:r w:rsidRPr="007A3223">
        <w:rPr>
          <w:szCs w:val="24"/>
        </w:rPr>
        <w:t>unless other toxicities are experienced. Patients receiving cediranib should be provided with</w:t>
      </w:r>
      <w:r w:rsidR="00D457EC" w:rsidRPr="007A3223">
        <w:rPr>
          <w:szCs w:val="24"/>
        </w:rPr>
        <w:t xml:space="preserve"> </w:t>
      </w:r>
      <w:r w:rsidRPr="007A3223">
        <w:rPr>
          <w:szCs w:val="24"/>
        </w:rPr>
        <w:t>blood pressure monitors for home use and will check and record their blood pressures at least</w:t>
      </w:r>
      <w:r w:rsidR="00D457EC" w:rsidRPr="007A3223">
        <w:rPr>
          <w:szCs w:val="24"/>
        </w:rPr>
        <w:t xml:space="preserve"> </w:t>
      </w:r>
      <w:r w:rsidRPr="007A3223">
        <w:rPr>
          <w:szCs w:val="24"/>
        </w:rPr>
        <w:t xml:space="preserve">twice daily while on study treatment (see </w:t>
      </w:r>
      <w:r w:rsidR="00307B04" w:rsidRPr="00F33908">
        <w:fldChar w:fldCharType="begin"/>
      </w:r>
      <w:r w:rsidR="00307B04" w:rsidRPr="007A3223">
        <w:instrText xml:space="preserve"> REF _Ref405291048 \h  \* MERGEFORMAT </w:instrText>
      </w:r>
      <w:r w:rsidR="00307B04" w:rsidRPr="00F33908">
        <w:fldChar w:fldCharType="separate"/>
      </w:r>
      <w:r w:rsidR="00E47ACA" w:rsidRPr="00E47ACA">
        <w:rPr>
          <w:b/>
          <w:color w:val="0000FF"/>
        </w:rPr>
        <w:t>Appendix D</w:t>
      </w:r>
      <w:r w:rsidR="00307B04" w:rsidRPr="00F33908">
        <w:fldChar w:fldCharType="end"/>
      </w:r>
      <w:r w:rsidR="006F3101" w:rsidRPr="007A3223">
        <w:rPr>
          <w:szCs w:val="24"/>
        </w:rPr>
        <w:t xml:space="preserve">). </w:t>
      </w:r>
      <w:r w:rsidR="00D457EC" w:rsidRPr="00F33908">
        <w:rPr>
          <w:szCs w:val="24"/>
        </w:rPr>
        <w:t xml:space="preserve">Please refer to </w:t>
      </w:r>
      <w:r w:rsidR="0072540E" w:rsidRPr="00F33908">
        <w:rPr>
          <w:b/>
          <w:color w:val="0000FF"/>
        </w:rPr>
        <w:fldChar w:fldCharType="begin"/>
      </w:r>
      <w:r w:rsidR="0072540E" w:rsidRPr="007A3223">
        <w:rPr>
          <w:b/>
          <w:color w:val="0000FF"/>
        </w:rPr>
        <w:instrText xml:space="preserve"> REF F \h  \* MERGEFORMAT </w:instrText>
      </w:r>
      <w:r w:rsidR="0072540E" w:rsidRPr="00F33908">
        <w:rPr>
          <w:b/>
          <w:color w:val="0000FF"/>
        </w:rPr>
      </w:r>
      <w:r w:rsidR="0072540E" w:rsidRPr="00F33908">
        <w:rPr>
          <w:b/>
          <w:color w:val="0000FF"/>
        </w:rPr>
        <w:fldChar w:fldCharType="separate"/>
      </w:r>
      <w:r w:rsidR="00E47ACA" w:rsidRPr="00E47ACA">
        <w:rPr>
          <w:b/>
          <w:color w:val="0000FF"/>
        </w:rPr>
        <w:t>Appendix F</w:t>
      </w:r>
      <w:r w:rsidR="0072540E" w:rsidRPr="00F33908">
        <w:rPr>
          <w:b/>
          <w:color w:val="0000FF"/>
        </w:rPr>
        <w:fldChar w:fldCharType="end"/>
      </w:r>
      <w:r w:rsidR="0072540E" w:rsidRPr="007A3223">
        <w:rPr>
          <w:b/>
          <w:color w:val="0000FF"/>
          <w:szCs w:val="24"/>
        </w:rPr>
        <w:t xml:space="preserve"> </w:t>
      </w:r>
      <w:r w:rsidR="002D3A69" w:rsidRPr="00F33908">
        <w:rPr>
          <w:szCs w:val="24"/>
        </w:rPr>
        <w:t>for additional information on antihypertensive therapeutic options and th</w:t>
      </w:r>
      <w:r w:rsidR="002D3A69" w:rsidRPr="007A3223">
        <w:rPr>
          <w:szCs w:val="24"/>
        </w:rPr>
        <w:t>eir interactions with other medications</w:t>
      </w:r>
      <w:r w:rsidR="008E39C1" w:rsidRPr="007A3223">
        <w:rPr>
          <w:szCs w:val="24"/>
        </w:rPr>
        <w:t xml:space="preserve">. </w:t>
      </w:r>
    </w:p>
    <w:p w14:paraId="24183519" w14:textId="77777777" w:rsidR="00783250" w:rsidRPr="007A3223" w:rsidRDefault="00783250" w:rsidP="00EA69AB">
      <w:pPr>
        <w:pStyle w:val="Caption"/>
      </w:pPr>
    </w:p>
    <w:tbl>
      <w:tblPr>
        <w:tblStyle w:val="TableGrid"/>
        <w:tblW w:w="0" w:type="auto"/>
        <w:tblLayout w:type="fixed"/>
        <w:tblLook w:val="04A0" w:firstRow="1" w:lastRow="0" w:firstColumn="1" w:lastColumn="0" w:noHBand="0" w:noVBand="1"/>
      </w:tblPr>
      <w:tblGrid>
        <w:gridCol w:w="918"/>
        <w:gridCol w:w="1800"/>
        <w:gridCol w:w="3060"/>
        <w:gridCol w:w="1440"/>
        <w:gridCol w:w="2358"/>
      </w:tblGrid>
      <w:tr w:rsidR="00742AD0" w:rsidRPr="007A3223" w14:paraId="2612B09F" w14:textId="77777777" w:rsidTr="00B30BF9">
        <w:tc>
          <w:tcPr>
            <w:tcW w:w="9576" w:type="dxa"/>
            <w:gridSpan w:val="5"/>
          </w:tcPr>
          <w:p w14:paraId="4FB9CDA2" w14:textId="2DD17274" w:rsidR="00742AD0" w:rsidRPr="00F33908" w:rsidRDefault="000C1677" w:rsidP="000C1677">
            <w:pPr>
              <w:pStyle w:val="Caption"/>
              <w:rPr>
                <w:sz w:val="24"/>
                <w:szCs w:val="24"/>
              </w:rPr>
            </w:pPr>
            <w:bookmarkStart w:id="188" w:name="_Toc82444447"/>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13</w:t>
            </w:r>
            <w:r w:rsidR="00F82420" w:rsidRPr="00F33908">
              <w:rPr>
                <w:noProof/>
              </w:rPr>
              <w:fldChar w:fldCharType="end"/>
            </w:r>
            <w:r w:rsidR="00742AD0" w:rsidRPr="007A3223">
              <w:rPr>
                <w:sz w:val="24"/>
                <w:szCs w:val="24"/>
              </w:rPr>
              <w:t>: Hypertension Monitoring and Management</w:t>
            </w:r>
            <w:bookmarkEnd w:id="188"/>
          </w:p>
        </w:tc>
      </w:tr>
      <w:tr w:rsidR="00742AD0" w:rsidRPr="007A3223" w14:paraId="7589E193" w14:textId="77777777" w:rsidTr="00B30BF9">
        <w:tc>
          <w:tcPr>
            <w:tcW w:w="9576" w:type="dxa"/>
            <w:gridSpan w:val="5"/>
          </w:tcPr>
          <w:p w14:paraId="360E8566" w14:textId="702332AA" w:rsidR="00742AD0" w:rsidRPr="007A3223" w:rsidRDefault="00742AD0" w:rsidP="003721F8">
            <w:pPr>
              <w:pStyle w:val="ListParagraph"/>
              <w:widowControl w:val="0"/>
              <w:numPr>
                <w:ilvl w:val="0"/>
                <w:numId w:val="9"/>
              </w:numPr>
              <w:autoSpaceDE w:val="0"/>
              <w:autoSpaceDN w:val="0"/>
              <w:adjustRightInd w:val="0"/>
              <w:rPr>
                <w:sz w:val="20"/>
                <w:szCs w:val="20"/>
              </w:rPr>
            </w:pPr>
            <w:r w:rsidRPr="007A3223">
              <w:rPr>
                <w:sz w:val="20"/>
                <w:szCs w:val="20"/>
              </w:rPr>
              <w:t xml:space="preserve">See table for suggested antihypertensive medications by class </w:t>
            </w:r>
            <w:r w:rsidR="00CC31AB" w:rsidRPr="007A3223">
              <w:rPr>
                <w:sz w:val="20"/>
                <w:szCs w:val="20"/>
                <w:lang w:val="en-US"/>
              </w:rPr>
              <w:t>(</w:t>
            </w:r>
            <w:r w:rsidR="00FB691D" w:rsidRPr="007A3223">
              <w:rPr>
                <w:sz w:val="20"/>
                <w:szCs w:val="20"/>
                <w:lang w:val="en-US"/>
              </w:rPr>
              <w:t xml:space="preserve"> </w:t>
            </w:r>
            <w:r w:rsidR="00CC31AB" w:rsidRPr="00F33908">
              <w:rPr>
                <w:b/>
                <w:color w:val="0000FF"/>
                <w:sz w:val="20"/>
                <w:szCs w:val="20"/>
                <w:lang w:val="en-US"/>
              </w:rPr>
              <w:fldChar w:fldCharType="begin"/>
            </w:r>
            <w:r w:rsidR="00CC31AB" w:rsidRPr="007A3223">
              <w:rPr>
                <w:b/>
                <w:color w:val="0000FF"/>
                <w:sz w:val="20"/>
                <w:szCs w:val="20"/>
                <w:lang w:val="en-US"/>
              </w:rPr>
              <w:instrText xml:space="preserve"> REF F \h  \* MERGEFORMAT </w:instrText>
            </w:r>
            <w:r w:rsidR="00CC31AB" w:rsidRPr="00F33908">
              <w:rPr>
                <w:b/>
                <w:color w:val="0000FF"/>
                <w:sz w:val="20"/>
                <w:szCs w:val="20"/>
                <w:lang w:val="en-US"/>
              </w:rPr>
            </w:r>
            <w:r w:rsidR="00CC31AB" w:rsidRPr="00F33908">
              <w:rPr>
                <w:b/>
                <w:color w:val="0000FF"/>
                <w:sz w:val="20"/>
                <w:szCs w:val="20"/>
                <w:lang w:val="en-US"/>
              </w:rPr>
              <w:fldChar w:fldCharType="separate"/>
            </w:r>
            <w:r w:rsidR="00E47ACA" w:rsidRPr="00E47ACA">
              <w:rPr>
                <w:b/>
                <w:color w:val="0000FF"/>
              </w:rPr>
              <w:t>Appendix F</w:t>
            </w:r>
            <w:r w:rsidR="00CC31AB" w:rsidRPr="00F33908">
              <w:rPr>
                <w:b/>
                <w:color w:val="0000FF"/>
                <w:sz w:val="20"/>
                <w:szCs w:val="20"/>
                <w:lang w:val="en-US"/>
              </w:rPr>
              <w:fldChar w:fldCharType="end"/>
            </w:r>
            <w:r w:rsidR="00FB691D" w:rsidRPr="007A3223">
              <w:rPr>
                <w:sz w:val="20"/>
                <w:szCs w:val="20"/>
                <w:lang w:val="en-US"/>
              </w:rPr>
              <w:t>)</w:t>
            </w:r>
            <w:r w:rsidR="00CC31AB" w:rsidRPr="00F33908">
              <w:rPr>
                <w:sz w:val="20"/>
                <w:szCs w:val="20"/>
                <w:lang w:val="en-US"/>
              </w:rPr>
              <w:t>.</w:t>
            </w:r>
          </w:p>
          <w:p w14:paraId="66207863" w14:textId="77777777" w:rsidR="00742AD0" w:rsidRPr="007A3223" w:rsidRDefault="00742AD0" w:rsidP="003721F8">
            <w:pPr>
              <w:pStyle w:val="ListParagraph"/>
              <w:widowControl w:val="0"/>
              <w:numPr>
                <w:ilvl w:val="0"/>
                <w:numId w:val="9"/>
              </w:numPr>
              <w:autoSpaceDE w:val="0"/>
              <w:autoSpaceDN w:val="0"/>
              <w:adjustRightInd w:val="0"/>
              <w:rPr>
                <w:sz w:val="20"/>
                <w:szCs w:val="20"/>
              </w:rPr>
            </w:pPr>
            <w:r w:rsidRPr="007A3223">
              <w:rPr>
                <w:sz w:val="20"/>
                <w:szCs w:val="20"/>
              </w:rPr>
              <w:t xml:space="preserve">Abbreviations: Angiotensin Converting Enzyme (ACE) Inhibitors, Angiotensin II Receptor Blockers (ARB), </w:t>
            </w:r>
            <w:r w:rsidRPr="007A3223">
              <w:rPr>
                <w:sz w:val="20"/>
                <w:szCs w:val="20"/>
              </w:rPr>
              <w:lastRenderedPageBreak/>
              <w:t xml:space="preserve">selective beta blockers (BB), </w:t>
            </w:r>
            <w:r w:rsidR="00A4555C" w:rsidRPr="007A3223">
              <w:rPr>
                <w:sz w:val="20"/>
                <w:szCs w:val="20"/>
              </w:rPr>
              <w:t>C</w:t>
            </w:r>
            <w:r w:rsidRPr="007A3223">
              <w:rPr>
                <w:sz w:val="20"/>
                <w:szCs w:val="20"/>
              </w:rPr>
              <w:t>alcium channel blockers (CC</w:t>
            </w:r>
            <w:r w:rsidR="00A4555C" w:rsidRPr="007A3223">
              <w:rPr>
                <w:sz w:val="20"/>
                <w:szCs w:val="20"/>
              </w:rPr>
              <w:t>B</w:t>
            </w:r>
            <w:r w:rsidRPr="007A3223">
              <w:rPr>
                <w:sz w:val="20"/>
                <w:szCs w:val="20"/>
              </w:rPr>
              <w:t>)</w:t>
            </w:r>
          </w:p>
          <w:p w14:paraId="06B7621C" w14:textId="77777777" w:rsidR="00742AD0" w:rsidRPr="007A3223" w:rsidRDefault="00742AD0" w:rsidP="003721F8">
            <w:pPr>
              <w:pStyle w:val="ListParagraph"/>
              <w:widowControl w:val="0"/>
              <w:numPr>
                <w:ilvl w:val="0"/>
                <w:numId w:val="9"/>
              </w:numPr>
              <w:autoSpaceDE w:val="0"/>
              <w:autoSpaceDN w:val="0"/>
              <w:adjustRightInd w:val="0"/>
              <w:rPr>
                <w:sz w:val="20"/>
                <w:szCs w:val="20"/>
              </w:rPr>
            </w:pPr>
            <w:r w:rsidRPr="007A3223">
              <w:rPr>
                <w:sz w:val="20"/>
                <w:szCs w:val="20"/>
              </w:rPr>
              <w:t xml:space="preserve">If patients require a delay of &gt;2 weeks for management of hypertension, </w:t>
            </w:r>
            <w:r w:rsidR="00572BE3" w:rsidRPr="007A3223">
              <w:rPr>
                <w:bCs/>
                <w:szCs w:val="22"/>
              </w:rPr>
              <w:t>discontinuation of cediranib may be considered after discussion with the PI.</w:t>
            </w:r>
          </w:p>
          <w:p w14:paraId="443B6E1D" w14:textId="77777777" w:rsidR="00572BE3" w:rsidRPr="007A3223" w:rsidRDefault="00742AD0" w:rsidP="003721F8">
            <w:pPr>
              <w:pStyle w:val="ListParagraph"/>
              <w:widowControl w:val="0"/>
              <w:numPr>
                <w:ilvl w:val="0"/>
                <w:numId w:val="9"/>
              </w:numPr>
              <w:autoSpaceDE w:val="0"/>
              <w:autoSpaceDN w:val="0"/>
              <w:adjustRightInd w:val="0"/>
              <w:rPr>
                <w:sz w:val="20"/>
                <w:szCs w:val="20"/>
              </w:rPr>
            </w:pPr>
            <w:r w:rsidRPr="007A3223">
              <w:rPr>
                <w:sz w:val="20"/>
                <w:szCs w:val="20"/>
              </w:rPr>
              <w:t>Patients may have up to 4 drugs for management of hypertension prior to any dose reduction in cediranib</w:t>
            </w:r>
          </w:p>
          <w:p w14:paraId="36FC333D" w14:textId="77777777" w:rsidR="00572BE3" w:rsidRPr="007A3223" w:rsidRDefault="00742AD0" w:rsidP="003721F8">
            <w:pPr>
              <w:pStyle w:val="ListParagraph"/>
              <w:widowControl w:val="0"/>
              <w:numPr>
                <w:ilvl w:val="0"/>
                <w:numId w:val="9"/>
              </w:numPr>
              <w:autoSpaceDE w:val="0"/>
              <w:autoSpaceDN w:val="0"/>
              <w:adjustRightInd w:val="0"/>
              <w:rPr>
                <w:b/>
                <w:szCs w:val="22"/>
              </w:rPr>
            </w:pPr>
            <w:r w:rsidRPr="007A3223">
              <w:rPr>
                <w:sz w:val="20"/>
                <w:szCs w:val="20"/>
              </w:rPr>
              <w:t>Hypertension should be graded using the NCI CTCAE v4.0</w:t>
            </w:r>
            <w:r w:rsidR="00572BE3" w:rsidRPr="007A3223">
              <w:rPr>
                <w:sz w:val="20"/>
                <w:szCs w:val="20"/>
              </w:rPr>
              <w:t xml:space="preserve">. </w:t>
            </w:r>
            <w:r w:rsidR="00572BE3" w:rsidRPr="007A3223">
              <w:rPr>
                <w:bCs/>
                <w:szCs w:val="22"/>
              </w:rPr>
              <w:t>Please note: patients may have baseline hypertension meeting CTCAE grading criteria on study entry.  Should patients require increase in dosing of BP medication or increased number of medications, they should then be noted to have hypertension related to study drug, with grading as per CTCAE v4.0 criteria.  Baseline grade of hypertension should also be recorded in the patient’s record.</w:t>
            </w:r>
          </w:p>
          <w:p w14:paraId="044689CC" w14:textId="77777777" w:rsidR="003639A6" w:rsidRPr="007A3223" w:rsidRDefault="003639A6" w:rsidP="003721F8">
            <w:pPr>
              <w:pStyle w:val="ListParagraph"/>
              <w:widowControl w:val="0"/>
              <w:numPr>
                <w:ilvl w:val="0"/>
                <w:numId w:val="9"/>
              </w:numPr>
              <w:autoSpaceDE w:val="0"/>
              <w:autoSpaceDN w:val="0"/>
              <w:adjustRightInd w:val="0"/>
              <w:rPr>
                <w:b/>
                <w:szCs w:val="22"/>
              </w:rPr>
            </w:pPr>
            <w:r w:rsidRPr="007A3223">
              <w:rPr>
                <w:b/>
                <w:bCs/>
                <w:szCs w:val="22"/>
              </w:rPr>
              <w:t>Note</w:t>
            </w:r>
            <w:r w:rsidRPr="007A3223">
              <w:rPr>
                <w:bCs/>
                <w:szCs w:val="22"/>
              </w:rPr>
              <w:t xml:space="preserve">:  Stopping or reducing the dose of cediranib is expected to cause a decrease in BP.  </w:t>
            </w:r>
            <w:r w:rsidRPr="007A3223">
              <w:rPr>
                <w:bCs/>
                <w:szCs w:val="22"/>
                <w:u w:val="single"/>
              </w:rPr>
              <w:t>The treating physician should monitor the patient for hypotension and adjust the number and dose of antihypertensive medications accordingly.</w:t>
            </w:r>
          </w:p>
          <w:p w14:paraId="21211A66" w14:textId="77777777" w:rsidR="00742AD0" w:rsidRPr="007A3223" w:rsidRDefault="00742AD0" w:rsidP="00572BE3">
            <w:pPr>
              <w:pStyle w:val="ListParagraph"/>
              <w:ind w:left="360"/>
              <w:rPr>
                <w:sz w:val="20"/>
                <w:szCs w:val="20"/>
              </w:rPr>
            </w:pPr>
          </w:p>
          <w:p w14:paraId="0DFE72E1" w14:textId="77777777" w:rsidR="00B30BF9" w:rsidRPr="007A3223" w:rsidRDefault="00B30BF9" w:rsidP="00B30BF9">
            <w:pPr>
              <w:pStyle w:val="ListParagraph"/>
              <w:ind w:left="360"/>
              <w:rPr>
                <w:sz w:val="24"/>
              </w:rPr>
            </w:pPr>
          </w:p>
        </w:tc>
      </w:tr>
      <w:tr w:rsidR="00B30BF9" w:rsidRPr="007A3223" w14:paraId="10A1F9CA" w14:textId="77777777" w:rsidTr="003F0513">
        <w:tc>
          <w:tcPr>
            <w:tcW w:w="918" w:type="dxa"/>
            <w:shd w:val="clear" w:color="auto" w:fill="BFBFBF" w:themeFill="background1" w:themeFillShade="BF"/>
          </w:tcPr>
          <w:p w14:paraId="459FBB50" w14:textId="77777777" w:rsidR="00742AD0" w:rsidRPr="007A3223" w:rsidRDefault="00742AD0" w:rsidP="00B30BF9">
            <w:pPr>
              <w:jc w:val="center"/>
              <w:rPr>
                <w:b/>
                <w:sz w:val="24"/>
                <w:szCs w:val="24"/>
              </w:rPr>
            </w:pPr>
            <w:r w:rsidRPr="007A3223">
              <w:rPr>
                <w:b/>
                <w:szCs w:val="24"/>
              </w:rPr>
              <w:lastRenderedPageBreak/>
              <w:t>Event</w:t>
            </w:r>
          </w:p>
        </w:tc>
        <w:tc>
          <w:tcPr>
            <w:tcW w:w="1800" w:type="dxa"/>
            <w:shd w:val="clear" w:color="auto" w:fill="BFBFBF" w:themeFill="background1" w:themeFillShade="BF"/>
          </w:tcPr>
          <w:p w14:paraId="1BE1D018" w14:textId="77777777" w:rsidR="00742AD0" w:rsidRPr="007A3223" w:rsidRDefault="00742AD0" w:rsidP="00B30BF9">
            <w:pPr>
              <w:jc w:val="center"/>
              <w:rPr>
                <w:b/>
                <w:sz w:val="24"/>
                <w:szCs w:val="24"/>
              </w:rPr>
            </w:pPr>
            <w:r w:rsidRPr="007A3223">
              <w:rPr>
                <w:b/>
                <w:szCs w:val="24"/>
              </w:rPr>
              <w:t>Definition</w:t>
            </w:r>
          </w:p>
        </w:tc>
        <w:tc>
          <w:tcPr>
            <w:tcW w:w="3060" w:type="dxa"/>
            <w:shd w:val="clear" w:color="auto" w:fill="BFBFBF" w:themeFill="background1" w:themeFillShade="BF"/>
          </w:tcPr>
          <w:p w14:paraId="40F8EF00" w14:textId="77777777" w:rsidR="00742AD0" w:rsidRPr="007A3223" w:rsidRDefault="00742AD0" w:rsidP="00B30BF9">
            <w:pPr>
              <w:widowControl w:val="0"/>
              <w:autoSpaceDE w:val="0"/>
              <w:autoSpaceDN w:val="0"/>
              <w:adjustRightInd w:val="0"/>
              <w:spacing w:after="0"/>
              <w:jc w:val="center"/>
              <w:rPr>
                <w:b/>
                <w:sz w:val="24"/>
                <w:szCs w:val="24"/>
              </w:rPr>
            </w:pPr>
            <w:r w:rsidRPr="007A3223">
              <w:rPr>
                <w:b/>
                <w:szCs w:val="24"/>
              </w:rPr>
              <w:t>Antihypertensive</w:t>
            </w:r>
          </w:p>
          <w:p w14:paraId="28F5BB60" w14:textId="77777777" w:rsidR="00742AD0" w:rsidRPr="007A3223" w:rsidRDefault="00742AD0" w:rsidP="00B30BF9">
            <w:pPr>
              <w:jc w:val="center"/>
              <w:rPr>
                <w:b/>
                <w:sz w:val="24"/>
                <w:szCs w:val="24"/>
              </w:rPr>
            </w:pPr>
            <w:r w:rsidRPr="007A3223">
              <w:rPr>
                <w:b/>
                <w:szCs w:val="24"/>
              </w:rPr>
              <w:t>Therapy</w:t>
            </w:r>
          </w:p>
        </w:tc>
        <w:tc>
          <w:tcPr>
            <w:tcW w:w="1440" w:type="dxa"/>
            <w:shd w:val="clear" w:color="auto" w:fill="BFBFBF" w:themeFill="background1" w:themeFillShade="BF"/>
          </w:tcPr>
          <w:p w14:paraId="76222CAF" w14:textId="77777777" w:rsidR="00742AD0" w:rsidRPr="007A3223" w:rsidRDefault="00742AD0" w:rsidP="00B30BF9">
            <w:pPr>
              <w:widowControl w:val="0"/>
              <w:autoSpaceDE w:val="0"/>
              <w:autoSpaceDN w:val="0"/>
              <w:adjustRightInd w:val="0"/>
              <w:spacing w:after="0"/>
              <w:jc w:val="center"/>
              <w:rPr>
                <w:b/>
                <w:sz w:val="24"/>
                <w:szCs w:val="24"/>
              </w:rPr>
            </w:pPr>
            <w:r w:rsidRPr="007A3223">
              <w:rPr>
                <w:b/>
                <w:szCs w:val="24"/>
              </w:rPr>
              <w:t>Blood Pressure</w:t>
            </w:r>
          </w:p>
          <w:p w14:paraId="18193B79" w14:textId="77777777" w:rsidR="00742AD0" w:rsidRPr="007A3223" w:rsidRDefault="00742AD0" w:rsidP="00B30BF9">
            <w:pPr>
              <w:jc w:val="center"/>
              <w:rPr>
                <w:b/>
                <w:sz w:val="24"/>
                <w:szCs w:val="24"/>
              </w:rPr>
            </w:pPr>
            <w:r w:rsidRPr="007A3223">
              <w:rPr>
                <w:b/>
                <w:szCs w:val="24"/>
              </w:rPr>
              <w:t>Monitoring</w:t>
            </w:r>
          </w:p>
        </w:tc>
        <w:tc>
          <w:tcPr>
            <w:tcW w:w="2358" w:type="dxa"/>
            <w:shd w:val="clear" w:color="auto" w:fill="BFBFBF" w:themeFill="background1" w:themeFillShade="BF"/>
          </w:tcPr>
          <w:p w14:paraId="1B0B5B37" w14:textId="77777777" w:rsidR="00742AD0" w:rsidRPr="007A3223" w:rsidRDefault="00742AD0" w:rsidP="00B30BF9">
            <w:pPr>
              <w:widowControl w:val="0"/>
              <w:autoSpaceDE w:val="0"/>
              <w:autoSpaceDN w:val="0"/>
              <w:adjustRightInd w:val="0"/>
              <w:spacing w:after="0"/>
              <w:jc w:val="center"/>
              <w:rPr>
                <w:b/>
                <w:sz w:val="24"/>
                <w:szCs w:val="24"/>
              </w:rPr>
            </w:pPr>
            <w:r w:rsidRPr="007A3223">
              <w:rPr>
                <w:b/>
                <w:szCs w:val="24"/>
              </w:rPr>
              <w:t>Cediranib Dose</w:t>
            </w:r>
          </w:p>
          <w:p w14:paraId="1DB700AF" w14:textId="77777777" w:rsidR="00742AD0" w:rsidRPr="007A3223" w:rsidRDefault="00742AD0" w:rsidP="00B30BF9">
            <w:pPr>
              <w:jc w:val="center"/>
              <w:rPr>
                <w:b/>
                <w:sz w:val="24"/>
                <w:szCs w:val="24"/>
              </w:rPr>
            </w:pPr>
            <w:r w:rsidRPr="007A3223">
              <w:rPr>
                <w:b/>
                <w:szCs w:val="24"/>
              </w:rPr>
              <w:t>Modification</w:t>
            </w:r>
          </w:p>
        </w:tc>
      </w:tr>
      <w:tr w:rsidR="009E2290" w:rsidRPr="007A3223" w14:paraId="23487767" w14:textId="77777777" w:rsidTr="003F0513">
        <w:tc>
          <w:tcPr>
            <w:tcW w:w="918" w:type="dxa"/>
          </w:tcPr>
          <w:p w14:paraId="30F88769" w14:textId="77777777" w:rsidR="009E2290" w:rsidRPr="007A3223" w:rsidRDefault="009E2290" w:rsidP="003F0513">
            <w:pPr>
              <w:spacing w:before="240"/>
              <w:jc w:val="center"/>
              <w:outlineLvl w:val="6"/>
              <w:rPr>
                <w:b/>
              </w:rPr>
            </w:pPr>
            <w:r w:rsidRPr="007A3223">
              <w:rPr>
                <w:b/>
              </w:rPr>
              <w:t>Grade 1</w:t>
            </w:r>
          </w:p>
        </w:tc>
        <w:tc>
          <w:tcPr>
            <w:tcW w:w="1800" w:type="dxa"/>
          </w:tcPr>
          <w:p w14:paraId="496F967E" w14:textId="77777777" w:rsidR="009E2290" w:rsidRPr="007A3223" w:rsidRDefault="009E2290" w:rsidP="00742AD0">
            <w:pPr>
              <w:widowControl w:val="0"/>
              <w:autoSpaceDE w:val="0"/>
              <w:autoSpaceDN w:val="0"/>
              <w:adjustRightInd w:val="0"/>
              <w:spacing w:after="0"/>
            </w:pPr>
            <w:r w:rsidRPr="007A3223">
              <w:t>Asymptomatic transient (&lt;24</w:t>
            </w:r>
          </w:p>
          <w:p w14:paraId="58ED4753" w14:textId="77777777" w:rsidR="009E2290" w:rsidRPr="007A3223" w:rsidRDefault="009E2290" w:rsidP="00B30BF9">
            <w:pPr>
              <w:widowControl w:val="0"/>
              <w:autoSpaceDE w:val="0"/>
              <w:autoSpaceDN w:val="0"/>
              <w:adjustRightInd w:val="0"/>
              <w:spacing w:after="0"/>
            </w:pPr>
            <w:r w:rsidRPr="007A3223">
              <w:t>hrs) increase by &gt;20 mmHg diastolic or to &gt;140/90 mmHg if previously WNL</w:t>
            </w:r>
          </w:p>
        </w:tc>
        <w:tc>
          <w:tcPr>
            <w:tcW w:w="3060" w:type="dxa"/>
          </w:tcPr>
          <w:p w14:paraId="21D6160B" w14:textId="77777777" w:rsidR="009E2290" w:rsidRPr="007A3223" w:rsidRDefault="009E2290" w:rsidP="00CF5E2F">
            <w:pPr>
              <w:jc w:val="center"/>
            </w:pPr>
            <w:r w:rsidRPr="007A3223">
              <w:t>Consider early initiation of BP medication for BP &gt; 140/90 mmHg that is confirmed on a second reading.  Cediranib can cause rapid escalation in BP, and early initiation of BP management can reduce likelihood of HTN-related complications.</w:t>
            </w:r>
          </w:p>
        </w:tc>
        <w:tc>
          <w:tcPr>
            <w:tcW w:w="1440" w:type="dxa"/>
          </w:tcPr>
          <w:p w14:paraId="2D186423" w14:textId="77777777" w:rsidR="009E2290" w:rsidRPr="007A3223" w:rsidRDefault="009E2290" w:rsidP="00E52947">
            <w:pPr>
              <w:jc w:val="center"/>
            </w:pPr>
            <w:r w:rsidRPr="007A3223">
              <w:t xml:space="preserve">Continue standard BP monitoring per treating MD and confirm resolution of BP to &lt;140/90 mmHg within </w:t>
            </w:r>
            <w:r w:rsidR="00FD43B9" w:rsidRPr="007A3223">
              <w:t>36</w:t>
            </w:r>
            <w:r w:rsidRPr="007A3223">
              <w:t xml:space="preserve"> hours.</w:t>
            </w:r>
          </w:p>
        </w:tc>
        <w:tc>
          <w:tcPr>
            <w:tcW w:w="2358" w:type="dxa"/>
          </w:tcPr>
          <w:p w14:paraId="1BC658C6" w14:textId="77777777" w:rsidR="009E2290" w:rsidRPr="007A3223" w:rsidRDefault="009E2290" w:rsidP="00CF5E2F">
            <w:pPr>
              <w:jc w:val="center"/>
            </w:pPr>
            <w:r w:rsidRPr="007A3223">
              <w:t>None</w:t>
            </w:r>
          </w:p>
        </w:tc>
      </w:tr>
      <w:tr w:rsidR="00B30BF9" w:rsidRPr="007A3223" w14:paraId="5CD0EB04" w14:textId="77777777" w:rsidTr="003F0513">
        <w:tc>
          <w:tcPr>
            <w:tcW w:w="918" w:type="dxa"/>
          </w:tcPr>
          <w:p w14:paraId="2E196B3B" w14:textId="77777777" w:rsidR="00742AD0" w:rsidRPr="007A3223" w:rsidRDefault="00742AD0" w:rsidP="003F0513">
            <w:pPr>
              <w:spacing w:before="240"/>
              <w:jc w:val="center"/>
              <w:outlineLvl w:val="6"/>
              <w:rPr>
                <w:b/>
              </w:rPr>
            </w:pPr>
            <w:r w:rsidRPr="007A3223">
              <w:rPr>
                <w:b/>
              </w:rPr>
              <w:t>Grade 2</w:t>
            </w:r>
          </w:p>
        </w:tc>
        <w:tc>
          <w:tcPr>
            <w:tcW w:w="1800" w:type="dxa"/>
          </w:tcPr>
          <w:p w14:paraId="203394D8" w14:textId="77777777" w:rsidR="00742AD0" w:rsidRPr="007A3223" w:rsidRDefault="00742AD0" w:rsidP="00742AD0">
            <w:pPr>
              <w:widowControl w:val="0"/>
              <w:autoSpaceDE w:val="0"/>
              <w:autoSpaceDN w:val="0"/>
              <w:adjustRightInd w:val="0"/>
              <w:spacing w:after="0"/>
            </w:pPr>
            <w:r w:rsidRPr="007A3223">
              <w:t>Recurrent or persistent (&gt;24</w:t>
            </w:r>
            <w:r w:rsidR="003F0513" w:rsidRPr="007A3223">
              <w:t xml:space="preserve"> </w:t>
            </w:r>
            <w:r w:rsidRPr="007A3223">
              <w:t>hrs) or symptomatic</w:t>
            </w:r>
            <w:r w:rsidR="003F0513" w:rsidRPr="007A3223">
              <w:t xml:space="preserve"> </w:t>
            </w:r>
            <w:r w:rsidRPr="007A3223">
              <w:t>increase by &gt;20 mmHg (diastolic) or to &gt; 140/90 mmHg if previously WNL</w:t>
            </w:r>
          </w:p>
          <w:p w14:paraId="75E1F736" w14:textId="77777777" w:rsidR="00742AD0" w:rsidRPr="007A3223" w:rsidRDefault="00742AD0" w:rsidP="00742AD0">
            <w:pPr>
              <w:widowControl w:val="0"/>
              <w:autoSpaceDE w:val="0"/>
              <w:autoSpaceDN w:val="0"/>
              <w:adjustRightInd w:val="0"/>
              <w:spacing w:after="0"/>
            </w:pPr>
          </w:p>
          <w:p w14:paraId="78D5BD29" w14:textId="77777777" w:rsidR="00742AD0" w:rsidRPr="007A3223" w:rsidRDefault="00742AD0" w:rsidP="00742AD0">
            <w:pPr>
              <w:widowControl w:val="0"/>
              <w:autoSpaceDE w:val="0"/>
              <w:autoSpaceDN w:val="0"/>
              <w:adjustRightInd w:val="0"/>
              <w:spacing w:after="0"/>
            </w:pPr>
            <w:r w:rsidRPr="007A3223">
              <w:t>Monotherapy may</w:t>
            </w:r>
          </w:p>
          <w:p w14:paraId="3AC6D97D" w14:textId="77777777" w:rsidR="00742AD0" w:rsidRPr="007A3223" w:rsidRDefault="00742AD0" w:rsidP="00742AD0">
            <w:r w:rsidRPr="007A3223">
              <w:t>be indicated</w:t>
            </w:r>
          </w:p>
        </w:tc>
        <w:tc>
          <w:tcPr>
            <w:tcW w:w="3060" w:type="dxa"/>
          </w:tcPr>
          <w:p w14:paraId="7992532B" w14:textId="77777777" w:rsidR="00742AD0" w:rsidRPr="007A3223" w:rsidRDefault="00742AD0" w:rsidP="00CF5E2F">
            <w:pPr>
              <w:widowControl w:val="0"/>
              <w:autoSpaceDE w:val="0"/>
              <w:autoSpaceDN w:val="0"/>
              <w:adjustRightInd w:val="0"/>
              <w:spacing w:after="0"/>
              <w:jc w:val="center"/>
            </w:pPr>
            <w:r w:rsidRPr="007A3223">
              <w:t>Initiate BP medication</w:t>
            </w:r>
          </w:p>
          <w:p w14:paraId="7D8D92C0" w14:textId="77777777" w:rsidR="00742AD0" w:rsidRPr="007A3223" w:rsidRDefault="00742AD0" w:rsidP="00CF5E2F">
            <w:pPr>
              <w:widowControl w:val="0"/>
              <w:autoSpaceDE w:val="0"/>
              <w:autoSpaceDN w:val="0"/>
              <w:adjustRightInd w:val="0"/>
              <w:spacing w:after="0"/>
              <w:jc w:val="center"/>
            </w:pPr>
            <w:r w:rsidRPr="007A3223">
              <w:t>for first line treatment:</w:t>
            </w:r>
          </w:p>
          <w:p w14:paraId="3B43D2F3" w14:textId="77777777" w:rsidR="00742AD0" w:rsidRPr="007A3223" w:rsidRDefault="00742AD0" w:rsidP="00943354">
            <w:pPr>
              <w:pStyle w:val="ListParagraph"/>
              <w:widowControl w:val="0"/>
              <w:numPr>
                <w:ilvl w:val="0"/>
                <w:numId w:val="10"/>
              </w:numPr>
              <w:autoSpaceDE w:val="0"/>
              <w:autoSpaceDN w:val="0"/>
              <w:adjustRightInd w:val="0"/>
              <w:jc w:val="center"/>
              <w:rPr>
                <w:szCs w:val="22"/>
              </w:rPr>
            </w:pPr>
            <w:r w:rsidRPr="007A3223">
              <w:rPr>
                <w:i/>
                <w:szCs w:val="22"/>
              </w:rPr>
              <w:t>Suggestion:</w:t>
            </w:r>
          </w:p>
          <w:p w14:paraId="34009037" w14:textId="77777777" w:rsidR="006F659B" w:rsidRPr="007A3223" w:rsidRDefault="006F659B" w:rsidP="00FD43B9">
            <w:pPr>
              <w:pStyle w:val="ListParagraph"/>
              <w:widowControl w:val="0"/>
              <w:autoSpaceDE w:val="0"/>
              <w:autoSpaceDN w:val="0"/>
              <w:adjustRightInd w:val="0"/>
              <w:ind w:left="360"/>
              <w:rPr>
                <w:sz w:val="24"/>
                <w:szCs w:val="22"/>
              </w:rPr>
            </w:pPr>
            <w:r w:rsidRPr="007A3223">
              <w:rPr>
                <w:szCs w:val="22"/>
              </w:rPr>
              <w:t xml:space="preserve">       </w:t>
            </w:r>
            <w:r w:rsidR="00FD43B9" w:rsidRPr="007A3223">
              <w:rPr>
                <w:szCs w:val="22"/>
              </w:rPr>
              <w:t>ACE inhibitor</w:t>
            </w:r>
          </w:p>
          <w:p w14:paraId="14A962F4" w14:textId="77777777" w:rsidR="00742AD0" w:rsidRPr="007A3223" w:rsidRDefault="00742AD0" w:rsidP="00CF5E2F">
            <w:pPr>
              <w:widowControl w:val="0"/>
              <w:autoSpaceDE w:val="0"/>
              <w:autoSpaceDN w:val="0"/>
              <w:adjustRightInd w:val="0"/>
              <w:spacing w:after="0"/>
              <w:jc w:val="center"/>
            </w:pPr>
          </w:p>
          <w:p w14:paraId="4145DD5E" w14:textId="77777777" w:rsidR="00742AD0" w:rsidRPr="007A3223" w:rsidRDefault="00742AD0" w:rsidP="00CF5E2F">
            <w:pPr>
              <w:widowControl w:val="0"/>
              <w:autoSpaceDE w:val="0"/>
              <w:autoSpaceDN w:val="0"/>
              <w:adjustRightInd w:val="0"/>
              <w:spacing w:after="0"/>
              <w:jc w:val="center"/>
            </w:pPr>
            <w:r w:rsidRPr="007A3223">
              <w:t>Escalate dose of medication until BP is controlled or at a</w:t>
            </w:r>
          </w:p>
          <w:p w14:paraId="304A37DD" w14:textId="77777777" w:rsidR="00742AD0" w:rsidRPr="007A3223" w:rsidRDefault="00742AD0" w:rsidP="00CF5E2F">
            <w:pPr>
              <w:widowControl w:val="0"/>
              <w:autoSpaceDE w:val="0"/>
              <w:autoSpaceDN w:val="0"/>
              <w:adjustRightInd w:val="0"/>
              <w:spacing w:after="0"/>
              <w:jc w:val="center"/>
            </w:pPr>
            <w:r w:rsidRPr="007A3223">
              <w:t>maximum dose</w:t>
            </w:r>
          </w:p>
          <w:p w14:paraId="2A4DF586" w14:textId="77777777" w:rsidR="00742AD0" w:rsidRPr="007A3223" w:rsidRDefault="00742AD0" w:rsidP="00CF5E2F">
            <w:pPr>
              <w:widowControl w:val="0"/>
              <w:autoSpaceDE w:val="0"/>
              <w:autoSpaceDN w:val="0"/>
              <w:adjustRightInd w:val="0"/>
              <w:spacing w:after="0"/>
              <w:jc w:val="center"/>
            </w:pPr>
          </w:p>
          <w:p w14:paraId="0BD0E029" w14:textId="77777777" w:rsidR="00742AD0" w:rsidRPr="007A3223" w:rsidRDefault="00742AD0" w:rsidP="00CF5E2F">
            <w:pPr>
              <w:widowControl w:val="0"/>
              <w:autoSpaceDE w:val="0"/>
              <w:autoSpaceDN w:val="0"/>
              <w:adjustRightInd w:val="0"/>
              <w:spacing w:after="0"/>
              <w:jc w:val="center"/>
            </w:pPr>
            <w:r w:rsidRPr="007A3223">
              <w:t>If BP is not controlled</w:t>
            </w:r>
          </w:p>
          <w:p w14:paraId="67344D7F" w14:textId="77777777" w:rsidR="00742AD0" w:rsidRPr="007A3223" w:rsidRDefault="00742AD0" w:rsidP="00CF5E2F">
            <w:pPr>
              <w:widowControl w:val="0"/>
              <w:autoSpaceDE w:val="0"/>
              <w:autoSpaceDN w:val="0"/>
              <w:adjustRightInd w:val="0"/>
              <w:spacing w:after="0"/>
              <w:jc w:val="center"/>
            </w:pPr>
            <w:r w:rsidRPr="007A3223">
              <w:t>to &lt; 140/90 mmHg</w:t>
            </w:r>
            <w:r w:rsidR="00EB2F92" w:rsidRPr="007A3223">
              <w:t xml:space="preserve"> </w:t>
            </w:r>
            <w:r w:rsidRPr="007A3223">
              <w:t xml:space="preserve">with one </w:t>
            </w:r>
            <w:r w:rsidR="00FD43B9" w:rsidRPr="007A3223">
              <w:t xml:space="preserve">“maximized” </w:t>
            </w:r>
            <w:r w:rsidRPr="007A3223">
              <w:t>drug regimen,</w:t>
            </w:r>
            <w:r w:rsidR="00EB2F92" w:rsidRPr="007A3223">
              <w:t xml:space="preserve"> </w:t>
            </w:r>
            <w:r w:rsidRPr="007A3223">
              <w:t>then add a second</w:t>
            </w:r>
            <w:r w:rsidR="00EB2F92" w:rsidRPr="007A3223">
              <w:t xml:space="preserve"> a</w:t>
            </w:r>
            <w:r w:rsidRPr="007A3223">
              <w:t>gent:</w:t>
            </w:r>
          </w:p>
          <w:p w14:paraId="5C8E01B6" w14:textId="77777777" w:rsidR="00FD43B9" w:rsidRPr="007A3223" w:rsidRDefault="00FD43B9" w:rsidP="00FD43B9">
            <w:pPr>
              <w:widowControl w:val="0"/>
              <w:tabs>
                <w:tab w:val="left" w:pos="8280"/>
              </w:tabs>
            </w:pPr>
            <w:r w:rsidRPr="007A3223">
              <w:rPr>
                <w:b/>
              </w:rPr>
              <w:lastRenderedPageBreak/>
              <w:t>Study drug does not need to be held unless otherwise clinically necessary</w:t>
            </w:r>
          </w:p>
          <w:p w14:paraId="4EE497A1" w14:textId="77777777" w:rsidR="00742AD0" w:rsidRPr="007A3223" w:rsidRDefault="00742AD0" w:rsidP="006B14EE">
            <w:pPr>
              <w:spacing w:before="240"/>
              <w:jc w:val="center"/>
              <w:outlineLvl w:val="6"/>
              <w:rPr>
                <w:i/>
              </w:rPr>
            </w:pPr>
            <w:r w:rsidRPr="007A3223">
              <w:rPr>
                <w:i/>
              </w:rPr>
              <w:t xml:space="preserve">Consider </w:t>
            </w:r>
            <w:r w:rsidR="00EB2F92" w:rsidRPr="007A3223">
              <w:rPr>
                <w:i/>
              </w:rPr>
              <w:t xml:space="preserve">cardiology or </w:t>
            </w:r>
            <w:r w:rsidRPr="007A3223">
              <w:rPr>
                <w:i/>
              </w:rPr>
              <w:t>renal consult</w:t>
            </w:r>
          </w:p>
        </w:tc>
        <w:tc>
          <w:tcPr>
            <w:tcW w:w="1440" w:type="dxa"/>
          </w:tcPr>
          <w:p w14:paraId="3299E6A3" w14:textId="77777777" w:rsidR="00742AD0" w:rsidRPr="007A3223" w:rsidRDefault="00742AD0" w:rsidP="006B14EE">
            <w:pPr>
              <w:widowControl w:val="0"/>
              <w:autoSpaceDE w:val="0"/>
              <w:autoSpaceDN w:val="0"/>
              <w:adjustRightInd w:val="0"/>
              <w:spacing w:after="0"/>
              <w:jc w:val="center"/>
            </w:pPr>
            <w:r w:rsidRPr="007A3223">
              <w:lastRenderedPageBreak/>
              <w:t>Increase frequency</w:t>
            </w:r>
          </w:p>
          <w:p w14:paraId="5531CB50" w14:textId="77777777" w:rsidR="00742AD0" w:rsidRPr="007A3223" w:rsidRDefault="00742AD0" w:rsidP="006B14EE">
            <w:pPr>
              <w:widowControl w:val="0"/>
              <w:autoSpaceDE w:val="0"/>
              <w:autoSpaceDN w:val="0"/>
              <w:adjustRightInd w:val="0"/>
              <w:spacing w:after="0"/>
              <w:jc w:val="center"/>
            </w:pPr>
            <w:r w:rsidRPr="007A3223">
              <w:t>of monitoring (daily)</w:t>
            </w:r>
            <w:r w:rsidR="00EB2F92" w:rsidRPr="007A3223">
              <w:t xml:space="preserve"> </w:t>
            </w:r>
            <w:r w:rsidRPr="007A3223">
              <w:t>until stabilized</w:t>
            </w:r>
            <w:r w:rsidR="00FD43B9" w:rsidRPr="007A3223">
              <w:t xml:space="preserve"> to BP &lt;140/90 mmHg</w:t>
            </w:r>
          </w:p>
        </w:tc>
        <w:tc>
          <w:tcPr>
            <w:tcW w:w="2358" w:type="dxa"/>
          </w:tcPr>
          <w:p w14:paraId="72519C91" w14:textId="77777777" w:rsidR="00742AD0" w:rsidRPr="007A3223" w:rsidRDefault="00742AD0" w:rsidP="006B14EE">
            <w:pPr>
              <w:widowControl w:val="0"/>
              <w:autoSpaceDE w:val="0"/>
              <w:autoSpaceDN w:val="0"/>
              <w:adjustRightInd w:val="0"/>
              <w:spacing w:after="0"/>
              <w:jc w:val="center"/>
            </w:pPr>
            <w:r w:rsidRPr="007A3223">
              <w:t>Do not hold</w:t>
            </w:r>
          </w:p>
          <w:p w14:paraId="3FF06515" w14:textId="77777777" w:rsidR="00742AD0" w:rsidRPr="007A3223" w:rsidRDefault="00742AD0" w:rsidP="006B14EE">
            <w:pPr>
              <w:widowControl w:val="0"/>
              <w:autoSpaceDE w:val="0"/>
              <w:autoSpaceDN w:val="0"/>
              <w:adjustRightInd w:val="0"/>
              <w:spacing w:after="0"/>
              <w:jc w:val="center"/>
            </w:pPr>
            <w:r w:rsidRPr="007A3223">
              <w:t>cediranib unless</w:t>
            </w:r>
          </w:p>
          <w:p w14:paraId="04629A98" w14:textId="77777777" w:rsidR="00742AD0" w:rsidRPr="007A3223" w:rsidRDefault="00742AD0" w:rsidP="006B14EE">
            <w:pPr>
              <w:widowControl w:val="0"/>
              <w:autoSpaceDE w:val="0"/>
              <w:autoSpaceDN w:val="0"/>
              <w:adjustRightInd w:val="0"/>
              <w:spacing w:after="0"/>
              <w:jc w:val="center"/>
            </w:pPr>
            <w:r w:rsidRPr="007A3223">
              <w:t>otherwise clinically</w:t>
            </w:r>
          </w:p>
          <w:p w14:paraId="55D16307" w14:textId="77777777" w:rsidR="00742AD0" w:rsidRPr="007A3223" w:rsidRDefault="00742AD0" w:rsidP="006B14EE">
            <w:pPr>
              <w:jc w:val="center"/>
            </w:pPr>
            <w:r w:rsidRPr="007A3223">
              <w:t>necessary</w:t>
            </w:r>
          </w:p>
        </w:tc>
      </w:tr>
      <w:tr w:rsidR="00B30BF9" w:rsidRPr="007A3223" w14:paraId="63E95F4F" w14:textId="77777777" w:rsidTr="003F0513">
        <w:tc>
          <w:tcPr>
            <w:tcW w:w="918" w:type="dxa"/>
          </w:tcPr>
          <w:p w14:paraId="55D4F2BC" w14:textId="77777777" w:rsidR="00742AD0" w:rsidRPr="007A3223" w:rsidRDefault="00742AD0" w:rsidP="006B14EE">
            <w:pPr>
              <w:spacing w:before="240"/>
              <w:jc w:val="center"/>
              <w:outlineLvl w:val="6"/>
              <w:rPr>
                <w:b/>
              </w:rPr>
            </w:pPr>
            <w:r w:rsidRPr="007A3223">
              <w:rPr>
                <w:b/>
              </w:rPr>
              <w:t>Grade 3</w:t>
            </w:r>
          </w:p>
        </w:tc>
        <w:tc>
          <w:tcPr>
            <w:tcW w:w="1800" w:type="dxa"/>
          </w:tcPr>
          <w:p w14:paraId="657100EB" w14:textId="77777777" w:rsidR="00EB2F92" w:rsidRPr="007A3223" w:rsidRDefault="00EB2F92" w:rsidP="00EB2F92">
            <w:pPr>
              <w:widowControl w:val="0"/>
              <w:autoSpaceDE w:val="0"/>
              <w:autoSpaceDN w:val="0"/>
              <w:adjustRightInd w:val="0"/>
              <w:spacing w:after="0"/>
            </w:pPr>
            <w:r w:rsidRPr="007A3223">
              <w:t>Requiring more</w:t>
            </w:r>
          </w:p>
          <w:p w14:paraId="3B3D236B" w14:textId="77777777" w:rsidR="00EB2F92" w:rsidRPr="007A3223" w:rsidRDefault="00EB2F92" w:rsidP="00EB2F92">
            <w:pPr>
              <w:widowControl w:val="0"/>
              <w:autoSpaceDE w:val="0"/>
              <w:autoSpaceDN w:val="0"/>
              <w:adjustRightInd w:val="0"/>
              <w:spacing w:after="0"/>
            </w:pPr>
            <w:r w:rsidRPr="007A3223">
              <w:t>than one drug or</w:t>
            </w:r>
          </w:p>
          <w:p w14:paraId="338496DD" w14:textId="77777777" w:rsidR="00EB2F92" w:rsidRPr="007A3223" w:rsidRDefault="00EB2F92" w:rsidP="00EB2F92">
            <w:pPr>
              <w:widowControl w:val="0"/>
              <w:autoSpaceDE w:val="0"/>
              <w:autoSpaceDN w:val="0"/>
              <w:adjustRightInd w:val="0"/>
              <w:spacing w:after="0"/>
            </w:pPr>
            <w:r w:rsidRPr="007A3223">
              <w:t>more intensive</w:t>
            </w:r>
          </w:p>
          <w:p w14:paraId="009C71B5" w14:textId="77777777" w:rsidR="00EB2F92" w:rsidRPr="007A3223" w:rsidRDefault="00EB2F92" w:rsidP="00EB2F92">
            <w:pPr>
              <w:widowControl w:val="0"/>
              <w:autoSpaceDE w:val="0"/>
              <w:autoSpaceDN w:val="0"/>
              <w:adjustRightInd w:val="0"/>
              <w:spacing w:after="0"/>
            </w:pPr>
            <w:r w:rsidRPr="007A3223">
              <w:t>therapy than</w:t>
            </w:r>
          </w:p>
          <w:p w14:paraId="0CC2E2EE" w14:textId="77777777" w:rsidR="00742AD0" w:rsidRPr="007A3223" w:rsidRDefault="00EB2F92" w:rsidP="00EB2F92">
            <w:r w:rsidRPr="007A3223">
              <w:t>previously.</w:t>
            </w:r>
          </w:p>
        </w:tc>
        <w:tc>
          <w:tcPr>
            <w:tcW w:w="3060" w:type="dxa"/>
          </w:tcPr>
          <w:p w14:paraId="2B888474" w14:textId="77777777" w:rsidR="00EB2F92" w:rsidRPr="007A3223" w:rsidRDefault="00EB2F92" w:rsidP="006B14EE">
            <w:pPr>
              <w:widowControl w:val="0"/>
              <w:autoSpaceDE w:val="0"/>
              <w:autoSpaceDN w:val="0"/>
              <w:adjustRightInd w:val="0"/>
              <w:spacing w:after="0"/>
              <w:jc w:val="center"/>
            </w:pPr>
            <w:r w:rsidRPr="007A3223">
              <w:t>Maximize 2 drug</w:t>
            </w:r>
          </w:p>
          <w:p w14:paraId="2F4E19C4" w14:textId="77777777" w:rsidR="00EB2F92" w:rsidRPr="007A3223" w:rsidRDefault="00EB2F92" w:rsidP="006B14EE">
            <w:pPr>
              <w:widowControl w:val="0"/>
              <w:autoSpaceDE w:val="0"/>
              <w:autoSpaceDN w:val="0"/>
              <w:adjustRightInd w:val="0"/>
              <w:spacing w:after="0"/>
              <w:jc w:val="center"/>
            </w:pPr>
            <w:r w:rsidRPr="007A3223">
              <w:t>regimen</w:t>
            </w:r>
          </w:p>
          <w:p w14:paraId="623F3833" w14:textId="77777777" w:rsidR="00EB2F92" w:rsidRPr="007A3223" w:rsidRDefault="00EB2F92" w:rsidP="003721F8">
            <w:pPr>
              <w:pStyle w:val="ListParagraph"/>
              <w:widowControl w:val="0"/>
              <w:numPr>
                <w:ilvl w:val="0"/>
                <w:numId w:val="10"/>
              </w:numPr>
              <w:autoSpaceDE w:val="0"/>
              <w:autoSpaceDN w:val="0"/>
              <w:adjustRightInd w:val="0"/>
              <w:jc w:val="center"/>
              <w:rPr>
                <w:szCs w:val="22"/>
              </w:rPr>
            </w:pPr>
            <w:r w:rsidRPr="007A3223">
              <w:rPr>
                <w:i/>
                <w:szCs w:val="22"/>
              </w:rPr>
              <w:t>Suggestions:</w:t>
            </w:r>
          </w:p>
          <w:p w14:paraId="2E5BE35E" w14:textId="77777777" w:rsidR="00EB2F92" w:rsidRPr="007A3223" w:rsidRDefault="00EB2F92" w:rsidP="006B14EE">
            <w:pPr>
              <w:widowControl w:val="0"/>
              <w:autoSpaceDE w:val="0"/>
              <w:autoSpaceDN w:val="0"/>
              <w:adjustRightInd w:val="0"/>
              <w:spacing w:after="0"/>
              <w:jc w:val="center"/>
            </w:pPr>
            <w:r w:rsidRPr="007A3223">
              <w:t>ACE</w:t>
            </w:r>
            <w:r w:rsidR="00B30BF9" w:rsidRPr="007A3223">
              <w:t xml:space="preserve"> </w:t>
            </w:r>
            <w:r w:rsidRPr="007A3223">
              <w:t>inhibitor</w:t>
            </w:r>
            <w:r w:rsidR="009B7131" w:rsidRPr="007A3223">
              <w:t xml:space="preserve"> + BB</w:t>
            </w:r>
            <w:r w:rsidR="00A4555C" w:rsidRPr="007A3223">
              <w:t xml:space="preserve"> or</w:t>
            </w:r>
          </w:p>
          <w:p w14:paraId="162E5F6C" w14:textId="77777777" w:rsidR="00A4555C" w:rsidRPr="007A3223" w:rsidRDefault="00A4555C" w:rsidP="006B14EE">
            <w:pPr>
              <w:widowControl w:val="0"/>
              <w:autoSpaceDE w:val="0"/>
              <w:autoSpaceDN w:val="0"/>
              <w:adjustRightInd w:val="0"/>
              <w:spacing w:after="0"/>
              <w:jc w:val="center"/>
            </w:pPr>
            <w:r w:rsidRPr="007A3223">
              <w:t>ACE inhibitor + CCB</w:t>
            </w:r>
          </w:p>
          <w:p w14:paraId="0C0F76A6" w14:textId="77777777" w:rsidR="00EB2F92" w:rsidRPr="007A3223" w:rsidRDefault="00EB2F92" w:rsidP="006B14EE">
            <w:pPr>
              <w:widowControl w:val="0"/>
              <w:autoSpaceDE w:val="0"/>
              <w:autoSpaceDN w:val="0"/>
              <w:adjustRightInd w:val="0"/>
              <w:spacing w:after="0"/>
              <w:jc w:val="center"/>
            </w:pPr>
          </w:p>
          <w:p w14:paraId="48476B90" w14:textId="77777777" w:rsidR="00EB2F92" w:rsidRPr="007A3223" w:rsidRDefault="00EB2F92" w:rsidP="006B14EE">
            <w:pPr>
              <w:widowControl w:val="0"/>
              <w:autoSpaceDE w:val="0"/>
              <w:autoSpaceDN w:val="0"/>
              <w:adjustRightInd w:val="0"/>
              <w:spacing w:after="0"/>
              <w:jc w:val="center"/>
            </w:pPr>
            <w:r w:rsidRPr="007A3223">
              <w:t>Escalate doses of</w:t>
            </w:r>
          </w:p>
          <w:p w14:paraId="76F6420F" w14:textId="77777777" w:rsidR="00EB2F92" w:rsidRPr="007A3223" w:rsidRDefault="00EB2F92" w:rsidP="006B14EE">
            <w:pPr>
              <w:widowControl w:val="0"/>
              <w:autoSpaceDE w:val="0"/>
              <w:autoSpaceDN w:val="0"/>
              <w:adjustRightInd w:val="0"/>
              <w:spacing w:after="0"/>
              <w:jc w:val="center"/>
            </w:pPr>
            <w:r w:rsidRPr="007A3223">
              <w:t>existing medication</w:t>
            </w:r>
          </w:p>
          <w:p w14:paraId="605135FA" w14:textId="77777777" w:rsidR="00EB2F92" w:rsidRPr="007A3223" w:rsidRDefault="00EB2F92" w:rsidP="006B14EE">
            <w:pPr>
              <w:widowControl w:val="0"/>
              <w:autoSpaceDE w:val="0"/>
              <w:autoSpaceDN w:val="0"/>
              <w:adjustRightInd w:val="0"/>
              <w:spacing w:after="0"/>
              <w:jc w:val="center"/>
            </w:pPr>
            <w:r w:rsidRPr="007A3223">
              <w:t>until BP is controlled</w:t>
            </w:r>
          </w:p>
          <w:p w14:paraId="2690B3D4" w14:textId="77777777" w:rsidR="00EB2F92" w:rsidRPr="007A3223" w:rsidRDefault="00EB2F92" w:rsidP="006B14EE">
            <w:pPr>
              <w:widowControl w:val="0"/>
              <w:autoSpaceDE w:val="0"/>
              <w:autoSpaceDN w:val="0"/>
              <w:adjustRightInd w:val="0"/>
              <w:spacing w:after="0"/>
              <w:jc w:val="center"/>
            </w:pPr>
            <w:r w:rsidRPr="007A3223">
              <w:t>or at a maximum dose.</w:t>
            </w:r>
          </w:p>
          <w:p w14:paraId="184F9719" w14:textId="77777777" w:rsidR="00EB2F92" w:rsidRPr="007A3223" w:rsidRDefault="00EB2F92" w:rsidP="006B14EE">
            <w:pPr>
              <w:widowControl w:val="0"/>
              <w:autoSpaceDE w:val="0"/>
              <w:autoSpaceDN w:val="0"/>
              <w:adjustRightInd w:val="0"/>
              <w:spacing w:after="0"/>
              <w:jc w:val="center"/>
            </w:pPr>
          </w:p>
          <w:p w14:paraId="40644DB5" w14:textId="77777777" w:rsidR="00AA5F80" w:rsidRPr="007A3223" w:rsidRDefault="00AA5F80" w:rsidP="00AA5F80">
            <w:pPr>
              <w:widowControl w:val="0"/>
              <w:tabs>
                <w:tab w:val="left" w:pos="8280"/>
              </w:tabs>
            </w:pPr>
            <w:r w:rsidRPr="007A3223">
              <w:t>If BP is not controlled to &lt; 140/90 mmHg with two drug regimen, then add a third agent.</w:t>
            </w:r>
          </w:p>
          <w:p w14:paraId="6305F85C" w14:textId="77777777" w:rsidR="00EB2F92" w:rsidRPr="007A3223" w:rsidRDefault="00EB2F92" w:rsidP="006B14EE">
            <w:pPr>
              <w:widowControl w:val="0"/>
              <w:autoSpaceDE w:val="0"/>
              <w:autoSpaceDN w:val="0"/>
              <w:adjustRightInd w:val="0"/>
              <w:spacing w:before="240" w:after="0"/>
              <w:jc w:val="center"/>
              <w:outlineLvl w:val="6"/>
              <w:rPr>
                <w:b/>
              </w:rPr>
            </w:pPr>
            <w:r w:rsidRPr="007A3223">
              <w:rPr>
                <w:b/>
              </w:rPr>
              <w:t>Study Drug will not</w:t>
            </w:r>
            <w:r w:rsidR="00B30BF9" w:rsidRPr="007A3223">
              <w:rPr>
                <w:b/>
              </w:rPr>
              <w:t xml:space="preserve"> </w:t>
            </w:r>
            <w:r w:rsidRPr="007A3223">
              <w:rPr>
                <w:b/>
              </w:rPr>
              <w:t>be held during trial of</w:t>
            </w:r>
            <w:r w:rsidR="00B30BF9" w:rsidRPr="007A3223">
              <w:rPr>
                <w:b/>
              </w:rPr>
              <w:t xml:space="preserve"> </w:t>
            </w:r>
            <w:r w:rsidRPr="007A3223">
              <w:rPr>
                <w:b/>
              </w:rPr>
              <w:t>two drug combinations.</w:t>
            </w:r>
          </w:p>
          <w:p w14:paraId="7715D8EE" w14:textId="77777777" w:rsidR="00742AD0" w:rsidRPr="007A3223" w:rsidRDefault="00EB2F92" w:rsidP="006B14EE">
            <w:pPr>
              <w:widowControl w:val="0"/>
              <w:autoSpaceDE w:val="0"/>
              <w:autoSpaceDN w:val="0"/>
              <w:adjustRightInd w:val="0"/>
              <w:spacing w:before="240" w:after="0"/>
              <w:jc w:val="center"/>
              <w:outlineLvl w:val="6"/>
              <w:rPr>
                <w:b/>
              </w:rPr>
            </w:pPr>
            <w:r w:rsidRPr="007A3223">
              <w:rPr>
                <w:b/>
              </w:rPr>
              <w:t>Additional antihypertensive</w:t>
            </w:r>
            <w:r w:rsidR="00B30BF9" w:rsidRPr="007A3223">
              <w:rPr>
                <w:b/>
              </w:rPr>
              <w:t xml:space="preserve"> </w:t>
            </w:r>
            <w:r w:rsidRPr="007A3223">
              <w:rPr>
                <w:b/>
              </w:rPr>
              <w:t>drugs, up to a total of 4, may</w:t>
            </w:r>
            <w:r w:rsidR="00B30BF9" w:rsidRPr="007A3223">
              <w:rPr>
                <w:b/>
              </w:rPr>
              <w:t xml:space="preserve"> </w:t>
            </w:r>
            <w:r w:rsidRPr="007A3223">
              <w:rPr>
                <w:b/>
              </w:rPr>
              <w:t>be maximized for</w:t>
            </w:r>
            <w:r w:rsidR="00B30BF9" w:rsidRPr="007A3223">
              <w:rPr>
                <w:b/>
              </w:rPr>
              <w:t xml:space="preserve"> </w:t>
            </w:r>
            <w:r w:rsidRPr="007A3223">
              <w:rPr>
                <w:b/>
              </w:rPr>
              <w:t>blood pressure</w:t>
            </w:r>
            <w:r w:rsidR="00704D0A" w:rsidRPr="007A3223">
              <w:rPr>
                <w:b/>
              </w:rPr>
              <w:t xml:space="preserve"> control</w:t>
            </w:r>
            <w:r w:rsidRPr="007A3223">
              <w:rPr>
                <w:b/>
              </w:rPr>
              <w:t>.</w:t>
            </w:r>
          </w:p>
          <w:p w14:paraId="1C3017CD" w14:textId="77777777" w:rsidR="00AA5F80" w:rsidRPr="007A3223" w:rsidRDefault="00AA5F80" w:rsidP="006B14EE">
            <w:pPr>
              <w:widowControl w:val="0"/>
              <w:autoSpaceDE w:val="0"/>
              <w:autoSpaceDN w:val="0"/>
              <w:adjustRightInd w:val="0"/>
              <w:spacing w:before="240" w:after="0"/>
              <w:jc w:val="center"/>
              <w:outlineLvl w:val="6"/>
              <w:rPr>
                <w:b/>
              </w:rPr>
            </w:pPr>
          </w:p>
          <w:p w14:paraId="7C0DD854" w14:textId="77777777" w:rsidR="00AA5F80" w:rsidRPr="007A3223" w:rsidRDefault="00AA5F80" w:rsidP="006B14EE">
            <w:pPr>
              <w:widowControl w:val="0"/>
              <w:autoSpaceDE w:val="0"/>
              <w:autoSpaceDN w:val="0"/>
              <w:adjustRightInd w:val="0"/>
              <w:spacing w:before="240" w:after="0"/>
              <w:jc w:val="center"/>
              <w:outlineLvl w:val="6"/>
            </w:pPr>
            <w:r w:rsidRPr="007A3223">
              <w:rPr>
                <w:bCs/>
                <w:i/>
              </w:rPr>
              <w:t>Consider consult with a blood pressure management specialist if greater than 3 drugs are required for BP control.</w:t>
            </w:r>
          </w:p>
        </w:tc>
        <w:tc>
          <w:tcPr>
            <w:tcW w:w="1440" w:type="dxa"/>
          </w:tcPr>
          <w:p w14:paraId="3A310BF2" w14:textId="77777777" w:rsidR="00EB2F92" w:rsidRPr="007A3223" w:rsidRDefault="00EB2F92" w:rsidP="006B14EE">
            <w:pPr>
              <w:widowControl w:val="0"/>
              <w:autoSpaceDE w:val="0"/>
              <w:autoSpaceDN w:val="0"/>
              <w:adjustRightInd w:val="0"/>
              <w:spacing w:after="0"/>
              <w:jc w:val="center"/>
            </w:pPr>
            <w:r w:rsidRPr="007A3223">
              <w:t>Increased frequency</w:t>
            </w:r>
          </w:p>
          <w:p w14:paraId="06A41F74" w14:textId="77777777" w:rsidR="00EB2F92" w:rsidRPr="007A3223" w:rsidRDefault="00EB2F92" w:rsidP="006B14EE">
            <w:pPr>
              <w:widowControl w:val="0"/>
              <w:autoSpaceDE w:val="0"/>
              <w:autoSpaceDN w:val="0"/>
              <w:adjustRightInd w:val="0"/>
              <w:spacing w:after="0"/>
              <w:jc w:val="center"/>
            </w:pPr>
            <w:r w:rsidRPr="007A3223">
              <w:t>of monitoring (BID)</w:t>
            </w:r>
          </w:p>
          <w:p w14:paraId="61576521" w14:textId="77777777" w:rsidR="00742AD0" w:rsidRPr="007A3223" w:rsidRDefault="00EB2F92" w:rsidP="006B14EE">
            <w:pPr>
              <w:jc w:val="center"/>
            </w:pPr>
            <w:r w:rsidRPr="007A3223">
              <w:t>until stabilized</w:t>
            </w:r>
            <w:r w:rsidR="009B7131" w:rsidRPr="007A3223">
              <w:t xml:space="preserve"> to BP &lt;140/90 mmHg</w:t>
            </w:r>
          </w:p>
        </w:tc>
        <w:tc>
          <w:tcPr>
            <w:tcW w:w="2358" w:type="dxa"/>
          </w:tcPr>
          <w:p w14:paraId="70CF8178" w14:textId="77777777" w:rsidR="00EB2F92" w:rsidRPr="007A3223" w:rsidRDefault="00EB2F92" w:rsidP="006B14EE">
            <w:pPr>
              <w:widowControl w:val="0"/>
              <w:autoSpaceDE w:val="0"/>
              <w:autoSpaceDN w:val="0"/>
              <w:adjustRightInd w:val="0"/>
              <w:spacing w:after="0"/>
              <w:jc w:val="center"/>
            </w:pPr>
            <w:r w:rsidRPr="007A3223">
              <w:t>Do not hold</w:t>
            </w:r>
          </w:p>
          <w:p w14:paraId="63A6DAAB" w14:textId="77777777" w:rsidR="00EB2F92" w:rsidRPr="007A3223" w:rsidRDefault="00EB2F92" w:rsidP="006B14EE">
            <w:pPr>
              <w:widowControl w:val="0"/>
              <w:autoSpaceDE w:val="0"/>
              <w:autoSpaceDN w:val="0"/>
              <w:adjustRightInd w:val="0"/>
              <w:spacing w:after="0"/>
              <w:jc w:val="center"/>
            </w:pPr>
            <w:r w:rsidRPr="007A3223">
              <w:t xml:space="preserve">cediranib </w:t>
            </w:r>
            <w:r w:rsidR="009B7131" w:rsidRPr="007A3223">
              <w:t xml:space="preserve">or other study drug </w:t>
            </w:r>
            <w:r w:rsidRPr="007A3223">
              <w:t>unless BP</w:t>
            </w:r>
          </w:p>
          <w:p w14:paraId="131FB88D" w14:textId="77777777" w:rsidR="00EB2F92" w:rsidRPr="007A3223" w:rsidRDefault="00EB2F92" w:rsidP="006B14EE">
            <w:pPr>
              <w:widowControl w:val="0"/>
              <w:autoSpaceDE w:val="0"/>
              <w:autoSpaceDN w:val="0"/>
              <w:adjustRightInd w:val="0"/>
              <w:spacing w:after="0"/>
              <w:jc w:val="center"/>
            </w:pPr>
            <w:r w:rsidRPr="007A3223">
              <w:t>is not decreased to</w:t>
            </w:r>
          </w:p>
          <w:p w14:paraId="42F7B850" w14:textId="77777777" w:rsidR="00EB2F92" w:rsidRPr="007A3223" w:rsidRDefault="00EB2F92" w:rsidP="006B14EE">
            <w:pPr>
              <w:widowControl w:val="0"/>
              <w:autoSpaceDE w:val="0"/>
              <w:autoSpaceDN w:val="0"/>
              <w:adjustRightInd w:val="0"/>
              <w:spacing w:after="0"/>
              <w:jc w:val="center"/>
            </w:pPr>
            <w:r w:rsidRPr="007A3223">
              <w:t>less than 150/100</w:t>
            </w:r>
          </w:p>
          <w:p w14:paraId="3466ACA8" w14:textId="77777777" w:rsidR="00EB2F92" w:rsidRPr="007A3223" w:rsidRDefault="00EB2F92" w:rsidP="006B14EE">
            <w:pPr>
              <w:widowControl w:val="0"/>
              <w:autoSpaceDE w:val="0"/>
              <w:autoSpaceDN w:val="0"/>
              <w:adjustRightInd w:val="0"/>
              <w:spacing w:after="0"/>
              <w:jc w:val="center"/>
            </w:pPr>
            <w:r w:rsidRPr="007A3223">
              <w:t>mmHg 48 hours</w:t>
            </w:r>
          </w:p>
          <w:p w14:paraId="61FA6978" w14:textId="77777777" w:rsidR="00EB2F92" w:rsidRPr="007A3223" w:rsidRDefault="00EB2F92" w:rsidP="006B14EE">
            <w:pPr>
              <w:widowControl w:val="0"/>
              <w:autoSpaceDE w:val="0"/>
              <w:autoSpaceDN w:val="0"/>
              <w:adjustRightInd w:val="0"/>
              <w:spacing w:after="0"/>
              <w:jc w:val="center"/>
            </w:pPr>
            <w:r w:rsidRPr="007A3223">
              <w:t>after multi-drug</w:t>
            </w:r>
          </w:p>
          <w:p w14:paraId="5EAD0286" w14:textId="77777777" w:rsidR="00EB2F92" w:rsidRPr="007A3223" w:rsidRDefault="00EB2F92" w:rsidP="006B14EE">
            <w:pPr>
              <w:widowControl w:val="0"/>
              <w:autoSpaceDE w:val="0"/>
              <w:autoSpaceDN w:val="0"/>
              <w:adjustRightInd w:val="0"/>
              <w:spacing w:after="0"/>
              <w:jc w:val="center"/>
            </w:pPr>
            <w:r w:rsidRPr="007A3223">
              <w:t>therapy is instituted</w:t>
            </w:r>
          </w:p>
          <w:p w14:paraId="2E46B808" w14:textId="77777777" w:rsidR="00EB2F92" w:rsidRPr="007A3223" w:rsidRDefault="00EB2F92" w:rsidP="006B14EE">
            <w:pPr>
              <w:widowControl w:val="0"/>
              <w:autoSpaceDE w:val="0"/>
              <w:autoSpaceDN w:val="0"/>
              <w:adjustRightInd w:val="0"/>
              <w:spacing w:after="0"/>
              <w:jc w:val="center"/>
            </w:pPr>
            <w:r w:rsidRPr="007A3223">
              <w:t>or if clinical</w:t>
            </w:r>
          </w:p>
          <w:p w14:paraId="6A0ECD37" w14:textId="77777777" w:rsidR="00EB2F92" w:rsidRPr="007A3223" w:rsidRDefault="00EB2F92" w:rsidP="006B14EE">
            <w:pPr>
              <w:widowControl w:val="0"/>
              <w:autoSpaceDE w:val="0"/>
              <w:autoSpaceDN w:val="0"/>
              <w:adjustRightInd w:val="0"/>
              <w:spacing w:after="0"/>
              <w:jc w:val="center"/>
            </w:pPr>
            <w:r w:rsidRPr="007A3223">
              <w:t>symptoms worsen</w:t>
            </w:r>
          </w:p>
          <w:p w14:paraId="54E3ADAA" w14:textId="77777777" w:rsidR="00EB2F92" w:rsidRPr="007A3223" w:rsidRDefault="00EB2F92" w:rsidP="006B14EE">
            <w:pPr>
              <w:widowControl w:val="0"/>
              <w:autoSpaceDE w:val="0"/>
              <w:autoSpaceDN w:val="0"/>
              <w:adjustRightInd w:val="0"/>
              <w:spacing w:after="0"/>
              <w:jc w:val="center"/>
            </w:pPr>
            <w:r w:rsidRPr="007A3223">
              <w:t>(e.g. headache).</w:t>
            </w:r>
          </w:p>
          <w:p w14:paraId="3D8A482C" w14:textId="77777777" w:rsidR="00EB2F92" w:rsidRPr="007A3223" w:rsidRDefault="00EB2F92" w:rsidP="006B14EE">
            <w:pPr>
              <w:widowControl w:val="0"/>
              <w:autoSpaceDE w:val="0"/>
              <w:autoSpaceDN w:val="0"/>
              <w:adjustRightInd w:val="0"/>
              <w:spacing w:after="0"/>
              <w:jc w:val="center"/>
            </w:pPr>
          </w:p>
          <w:p w14:paraId="7CFF8BA9" w14:textId="77777777" w:rsidR="00EB2F92" w:rsidRPr="007A3223" w:rsidRDefault="00EB2F92" w:rsidP="006B14EE">
            <w:pPr>
              <w:widowControl w:val="0"/>
              <w:autoSpaceDE w:val="0"/>
              <w:autoSpaceDN w:val="0"/>
              <w:adjustRightInd w:val="0"/>
              <w:spacing w:after="0"/>
              <w:jc w:val="center"/>
            </w:pPr>
            <w:r w:rsidRPr="007A3223">
              <w:t>If BP is not</w:t>
            </w:r>
          </w:p>
          <w:p w14:paraId="729DBDC4" w14:textId="77777777" w:rsidR="00EB2F92" w:rsidRPr="007A3223" w:rsidRDefault="00EB2F92" w:rsidP="006B14EE">
            <w:pPr>
              <w:widowControl w:val="0"/>
              <w:autoSpaceDE w:val="0"/>
              <w:autoSpaceDN w:val="0"/>
              <w:adjustRightInd w:val="0"/>
              <w:spacing w:after="0"/>
              <w:jc w:val="center"/>
            </w:pPr>
            <w:r w:rsidRPr="007A3223">
              <w:t>controlled to less</w:t>
            </w:r>
          </w:p>
          <w:p w14:paraId="2885ED48" w14:textId="77777777" w:rsidR="00EB2F92" w:rsidRPr="007A3223" w:rsidRDefault="00EB2F92" w:rsidP="006B14EE">
            <w:pPr>
              <w:widowControl w:val="0"/>
              <w:autoSpaceDE w:val="0"/>
              <w:autoSpaceDN w:val="0"/>
              <w:adjustRightInd w:val="0"/>
              <w:spacing w:after="0"/>
              <w:jc w:val="center"/>
            </w:pPr>
            <w:r w:rsidRPr="007A3223">
              <w:t>than 150/100</w:t>
            </w:r>
          </w:p>
          <w:p w14:paraId="34ECBE58" w14:textId="77777777" w:rsidR="00EB2F92" w:rsidRPr="007A3223" w:rsidRDefault="00EB2F92" w:rsidP="006B14EE">
            <w:pPr>
              <w:widowControl w:val="0"/>
              <w:autoSpaceDE w:val="0"/>
              <w:autoSpaceDN w:val="0"/>
              <w:adjustRightInd w:val="0"/>
              <w:spacing w:after="0"/>
              <w:jc w:val="center"/>
            </w:pPr>
            <w:r w:rsidRPr="007A3223">
              <w:t>mmHg with</w:t>
            </w:r>
          </w:p>
          <w:p w14:paraId="794F11FA" w14:textId="77777777" w:rsidR="00EB2F92" w:rsidRPr="007A3223" w:rsidRDefault="00EB2F92" w:rsidP="006B14EE">
            <w:pPr>
              <w:widowControl w:val="0"/>
              <w:autoSpaceDE w:val="0"/>
              <w:autoSpaceDN w:val="0"/>
              <w:adjustRightInd w:val="0"/>
              <w:spacing w:after="0"/>
              <w:jc w:val="center"/>
            </w:pPr>
            <w:r w:rsidRPr="007A3223">
              <w:t>maximal therapy or</w:t>
            </w:r>
            <w:r w:rsidR="00B30BF9" w:rsidRPr="007A3223">
              <w:t xml:space="preserve"> </w:t>
            </w:r>
            <w:r w:rsidRPr="007A3223">
              <w:t>if clinical symptoms</w:t>
            </w:r>
            <w:r w:rsidR="00B30BF9" w:rsidRPr="007A3223">
              <w:t xml:space="preserve"> </w:t>
            </w:r>
            <w:r w:rsidRPr="007A3223">
              <w:t>worsen, then hold</w:t>
            </w:r>
          </w:p>
          <w:p w14:paraId="6971A61E" w14:textId="77777777" w:rsidR="00EB2F92" w:rsidRPr="007A3223" w:rsidRDefault="00EB2F92" w:rsidP="006B14EE">
            <w:pPr>
              <w:widowControl w:val="0"/>
              <w:autoSpaceDE w:val="0"/>
              <w:autoSpaceDN w:val="0"/>
              <w:adjustRightInd w:val="0"/>
              <w:spacing w:after="0"/>
              <w:jc w:val="center"/>
            </w:pPr>
            <w:r w:rsidRPr="007A3223">
              <w:t>drug (up to 14 days)</w:t>
            </w:r>
            <w:r w:rsidR="00B30BF9" w:rsidRPr="007A3223">
              <w:t xml:space="preserve"> </w:t>
            </w:r>
            <w:r w:rsidRPr="007A3223">
              <w:t>until maximum</w:t>
            </w:r>
          </w:p>
          <w:p w14:paraId="47FEC84E" w14:textId="77777777" w:rsidR="00EB2F92" w:rsidRPr="007A3223" w:rsidRDefault="00EB2F92" w:rsidP="006B14EE">
            <w:pPr>
              <w:widowControl w:val="0"/>
              <w:autoSpaceDE w:val="0"/>
              <w:autoSpaceDN w:val="0"/>
              <w:adjustRightInd w:val="0"/>
              <w:spacing w:after="0"/>
              <w:jc w:val="center"/>
            </w:pPr>
            <w:r w:rsidRPr="007A3223">
              <w:t>effect of the antihypertensive</w:t>
            </w:r>
          </w:p>
          <w:p w14:paraId="14573866" w14:textId="77777777" w:rsidR="00EB2F92" w:rsidRPr="007A3223" w:rsidRDefault="00EB2F92" w:rsidP="006B14EE">
            <w:pPr>
              <w:widowControl w:val="0"/>
              <w:autoSpaceDE w:val="0"/>
              <w:autoSpaceDN w:val="0"/>
              <w:adjustRightInd w:val="0"/>
              <w:spacing w:after="0"/>
              <w:jc w:val="center"/>
            </w:pPr>
            <w:r w:rsidRPr="007A3223">
              <w:t>agents is</w:t>
            </w:r>
            <w:r w:rsidR="00B30BF9" w:rsidRPr="007A3223">
              <w:t xml:space="preserve"> </w:t>
            </w:r>
            <w:r w:rsidRPr="007A3223">
              <w:t>achieved.</w:t>
            </w:r>
          </w:p>
          <w:p w14:paraId="711B4F48" w14:textId="77777777" w:rsidR="00EB2F92" w:rsidRPr="007A3223" w:rsidRDefault="00EB2F92" w:rsidP="006B14EE">
            <w:pPr>
              <w:widowControl w:val="0"/>
              <w:autoSpaceDE w:val="0"/>
              <w:autoSpaceDN w:val="0"/>
              <w:adjustRightInd w:val="0"/>
              <w:spacing w:after="0"/>
              <w:jc w:val="center"/>
            </w:pPr>
          </w:p>
          <w:p w14:paraId="3FBD8022" w14:textId="77777777" w:rsidR="00742AD0" w:rsidRPr="007A3223" w:rsidRDefault="00EB2F92" w:rsidP="006B14EE">
            <w:pPr>
              <w:widowControl w:val="0"/>
              <w:autoSpaceDE w:val="0"/>
              <w:autoSpaceDN w:val="0"/>
              <w:adjustRightInd w:val="0"/>
              <w:spacing w:after="0"/>
              <w:jc w:val="center"/>
            </w:pPr>
            <w:r w:rsidRPr="007A3223">
              <w:t>If BP is reduced to</w:t>
            </w:r>
            <w:r w:rsidR="00B30BF9" w:rsidRPr="007A3223">
              <w:t xml:space="preserve"> </w:t>
            </w:r>
            <w:r w:rsidRPr="007A3223">
              <w:t>Grade 1 within 14</w:t>
            </w:r>
            <w:r w:rsidR="00B30BF9" w:rsidRPr="007A3223">
              <w:t xml:space="preserve"> </w:t>
            </w:r>
            <w:r w:rsidRPr="007A3223">
              <w:t>days, cediranib may</w:t>
            </w:r>
            <w:r w:rsidR="00B30BF9" w:rsidRPr="007A3223">
              <w:t xml:space="preserve"> </w:t>
            </w:r>
            <w:r w:rsidRPr="007A3223">
              <w:t>be resumed at prior</w:t>
            </w:r>
            <w:r w:rsidR="00B30BF9" w:rsidRPr="007A3223">
              <w:t xml:space="preserve"> </w:t>
            </w:r>
            <w:r w:rsidRPr="007A3223">
              <w:t>dose.</w:t>
            </w:r>
          </w:p>
        </w:tc>
      </w:tr>
      <w:tr w:rsidR="00B30BF9" w:rsidRPr="007A3223" w14:paraId="1CA3ED50" w14:textId="77777777" w:rsidTr="003F0513">
        <w:tc>
          <w:tcPr>
            <w:tcW w:w="918" w:type="dxa"/>
          </w:tcPr>
          <w:p w14:paraId="0AFA3411" w14:textId="77777777" w:rsidR="00742AD0" w:rsidRPr="007A3223" w:rsidRDefault="00742AD0" w:rsidP="006B14EE">
            <w:pPr>
              <w:jc w:val="center"/>
              <w:rPr>
                <w:b/>
              </w:rPr>
            </w:pPr>
            <w:r w:rsidRPr="007A3223">
              <w:rPr>
                <w:b/>
              </w:rPr>
              <w:t>Grade 4</w:t>
            </w:r>
          </w:p>
        </w:tc>
        <w:tc>
          <w:tcPr>
            <w:tcW w:w="1800" w:type="dxa"/>
          </w:tcPr>
          <w:p w14:paraId="3BAC25E6" w14:textId="77777777" w:rsidR="00EB2F92" w:rsidRPr="007A3223" w:rsidRDefault="00EB2F92" w:rsidP="00EB2F92">
            <w:pPr>
              <w:widowControl w:val="0"/>
              <w:autoSpaceDE w:val="0"/>
              <w:autoSpaceDN w:val="0"/>
              <w:adjustRightInd w:val="0"/>
              <w:spacing w:after="0"/>
            </w:pPr>
            <w:r w:rsidRPr="007A3223">
              <w:t>If threatening</w:t>
            </w:r>
          </w:p>
          <w:p w14:paraId="5636CB76" w14:textId="77777777" w:rsidR="00EB2F92" w:rsidRPr="007A3223" w:rsidRDefault="00EB2F92" w:rsidP="00EB2F92">
            <w:pPr>
              <w:widowControl w:val="0"/>
              <w:autoSpaceDE w:val="0"/>
              <w:autoSpaceDN w:val="0"/>
              <w:adjustRightInd w:val="0"/>
              <w:spacing w:after="0"/>
            </w:pPr>
            <w:r w:rsidRPr="007A3223">
              <w:t>consequences</w:t>
            </w:r>
          </w:p>
          <w:p w14:paraId="0F283EB8" w14:textId="77777777" w:rsidR="00EB2F92" w:rsidRPr="007A3223" w:rsidRDefault="00EB2F92" w:rsidP="00EB2F92">
            <w:pPr>
              <w:widowControl w:val="0"/>
              <w:autoSpaceDE w:val="0"/>
              <w:autoSpaceDN w:val="0"/>
              <w:adjustRightInd w:val="0"/>
              <w:spacing w:after="0"/>
              <w:rPr>
                <w:b/>
              </w:rPr>
            </w:pPr>
            <w:r w:rsidRPr="007A3223">
              <w:rPr>
                <w:b/>
              </w:rPr>
              <w:lastRenderedPageBreak/>
              <w:t>OR</w:t>
            </w:r>
          </w:p>
          <w:p w14:paraId="15FACBF3" w14:textId="77777777" w:rsidR="00EB2F92" w:rsidRPr="007A3223" w:rsidRDefault="00EB2F92" w:rsidP="00EB2F92">
            <w:pPr>
              <w:widowControl w:val="0"/>
              <w:autoSpaceDE w:val="0"/>
              <w:autoSpaceDN w:val="0"/>
              <w:adjustRightInd w:val="0"/>
              <w:spacing w:after="0"/>
            </w:pPr>
            <w:r w:rsidRPr="007A3223">
              <w:t xml:space="preserve">SBP </w:t>
            </w:r>
            <w:r w:rsidRPr="007A3223">
              <w:rPr>
                <w:rFonts w:hint="eastAsia"/>
              </w:rPr>
              <w:t>≥</w:t>
            </w:r>
            <w:r w:rsidRPr="007A3223">
              <w:t xml:space="preserve"> 180mmHg</w:t>
            </w:r>
          </w:p>
          <w:p w14:paraId="516ED81B" w14:textId="77777777" w:rsidR="00EB2F92" w:rsidRPr="007A3223" w:rsidRDefault="00EB2F92" w:rsidP="00EB2F92">
            <w:pPr>
              <w:widowControl w:val="0"/>
              <w:autoSpaceDE w:val="0"/>
              <w:autoSpaceDN w:val="0"/>
              <w:adjustRightInd w:val="0"/>
              <w:spacing w:after="0"/>
              <w:rPr>
                <w:b/>
              </w:rPr>
            </w:pPr>
            <w:r w:rsidRPr="007A3223">
              <w:rPr>
                <w:b/>
              </w:rPr>
              <w:t>OR</w:t>
            </w:r>
          </w:p>
          <w:p w14:paraId="246571CE" w14:textId="77777777" w:rsidR="00742AD0" w:rsidRPr="007A3223" w:rsidRDefault="00EB2F92" w:rsidP="00EB2F92">
            <w:r w:rsidRPr="007A3223">
              <w:t xml:space="preserve">DBP </w:t>
            </w:r>
            <w:r w:rsidRPr="007A3223">
              <w:rPr>
                <w:rFonts w:hint="eastAsia"/>
              </w:rPr>
              <w:t>≥</w:t>
            </w:r>
            <w:r w:rsidRPr="007A3223">
              <w:t xml:space="preserve"> 110mmHg</w:t>
            </w:r>
          </w:p>
        </w:tc>
        <w:tc>
          <w:tcPr>
            <w:tcW w:w="3060" w:type="dxa"/>
          </w:tcPr>
          <w:p w14:paraId="62CBB830" w14:textId="77777777" w:rsidR="00EB2F92" w:rsidRPr="007A3223" w:rsidRDefault="00EB2F92" w:rsidP="006B14EE">
            <w:pPr>
              <w:widowControl w:val="0"/>
              <w:autoSpaceDE w:val="0"/>
              <w:autoSpaceDN w:val="0"/>
              <w:adjustRightInd w:val="0"/>
              <w:spacing w:after="0"/>
              <w:jc w:val="center"/>
            </w:pPr>
            <w:r w:rsidRPr="007A3223">
              <w:lastRenderedPageBreak/>
              <w:t>Initiate treatment</w:t>
            </w:r>
          </w:p>
          <w:p w14:paraId="3C65E6CC" w14:textId="77777777" w:rsidR="00EB2F92" w:rsidRPr="007A3223" w:rsidRDefault="00EB2F92" w:rsidP="006B14EE">
            <w:pPr>
              <w:widowControl w:val="0"/>
              <w:autoSpaceDE w:val="0"/>
              <w:autoSpaceDN w:val="0"/>
              <w:adjustRightInd w:val="0"/>
              <w:spacing w:after="0"/>
              <w:jc w:val="center"/>
            </w:pPr>
          </w:p>
          <w:p w14:paraId="2C540663" w14:textId="77777777" w:rsidR="00EB2F92" w:rsidRPr="007A3223" w:rsidRDefault="00EB2F92" w:rsidP="006B14EE">
            <w:pPr>
              <w:widowControl w:val="0"/>
              <w:autoSpaceDE w:val="0"/>
              <w:autoSpaceDN w:val="0"/>
              <w:adjustRightInd w:val="0"/>
              <w:spacing w:after="0"/>
              <w:jc w:val="center"/>
            </w:pPr>
            <w:r w:rsidRPr="007A3223">
              <w:lastRenderedPageBreak/>
              <w:t>Hospitalize patient for</w:t>
            </w:r>
          </w:p>
          <w:p w14:paraId="2E85DB7C" w14:textId="77777777" w:rsidR="00EB2F92" w:rsidRPr="007A3223" w:rsidRDefault="00EB2F92" w:rsidP="006B14EE">
            <w:pPr>
              <w:widowControl w:val="0"/>
              <w:autoSpaceDE w:val="0"/>
              <w:autoSpaceDN w:val="0"/>
              <w:adjustRightInd w:val="0"/>
              <w:spacing w:after="0"/>
              <w:jc w:val="center"/>
            </w:pPr>
            <w:r w:rsidRPr="007A3223">
              <w:t>ICU management, IV</w:t>
            </w:r>
          </w:p>
          <w:p w14:paraId="6041DD84" w14:textId="77777777" w:rsidR="00EB2F92" w:rsidRPr="007A3223" w:rsidRDefault="00EB2F92" w:rsidP="006B14EE">
            <w:pPr>
              <w:widowControl w:val="0"/>
              <w:autoSpaceDE w:val="0"/>
              <w:autoSpaceDN w:val="0"/>
              <w:adjustRightInd w:val="0"/>
              <w:spacing w:after="0"/>
              <w:jc w:val="center"/>
            </w:pPr>
            <w:r w:rsidRPr="007A3223">
              <w:t>therapy as necessary</w:t>
            </w:r>
          </w:p>
          <w:p w14:paraId="59DBF701" w14:textId="77777777" w:rsidR="00EB2F92" w:rsidRPr="007A3223" w:rsidRDefault="00EB2F92" w:rsidP="006B14EE">
            <w:pPr>
              <w:widowControl w:val="0"/>
              <w:autoSpaceDE w:val="0"/>
              <w:autoSpaceDN w:val="0"/>
              <w:adjustRightInd w:val="0"/>
              <w:spacing w:after="0"/>
              <w:jc w:val="center"/>
            </w:pPr>
          </w:p>
          <w:p w14:paraId="669FCA56" w14:textId="77777777" w:rsidR="00EB2F92" w:rsidRPr="007A3223" w:rsidRDefault="00EB2F92" w:rsidP="006B14EE">
            <w:pPr>
              <w:widowControl w:val="0"/>
              <w:autoSpaceDE w:val="0"/>
              <w:autoSpaceDN w:val="0"/>
              <w:adjustRightInd w:val="0"/>
              <w:spacing w:after="0"/>
              <w:jc w:val="center"/>
            </w:pPr>
            <w:r w:rsidRPr="007A3223">
              <w:t>14 days are allowed to</w:t>
            </w:r>
          </w:p>
          <w:p w14:paraId="1B223171" w14:textId="77777777" w:rsidR="00742AD0" w:rsidRPr="007A3223" w:rsidRDefault="00EB2F92" w:rsidP="006B14EE">
            <w:pPr>
              <w:widowControl w:val="0"/>
              <w:autoSpaceDE w:val="0"/>
              <w:autoSpaceDN w:val="0"/>
              <w:adjustRightInd w:val="0"/>
              <w:spacing w:after="0"/>
              <w:jc w:val="center"/>
              <w:rPr>
                <w:i/>
                <w:iCs/>
              </w:rPr>
            </w:pPr>
            <w:r w:rsidRPr="007A3223">
              <w:t>maximize the full effect of antihypertensive agents.</w:t>
            </w:r>
          </w:p>
          <w:p w14:paraId="09CF7A9F" w14:textId="77777777" w:rsidR="00EB2F92" w:rsidRPr="007A3223" w:rsidRDefault="00EB2F92" w:rsidP="006B14EE">
            <w:pPr>
              <w:widowControl w:val="0"/>
              <w:autoSpaceDE w:val="0"/>
              <w:autoSpaceDN w:val="0"/>
              <w:adjustRightInd w:val="0"/>
              <w:spacing w:after="0"/>
              <w:jc w:val="center"/>
            </w:pPr>
          </w:p>
        </w:tc>
        <w:tc>
          <w:tcPr>
            <w:tcW w:w="1440" w:type="dxa"/>
          </w:tcPr>
          <w:p w14:paraId="779FCC92" w14:textId="77777777" w:rsidR="00EB2F92" w:rsidRPr="007A3223" w:rsidRDefault="00EB2F92" w:rsidP="006B14EE">
            <w:pPr>
              <w:widowControl w:val="0"/>
              <w:autoSpaceDE w:val="0"/>
              <w:autoSpaceDN w:val="0"/>
              <w:adjustRightInd w:val="0"/>
              <w:spacing w:after="0"/>
              <w:jc w:val="center"/>
            </w:pPr>
            <w:r w:rsidRPr="007A3223">
              <w:lastRenderedPageBreak/>
              <w:t>Intensive BP</w:t>
            </w:r>
          </w:p>
          <w:p w14:paraId="487800B0" w14:textId="77777777" w:rsidR="00EB2F92" w:rsidRPr="007A3223" w:rsidRDefault="00EB2F92" w:rsidP="006B14EE">
            <w:pPr>
              <w:widowControl w:val="0"/>
              <w:autoSpaceDE w:val="0"/>
              <w:autoSpaceDN w:val="0"/>
              <w:adjustRightInd w:val="0"/>
              <w:spacing w:after="0"/>
              <w:jc w:val="center"/>
            </w:pPr>
            <w:r w:rsidRPr="007A3223">
              <w:t>monitoring</w:t>
            </w:r>
          </w:p>
          <w:p w14:paraId="3EBF3F52" w14:textId="77777777" w:rsidR="00EB2F92" w:rsidRPr="007A3223" w:rsidRDefault="00EB2F92" w:rsidP="006B14EE">
            <w:pPr>
              <w:widowControl w:val="0"/>
              <w:autoSpaceDE w:val="0"/>
              <w:autoSpaceDN w:val="0"/>
              <w:adjustRightInd w:val="0"/>
              <w:spacing w:after="0"/>
              <w:jc w:val="center"/>
            </w:pPr>
            <w:r w:rsidRPr="007A3223">
              <w:lastRenderedPageBreak/>
              <w:t>(</w:t>
            </w:r>
            <w:r w:rsidR="00704D0A" w:rsidRPr="007A3223">
              <w:t>hospitaliza-</w:t>
            </w:r>
            <w:r w:rsidR="00115727" w:rsidRPr="007A3223">
              <w:t>tion</w:t>
            </w:r>
            <w:r w:rsidRPr="007A3223">
              <w:t xml:space="preserve"> if</w:t>
            </w:r>
          </w:p>
          <w:p w14:paraId="49ED0F65" w14:textId="77777777" w:rsidR="00742AD0" w:rsidRPr="007A3223" w:rsidRDefault="00EB2F92" w:rsidP="006B14EE">
            <w:pPr>
              <w:jc w:val="center"/>
            </w:pPr>
            <w:r w:rsidRPr="007A3223">
              <w:t>necessary)</w:t>
            </w:r>
          </w:p>
        </w:tc>
        <w:tc>
          <w:tcPr>
            <w:tcW w:w="2358" w:type="dxa"/>
          </w:tcPr>
          <w:p w14:paraId="26747108" w14:textId="77777777" w:rsidR="00EB2F92" w:rsidRPr="007A3223" w:rsidRDefault="00EB2F92" w:rsidP="006B14EE">
            <w:pPr>
              <w:widowControl w:val="0"/>
              <w:autoSpaceDE w:val="0"/>
              <w:autoSpaceDN w:val="0"/>
              <w:adjustRightInd w:val="0"/>
              <w:spacing w:before="240" w:after="0"/>
              <w:jc w:val="center"/>
              <w:outlineLvl w:val="6"/>
              <w:rPr>
                <w:b/>
              </w:rPr>
            </w:pPr>
            <w:r w:rsidRPr="007A3223">
              <w:rPr>
                <w:b/>
              </w:rPr>
              <w:lastRenderedPageBreak/>
              <w:t>Hold cediranib.</w:t>
            </w:r>
          </w:p>
          <w:p w14:paraId="5C21037D" w14:textId="77777777" w:rsidR="00EB2F92" w:rsidRPr="007A3223" w:rsidRDefault="00EB2F92" w:rsidP="006B14EE">
            <w:pPr>
              <w:widowControl w:val="0"/>
              <w:autoSpaceDE w:val="0"/>
              <w:autoSpaceDN w:val="0"/>
              <w:adjustRightInd w:val="0"/>
              <w:spacing w:after="0"/>
              <w:jc w:val="center"/>
            </w:pPr>
          </w:p>
          <w:p w14:paraId="798FCC77" w14:textId="77777777" w:rsidR="00742AD0" w:rsidRPr="007A3223" w:rsidRDefault="00EB2F92" w:rsidP="00E56A8B">
            <w:pPr>
              <w:widowControl w:val="0"/>
              <w:autoSpaceDE w:val="0"/>
              <w:autoSpaceDN w:val="0"/>
              <w:adjustRightInd w:val="0"/>
              <w:spacing w:after="0"/>
              <w:jc w:val="center"/>
            </w:pPr>
            <w:r w:rsidRPr="007A3223">
              <w:lastRenderedPageBreak/>
              <w:t>If BP is reduced to</w:t>
            </w:r>
            <w:r w:rsidR="00B30BF9" w:rsidRPr="007A3223">
              <w:t xml:space="preserve"> </w:t>
            </w:r>
            <w:r w:rsidRPr="007A3223">
              <w:t>Grade 1 within 14</w:t>
            </w:r>
            <w:r w:rsidR="00B30BF9" w:rsidRPr="007A3223">
              <w:t xml:space="preserve"> </w:t>
            </w:r>
            <w:r w:rsidRPr="007A3223">
              <w:t>days, cediranib may</w:t>
            </w:r>
            <w:r w:rsidR="00B30BF9" w:rsidRPr="007A3223">
              <w:t xml:space="preserve"> </w:t>
            </w:r>
            <w:r w:rsidRPr="007A3223">
              <w:t>be resumed at a</w:t>
            </w:r>
            <w:r w:rsidR="00B30BF9" w:rsidRPr="007A3223">
              <w:t xml:space="preserve"> </w:t>
            </w:r>
            <w:r w:rsidRPr="007A3223">
              <w:t>reduced dose</w:t>
            </w:r>
            <w:r w:rsidR="00E56A8B" w:rsidRPr="007A3223">
              <w:t xml:space="preserve"> after discussion with the PI</w:t>
            </w:r>
          </w:p>
        </w:tc>
      </w:tr>
    </w:tbl>
    <w:p w14:paraId="57D3E81C" w14:textId="77777777" w:rsidR="00EB2F92" w:rsidRPr="007A3223" w:rsidRDefault="00EB2F92" w:rsidP="00EB2F92">
      <w:pPr>
        <w:widowControl w:val="0"/>
        <w:autoSpaceDE w:val="0"/>
        <w:autoSpaceDN w:val="0"/>
        <w:adjustRightInd w:val="0"/>
        <w:spacing w:after="0"/>
        <w:rPr>
          <w:b/>
          <w:szCs w:val="24"/>
        </w:rPr>
      </w:pPr>
      <w:r w:rsidRPr="007A3223">
        <w:rPr>
          <w:b/>
          <w:szCs w:val="24"/>
        </w:rPr>
        <w:lastRenderedPageBreak/>
        <w:t>Notes:</w:t>
      </w:r>
    </w:p>
    <w:p w14:paraId="777C5009" w14:textId="77777777" w:rsidR="00EB2F92" w:rsidRPr="007A3223" w:rsidRDefault="00EB2F92" w:rsidP="008F5C45">
      <w:pPr>
        <w:pStyle w:val="ListParagraph"/>
        <w:widowControl w:val="0"/>
        <w:numPr>
          <w:ilvl w:val="0"/>
          <w:numId w:val="10"/>
        </w:numPr>
        <w:autoSpaceDE w:val="0"/>
        <w:autoSpaceDN w:val="0"/>
        <w:adjustRightInd w:val="0"/>
      </w:pPr>
      <w:r w:rsidRPr="007A3223">
        <w:t>While patients are receiving treatment with cediranib, the early initiation of</w:t>
      </w:r>
      <w:r w:rsidR="00704D0A" w:rsidRPr="007A3223">
        <w:t xml:space="preserve"> </w:t>
      </w:r>
      <w:r w:rsidRPr="007A3223">
        <w:t xml:space="preserve">antihypertensive treatment for </w:t>
      </w:r>
      <w:r w:rsidR="00B72780" w:rsidRPr="007A3223">
        <w:t>g</w:t>
      </w:r>
      <w:r w:rsidRPr="007A3223">
        <w:t>rade 1 or 2 hypertension to minimize more severe or</w:t>
      </w:r>
      <w:r w:rsidR="00704D0A" w:rsidRPr="007A3223">
        <w:t xml:space="preserve"> </w:t>
      </w:r>
      <w:r w:rsidRPr="007A3223">
        <w:t xml:space="preserve">persistent hypertension is not considered a </w:t>
      </w:r>
      <w:r w:rsidR="00B72780" w:rsidRPr="007A3223">
        <w:t>g</w:t>
      </w:r>
      <w:r w:rsidRPr="007A3223">
        <w:t>rade 3 adverse event.</w:t>
      </w:r>
    </w:p>
    <w:p w14:paraId="77176F9D" w14:textId="77777777" w:rsidR="006B14EE" w:rsidRPr="007A3223" w:rsidRDefault="006B14EE" w:rsidP="008F5C45">
      <w:pPr>
        <w:pStyle w:val="ListParagraph"/>
        <w:widowControl w:val="0"/>
        <w:numPr>
          <w:ilvl w:val="0"/>
          <w:numId w:val="10"/>
        </w:numPr>
        <w:autoSpaceDE w:val="0"/>
        <w:autoSpaceDN w:val="0"/>
        <w:adjustRightInd w:val="0"/>
      </w:pPr>
      <w:r w:rsidRPr="007A3223">
        <w:t>Decisions to hold or decrease the cediranib dose during treatment must be based on BP</w:t>
      </w:r>
      <w:r w:rsidR="00704D0A" w:rsidRPr="007A3223">
        <w:t xml:space="preserve"> </w:t>
      </w:r>
      <w:r w:rsidRPr="007A3223">
        <w:t>readings taken in the clinic by a medical professional.</w:t>
      </w:r>
    </w:p>
    <w:p w14:paraId="5921CE19" w14:textId="77777777" w:rsidR="00EB2F92" w:rsidRPr="007A3223" w:rsidRDefault="00EB2F92" w:rsidP="00B30BF9">
      <w:pPr>
        <w:spacing w:after="0"/>
        <w:rPr>
          <w:szCs w:val="24"/>
        </w:rPr>
      </w:pPr>
    </w:p>
    <w:p w14:paraId="00EC7CDD" w14:textId="77777777" w:rsidR="00433BBD" w:rsidRPr="007A3223" w:rsidRDefault="00433BBD" w:rsidP="00886D51">
      <w:pPr>
        <w:pStyle w:val="Heading5"/>
      </w:pPr>
      <w:r w:rsidRPr="007A3223">
        <w:t xml:space="preserve">Dose Modification and Management of Decreased Left Ventricular Ejection Fraction </w:t>
      </w:r>
    </w:p>
    <w:p w14:paraId="0B7ECD5B" w14:textId="77777777" w:rsidR="00433BBD" w:rsidRPr="007A3223" w:rsidRDefault="00433BBD" w:rsidP="00433BBD">
      <w:pPr>
        <w:widowControl w:val="0"/>
        <w:autoSpaceDE w:val="0"/>
        <w:autoSpaceDN w:val="0"/>
        <w:adjustRightInd w:val="0"/>
        <w:spacing w:after="0"/>
        <w:rPr>
          <w:szCs w:val="24"/>
        </w:rPr>
      </w:pPr>
    </w:p>
    <w:p w14:paraId="1A98CFD6" w14:textId="77777777" w:rsidR="00433BBD" w:rsidRPr="007A3223" w:rsidRDefault="00433BBD" w:rsidP="00433BBD">
      <w:pPr>
        <w:widowControl w:val="0"/>
        <w:autoSpaceDE w:val="0"/>
        <w:autoSpaceDN w:val="0"/>
        <w:adjustRightInd w:val="0"/>
        <w:spacing w:after="0"/>
        <w:rPr>
          <w:color w:val="000000"/>
          <w:szCs w:val="24"/>
        </w:rPr>
      </w:pPr>
      <w:r w:rsidRPr="007A3223">
        <w:rPr>
          <w:color w:val="000000"/>
          <w:szCs w:val="24"/>
        </w:rPr>
        <w:t>Patients who have any of the following should undergo an echocardiogram or MUGA at baseline</w:t>
      </w:r>
    </w:p>
    <w:p w14:paraId="736A176C" w14:textId="77777777" w:rsidR="00433BBD" w:rsidRPr="007A3223" w:rsidRDefault="00433BBD" w:rsidP="00433BBD">
      <w:pPr>
        <w:widowControl w:val="0"/>
        <w:autoSpaceDE w:val="0"/>
        <w:autoSpaceDN w:val="0"/>
        <w:adjustRightInd w:val="0"/>
        <w:spacing w:after="0"/>
        <w:rPr>
          <w:color w:val="000000"/>
          <w:szCs w:val="24"/>
        </w:rPr>
      </w:pPr>
      <w:r w:rsidRPr="007A3223">
        <w:rPr>
          <w:color w:val="000000"/>
          <w:szCs w:val="24"/>
        </w:rPr>
        <w:t>and every four cycles while on study:</w:t>
      </w:r>
    </w:p>
    <w:p w14:paraId="48118827" w14:textId="77777777" w:rsidR="00433BBD" w:rsidRPr="007A3223" w:rsidRDefault="00433BBD" w:rsidP="008F5C45">
      <w:pPr>
        <w:pStyle w:val="ListParagraph"/>
        <w:widowControl w:val="0"/>
        <w:numPr>
          <w:ilvl w:val="0"/>
          <w:numId w:val="13"/>
        </w:numPr>
        <w:autoSpaceDE w:val="0"/>
        <w:autoSpaceDN w:val="0"/>
        <w:adjustRightInd w:val="0"/>
        <w:rPr>
          <w:color w:val="000000"/>
        </w:rPr>
      </w:pPr>
      <w:r w:rsidRPr="007A3223">
        <w:rPr>
          <w:color w:val="000000"/>
        </w:rPr>
        <w:t>Prior treatment with anthracyclines</w:t>
      </w:r>
    </w:p>
    <w:p w14:paraId="63A1106A" w14:textId="77777777" w:rsidR="00433BBD" w:rsidRPr="007A3223" w:rsidRDefault="00433BBD" w:rsidP="008F5C45">
      <w:pPr>
        <w:pStyle w:val="ListParagraph"/>
        <w:widowControl w:val="0"/>
        <w:numPr>
          <w:ilvl w:val="0"/>
          <w:numId w:val="13"/>
        </w:numPr>
        <w:autoSpaceDE w:val="0"/>
        <w:autoSpaceDN w:val="0"/>
        <w:adjustRightInd w:val="0"/>
        <w:rPr>
          <w:color w:val="000000"/>
        </w:rPr>
      </w:pPr>
      <w:r w:rsidRPr="007A3223">
        <w:rPr>
          <w:color w:val="000000"/>
        </w:rPr>
        <w:t>Prior treatment with trastuzumab</w:t>
      </w:r>
    </w:p>
    <w:p w14:paraId="34FFA0F4" w14:textId="77777777" w:rsidR="00433BBD" w:rsidRPr="007A3223" w:rsidRDefault="00433BBD" w:rsidP="008F5C45">
      <w:pPr>
        <w:pStyle w:val="ListParagraph"/>
        <w:widowControl w:val="0"/>
        <w:numPr>
          <w:ilvl w:val="0"/>
          <w:numId w:val="13"/>
        </w:numPr>
        <w:autoSpaceDE w:val="0"/>
        <w:autoSpaceDN w:val="0"/>
        <w:adjustRightInd w:val="0"/>
        <w:rPr>
          <w:color w:val="000000"/>
        </w:rPr>
      </w:pPr>
      <w:r w:rsidRPr="007A3223">
        <w:rPr>
          <w:color w:val="000000"/>
        </w:rPr>
        <w:t xml:space="preserve">A New York Heart Association classification of II controlled with treatment </w:t>
      </w:r>
    </w:p>
    <w:p w14:paraId="4DCE8070" w14:textId="77777777" w:rsidR="00433BBD" w:rsidRPr="007A3223" w:rsidRDefault="00433BBD" w:rsidP="008F5C45">
      <w:pPr>
        <w:pStyle w:val="ListParagraph"/>
        <w:widowControl w:val="0"/>
        <w:numPr>
          <w:ilvl w:val="0"/>
          <w:numId w:val="13"/>
        </w:numPr>
        <w:autoSpaceDE w:val="0"/>
        <w:autoSpaceDN w:val="0"/>
        <w:adjustRightInd w:val="0"/>
        <w:rPr>
          <w:color w:val="000000"/>
        </w:rPr>
      </w:pPr>
      <w:r w:rsidRPr="007A3223">
        <w:rPr>
          <w:color w:val="000000"/>
        </w:rPr>
        <w:t>Prior central thoracic radiation therapy (RT), including RT to the heart</w:t>
      </w:r>
    </w:p>
    <w:p w14:paraId="062233B0" w14:textId="77777777" w:rsidR="00433BBD" w:rsidRPr="007A3223" w:rsidRDefault="00433BBD" w:rsidP="008F5C45">
      <w:pPr>
        <w:pStyle w:val="ListParagraph"/>
        <w:widowControl w:val="0"/>
        <w:numPr>
          <w:ilvl w:val="0"/>
          <w:numId w:val="13"/>
        </w:numPr>
        <w:autoSpaceDE w:val="0"/>
        <w:autoSpaceDN w:val="0"/>
        <w:adjustRightInd w:val="0"/>
        <w:rPr>
          <w:color w:val="000000"/>
        </w:rPr>
      </w:pPr>
      <w:r w:rsidRPr="007A3223">
        <w:rPr>
          <w:color w:val="000000"/>
        </w:rPr>
        <w:t>History of myocardial infarction within the prior 12 months.</w:t>
      </w:r>
    </w:p>
    <w:p w14:paraId="6925A919" w14:textId="77777777" w:rsidR="00433BBD" w:rsidRPr="007A3223" w:rsidRDefault="00433BBD" w:rsidP="00433BBD">
      <w:pPr>
        <w:widowControl w:val="0"/>
        <w:autoSpaceDE w:val="0"/>
        <w:autoSpaceDN w:val="0"/>
        <w:adjustRightInd w:val="0"/>
        <w:spacing w:after="0"/>
        <w:rPr>
          <w:color w:val="000000"/>
          <w:szCs w:val="24"/>
        </w:rPr>
      </w:pPr>
    </w:p>
    <w:p w14:paraId="64D50CD4" w14:textId="643BC96E" w:rsidR="00433BBD" w:rsidRPr="007A3223" w:rsidRDefault="00D457EC" w:rsidP="00433BBD">
      <w:pPr>
        <w:widowControl w:val="0"/>
        <w:autoSpaceDE w:val="0"/>
        <w:autoSpaceDN w:val="0"/>
        <w:adjustRightInd w:val="0"/>
        <w:spacing w:after="0"/>
        <w:rPr>
          <w:color w:val="000000"/>
          <w:szCs w:val="24"/>
        </w:rPr>
      </w:pPr>
      <w:r w:rsidRPr="007A3223">
        <w:rPr>
          <w:szCs w:val="24"/>
        </w:rPr>
        <w:t xml:space="preserve">Only doses of cediranib will be modified for LVEF; olaparib or </w:t>
      </w:r>
      <w:r w:rsidR="00B94A14">
        <w:rPr>
          <w:szCs w:val="24"/>
        </w:rPr>
        <w:t>Durvalumab</w:t>
      </w:r>
      <w:r w:rsidRPr="007A3223">
        <w:rPr>
          <w:szCs w:val="24"/>
        </w:rPr>
        <w:t xml:space="preserve"> doses will not be </w:t>
      </w:r>
      <w:r w:rsidR="00DC0C05" w:rsidRPr="007A3223">
        <w:rPr>
          <w:szCs w:val="24"/>
        </w:rPr>
        <w:t xml:space="preserve">altered </w:t>
      </w:r>
      <w:r w:rsidRPr="007A3223">
        <w:rPr>
          <w:szCs w:val="24"/>
        </w:rPr>
        <w:t xml:space="preserve">unless other toxicities are experienced. </w:t>
      </w:r>
      <w:r w:rsidR="00433BBD" w:rsidRPr="007A3223">
        <w:rPr>
          <w:color w:val="000000"/>
          <w:szCs w:val="24"/>
        </w:rPr>
        <w:t>The decision to con</w:t>
      </w:r>
      <w:r w:rsidRPr="007A3223">
        <w:rPr>
          <w:color w:val="000000"/>
          <w:szCs w:val="24"/>
        </w:rPr>
        <w:t>tinue or hold cediranib</w:t>
      </w:r>
      <w:r w:rsidR="00433BBD" w:rsidRPr="007A3223">
        <w:rPr>
          <w:color w:val="000000"/>
          <w:szCs w:val="24"/>
        </w:rPr>
        <w:t xml:space="preserve"> is based on the LVEF as it relates to the</w:t>
      </w:r>
      <w:r w:rsidRPr="007A3223">
        <w:rPr>
          <w:color w:val="000000"/>
          <w:szCs w:val="24"/>
        </w:rPr>
        <w:t xml:space="preserve"> </w:t>
      </w:r>
      <w:r w:rsidR="00433BBD" w:rsidRPr="007A3223">
        <w:rPr>
          <w:color w:val="000000"/>
          <w:szCs w:val="24"/>
        </w:rPr>
        <w:t>institution’s lower limit of normal (LLN) and change in ejection fraction from screening (LVEF as measured at registration) according to the following table:</w:t>
      </w:r>
    </w:p>
    <w:tbl>
      <w:tblPr>
        <w:tblStyle w:val="TableGrid"/>
        <w:tblW w:w="0" w:type="auto"/>
        <w:tblLook w:val="04A0" w:firstRow="1" w:lastRow="0" w:firstColumn="1" w:lastColumn="0" w:noHBand="0" w:noVBand="1"/>
      </w:tblPr>
      <w:tblGrid>
        <w:gridCol w:w="2333"/>
        <w:gridCol w:w="2339"/>
        <w:gridCol w:w="2339"/>
        <w:gridCol w:w="2339"/>
      </w:tblGrid>
      <w:tr w:rsidR="00433BBD" w:rsidRPr="007A3223" w14:paraId="0857776B" w14:textId="77777777" w:rsidTr="00DF47C3">
        <w:tc>
          <w:tcPr>
            <w:tcW w:w="9576" w:type="dxa"/>
            <w:gridSpan w:val="4"/>
          </w:tcPr>
          <w:p w14:paraId="5C5A1EAB" w14:textId="2279F5D6" w:rsidR="00433BBD" w:rsidRPr="007A3223" w:rsidRDefault="000C1677" w:rsidP="00800A5E">
            <w:pPr>
              <w:pStyle w:val="Caption"/>
              <w:rPr>
                <w:color w:val="000000"/>
                <w:sz w:val="24"/>
                <w:szCs w:val="24"/>
              </w:rPr>
            </w:pPr>
            <w:bookmarkStart w:id="189" w:name="_Toc82444448"/>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14</w:t>
            </w:r>
            <w:r w:rsidR="00F82420" w:rsidRPr="00F33908">
              <w:rPr>
                <w:noProof/>
              </w:rPr>
              <w:fldChar w:fldCharType="end"/>
            </w:r>
            <w:r w:rsidR="00783250" w:rsidRPr="007A3223">
              <w:rPr>
                <w:szCs w:val="24"/>
              </w:rPr>
              <w:t xml:space="preserve">. </w:t>
            </w:r>
            <w:r w:rsidR="00433BBD" w:rsidRPr="00F33908">
              <w:rPr>
                <w:sz w:val="24"/>
                <w:szCs w:val="24"/>
              </w:rPr>
              <w:t xml:space="preserve"> Management and Monitoring of Decreased LVEF</w:t>
            </w:r>
            <w:bookmarkEnd w:id="189"/>
          </w:p>
        </w:tc>
      </w:tr>
      <w:tr w:rsidR="00433BBD" w:rsidRPr="007A3223" w14:paraId="542EB1A6" w14:textId="77777777" w:rsidTr="00DF47C3">
        <w:tc>
          <w:tcPr>
            <w:tcW w:w="2394" w:type="dxa"/>
            <w:shd w:val="clear" w:color="auto" w:fill="BFBFBF" w:themeFill="background1" w:themeFillShade="BF"/>
          </w:tcPr>
          <w:p w14:paraId="1E8CE990"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Relationship of</w:t>
            </w:r>
          </w:p>
          <w:p w14:paraId="1EE8FACD"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LVEF to</w:t>
            </w:r>
          </w:p>
          <w:p w14:paraId="6AEA5ADE" w14:textId="77777777" w:rsidR="00433BBD" w:rsidRPr="007A3223" w:rsidRDefault="00433BBD" w:rsidP="00DF47C3">
            <w:pPr>
              <w:spacing w:after="0"/>
              <w:jc w:val="center"/>
              <w:rPr>
                <w:b/>
                <w:color w:val="000000"/>
                <w:szCs w:val="24"/>
              </w:rPr>
            </w:pPr>
            <w:r w:rsidRPr="007A3223">
              <w:rPr>
                <w:b/>
                <w:szCs w:val="24"/>
              </w:rPr>
              <w:t>I</w:t>
            </w:r>
            <w:r w:rsidRPr="007A3223">
              <w:rPr>
                <w:rFonts w:ascii="‡0ÚøªñÈ" w:hAnsi="‡0ÚøªñÈ" w:cs="‡0ÚøªñÈ"/>
                <w:b/>
                <w:szCs w:val="24"/>
              </w:rPr>
              <w:t>nstitution’s LLN</w:t>
            </w:r>
          </w:p>
        </w:tc>
        <w:tc>
          <w:tcPr>
            <w:tcW w:w="2394" w:type="dxa"/>
            <w:shd w:val="clear" w:color="auto" w:fill="BFBFBF" w:themeFill="background1" w:themeFillShade="BF"/>
          </w:tcPr>
          <w:p w14:paraId="3BACF308"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LVEF Decrease</w:t>
            </w:r>
          </w:p>
          <w:p w14:paraId="74F44176"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&lt; 10%</w:t>
            </w:r>
          </w:p>
          <w:p w14:paraId="5980379D" w14:textId="77777777" w:rsidR="00433BBD" w:rsidRPr="007A3223" w:rsidRDefault="00433BBD" w:rsidP="00DF47C3">
            <w:pPr>
              <w:spacing w:after="0"/>
              <w:jc w:val="center"/>
              <w:rPr>
                <w:b/>
                <w:color w:val="000000"/>
                <w:szCs w:val="24"/>
              </w:rPr>
            </w:pPr>
          </w:p>
        </w:tc>
        <w:tc>
          <w:tcPr>
            <w:tcW w:w="2394" w:type="dxa"/>
            <w:shd w:val="clear" w:color="auto" w:fill="BFBFBF" w:themeFill="background1" w:themeFillShade="BF"/>
          </w:tcPr>
          <w:p w14:paraId="26E263AB"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LVEF Decrease</w:t>
            </w:r>
          </w:p>
          <w:p w14:paraId="56166499"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10-15%</w:t>
            </w:r>
          </w:p>
          <w:p w14:paraId="341E1461" w14:textId="77777777" w:rsidR="00433BBD" w:rsidRPr="007A3223" w:rsidRDefault="00433BBD" w:rsidP="00DF47C3">
            <w:pPr>
              <w:spacing w:after="0"/>
              <w:jc w:val="center"/>
              <w:rPr>
                <w:b/>
                <w:color w:val="000000"/>
                <w:szCs w:val="24"/>
              </w:rPr>
            </w:pPr>
          </w:p>
        </w:tc>
        <w:tc>
          <w:tcPr>
            <w:tcW w:w="2394" w:type="dxa"/>
            <w:shd w:val="clear" w:color="auto" w:fill="BFBFBF" w:themeFill="background1" w:themeFillShade="BF"/>
          </w:tcPr>
          <w:p w14:paraId="01009C11"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LVEF Decrease</w:t>
            </w:r>
          </w:p>
          <w:p w14:paraId="0F6FEEF4" w14:textId="77777777" w:rsidR="00433BBD" w:rsidRPr="007A3223" w:rsidRDefault="00433BBD" w:rsidP="00DF47C3">
            <w:pPr>
              <w:spacing w:after="0"/>
              <w:jc w:val="center"/>
              <w:rPr>
                <w:b/>
                <w:color w:val="000000"/>
                <w:szCs w:val="24"/>
              </w:rPr>
            </w:pPr>
            <w:r w:rsidRPr="007A3223">
              <w:rPr>
                <w:b/>
                <w:szCs w:val="24"/>
              </w:rPr>
              <w:t>&gt; 16%</w:t>
            </w:r>
          </w:p>
        </w:tc>
      </w:tr>
      <w:tr w:rsidR="00433BBD" w:rsidRPr="007A3223" w14:paraId="67ECEDD1" w14:textId="77777777" w:rsidTr="00DF47C3">
        <w:tc>
          <w:tcPr>
            <w:tcW w:w="2394" w:type="dxa"/>
          </w:tcPr>
          <w:p w14:paraId="1E621CB0" w14:textId="77777777" w:rsidR="00433BBD" w:rsidRPr="007A3223" w:rsidRDefault="00433BBD" w:rsidP="00DF47C3">
            <w:pPr>
              <w:widowControl w:val="0"/>
              <w:autoSpaceDE w:val="0"/>
              <w:autoSpaceDN w:val="0"/>
              <w:adjustRightInd w:val="0"/>
              <w:spacing w:after="0"/>
              <w:jc w:val="center"/>
              <w:rPr>
                <w:color w:val="000000"/>
                <w:szCs w:val="24"/>
              </w:rPr>
            </w:pPr>
            <w:r w:rsidRPr="007A3223">
              <w:rPr>
                <w:szCs w:val="24"/>
              </w:rPr>
              <w:t>Normal</w:t>
            </w:r>
          </w:p>
        </w:tc>
        <w:tc>
          <w:tcPr>
            <w:tcW w:w="2394" w:type="dxa"/>
          </w:tcPr>
          <w:p w14:paraId="34F352F8" w14:textId="77777777" w:rsidR="00433BBD" w:rsidRPr="007A3223" w:rsidRDefault="00433BBD" w:rsidP="00DF47C3">
            <w:pPr>
              <w:spacing w:after="0"/>
              <w:jc w:val="center"/>
              <w:rPr>
                <w:color w:val="000000"/>
                <w:szCs w:val="24"/>
              </w:rPr>
            </w:pPr>
            <w:r w:rsidRPr="007A3223">
              <w:rPr>
                <w:szCs w:val="24"/>
              </w:rPr>
              <w:t>Continue</w:t>
            </w:r>
          </w:p>
        </w:tc>
        <w:tc>
          <w:tcPr>
            <w:tcW w:w="2394" w:type="dxa"/>
          </w:tcPr>
          <w:p w14:paraId="75C2D56C" w14:textId="77777777" w:rsidR="00433BBD" w:rsidRPr="007A3223" w:rsidRDefault="00433BBD" w:rsidP="00DF47C3">
            <w:pPr>
              <w:widowControl w:val="0"/>
              <w:autoSpaceDE w:val="0"/>
              <w:autoSpaceDN w:val="0"/>
              <w:adjustRightInd w:val="0"/>
              <w:spacing w:after="0"/>
              <w:jc w:val="center"/>
              <w:rPr>
                <w:szCs w:val="24"/>
              </w:rPr>
            </w:pPr>
            <w:r w:rsidRPr="007A3223">
              <w:rPr>
                <w:szCs w:val="24"/>
              </w:rPr>
              <w:t>Continue</w:t>
            </w:r>
          </w:p>
          <w:p w14:paraId="4E828E90" w14:textId="77777777" w:rsidR="00433BBD" w:rsidRPr="007A3223" w:rsidRDefault="00433BBD" w:rsidP="00DF47C3">
            <w:pPr>
              <w:spacing w:after="0"/>
              <w:jc w:val="center"/>
              <w:rPr>
                <w:color w:val="000000"/>
                <w:szCs w:val="24"/>
              </w:rPr>
            </w:pPr>
          </w:p>
        </w:tc>
        <w:tc>
          <w:tcPr>
            <w:tcW w:w="2394" w:type="dxa"/>
          </w:tcPr>
          <w:p w14:paraId="01A40DBF" w14:textId="77777777" w:rsidR="00433BBD" w:rsidRPr="007A3223" w:rsidRDefault="00433BBD" w:rsidP="00DF47C3">
            <w:pPr>
              <w:widowControl w:val="0"/>
              <w:autoSpaceDE w:val="0"/>
              <w:autoSpaceDN w:val="0"/>
              <w:adjustRightInd w:val="0"/>
              <w:spacing w:after="0"/>
              <w:jc w:val="center"/>
              <w:rPr>
                <w:szCs w:val="24"/>
              </w:rPr>
            </w:pPr>
            <w:r w:rsidRPr="007A3223">
              <w:rPr>
                <w:szCs w:val="24"/>
              </w:rPr>
              <w:t>Continue and</w:t>
            </w:r>
          </w:p>
          <w:p w14:paraId="0DB00D4A"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35FA8C80" w14:textId="77777777" w:rsidR="00433BBD" w:rsidRPr="007A3223" w:rsidRDefault="00433BBD" w:rsidP="00DF47C3">
            <w:pPr>
              <w:spacing w:after="0"/>
              <w:jc w:val="center"/>
              <w:rPr>
                <w:color w:val="000000"/>
                <w:szCs w:val="24"/>
              </w:rPr>
            </w:pPr>
            <w:r w:rsidRPr="007A3223">
              <w:rPr>
                <w:szCs w:val="24"/>
              </w:rPr>
              <w:lastRenderedPageBreak/>
              <w:t>within 1-2 cycles</w:t>
            </w:r>
          </w:p>
        </w:tc>
      </w:tr>
      <w:tr w:rsidR="00433BBD" w:rsidRPr="007A3223" w14:paraId="3433026B" w14:textId="77777777" w:rsidTr="00DF47C3">
        <w:tc>
          <w:tcPr>
            <w:tcW w:w="2394" w:type="dxa"/>
          </w:tcPr>
          <w:p w14:paraId="076C4EE2" w14:textId="77777777" w:rsidR="00433BBD" w:rsidRPr="007A3223" w:rsidRDefault="00433BBD" w:rsidP="00DF47C3">
            <w:pPr>
              <w:widowControl w:val="0"/>
              <w:autoSpaceDE w:val="0"/>
              <w:autoSpaceDN w:val="0"/>
              <w:adjustRightInd w:val="0"/>
              <w:spacing w:after="0"/>
              <w:jc w:val="center"/>
              <w:rPr>
                <w:szCs w:val="24"/>
              </w:rPr>
            </w:pPr>
            <w:r w:rsidRPr="007A3223">
              <w:rPr>
                <w:szCs w:val="24"/>
              </w:rPr>
              <w:lastRenderedPageBreak/>
              <w:t>1-5% below LLN</w:t>
            </w:r>
          </w:p>
          <w:p w14:paraId="611AF36A" w14:textId="77777777" w:rsidR="00433BBD" w:rsidRPr="007A3223" w:rsidRDefault="00433BBD" w:rsidP="00DF47C3">
            <w:pPr>
              <w:spacing w:after="0"/>
              <w:jc w:val="center"/>
              <w:rPr>
                <w:color w:val="000000"/>
                <w:szCs w:val="24"/>
              </w:rPr>
            </w:pPr>
          </w:p>
        </w:tc>
        <w:tc>
          <w:tcPr>
            <w:tcW w:w="2394" w:type="dxa"/>
          </w:tcPr>
          <w:p w14:paraId="61F91601" w14:textId="77777777" w:rsidR="00433BBD" w:rsidRPr="007A3223" w:rsidRDefault="00433BBD" w:rsidP="00DF47C3">
            <w:pPr>
              <w:widowControl w:val="0"/>
              <w:autoSpaceDE w:val="0"/>
              <w:autoSpaceDN w:val="0"/>
              <w:adjustRightInd w:val="0"/>
              <w:spacing w:after="0"/>
              <w:jc w:val="center"/>
              <w:rPr>
                <w:szCs w:val="24"/>
              </w:rPr>
            </w:pPr>
            <w:r w:rsidRPr="007A3223">
              <w:rPr>
                <w:szCs w:val="24"/>
              </w:rPr>
              <w:t>Continue and</w:t>
            </w:r>
          </w:p>
          <w:p w14:paraId="2BCDFECE"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18B4E188" w14:textId="77777777" w:rsidR="00433BBD" w:rsidRPr="007A3223" w:rsidRDefault="00433BBD" w:rsidP="00DF47C3">
            <w:pPr>
              <w:widowControl w:val="0"/>
              <w:autoSpaceDE w:val="0"/>
              <w:autoSpaceDN w:val="0"/>
              <w:adjustRightInd w:val="0"/>
              <w:spacing w:after="0"/>
              <w:jc w:val="center"/>
              <w:rPr>
                <w:szCs w:val="24"/>
              </w:rPr>
            </w:pPr>
            <w:r w:rsidRPr="007A3223">
              <w:rPr>
                <w:szCs w:val="24"/>
              </w:rPr>
              <w:t>within 1-2 cycles</w:t>
            </w:r>
          </w:p>
          <w:p w14:paraId="6E3CD6D3" w14:textId="77777777" w:rsidR="00433BBD" w:rsidRPr="007A3223" w:rsidRDefault="00433BBD" w:rsidP="00DF47C3">
            <w:pPr>
              <w:spacing w:after="0"/>
              <w:jc w:val="center"/>
              <w:rPr>
                <w:color w:val="000000"/>
                <w:szCs w:val="24"/>
              </w:rPr>
            </w:pPr>
          </w:p>
        </w:tc>
        <w:tc>
          <w:tcPr>
            <w:tcW w:w="2394" w:type="dxa"/>
          </w:tcPr>
          <w:p w14:paraId="2F0A543D" w14:textId="77777777" w:rsidR="00433BBD" w:rsidRPr="007A3223" w:rsidRDefault="00433BBD" w:rsidP="00DF47C3">
            <w:pPr>
              <w:widowControl w:val="0"/>
              <w:autoSpaceDE w:val="0"/>
              <w:autoSpaceDN w:val="0"/>
              <w:adjustRightInd w:val="0"/>
              <w:spacing w:after="0"/>
              <w:jc w:val="center"/>
              <w:rPr>
                <w:szCs w:val="24"/>
              </w:rPr>
            </w:pPr>
            <w:r w:rsidRPr="007A3223">
              <w:rPr>
                <w:szCs w:val="24"/>
              </w:rPr>
              <w:t>Continue and</w:t>
            </w:r>
          </w:p>
          <w:p w14:paraId="3A4E7E1B"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70489265" w14:textId="77777777" w:rsidR="00433BBD" w:rsidRPr="007A3223" w:rsidRDefault="00433BBD" w:rsidP="00DF47C3">
            <w:pPr>
              <w:widowControl w:val="0"/>
              <w:autoSpaceDE w:val="0"/>
              <w:autoSpaceDN w:val="0"/>
              <w:adjustRightInd w:val="0"/>
              <w:spacing w:after="0"/>
              <w:jc w:val="center"/>
              <w:rPr>
                <w:szCs w:val="24"/>
              </w:rPr>
            </w:pPr>
            <w:r w:rsidRPr="007A3223">
              <w:rPr>
                <w:szCs w:val="24"/>
              </w:rPr>
              <w:t>within 1-2 cycles</w:t>
            </w:r>
          </w:p>
          <w:p w14:paraId="2B251C90" w14:textId="77777777" w:rsidR="00433BBD" w:rsidRPr="007A3223" w:rsidRDefault="00433BBD" w:rsidP="00DF47C3">
            <w:pPr>
              <w:spacing w:after="0"/>
              <w:jc w:val="center"/>
              <w:rPr>
                <w:color w:val="000000"/>
                <w:szCs w:val="24"/>
              </w:rPr>
            </w:pPr>
          </w:p>
        </w:tc>
        <w:tc>
          <w:tcPr>
            <w:tcW w:w="2394" w:type="dxa"/>
          </w:tcPr>
          <w:p w14:paraId="49C57B22" w14:textId="77777777" w:rsidR="00433BBD" w:rsidRPr="007A3223" w:rsidRDefault="00433BBD" w:rsidP="00DF47C3">
            <w:pPr>
              <w:widowControl w:val="0"/>
              <w:autoSpaceDE w:val="0"/>
              <w:autoSpaceDN w:val="0"/>
              <w:adjustRightInd w:val="0"/>
              <w:spacing w:after="0"/>
              <w:jc w:val="center"/>
              <w:rPr>
                <w:szCs w:val="24"/>
              </w:rPr>
            </w:pPr>
            <w:r w:rsidRPr="007A3223">
              <w:rPr>
                <w:szCs w:val="24"/>
              </w:rPr>
              <w:t>HOLD and</w:t>
            </w:r>
          </w:p>
          <w:p w14:paraId="38119162"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150321C3" w14:textId="77777777" w:rsidR="00433BBD" w:rsidRPr="007A3223" w:rsidRDefault="00433BBD" w:rsidP="00DF47C3">
            <w:pPr>
              <w:spacing w:after="0"/>
              <w:jc w:val="center"/>
              <w:rPr>
                <w:color w:val="000000"/>
                <w:szCs w:val="24"/>
              </w:rPr>
            </w:pPr>
            <w:r w:rsidRPr="007A3223">
              <w:rPr>
                <w:szCs w:val="24"/>
              </w:rPr>
              <w:t>within 1-2 cycles</w:t>
            </w:r>
          </w:p>
        </w:tc>
      </w:tr>
      <w:tr w:rsidR="00433BBD" w:rsidRPr="007A3223" w14:paraId="337A79D9" w14:textId="77777777" w:rsidTr="00DF47C3">
        <w:tc>
          <w:tcPr>
            <w:tcW w:w="2394" w:type="dxa"/>
          </w:tcPr>
          <w:p w14:paraId="23F08EC7" w14:textId="77777777" w:rsidR="00433BBD" w:rsidRPr="007A3223" w:rsidRDefault="00433BBD" w:rsidP="00DF47C3">
            <w:pPr>
              <w:widowControl w:val="0"/>
              <w:autoSpaceDE w:val="0"/>
              <w:autoSpaceDN w:val="0"/>
              <w:adjustRightInd w:val="0"/>
              <w:spacing w:after="0"/>
              <w:jc w:val="center"/>
              <w:rPr>
                <w:szCs w:val="24"/>
              </w:rPr>
            </w:pPr>
            <w:r w:rsidRPr="007A3223">
              <w:rPr>
                <w:szCs w:val="24"/>
              </w:rPr>
              <w:t>&gt; 6% below LLN</w:t>
            </w:r>
          </w:p>
          <w:p w14:paraId="5EA21BD8" w14:textId="77777777" w:rsidR="00433BBD" w:rsidRPr="007A3223" w:rsidRDefault="00433BBD" w:rsidP="00DF47C3">
            <w:pPr>
              <w:widowControl w:val="0"/>
              <w:autoSpaceDE w:val="0"/>
              <w:autoSpaceDN w:val="0"/>
              <w:adjustRightInd w:val="0"/>
              <w:spacing w:after="0"/>
              <w:jc w:val="center"/>
              <w:rPr>
                <w:szCs w:val="24"/>
              </w:rPr>
            </w:pPr>
          </w:p>
          <w:p w14:paraId="0C13061D" w14:textId="77777777" w:rsidR="00433BBD" w:rsidRPr="007A3223" w:rsidRDefault="00433BBD" w:rsidP="00DF47C3">
            <w:pPr>
              <w:spacing w:after="0"/>
              <w:jc w:val="center"/>
              <w:rPr>
                <w:color w:val="000000"/>
                <w:szCs w:val="24"/>
              </w:rPr>
            </w:pPr>
          </w:p>
        </w:tc>
        <w:tc>
          <w:tcPr>
            <w:tcW w:w="2394" w:type="dxa"/>
          </w:tcPr>
          <w:p w14:paraId="50DE3571" w14:textId="77777777" w:rsidR="00433BBD" w:rsidRPr="007A3223" w:rsidRDefault="00433BBD" w:rsidP="00DF47C3">
            <w:pPr>
              <w:widowControl w:val="0"/>
              <w:autoSpaceDE w:val="0"/>
              <w:autoSpaceDN w:val="0"/>
              <w:adjustRightInd w:val="0"/>
              <w:spacing w:after="0"/>
              <w:jc w:val="center"/>
              <w:rPr>
                <w:szCs w:val="24"/>
              </w:rPr>
            </w:pPr>
            <w:r w:rsidRPr="007A3223">
              <w:rPr>
                <w:szCs w:val="24"/>
              </w:rPr>
              <w:t>Continue and</w:t>
            </w:r>
          </w:p>
          <w:p w14:paraId="77B4FEA6"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759A14E5" w14:textId="77777777" w:rsidR="00433BBD" w:rsidRPr="007A3223" w:rsidRDefault="00433BBD" w:rsidP="00DF47C3">
            <w:pPr>
              <w:spacing w:after="0"/>
              <w:jc w:val="center"/>
              <w:rPr>
                <w:color w:val="000000"/>
                <w:szCs w:val="24"/>
              </w:rPr>
            </w:pPr>
            <w:r w:rsidRPr="007A3223">
              <w:rPr>
                <w:szCs w:val="24"/>
              </w:rPr>
              <w:t>within 1-2 cycles</w:t>
            </w:r>
          </w:p>
        </w:tc>
        <w:tc>
          <w:tcPr>
            <w:tcW w:w="2394" w:type="dxa"/>
          </w:tcPr>
          <w:p w14:paraId="3320994B" w14:textId="77777777" w:rsidR="00433BBD" w:rsidRPr="007A3223" w:rsidRDefault="00433BBD" w:rsidP="00DF47C3">
            <w:pPr>
              <w:widowControl w:val="0"/>
              <w:autoSpaceDE w:val="0"/>
              <w:autoSpaceDN w:val="0"/>
              <w:adjustRightInd w:val="0"/>
              <w:spacing w:after="0"/>
              <w:jc w:val="center"/>
              <w:rPr>
                <w:szCs w:val="24"/>
              </w:rPr>
            </w:pPr>
            <w:r w:rsidRPr="007A3223">
              <w:rPr>
                <w:szCs w:val="24"/>
              </w:rPr>
              <w:t>HOLD and</w:t>
            </w:r>
          </w:p>
          <w:p w14:paraId="04A58EB8"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5E60CC5C" w14:textId="77777777" w:rsidR="00433BBD" w:rsidRPr="007A3223" w:rsidRDefault="00433BBD" w:rsidP="00DF47C3">
            <w:pPr>
              <w:widowControl w:val="0"/>
              <w:autoSpaceDE w:val="0"/>
              <w:autoSpaceDN w:val="0"/>
              <w:adjustRightInd w:val="0"/>
              <w:spacing w:after="0"/>
              <w:jc w:val="center"/>
              <w:rPr>
                <w:szCs w:val="24"/>
              </w:rPr>
            </w:pPr>
            <w:r w:rsidRPr="007A3223">
              <w:rPr>
                <w:szCs w:val="24"/>
              </w:rPr>
              <w:t>within 1-2 cycles</w:t>
            </w:r>
          </w:p>
          <w:p w14:paraId="428CC302" w14:textId="77777777" w:rsidR="00433BBD" w:rsidRPr="007A3223" w:rsidRDefault="00433BBD" w:rsidP="00DF47C3">
            <w:pPr>
              <w:spacing w:after="0"/>
              <w:jc w:val="center"/>
              <w:rPr>
                <w:color w:val="000000"/>
                <w:szCs w:val="24"/>
              </w:rPr>
            </w:pPr>
          </w:p>
        </w:tc>
        <w:tc>
          <w:tcPr>
            <w:tcW w:w="2394" w:type="dxa"/>
          </w:tcPr>
          <w:p w14:paraId="2D21F88C" w14:textId="77777777" w:rsidR="00433BBD" w:rsidRPr="007A3223" w:rsidRDefault="00433BBD" w:rsidP="00DF47C3">
            <w:pPr>
              <w:widowControl w:val="0"/>
              <w:autoSpaceDE w:val="0"/>
              <w:autoSpaceDN w:val="0"/>
              <w:adjustRightInd w:val="0"/>
              <w:spacing w:after="0"/>
              <w:jc w:val="center"/>
              <w:rPr>
                <w:szCs w:val="24"/>
              </w:rPr>
            </w:pPr>
            <w:r w:rsidRPr="007A3223">
              <w:rPr>
                <w:szCs w:val="24"/>
              </w:rPr>
              <w:t>HOLD and</w:t>
            </w:r>
          </w:p>
          <w:p w14:paraId="0B48DE04" w14:textId="77777777" w:rsidR="00433BBD" w:rsidRPr="007A3223" w:rsidRDefault="00433BBD" w:rsidP="00DF47C3">
            <w:pPr>
              <w:widowControl w:val="0"/>
              <w:autoSpaceDE w:val="0"/>
              <w:autoSpaceDN w:val="0"/>
              <w:adjustRightInd w:val="0"/>
              <w:spacing w:after="0"/>
              <w:jc w:val="center"/>
              <w:rPr>
                <w:szCs w:val="24"/>
              </w:rPr>
            </w:pPr>
            <w:r w:rsidRPr="007A3223">
              <w:rPr>
                <w:szCs w:val="24"/>
              </w:rPr>
              <w:t>repeat MUGA/ECHO</w:t>
            </w:r>
          </w:p>
          <w:p w14:paraId="0579FA0D" w14:textId="77777777" w:rsidR="00433BBD" w:rsidRPr="007A3223" w:rsidRDefault="00433BBD" w:rsidP="00DF47C3">
            <w:pPr>
              <w:spacing w:after="0"/>
              <w:jc w:val="center"/>
              <w:rPr>
                <w:color w:val="000000"/>
                <w:szCs w:val="24"/>
              </w:rPr>
            </w:pPr>
            <w:r w:rsidRPr="007A3223">
              <w:rPr>
                <w:szCs w:val="24"/>
              </w:rPr>
              <w:t>within 1-2 cycles</w:t>
            </w:r>
          </w:p>
        </w:tc>
      </w:tr>
    </w:tbl>
    <w:p w14:paraId="7CA14B5A" w14:textId="77777777" w:rsidR="00E52947" w:rsidRPr="007A3223" w:rsidRDefault="00E52947" w:rsidP="00A928C5"/>
    <w:p w14:paraId="52D4AD83" w14:textId="77777777" w:rsidR="00D457EC" w:rsidRPr="007A3223" w:rsidRDefault="00D457EC" w:rsidP="00886D51">
      <w:pPr>
        <w:pStyle w:val="Heading5"/>
      </w:pPr>
      <w:r w:rsidRPr="007A3223">
        <w:t>Dose Modification and Management of Proteinuria for Cediranib</w:t>
      </w:r>
    </w:p>
    <w:p w14:paraId="44115122" w14:textId="77777777" w:rsidR="00433BBD" w:rsidRPr="007A3223" w:rsidRDefault="00433BBD" w:rsidP="00433BBD">
      <w:pPr>
        <w:widowControl w:val="0"/>
        <w:autoSpaceDE w:val="0"/>
        <w:autoSpaceDN w:val="0"/>
        <w:adjustRightInd w:val="0"/>
        <w:spacing w:after="0"/>
        <w:rPr>
          <w:szCs w:val="24"/>
        </w:rPr>
      </w:pPr>
      <w:r w:rsidRPr="007A3223">
        <w:rPr>
          <w:color w:val="000000"/>
          <w:szCs w:val="24"/>
        </w:rPr>
        <w:t>Patients with greater than 1+ proteinuria at entry are ineligible. Proteinuria has not been reported</w:t>
      </w:r>
      <w:r w:rsidR="00704D0A" w:rsidRPr="007A3223">
        <w:rPr>
          <w:color w:val="000000"/>
          <w:szCs w:val="24"/>
        </w:rPr>
        <w:t xml:space="preserve"> </w:t>
      </w:r>
      <w:r w:rsidRPr="007A3223">
        <w:rPr>
          <w:color w:val="000000"/>
          <w:szCs w:val="24"/>
        </w:rPr>
        <w:t>as a significant adverse event associated with use of this agent, although it has been observed in</w:t>
      </w:r>
      <w:r w:rsidR="00704D0A" w:rsidRPr="007A3223">
        <w:rPr>
          <w:color w:val="000000"/>
          <w:szCs w:val="24"/>
        </w:rPr>
        <w:t xml:space="preserve"> </w:t>
      </w:r>
      <w:r w:rsidRPr="007A3223">
        <w:rPr>
          <w:color w:val="000000"/>
          <w:szCs w:val="24"/>
        </w:rPr>
        <w:t>trials with similar agents. Thus, increases in proteinuria may occur during treatment and should</w:t>
      </w:r>
      <w:r w:rsidR="00704D0A" w:rsidRPr="007A3223">
        <w:rPr>
          <w:color w:val="000000"/>
          <w:szCs w:val="24"/>
        </w:rPr>
        <w:t xml:space="preserve"> </w:t>
      </w:r>
      <w:r w:rsidRPr="007A3223">
        <w:rPr>
          <w:color w:val="000000"/>
          <w:szCs w:val="24"/>
        </w:rPr>
        <w:t>be managed as follows:</w:t>
      </w:r>
    </w:p>
    <w:tbl>
      <w:tblPr>
        <w:tblStyle w:val="TableGrid"/>
        <w:tblW w:w="0" w:type="auto"/>
        <w:tblLook w:val="04A0" w:firstRow="1" w:lastRow="0" w:firstColumn="1" w:lastColumn="0" w:noHBand="0" w:noVBand="1"/>
      </w:tblPr>
      <w:tblGrid>
        <w:gridCol w:w="3116"/>
        <w:gridCol w:w="3115"/>
        <w:gridCol w:w="3119"/>
      </w:tblGrid>
      <w:tr w:rsidR="00433BBD" w:rsidRPr="007A3223" w14:paraId="42BCDA0D" w14:textId="77777777" w:rsidTr="00DF47C3">
        <w:tc>
          <w:tcPr>
            <w:tcW w:w="9576" w:type="dxa"/>
            <w:gridSpan w:val="3"/>
          </w:tcPr>
          <w:p w14:paraId="67625752" w14:textId="38C5A05F" w:rsidR="00433BBD" w:rsidRPr="007A3223" w:rsidRDefault="000C1677" w:rsidP="001E598B">
            <w:pPr>
              <w:pStyle w:val="Caption"/>
              <w:rPr>
                <w:sz w:val="24"/>
                <w:szCs w:val="24"/>
              </w:rPr>
            </w:pPr>
            <w:bookmarkStart w:id="190" w:name="_Toc82444449"/>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15</w:t>
            </w:r>
            <w:r w:rsidR="00F82420" w:rsidRPr="00F33908">
              <w:rPr>
                <w:noProof/>
              </w:rPr>
              <w:fldChar w:fldCharType="end"/>
            </w:r>
            <w:r w:rsidR="00433BBD" w:rsidRPr="007A3223">
              <w:rPr>
                <w:sz w:val="24"/>
                <w:szCs w:val="24"/>
              </w:rPr>
              <w:t>. Management of Prot</w:t>
            </w:r>
            <w:r w:rsidR="00433BBD" w:rsidRPr="00F33908">
              <w:rPr>
                <w:sz w:val="24"/>
                <w:szCs w:val="24"/>
              </w:rPr>
              <w:t>einuria</w:t>
            </w:r>
            <w:bookmarkEnd w:id="190"/>
          </w:p>
        </w:tc>
      </w:tr>
      <w:tr w:rsidR="00433BBD" w:rsidRPr="007A3223" w14:paraId="43B2A031" w14:textId="77777777" w:rsidTr="00DF47C3">
        <w:tc>
          <w:tcPr>
            <w:tcW w:w="3192" w:type="dxa"/>
            <w:shd w:val="clear" w:color="auto" w:fill="BFBFBF" w:themeFill="background1" w:themeFillShade="BF"/>
          </w:tcPr>
          <w:p w14:paraId="620608D3" w14:textId="77777777" w:rsidR="00433BBD" w:rsidRPr="007A3223" w:rsidRDefault="00CD356C" w:rsidP="00DF47C3">
            <w:pPr>
              <w:widowControl w:val="0"/>
              <w:autoSpaceDE w:val="0"/>
              <w:autoSpaceDN w:val="0"/>
              <w:adjustRightInd w:val="0"/>
              <w:spacing w:after="0"/>
              <w:jc w:val="center"/>
              <w:rPr>
                <w:b/>
                <w:szCs w:val="24"/>
              </w:rPr>
            </w:pPr>
            <w:r w:rsidRPr="007A3223">
              <w:rPr>
                <w:b/>
              </w:rPr>
              <w:t>Proteinuria Value if following by U/A</w:t>
            </w:r>
          </w:p>
        </w:tc>
        <w:tc>
          <w:tcPr>
            <w:tcW w:w="3192" w:type="dxa"/>
            <w:shd w:val="clear" w:color="auto" w:fill="BFBFBF" w:themeFill="background1" w:themeFillShade="BF"/>
          </w:tcPr>
          <w:p w14:paraId="1C8D7A45"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Value Monitoring</w:t>
            </w:r>
          </w:p>
        </w:tc>
        <w:tc>
          <w:tcPr>
            <w:tcW w:w="3192" w:type="dxa"/>
            <w:shd w:val="clear" w:color="auto" w:fill="BFBFBF" w:themeFill="background1" w:themeFillShade="BF"/>
          </w:tcPr>
          <w:p w14:paraId="7A9866F4" w14:textId="77777777" w:rsidR="00433BBD" w:rsidRPr="007A3223" w:rsidRDefault="00433BBD" w:rsidP="00DF47C3">
            <w:pPr>
              <w:widowControl w:val="0"/>
              <w:autoSpaceDE w:val="0"/>
              <w:autoSpaceDN w:val="0"/>
              <w:adjustRightInd w:val="0"/>
              <w:spacing w:after="0"/>
              <w:jc w:val="center"/>
              <w:rPr>
                <w:b/>
                <w:szCs w:val="24"/>
              </w:rPr>
            </w:pPr>
            <w:r w:rsidRPr="007A3223">
              <w:rPr>
                <w:b/>
                <w:szCs w:val="24"/>
              </w:rPr>
              <w:t>Dose modification</w:t>
            </w:r>
          </w:p>
        </w:tc>
      </w:tr>
      <w:tr w:rsidR="00AA3459" w:rsidRPr="007A3223" w14:paraId="7F67D106" w14:textId="77777777" w:rsidTr="00AA3459">
        <w:trPr>
          <w:trHeight w:val="2256"/>
        </w:trPr>
        <w:tc>
          <w:tcPr>
            <w:tcW w:w="3192" w:type="dxa"/>
            <w:tcBorders>
              <w:left w:val="single" w:sz="4" w:space="0" w:color="auto"/>
              <w:bottom w:val="single" w:sz="4" w:space="0" w:color="auto"/>
            </w:tcBorders>
            <w:vAlign w:val="center"/>
          </w:tcPr>
          <w:p w14:paraId="36B853E3" w14:textId="77777777" w:rsidR="00AA3459" w:rsidRPr="007A3223" w:rsidRDefault="00AA3459" w:rsidP="00421190">
            <w:pPr>
              <w:tabs>
                <w:tab w:val="left" w:pos="-1080"/>
                <w:tab w:val="left" w:pos="-720"/>
                <w:tab w:val="left" w:pos="354"/>
                <w:tab w:val="left" w:pos="72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pPr>
            <w:r w:rsidRPr="007A3223">
              <w:rPr>
                <w:u w:val="single"/>
              </w:rPr>
              <w:t>Greater than</w:t>
            </w:r>
            <w:r w:rsidRPr="007A3223">
              <w:t xml:space="preserve"> 2+ on urine dipstick or U/A </w:t>
            </w:r>
          </w:p>
          <w:p w14:paraId="58770E5E" w14:textId="77777777" w:rsidR="00AA3459" w:rsidRPr="007A3223" w:rsidRDefault="00AA3459" w:rsidP="00421190">
            <w:pPr>
              <w:tabs>
                <w:tab w:val="left" w:pos="-1080"/>
                <w:tab w:val="left" w:pos="-720"/>
                <w:tab w:val="left" w:pos="354"/>
                <w:tab w:val="left" w:pos="72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b/>
                <w:u w:val="single"/>
              </w:rPr>
            </w:pPr>
            <w:r w:rsidRPr="007A3223">
              <w:rPr>
                <w:b/>
                <w:u w:val="single"/>
              </w:rPr>
              <w:t>AND</w:t>
            </w:r>
          </w:p>
          <w:p w14:paraId="6A6F235B" w14:textId="77777777" w:rsidR="00AA3459" w:rsidRPr="007A3223" w:rsidRDefault="00AA3459" w:rsidP="00DF47C3">
            <w:pPr>
              <w:widowControl w:val="0"/>
              <w:autoSpaceDE w:val="0"/>
              <w:autoSpaceDN w:val="0"/>
              <w:adjustRightInd w:val="0"/>
              <w:spacing w:after="0"/>
              <w:rPr>
                <w:szCs w:val="24"/>
              </w:rPr>
            </w:pPr>
            <w:r w:rsidRPr="007A3223">
              <w:t xml:space="preserve">Creatinine </w:t>
            </w:r>
            <w:r w:rsidRPr="007A3223">
              <w:rPr>
                <w:rFonts w:hint="eastAsia"/>
              </w:rPr>
              <w:t>≤</w:t>
            </w:r>
            <w:r w:rsidRPr="007A3223">
              <w:rPr>
                <w:rFonts w:hint="eastAsia"/>
              </w:rPr>
              <w:t>1.5x</w:t>
            </w:r>
            <w:r w:rsidRPr="007A3223">
              <w:t xml:space="preserve"> ULN</w:t>
            </w:r>
          </w:p>
        </w:tc>
        <w:tc>
          <w:tcPr>
            <w:tcW w:w="3192" w:type="dxa"/>
            <w:tcBorders>
              <w:bottom w:val="single" w:sz="4" w:space="0" w:color="auto"/>
            </w:tcBorders>
            <w:vAlign w:val="center"/>
          </w:tcPr>
          <w:p w14:paraId="44AC59E3" w14:textId="77777777" w:rsidR="00AA3459" w:rsidRPr="007A3223" w:rsidRDefault="00AA3459" w:rsidP="00AA3459">
            <w:pPr>
              <w:widowControl w:val="0"/>
              <w:autoSpaceDE w:val="0"/>
              <w:autoSpaceDN w:val="0"/>
              <w:adjustRightInd w:val="0"/>
            </w:pPr>
            <w:r w:rsidRPr="007A3223">
              <w:t xml:space="preserve">Perform UPC. </w:t>
            </w:r>
          </w:p>
        </w:tc>
        <w:tc>
          <w:tcPr>
            <w:tcW w:w="3192" w:type="dxa"/>
            <w:tcBorders>
              <w:bottom w:val="single" w:sz="4" w:space="0" w:color="auto"/>
            </w:tcBorders>
            <w:vAlign w:val="center"/>
          </w:tcPr>
          <w:p w14:paraId="23012EA9" w14:textId="77777777" w:rsidR="00AA3459" w:rsidRPr="007A3223" w:rsidRDefault="00AA3459" w:rsidP="00DF47C3">
            <w:pPr>
              <w:widowControl w:val="0"/>
              <w:autoSpaceDE w:val="0"/>
              <w:autoSpaceDN w:val="0"/>
              <w:adjustRightInd w:val="0"/>
              <w:spacing w:after="0"/>
              <w:rPr>
                <w:szCs w:val="24"/>
              </w:rPr>
            </w:pPr>
            <w:r w:rsidRPr="007A3223">
              <w:rPr>
                <w:u w:val="single"/>
              </w:rPr>
              <w:t>Continue study drugs at planned dose.</w:t>
            </w:r>
          </w:p>
        </w:tc>
      </w:tr>
      <w:tr w:rsidR="00AA3459" w:rsidRPr="007A3223" w14:paraId="146C3191" w14:textId="77777777" w:rsidTr="00AA3459">
        <w:trPr>
          <w:trHeight w:val="560"/>
        </w:trPr>
        <w:tc>
          <w:tcPr>
            <w:tcW w:w="3192" w:type="dxa"/>
            <w:tcBorders>
              <w:top w:val="single" w:sz="4" w:space="0" w:color="auto"/>
              <w:left w:val="single" w:sz="4" w:space="0" w:color="auto"/>
            </w:tcBorders>
            <w:vAlign w:val="center"/>
          </w:tcPr>
          <w:p w14:paraId="4CCAC5E5" w14:textId="77777777" w:rsidR="00AA3459" w:rsidRPr="007A3223" w:rsidRDefault="00AA3459" w:rsidP="00421190">
            <w:pPr>
              <w:tabs>
                <w:tab w:val="left" w:pos="-1080"/>
                <w:tab w:val="left" w:pos="-720"/>
                <w:tab w:val="left" w:pos="354"/>
                <w:tab w:val="left" w:pos="72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rPr>
                <w:u w:val="single"/>
              </w:rPr>
            </w:pPr>
            <w:r w:rsidRPr="007A3223">
              <w:rPr>
                <w:u w:val="single"/>
              </w:rPr>
              <w:t xml:space="preserve">Greater than 2+ on urine dipstick or U/A </w:t>
            </w:r>
            <w:r w:rsidRPr="007A3223">
              <w:rPr>
                <w:b/>
              </w:rPr>
              <w:t>AND</w:t>
            </w:r>
          </w:p>
          <w:p w14:paraId="1A16BFA1" w14:textId="77777777" w:rsidR="00AA3459" w:rsidRPr="007A3223" w:rsidRDefault="00AA3459" w:rsidP="00DF47C3">
            <w:pPr>
              <w:widowControl w:val="0"/>
              <w:autoSpaceDE w:val="0"/>
              <w:autoSpaceDN w:val="0"/>
              <w:adjustRightInd w:val="0"/>
              <w:rPr>
                <w:szCs w:val="24"/>
              </w:rPr>
            </w:pPr>
            <w:r w:rsidRPr="007A3223">
              <w:rPr>
                <w:u w:val="single"/>
              </w:rPr>
              <w:t>Creatinine &gt;1.5x ULN</w:t>
            </w:r>
          </w:p>
        </w:tc>
        <w:tc>
          <w:tcPr>
            <w:tcW w:w="3192" w:type="dxa"/>
            <w:tcBorders>
              <w:top w:val="single" w:sz="4" w:space="0" w:color="auto"/>
            </w:tcBorders>
            <w:vAlign w:val="center"/>
          </w:tcPr>
          <w:p w14:paraId="75C24A5E" w14:textId="77777777" w:rsidR="00AA3459" w:rsidRPr="007A3223" w:rsidRDefault="00AA3459" w:rsidP="00CD356C">
            <w:pPr>
              <w:widowControl w:val="0"/>
              <w:autoSpaceDE w:val="0"/>
              <w:autoSpaceDN w:val="0"/>
              <w:adjustRightInd w:val="0"/>
              <w:rPr>
                <w:szCs w:val="24"/>
              </w:rPr>
            </w:pPr>
            <w:r w:rsidRPr="007A3223">
              <w:t>Perform UPC.</w:t>
            </w:r>
          </w:p>
        </w:tc>
        <w:tc>
          <w:tcPr>
            <w:tcW w:w="3192" w:type="dxa"/>
            <w:tcBorders>
              <w:top w:val="single" w:sz="4" w:space="0" w:color="auto"/>
            </w:tcBorders>
            <w:vAlign w:val="center"/>
          </w:tcPr>
          <w:p w14:paraId="39ABF1E8" w14:textId="77777777" w:rsidR="00AA3459" w:rsidRPr="007A3223" w:rsidRDefault="00AA3459" w:rsidP="00DF47C3">
            <w:pPr>
              <w:widowControl w:val="0"/>
              <w:autoSpaceDE w:val="0"/>
              <w:autoSpaceDN w:val="0"/>
              <w:adjustRightInd w:val="0"/>
              <w:rPr>
                <w:b/>
                <w:szCs w:val="24"/>
              </w:rPr>
            </w:pPr>
            <w:r w:rsidRPr="007A3223">
              <w:rPr>
                <w:b/>
              </w:rPr>
              <w:t>HOLD cediranib</w:t>
            </w:r>
            <w:r w:rsidRPr="007A3223">
              <w:rPr>
                <w:u w:val="single"/>
              </w:rPr>
              <w:t xml:space="preserve"> until results of UPC are known, and see below</w:t>
            </w:r>
          </w:p>
        </w:tc>
      </w:tr>
      <w:tr w:rsidR="00433BBD" w:rsidRPr="007A3223" w14:paraId="0D60DDD0" w14:textId="77777777" w:rsidTr="00DF47C3">
        <w:tc>
          <w:tcPr>
            <w:tcW w:w="9576" w:type="dxa"/>
            <w:gridSpan w:val="3"/>
            <w:shd w:val="clear" w:color="auto" w:fill="BFBFBF" w:themeFill="background1" w:themeFillShade="BF"/>
          </w:tcPr>
          <w:p w14:paraId="15B64AD0" w14:textId="77777777" w:rsidR="00433BBD" w:rsidRPr="007A3223" w:rsidRDefault="00433BBD" w:rsidP="00421190">
            <w:pPr>
              <w:widowControl w:val="0"/>
              <w:autoSpaceDE w:val="0"/>
              <w:autoSpaceDN w:val="0"/>
              <w:adjustRightInd w:val="0"/>
              <w:spacing w:after="0"/>
              <w:rPr>
                <w:szCs w:val="24"/>
              </w:rPr>
            </w:pPr>
            <w:r w:rsidRPr="007A3223">
              <w:rPr>
                <w:b/>
                <w:szCs w:val="24"/>
              </w:rPr>
              <w:t xml:space="preserve">Based on results of </w:t>
            </w:r>
            <w:r w:rsidRPr="007A3223">
              <w:rPr>
                <w:b/>
                <w:szCs w:val="24"/>
                <w:shd w:val="clear" w:color="auto" w:fill="BFBFBF" w:themeFill="background1" w:themeFillShade="BF"/>
              </w:rPr>
              <w:t xml:space="preserve">the </w:t>
            </w:r>
            <w:r w:rsidR="00421190" w:rsidRPr="007A3223">
              <w:rPr>
                <w:b/>
                <w:szCs w:val="24"/>
                <w:shd w:val="clear" w:color="auto" w:fill="BFBFBF" w:themeFill="background1" w:themeFillShade="BF"/>
              </w:rPr>
              <w:t>UPC</w:t>
            </w:r>
            <w:r w:rsidR="00367357" w:rsidRPr="007A3223">
              <w:t>†</w:t>
            </w:r>
            <w:r w:rsidRPr="007A3223">
              <w:rPr>
                <w:b/>
                <w:szCs w:val="24"/>
                <w:shd w:val="clear" w:color="auto" w:fill="BFBFBF" w:themeFill="background1" w:themeFillShade="BF"/>
              </w:rPr>
              <w:t>:</w:t>
            </w:r>
          </w:p>
        </w:tc>
      </w:tr>
      <w:tr w:rsidR="008518C6" w:rsidRPr="007A3223" w14:paraId="017FFB8F" w14:textId="77777777" w:rsidTr="008518C6">
        <w:tc>
          <w:tcPr>
            <w:tcW w:w="3192" w:type="dxa"/>
            <w:vAlign w:val="center"/>
          </w:tcPr>
          <w:p w14:paraId="582A3CA4" w14:textId="77777777" w:rsidR="008518C6" w:rsidRPr="007A3223" w:rsidRDefault="008518C6" w:rsidP="00DF47C3">
            <w:pPr>
              <w:widowControl w:val="0"/>
              <w:autoSpaceDE w:val="0"/>
              <w:autoSpaceDN w:val="0"/>
              <w:adjustRightInd w:val="0"/>
              <w:spacing w:after="0"/>
              <w:rPr>
                <w:szCs w:val="24"/>
              </w:rPr>
            </w:pPr>
            <w:r w:rsidRPr="007A3223">
              <w:t xml:space="preserve">UPC </w:t>
            </w:r>
            <w:r w:rsidRPr="007A3223">
              <w:rPr>
                <w:rFonts w:hint="eastAsia"/>
              </w:rPr>
              <w:t>≤</w:t>
            </w:r>
            <w:r w:rsidRPr="007A3223">
              <w:t xml:space="preserve"> 1.0</w:t>
            </w:r>
          </w:p>
        </w:tc>
        <w:tc>
          <w:tcPr>
            <w:tcW w:w="3192" w:type="dxa"/>
            <w:vAlign w:val="center"/>
          </w:tcPr>
          <w:p w14:paraId="676555BD" w14:textId="77777777" w:rsidR="008518C6" w:rsidRPr="007A3223" w:rsidRDefault="008518C6" w:rsidP="00DF47C3">
            <w:pPr>
              <w:widowControl w:val="0"/>
              <w:autoSpaceDE w:val="0"/>
              <w:autoSpaceDN w:val="0"/>
              <w:adjustRightInd w:val="0"/>
              <w:spacing w:after="0"/>
              <w:rPr>
                <w:szCs w:val="24"/>
              </w:rPr>
            </w:pPr>
            <w:r w:rsidRPr="007A3223">
              <w:t>Continue monitoring prior to each cycle as per previous.</w:t>
            </w:r>
          </w:p>
        </w:tc>
        <w:tc>
          <w:tcPr>
            <w:tcW w:w="3192" w:type="dxa"/>
            <w:vAlign w:val="center"/>
          </w:tcPr>
          <w:p w14:paraId="35971EA9" w14:textId="77777777" w:rsidR="008518C6" w:rsidRPr="007A3223" w:rsidRDefault="008518C6" w:rsidP="00DF47C3">
            <w:pPr>
              <w:widowControl w:val="0"/>
              <w:autoSpaceDE w:val="0"/>
              <w:autoSpaceDN w:val="0"/>
              <w:adjustRightInd w:val="0"/>
              <w:spacing w:after="0"/>
              <w:rPr>
                <w:szCs w:val="24"/>
              </w:rPr>
            </w:pPr>
            <w:r w:rsidRPr="007A3223">
              <w:t>Continue study drugs at planned dose.</w:t>
            </w:r>
          </w:p>
        </w:tc>
      </w:tr>
      <w:tr w:rsidR="008518C6" w:rsidRPr="007A3223" w14:paraId="5A508A44" w14:textId="77777777" w:rsidTr="008518C6">
        <w:tc>
          <w:tcPr>
            <w:tcW w:w="3192" w:type="dxa"/>
            <w:vAlign w:val="center"/>
          </w:tcPr>
          <w:p w14:paraId="25E25F56" w14:textId="77777777" w:rsidR="008518C6" w:rsidRPr="007A3223" w:rsidRDefault="008518C6" w:rsidP="00DF47C3">
            <w:pPr>
              <w:widowControl w:val="0"/>
              <w:autoSpaceDE w:val="0"/>
              <w:autoSpaceDN w:val="0"/>
              <w:adjustRightInd w:val="0"/>
              <w:spacing w:after="0"/>
              <w:rPr>
                <w:szCs w:val="24"/>
              </w:rPr>
            </w:pPr>
            <w:r w:rsidRPr="007A3223">
              <w:rPr>
                <w:rFonts w:hint="eastAsia"/>
              </w:rPr>
              <w:t xml:space="preserve">UPC &gt; 1.0 and </w:t>
            </w:r>
            <w:r w:rsidRPr="007A3223">
              <w:rPr>
                <w:rFonts w:hint="eastAsia"/>
              </w:rPr>
              <w:t>≤</w:t>
            </w:r>
            <w:r w:rsidRPr="007A3223">
              <w:rPr>
                <w:rFonts w:hint="eastAsia"/>
              </w:rPr>
              <w:t xml:space="preserve"> 3.5 </w:t>
            </w:r>
            <w:r w:rsidRPr="007A3223">
              <w:rPr>
                <w:b/>
                <w:u w:val="single"/>
              </w:rPr>
              <w:t>AND</w:t>
            </w:r>
            <w:r w:rsidRPr="007A3223">
              <w:rPr>
                <w:rFonts w:hint="eastAsia"/>
              </w:rPr>
              <w:t xml:space="preserve"> Creatinine </w:t>
            </w:r>
            <w:r w:rsidRPr="007A3223">
              <w:rPr>
                <w:rFonts w:hint="eastAsia"/>
              </w:rPr>
              <w:t>≤</w:t>
            </w:r>
            <w:r w:rsidRPr="007A3223">
              <w:rPr>
                <w:rFonts w:hint="eastAsia"/>
              </w:rPr>
              <w:t>1.5x ULN</w:t>
            </w:r>
          </w:p>
        </w:tc>
        <w:tc>
          <w:tcPr>
            <w:tcW w:w="3192" w:type="dxa"/>
            <w:vAlign w:val="center"/>
          </w:tcPr>
          <w:p w14:paraId="78703D88" w14:textId="77777777" w:rsidR="008518C6" w:rsidRPr="007A3223" w:rsidRDefault="008518C6" w:rsidP="00DF47C3">
            <w:pPr>
              <w:widowControl w:val="0"/>
              <w:autoSpaceDE w:val="0"/>
              <w:autoSpaceDN w:val="0"/>
              <w:adjustRightInd w:val="0"/>
              <w:spacing w:after="0"/>
              <w:rPr>
                <w:szCs w:val="24"/>
              </w:rPr>
            </w:pPr>
            <w:r w:rsidRPr="007A3223">
              <w:t>Perform UPC prior to each cycle.</w:t>
            </w:r>
          </w:p>
        </w:tc>
        <w:tc>
          <w:tcPr>
            <w:tcW w:w="3192" w:type="dxa"/>
            <w:vAlign w:val="center"/>
          </w:tcPr>
          <w:p w14:paraId="04F58734" w14:textId="77777777" w:rsidR="008518C6" w:rsidRPr="007A3223" w:rsidRDefault="008518C6" w:rsidP="00DF47C3">
            <w:pPr>
              <w:widowControl w:val="0"/>
              <w:autoSpaceDE w:val="0"/>
              <w:autoSpaceDN w:val="0"/>
              <w:adjustRightInd w:val="0"/>
              <w:spacing w:after="0"/>
              <w:rPr>
                <w:szCs w:val="24"/>
              </w:rPr>
            </w:pPr>
            <w:r w:rsidRPr="007A3223">
              <w:t>Continue study drugs at planned dose.</w:t>
            </w:r>
          </w:p>
        </w:tc>
      </w:tr>
      <w:tr w:rsidR="008518C6" w:rsidRPr="007A3223" w14:paraId="3F7B4BE8" w14:textId="77777777" w:rsidTr="008518C6">
        <w:trPr>
          <w:trHeight w:val="2272"/>
        </w:trPr>
        <w:tc>
          <w:tcPr>
            <w:tcW w:w="3192" w:type="dxa"/>
            <w:tcBorders>
              <w:bottom w:val="single" w:sz="4" w:space="0" w:color="auto"/>
            </w:tcBorders>
            <w:vAlign w:val="center"/>
          </w:tcPr>
          <w:p w14:paraId="5ED52B44" w14:textId="77777777" w:rsidR="008518C6" w:rsidRPr="007A3223" w:rsidRDefault="008518C6" w:rsidP="00DF47C3">
            <w:pPr>
              <w:widowControl w:val="0"/>
              <w:autoSpaceDE w:val="0"/>
              <w:autoSpaceDN w:val="0"/>
              <w:adjustRightInd w:val="0"/>
              <w:rPr>
                <w:szCs w:val="24"/>
              </w:rPr>
            </w:pPr>
            <w:r w:rsidRPr="007A3223">
              <w:lastRenderedPageBreak/>
              <w:t xml:space="preserve">UPC &gt; 3.5 </w:t>
            </w:r>
            <w:r w:rsidRPr="007A3223">
              <w:rPr>
                <w:b/>
              </w:rPr>
              <w:t xml:space="preserve">OR </w:t>
            </w:r>
            <w:r w:rsidRPr="007A3223">
              <w:t>Creatinine &gt;1.5x ULN</w:t>
            </w:r>
          </w:p>
        </w:tc>
        <w:tc>
          <w:tcPr>
            <w:tcW w:w="3192" w:type="dxa"/>
            <w:tcBorders>
              <w:bottom w:val="single" w:sz="4" w:space="0" w:color="auto"/>
            </w:tcBorders>
            <w:vAlign w:val="center"/>
          </w:tcPr>
          <w:p w14:paraId="32E9C45E" w14:textId="77777777" w:rsidR="008518C6" w:rsidRPr="007A3223" w:rsidRDefault="008518C6" w:rsidP="00DF47C3">
            <w:pPr>
              <w:widowControl w:val="0"/>
              <w:autoSpaceDE w:val="0"/>
              <w:autoSpaceDN w:val="0"/>
              <w:adjustRightInd w:val="0"/>
              <w:rPr>
                <w:szCs w:val="24"/>
              </w:rPr>
            </w:pPr>
            <w:r w:rsidRPr="007A3223">
              <w:t>Perform UPC prior to each cycle.</w:t>
            </w:r>
          </w:p>
        </w:tc>
        <w:tc>
          <w:tcPr>
            <w:tcW w:w="3192" w:type="dxa"/>
            <w:tcBorders>
              <w:bottom w:val="single" w:sz="4" w:space="0" w:color="auto"/>
            </w:tcBorders>
            <w:vAlign w:val="center"/>
          </w:tcPr>
          <w:p w14:paraId="4D1F1CDE" w14:textId="77777777" w:rsidR="008518C6" w:rsidRPr="007A3223" w:rsidRDefault="008518C6" w:rsidP="00DF47C3">
            <w:pPr>
              <w:widowControl w:val="0"/>
              <w:autoSpaceDE w:val="0"/>
              <w:autoSpaceDN w:val="0"/>
              <w:adjustRightInd w:val="0"/>
            </w:pPr>
            <w:r w:rsidRPr="007A3223">
              <w:rPr>
                <w:b/>
              </w:rPr>
              <w:t>Hold cediranib</w:t>
            </w:r>
            <w:r w:rsidRPr="007A3223">
              <w:rPr>
                <w:rFonts w:hint="eastAsia"/>
              </w:rPr>
              <w:t xml:space="preserve"> for up to 7 days and repeat UPC and Creatinine assessment.  If UPC resolves to &lt;3.5 and Creatinine to </w:t>
            </w:r>
            <w:r w:rsidRPr="007A3223">
              <w:rPr>
                <w:rFonts w:hint="eastAsia"/>
              </w:rPr>
              <w:t>≤</w:t>
            </w:r>
            <w:r w:rsidRPr="007A3223">
              <w:rPr>
                <w:rFonts w:hint="eastAsia"/>
              </w:rPr>
              <w:t xml:space="preserve">1.5x ULN, resume </w:t>
            </w:r>
            <w:r w:rsidRPr="007A3223">
              <w:t>cediranib with reduction in cediranib by one dose level.  Consider consultation with nephrologist.</w:t>
            </w:r>
          </w:p>
          <w:p w14:paraId="3DA35EDE" w14:textId="77777777" w:rsidR="008518C6" w:rsidRPr="007A3223" w:rsidRDefault="008518C6" w:rsidP="00DF47C3">
            <w:pPr>
              <w:widowControl w:val="0"/>
              <w:autoSpaceDE w:val="0"/>
              <w:autoSpaceDN w:val="0"/>
              <w:adjustRightInd w:val="0"/>
              <w:rPr>
                <w:szCs w:val="24"/>
              </w:rPr>
            </w:pPr>
          </w:p>
        </w:tc>
      </w:tr>
      <w:tr w:rsidR="008518C6" w:rsidRPr="007A3223" w14:paraId="5EAB8F31" w14:textId="77777777" w:rsidTr="004154D0">
        <w:trPr>
          <w:trHeight w:val="404"/>
        </w:trPr>
        <w:tc>
          <w:tcPr>
            <w:tcW w:w="9576" w:type="dxa"/>
            <w:gridSpan w:val="3"/>
            <w:tcBorders>
              <w:top w:val="single" w:sz="4" w:space="0" w:color="auto"/>
            </w:tcBorders>
            <w:vAlign w:val="center"/>
          </w:tcPr>
          <w:p w14:paraId="781BD447" w14:textId="2F1ABB68" w:rsidR="008518C6" w:rsidRPr="00F33908" w:rsidRDefault="008518C6" w:rsidP="00800A5E">
            <w:pPr>
              <w:widowControl w:val="0"/>
              <w:autoSpaceDE w:val="0"/>
              <w:autoSpaceDN w:val="0"/>
              <w:adjustRightInd w:val="0"/>
              <w:rPr>
                <w:b/>
              </w:rPr>
            </w:pPr>
            <w:r w:rsidRPr="007A3223">
              <w:t xml:space="preserve">†If UPC is &lt;1.0 and creatinine &gt;1.5x ULN, AE management should be followed as per </w:t>
            </w:r>
            <w:r w:rsidR="00800A5E" w:rsidRPr="00F33908">
              <w:rPr>
                <w:b/>
                <w:color w:val="0000FF"/>
              </w:rPr>
              <w:fldChar w:fldCharType="begin"/>
            </w:r>
            <w:r w:rsidR="00800A5E" w:rsidRPr="007A3223">
              <w:rPr>
                <w:b/>
                <w:color w:val="0000FF"/>
              </w:rPr>
              <w:instrText xml:space="preserve"> REF _Ref450557346 \h  \* MERGEFORMAT </w:instrText>
            </w:r>
            <w:r w:rsidR="00800A5E" w:rsidRPr="00F33908">
              <w:rPr>
                <w:b/>
                <w:color w:val="0000FF"/>
              </w:rPr>
            </w:r>
            <w:r w:rsidR="00800A5E" w:rsidRPr="00F33908">
              <w:rPr>
                <w:b/>
                <w:color w:val="0000FF"/>
              </w:rPr>
              <w:fldChar w:fldCharType="separate"/>
            </w:r>
            <w:r w:rsidR="00E47ACA" w:rsidRPr="00E47ACA">
              <w:rPr>
                <w:b/>
                <w:color w:val="0000FF"/>
              </w:rPr>
              <w:t xml:space="preserve">Table </w:t>
            </w:r>
            <w:r w:rsidR="00E47ACA" w:rsidRPr="00E47ACA">
              <w:rPr>
                <w:b/>
                <w:noProof/>
                <w:color w:val="0000FF"/>
              </w:rPr>
              <w:t>12</w:t>
            </w:r>
            <w:r w:rsidR="00800A5E" w:rsidRPr="00F33908">
              <w:rPr>
                <w:b/>
                <w:color w:val="0000FF"/>
              </w:rPr>
              <w:fldChar w:fldCharType="end"/>
            </w:r>
            <w:r w:rsidR="00582944" w:rsidRPr="007A3223">
              <w:t>.</w:t>
            </w:r>
          </w:p>
        </w:tc>
      </w:tr>
    </w:tbl>
    <w:p w14:paraId="76A13E1D" w14:textId="77777777" w:rsidR="008923D2" w:rsidRPr="007A3223" w:rsidRDefault="00745143" w:rsidP="00886D51">
      <w:pPr>
        <w:pStyle w:val="Heading5"/>
      </w:pPr>
      <w:r w:rsidRPr="007A3223">
        <w:t>Dose Modifications for Reversible Posterior Leukoencephalopathy Syndrome (RPLS) with cediranib</w:t>
      </w:r>
      <w:r w:rsidR="00433BBD" w:rsidRPr="007A3223">
        <w:t xml:space="preserve"> </w:t>
      </w:r>
    </w:p>
    <w:p w14:paraId="22D8CD48" w14:textId="77777777" w:rsidR="008923D2" w:rsidRPr="007A3223" w:rsidRDefault="008923D2" w:rsidP="008923D2">
      <w:pPr>
        <w:widowControl w:val="0"/>
        <w:autoSpaceDE w:val="0"/>
        <w:autoSpaceDN w:val="0"/>
        <w:adjustRightInd w:val="0"/>
        <w:spacing w:after="0"/>
        <w:rPr>
          <w:color w:val="28262B"/>
          <w:szCs w:val="24"/>
        </w:rPr>
      </w:pPr>
    </w:p>
    <w:p w14:paraId="7248089D" w14:textId="77777777" w:rsidR="008923D2" w:rsidRPr="007A3223" w:rsidRDefault="008923D2" w:rsidP="008923D2">
      <w:pPr>
        <w:widowControl w:val="0"/>
        <w:autoSpaceDE w:val="0"/>
        <w:autoSpaceDN w:val="0"/>
        <w:adjustRightInd w:val="0"/>
        <w:spacing w:after="0"/>
        <w:rPr>
          <w:color w:val="000000"/>
          <w:szCs w:val="24"/>
        </w:rPr>
      </w:pPr>
      <w:r w:rsidRPr="007A3223">
        <w:rPr>
          <w:color w:val="000000"/>
          <w:szCs w:val="24"/>
        </w:rPr>
        <w:t>Cediranib should be held in patients with symptoms/signs suggestive of RPLS, pending work-up</w:t>
      </w:r>
      <w:r w:rsidR="001E598B" w:rsidRPr="007A3223">
        <w:rPr>
          <w:color w:val="000000"/>
          <w:szCs w:val="24"/>
        </w:rPr>
        <w:t xml:space="preserve"> </w:t>
      </w:r>
      <w:r w:rsidRPr="007A3223">
        <w:rPr>
          <w:color w:val="000000"/>
          <w:szCs w:val="24"/>
        </w:rPr>
        <w:t>and management, including control of blood pressure. Cediranib should be discontinued upon</w:t>
      </w:r>
      <w:r w:rsidR="001E598B" w:rsidRPr="007A3223">
        <w:rPr>
          <w:color w:val="000000"/>
          <w:szCs w:val="24"/>
        </w:rPr>
        <w:t xml:space="preserve"> </w:t>
      </w:r>
      <w:r w:rsidRPr="007A3223">
        <w:rPr>
          <w:color w:val="000000"/>
          <w:szCs w:val="24"/>
        </w:rPr>
        <w:t xml:space="preserve">diagnosis of RPLS. </w:t>
      </w:r>
    </w:p>
    <w:p w14:paraId="507F577C" w14:textId="77777777" w:rsidR="004C12B9" w:rsidRPr="007A3223" w:rsidRDefault="004C12B9" w:rsidP="008923D2">
      <w:pPr>
        <w:widowControl w:val="0"/>
        <w:autoSpaceDE w:val="0"/>
        <w:autoSpaceDN w:val="0"/>
        <w:adjustRightInd w:val="0"/>
        <w:spacing w:after="0"/>
        <w:rPr>
          <w:color w:val="000000"/>
          <w:szCs w:val="24"/>
        </w:rPr>
      </w:pPr>
    </w:p>
    <w:p w14:paraId="404C11FA" w14:textId="2078F199" w:rsidR="00B31035" w:rsidRPr="007A3223" w:rsidRDefault="00B94A14" w:rsidP="00886D51">
      <w:pPr>
        <w:pStyle w:val="Heading4"/>
        <w:keepNext/>
        <w:spacing w:before="120"/>
        <w:rPr>
          <w:noProof w:val="0"/>
        </w:rPr>
      </w:pPr>
      <w:r>
        <w:rPr>
          <w:noProof w:val="0"/>
          <w:lang w:val="en-US"/>
        </w:rPr>
        <w:t>Durvalumab</w:t>
      </w:r>
    </w:p>
    <w:p w14:paraId="415A8D2B" w14:textId="5AD946DC" w:rsidR="00A51B8B" w:rsidRPr="007A3223" w:rsidRDefault="00A51B8B" w:rsidP="00886D51">
      <w:pPr>
        <w:pStyle w:val="Heading5"/>
        <w:keepNext/>
      </w:pPr>
      <w:bookmarkStart w:id="191" w:name="_Ref415231516"/>
      <w:r w:rsidRPr="007A3223">
        <w:t xml:space="preserve">Infusion-related reaction with </w:t>
      </w:r>
      <w:r w:rsidR="00B94A14">
        <w:rPr>
          <w:lang w:val="en-US"/>
        </w:rPr>
        <w:t>Durvalumab</w:t>
      </w:r>
      <w:bookmarkEnd w:id="191"/>
    </w:p>
    <w:p w14:paraId="49E6934C" w14:textId="77777777" w:rsidR="00B31035" w:rsidRPr="007A3223" w:rsidRDefault="00B31035" w:rsidP="00FB66BA">
      <w:pPr>
        <w:pStyle w:val="ListParagraph"/>
        <w:numPr>
          <w:ilvl w:val="0"/>
          <w:numId w:val="32"/>
        </w:numPr>
        <w:ind w:left="360"/>
      </w:pPr>
      <w:r w:rsidRPr="007A3223">
        <w:t xml:space="preserve">Patients will be monitored during and after the infusion with assessment of vital signs at the times specified in the </w:t>
      </w:r>
      <w:r w:rsidR="008920A2" w:rsidRPr="007A3223">
        <w:t>s</w:t>
      </w:r>
      <w:r w:rsidRPr="007A3223">
        <w:t xml:space="preserve">tudy </w:t>
      </w:r>
      <w:r w:rsidR="008920A2" w:rsidRPr="007A3223">
        <w:t>p</w:t>
      </w:r>
      <w:r w:rsidRPr="007A3223">
        <w:t>rotocol.</w:t>
      </w:r>
    </w:p>
    <w:p w14:paraId="2DAD9AEF" w14:textId="77777777" w:rsidR="00B31035" w:rsidRPr="007A3223" w:rsidRDefault="00B31035" w:rsidP="00FB66BA">
      <w:pPr>
        <w:pStyle w:val="ListParagraph"/>
        <w:numPr>
          <w:ilvl w:val="0"/>
          <w:numId w:val="32"/>
        </w:numPr>
        <w:ind w:left="360"/>
      </w:pPr>
      <w:r w:rsidRPr="007A3223">
        <w:t xml:space="preserve">In the event of </w:t>
      </w:r>
      <w:r w:rsidR="008920A2" w:rsidRPr="007A3223">
        <w:t>g</w:t>
      </w:r>
      <w:r w:rsidRPr="007A3223">
        <w:t>rade 1 or 2</w:t>
      </w:r>
      <w:r w:rsidR="00E52947" w:rsidRPr="007A3223">
        <w:t xml:space="preserve"> </w:t>
      </w:r>
      <w:r w:rsidRPr="007A3223">
        <w:t xml:space="preserve">infusion-related reaction, the infusion rate of study drug may be decreased by 50% or interrupted until resolution of the event (up to </w:t>
      </w:r>
      <w:r w:rsidR="00AD191F" w:rsidRPr="007A3223">
        <w:t>4</w:t>
      </w:r>
      <w:r w:rsidRPr="007A3223">
        <w:t xml:space="preserve"> hours) and re-initiated at 50% of the initial rate until completion of the infusion. For patients with </w:t>
      </w:r>
      <w:r w:rsidR="008920A2" w:rsidRPr="007A3223">
        <w:t>g</w:t>
      </w:r>
      <w:r w:rsidRPr="007A3223">
        <w:t>rade 1 or 2</w:t>
      </w:r>
      <w:r w:rsidR="00E52947" w:rsidRPr="007A3223">
        <w:t xml:space="preserve"> </w:t>
      </w:r>
      <w:r w:rsidRPr="007A3223">
        <w:t>infusion</w:t>
      </w:r>
      <w:r w:rsidRPr="007A3223">
        <w:noBreakHyphen/>
        <w:t>related reaction, subsequent infusions may be administered at 50% of the initial rate. Acetaminophen and/or an antihistamine (</w:t>
      </w:r>
      <w:r w:rsidR="004E0D91" w:rsidRPr="007A3223">
        <w:t>e.g.</w:t>
      </w:r>
      <w:r w:rsidRPr="007A3223">
        <w:t xml:space="preserve">, diphenhydramine) or equivalent medications may be administered at the discretion of the </w:t>
      </w:r>
      <w:r w:rsidR="008920A2" w:rsidRPr="007A3223">
        <w:t>PI</w:t>
      </w:r>
      <w:r w:rsidRPr="007A3223">
        <w:t xml:space="preserve">.  </w:t>
      </w:r>
    </w:p>
    <w:p w14:paraId="781D91DF" w14:textId="3E96B376" w:rsidR="00B31035" w:rsidRPr="007A3223" w:rsidRDefault="00B31035" w:rsidP="00FB66BA">
      <w:pPr>
        <w:pStyle w:val="ListParagraph"/>
        <w:numPr>
          <w:ilvl w:val="0"/>
          <w:numId w:val="32"/>
        </w:numPr>
        <w:ind w:left="360"/>
      </w:pPr>
      <w:r w:rsidRPr="007A3223">
        <w:t>If the infusion</w:t>
      </w:r>
      <w:r w:rsidRPr="007A3223">
        <w:noBreakHyphen/>
        <w:t xml:space="preserve">related reaction is </w:t>
      </w:r>
      <w:r w:rsidR="008920A2" w:rsidRPr="007A3223">
        <w:t>g</w:t>
      </w:r>
      <w:r w:rsidR="00E52947" w:rsidRPr="007A3223">
        <w:t xml:space="preserve">rade </w:t>
      </w:r>
      <w:r w:rsidR="007C03B1" w:rsidRPr="007A3223">
        <w:t>3</w:t>
      </w:r>
      <w:r w:rsidR="00400E8A" w:rsidRPr="007A3223">
        <w:t xml:space="preserve"> or higher </w:t>
      </w:r>
      <w:r w:rsidR="00E52947" w:rsidRPr="007A3223">
        <w:t xml:space="preserve">OR recurrent </w:t>
      </w:r>
      <w:r w:rsidR="008920A2" w:rsidRPr="007A3223">
        <w:t>g</w:t>
      </w:r>
      <w:r w:rsidR="00E52947" w:rsidRPr="007A3223">
        <w:t>rade 2</w:t>
      </w:r>
      <w:r w:rsidRPr="007A3223">
        <w:t xml:space="preserve"> or higher in severity, </w:t>
      </w:r>
      <w:r w:rsidR="00B94A14">
        <w:rPr>
          <w:lang w:val="en-US"/>
        </w:rPr>
        <w:t>Durvalumab</w:t>
      </w:r>
      <w:r w:rsidR="00321F9A" w:rsidRPr="007A3223">
        <w:t xml:space="preserve"> will be discontinued and olaparib or cediranib</w:t>
      </w:r>
      <w:r w:rsidR="007C03B1" w:rsidRPr="007A3223">
        <w:t xml:space="preserve"> will continue the maintenance dose.</w:t>
      </w:r>
    </w:p>
    <w:tbl>
      <w:tblPr>
        <w:tblStyle w:val="TableGrid"/>
        <w:tblW w:w="0" w:type="auto"/>
        <w:tblInd w:w="360" w:type="dxa"/>
        <w:tblLook w:val="04A0" w:firstRow="1" w:lastRow="0" w:firstColumn="1" w:lastColumn="0" w:noHBand="0" w:noVBand="1"/>
      </w:tblPr>
      <w:tblGrid>
        <w:gridCol w:w="3623"/>
        <w:gridCol w:w="5367"/>
      </w:tblGrid>
      <w:tr w:rsidR="00D53D1C" w:rsidRPr="007A3223" w14:paraId="2EF8803F" w14:textId="77777777" w:rsidTr="006618AA">
        <w:tc>
          <w:tcPr>
            <w:tcW w:w="9216" w:type="dxa"/>
            <w:gridSpan w:val="2"/>
          </w:tcPr>
          <w:p w14:paraId="21720A0E" w14:textId="499777FD" w:rsidR="00D53D1C" w:rsidRPr="00F33908" w:rsidRDefault="00800A5E" w:rsidP="00403449">
            <w:pPr>
              <w:pStyle w:val="Caption"/>
              <w:rPr>
                <w:sz w:val="24"/>
              </w:rPr>
            </w:pPr>
            <w:bookmarkStart w:id="192" w:name="_Ref408917140"/>
            <w:bookmarkStart w:id="193" w:name="_Toc82444450"/>
            <w:r w:rsidRPr="007A3223">
              <w:lastRenderedPageBreak/>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16</w:t>
            </w:r>
            <w:r w:rsidR="00F82420" w:rsidRPr="00F33908">
              <w:rPr>
                <w:noProof/>
              </w:rPr>
              <w:fldChar w:fldCharType="end"/>
            </w:r>
            <w:bookmarkEnd w:id="192"/>
            <w:r w:rsidR="00D53D1C" w:rsidRPr="007A3223">
              <w:rPr>
                <w:b w:val="0"/>
              </w:rPr>
              <w:t>. Management of Infusion-Related Reactions</w:t>
            </w:r>
            <w:bookmarkEnd w:id="193"/>
          </w:p>
        </w:tc>
      </w:tr>
      <w:tr w:rsidR="008B3172" w:rsidRPr="007A3223" w14:paraId="4271D444" w14:textId="77777777" w:rsidTr="00081210">
        <w:tc>
          <w:tcPr>
            <w:tcW w:w="3708" w:type="dxa"/>
            <w:shd w:val="clear" w:color="auto" w:fill="BFBFBF" w:themeFill="background1" w:themeFillShade="BF"/>
          </w:tcPr>
          <w:p w14:paraId="0E5CBD77" w14:textId="77777777" w:rsidR="0067134F" w:rsidRPr="007A3223" w:rsidRDefault="008B3172" w:rsidP="000919D4">
            <w:pPr>
              <w:keepNext/>
              <w:rPr>
                <w:b/>
              </w:rPr>
            </w:pPr>
            <w:r w:rsidRPr="007A3223">
              <w:rPr>
                <w:b/>
              </w:rPr>
              <w:t>Dose Modificat</w:t>
            </w:r>
            <w:r w:rsidR="003017BC" w:rsidRPr="007A3223">
              <w:rPr>
                <w:b/>
              </w:rPr>
              <w:t>i</w:t>
            </w:r>
            <w:r w:rsidRPr="007A3223">
              <w:rPr>
                <w:b/>
              </w:rPr>
              <w:t>ons</w:t>
            </w:r>
          </w:p>
        </w:tc>
        <w:tc>
          <w:tcPr>
            <w:tcW w:w="5508" w:type="dxa"/>
            <w:shd w:val="clear" w:color="auto" w:fill="BFBFBF" w:themeFill="background1" w:themeFillShade="BF"/>
          </w:tcPr>
          <w:p w14:paraId="16DD4A23" w14:textId="77777777" w:rsidR="0067134F" w:rsidRPr="007A3223" w:rsidRDefault="008B3172" w:rsidP="00FB66BA">
            <w:pPr>
              <w:pStyle w:val="ListParagraph"/>
              <w:keepNext/>
              <w:numPr>
                <w:ilvl w:val="0"/>
                <w:numId w:val="32"/>
              </w:numPr>
              <w:ind w:left="0" w:hanging="378"/>
              <w:rPr>
                <w:b/>
              </w:rPr>
            </w:pPr>
            <w:r w:rsidRPr="007A3223">
              <w:rPr>
                <w:b/>
              </w:rPr>
              <w:t xml:space="preserve">Toxicity </w:t>
            </w:r>
            <w:r w:rsidR="000919D4" w:rsidRPr="007A3223">
              <w:rPr>
                <w:b/>
              </w:rPr>
              <w:t>Management</w:t>
            </w:r>
          </w:p>
        </w:tc>
      </w:tr>
      <w:tr w:rsidR="00F06C3D" w:rsidRPr="007A3223" w14:paraId="68E31912" w14:textId="77777777" w:rsidTr="00CC3B27">
        <w:trPr>
          <w:trHeight w:val="2321"/>
        </w:trPr>
        <w:tc>
          <w:tcPr>
            <w:tcW w:w="3708" w:type="dxa"/>
          </w:tcPr>
          <w:p w14:paraId="23E90D58" w14:textId="77777777" w:rsidR="0067134F" w:rsidRPr="007A3223" w:rsidRDefault="008B3172" w:rsidP="00CC3B27">
            <w:r w:rsidRPr="007A3223">
              <w:t>Any Grade</w:t>
            </w:r>
          </w:p>
        </w:tc>
        <w:tc>
          <w:tcPr>
            <w:tcW w:w="5508" w:type="dxa"/>
          </w:tcPr>
          <w:p w14:paraId="3EB1BE3D" w14:textId="77777777" w:rsidR="008B3172" w:rsidRPr="007A3223" w:rsidRDefault="008B3172" w:rsidP="00FB66BA">
            <w:pPr>
              <w:pStyle w:val="ListBulletSmall"/>
              <w:keepNext/>
              <w:widowControl w:val="0"/>
              <w:numPr>
                <w:ilvl w:val="0"/>
                <w:numId w:val="32"/>
              </w:numPr>
              <w:spacing w:before="60"/>
              <w:ind w:left="252" w:hanging="252"/>
              <w:rPr>
                <w:sz w:val="22"/>
                <w:szCs w:val="22"/>
              </w:rPr>
            </w:pPr>
            <w:r w:rsidRPr="007A3223">
              <w:rPr>
                <w:sz w:val="22"/>
                <w:szCs w:val="22"/>
              </w:rPr>
              <w:t>Management per institutional standard at the discretion of investigator</w:t>
            </w:r>
          </w:p>
          <w:p w14:paraId="43DBF8C3" w14:textId="77777777" w:rsidR="0067134F" w:rsidRPr="007A3223" w:rsidRDefault="008B3172" w:rsidP="00FB66BA">
            <w:pPr>
              <w:pStyle w:val="ListBulletSmall"/>
              <w:keepNext/>
              <w:widowControl w:val="0"/>
              <w:numPr>
                <w:ilvl w:val="0"/>
                <w:numId w:val="32"/>
              </w:numPr>
              <w:spacing w:before="60"/>
              <w:ind w:left="252" w:hanging="252"/>
              <w:rPr>
                <w:sz w:val="22"/>
                <w:szCs w:val="22"/>
              </w:rPr>
            </w:pPr>
            <w:r w:rsidRPr="007A3223">
              <w:rPr>
                <w:sz w:val="22"/>
                <w:szCs w:val="22"/>
              </w:rPr>
              <w:t>Monitor patients for signs and symptoms of infusion-related reactions (e.g., fever and/or shaking chills, flushing and/or itching, alterations in heart rate and blood pressure, dyspnea or chest discomfort, skin rashes etc.) and anaphylaxis (e.g., generalized urticaria, angioedema, wheezing, hypotension, tachycardia, etc.)</w:t>
            </w:r>
          </w:p>
        </w:tc>
      </w:tr>
      <w:tr w:rsidR="00D53D1C" w:rsidRPr="007A3223" w14:paraId="5BA1CF58" w14:textId="77777777" w:rsidTr="00CC3B27">
        <w:tc>
          <w:tcPr>
            <w:tcW w:w="3708" w:type="dxa"/>
          </w:tcPr>
          <w:p w14:paraId="6B45A546" w14:textId="77777777" w:rsidR="00D53D1C" w:rsidRPr="007A3223" w:rsidRDefault="00D53D1C" w:rsidP="00F06C3D">
            <w:pPr>
              <w:jc w:val="center"/>
              <w:rPr>
                <w:b/>
              </w:rPr>
            </w:pPr>
            <w:r w:rsidRPr="007A3223">
              <w:rPr>
                <w:b/>
              </w:rPr>
              <w:t>Grade 1</w:t>
            </w:r>
          </w:p>
          <w:p w14:paraId="69E2512F" w14:textId="77777777" w:rsidR="00D53D1C" w:rsidRPr="007A3223" w:rsidRDefault="00D53D1C" w:rsidP="007834B1">
            <w:r w:rsidRPr="007A3223">
              <w:t>The infusion rate of Study regimen may be decreased by 50% or temporarily interrupted until resolution of the event</w:t>
            </w:r>
          </w:p>
        </w:tc>
        <w:tc>
          <w:tcPr>
            <w:tcW w:w="5508" w:type="dxa"/>
            <w:vMerge w:val="restart"/>
          </w:tcPr>
          <w:p w14:paraId="2A516180" w14:textId="77777777" w:rsidR="00D53D1C" w:rsidRPr="007A3223" w:rsidRDefault="00D53D1C" w:rsidP="00C139E6">
            <w:pPr>
              <w:spacing w:after="60"/>
              <w:ind w:left="360" w:hanging="360"/>
            </w:pPr>
            <w:r w:rsidRPr="007A3223">
              <w:t>For Grade 1 or Grade 2:</w:t>
            </w:r>
          </w:p>
          <w:p w14:paraId="0F1634C8" w14:textId="77777777" w:rsidR="00D53D1C" w:rsidRPr="007A3223" w:rsidRDefault="00D53D1C" w:rsidP="00FB66BA">
            <w:pPr>
              <w:numPr>
                <w:ilvl w:val="0"/>
                <w:numId w:val="32"/>
              </w:numPr>
              <w:spacing w:after="60"/>
              <w:ind w:left="252" w:hanging="252"/>
            </w:pPr>
            <w:r w:rsidRPr="007A3223">
              <w:t xml:space="preserve">Acetaminophen and/or antihistamines may be administered at the discretion of the investigator </w:t>
            </w:r>
          </w:p>
          <w:p w14:paraId="61F3A8DB" w14:textId="77777777" w:rsidR="00D53D1C" w:rsidRPr="007A3223" w:rsidRDefault="00D53D1C" w:rsidP="00FB66BA">
            <w:pPr>
              <w:pStyle w:val="ListParagraph"/>
              <w:numPr>
                <w:ilvl w:val="0"/>
                <w:numId w:val="32"/>
              </w:numPr>
              <w:ind w:left="252" w:hanging="252"/>
              <w:rPr>
                <w:szCs w:val="22"/>
              </w:rPr>
            </w:pPr>
            <w:r w:rsidRPr="007A3223">
              <w:rPr>
                <w:szCs w:val="22"/>
              </w:rPr>
              <w:t>Consider premedication</w:t>
            </w:r>
            <w:r w:rsidR="002251C9" w:rsidRPr="007A3223">
              <w:rPr>
                <w:szCs w:val="22"/>
              </w:rPr>
              <w:t xml:space="preserve"> </w:t>
            </w:r>
            <w:r w:rsidRPr="007A3223">
              <w:rPr>
                <w:szCs w:val="22"/>
              </w:rPr>
              <w:t>prior to subsequent doses</w:t>
            </w:r>
          </w:p>
        </w:tc>
      </w:tr>
      <w:tr w:rsidR="00D53D1C" w:rsidRPr="007A3223" w14:paraId="569F9B9B" w14:textId="77777777" w:rsidTr="00CC3B27">
        <w:tc>
          <w:tcPr>
            <w:tcW w:w="3708" w:type="dxa"/>
          </w:tcPr>
          <w:p w14:paraId="699C517C" w14:textId="77777777" w:rsidR="00D53D1C" w:rsidRPr="007A3223" w:rsidRDefault="00D53D1C" w:rsidP="008B3172">
            <w:pPr>
              <w:jc w:val="center"/>
              <w:rPr>
                <w:b/>
              </w:rPr>
            </w:pPr>
            <w:r w:rsidRPr="007A3223">
              <w:rPr>
                <w:b/>
              </w:rPr>
              <w:t>Grade 2</w:t>
            </w:r>
          </w:p>
          <w:p w14:paraId="2CEEFF2E" w14:textId="77777777" w:rsidR="00D53D1C" w:rsidRPr="007A3223" w:rsidRDefault="00D53D1C" w:rsidP="007834B1">
            <w:pPr>
              <w:pStyle w:val="TableLeft"/>
              <w:keepNext/>
              <w:widowControl w:val="0"/>
              <w:spacing w:before="60"/>
              <w:rPr>
                <w:sz w:val="22"/>
              </w:rPr>
            </w:pPr>
            <w:r w:rsidRPr="007A3223">
              <w:rPr>
                <w:sz w:val="22"/>
              </w:rPr>
              <w:t>The infusion rate of Study regimen may be decreased 50% or temporarily interrupted until resolution of the event</w:t>
            </w:r>
            <w:r w:rsidR="002251C9" w:rsidRPr="007A3223">
              <w:rPr>
                <w:sz w:val="22"/>
              </w:rPr>
              <w:t xml:space="preserve"> (up to 4 hours)</w:t>
            </w:r>
            <w:r w:rsidRPr="007A3223">
              <w:rPr>
                <w:sz w:val="22"/>
              </w:rPr>
              <w:t>.</w:t>
            </w:r>
            <w:r w:rsidR="006805D3" w:rsidRPr="007A3223">
              <w:rPr>
                <w:sz w:val="22"/>
              </w:rPr>
              <w:t xml:space="preserve"> Subsequent infusions may be given at 50% of the initial infusion rate</w:t>
            </w:r>
          </w:p>
        </w:tc>
        <w:tc>
          <w:tcPr>
            <w:tcW w:w="5508" w:type="dxa"/>
            <w:vMerge/>
          </w:tcPr>
          <w:p w14:paraId="67C04839" w14:textId="77777777" w:rsidR="00D53D1C" w:rsidRPr="007A3223" w:rsidRDefault="00D53D1C" w:rsidP="00FB66BA">
            <w:pPr>
              <w:pStyle w:val="ListParagraph"/>
              <w:numPr>
                <w:ilvl w:val="0"/>
                <w:numId w:val="32"/>
              </w:numPr>
              <w:ind w:left="0" w:firstLine="0"/>
              <w:rPr>
                <w:szCs w:val="22"/>
              </w:rPr>
            </w:pPr>
          </w:p>
        </w:tc>
      </w:tr>
      <w:tr w:rsidR="0035083F" w:rsidRPr="007A3223" w14:paraId="7BA060F6" w14:textId="77777777" w:rsidTr="007D591B">
        <w:trPr>
          <w:trHeight w:val="944"/>
        </w:trPr>
        <w:tc>
          <w:tcPr>
            <w:tcW w:w="3708" w:type="dxa"/>
          </w:tcPr>
          <w:p w14:paraId="44216E89" w14:textId="77777777" w:rsidR="0035083F" w:rsidRPr="007A3223" w:rsidRDefault="0035083F" w:rsidP="00203DEB">
            <w:pPr>
              <w:jc w:val="center"/>
              <w:rPr>
                <w:b/>
              </w:rPr>
            </w:pPr>
            <w:r w:rsidRPr="007A3223">
              <w:rPr>
                <w:b/>
              </w:rPr>
              <w:t>Grade 3</w:t>
            </w:r>
            <w:r w:rsidR="003017BC" w:rsidRPr="007A3223">
              <w:rPr>
                <w:b/>
              </w:rPr>
              <w:t xml:space="preserve"> or </w:t>
            </w:r>
            <w:r w:rsidRPr="007A3223">
              <w:rPr>
                <w:b/>
              </w:rPr>
              <w:t>4</w:t>
            </w:r>
          </w:p>
          <w:p w14:paraId="519A66D1" w14:textId="77777777" w:rsidR="0035083F" w:rsidRPr="007A3223" w:rsidRDefault="0035083F" w:rsidP="005E2F1F">
            <w:r w:rsidRPr="007A3223">
              <w:t>Permanently discontinue Study regimen</w:t>
            </w:r>
            <w:r w:rsidR="005E2F1F" w:rsidRPr="007A3223">
              <w:t>.</w:t>
            </w:r>
          </w:p>
          <w:p w14:paraId="2B675318" w14:textId="77777777" w:rsidR="005E2F1F" w:rsidRPr="00380A33" w:rsidRDefault="005E2F1F" w:rsidP="005E2F1F"/>
        </w:tc>
        <w:tc>
          <w:tcPr>
            <w:tcW w:w="5508" w:type="dxa"/>
          </w:tcPr>
          <w:p w14:paraId="35EB7A2A" w14:textId="77777777" w:rsidR="0035083F" w:rsidRPr="00F33908" w:rsidRDefault="0035083F" w:rsidP="006618AA">
            <w:r w:rsidRPr="007A3223">
              <w:t>For Grade 3 or 4:</w:t>
            </w:r>
          </w:p>
          <w:p w14:paraId="25BA6ACF" w14:textId="77777777" w:rsidR="0035083F" w:rsidRPr="007A3223" w:rsidRDefault="0035083F" w:rsidP="005443F6">
            <w:pPr>
              <w:pStyle w:val="ListParagraph"/>
              <w:ind w:left="0"/>
              <w:rPr>
                <w:szCs w:val="22"/>
              </w:rPr>
            </w:pPr>
            <w:r w:rsidRPr="007A3223">
              <w:rPr>
                <w:szCs w:val="22"/>
              </w:rPr>
              <w:t>Manage severe infusion-related reactions (e.g., IM epinephrine, followed by IV diphenhydramine and ranitidine, and IV glucocorticoid)</w:t>
            </w:r>
          </w:p>
        </w:tc>
      </w:tr>
    </w:tbl>
    <w:p w14:paraId="52B4AE6F" w14:textId="77777777" w:rsidR="00880CE8" w:rsidRPr="007A3223" w:rsidRDefault="00880CE8" w:rsidP="00886D51">
      <w:pPr>
        <w:pStyle w:val="Heading5"/>
        <w:rPr>
          <w:b/>
        </w:rPr>
      </w:pPr>
      <w:bookmarkStart w:id="194" w:name="_Ref412452314"/>
      <w:r w:rsidRPr="007A3223">
        <w:rPr>
          <w:b/>
        </w:rPr>
        <w:t>Immune-mediated adverse events</w:t>
      </w:r>
      <w:bookmarkEnd w:id="194"/>
    </w:p>
    <w:p w14:paraId="7894B5E8" w14:textId="366F8D02" w:rsidR="00067304" w:rsidRPr="007A3223" w:rsidRDefault="00880CE8" w:rsidP="00FB66BA">
      <w:pPr>
        <w:pStyle w:val="ListParagraph"/>
        <w:numPr>
          <w:ilvl w:val="0"/>
          <w:numId w:val="32"/>
        </w:numPr>
        <w:ind w:left="360"/>
      </w:pPr>
      <w:r w:rsidRPr="007A3223">
        <w:t xml:space="preserve">Based on the mechanism of action of </w:t>
      </w:r>
      <w:r w:rsidR="00B94A14">
        <w:rPr>
          <w:lang w:val="en-US"/>
        </w:rPr>
        <w:t>Durvalumab</w:t>
      </w:r>
      <w:r w:rsidRPr="007A3223">
        <w:t xml:space="preserve"> leading to T-cell activation and proliferation, there is the possibility of observing immune related Adverse Events (irAEs) during the conduct of this study.  Potential irAEs include immune mediated enterocolitis, dermatitis, hepatitis, and endocrinopathies. Subjects should be monitored for signs and symptoms of irAEs.  In the absence of an alternate etiology (e.g., infection or </w:t>
      </w:r>
      <w:r w:rsidR="0028533D" w:rsidRPr="007A3223">
        <w:t>progression</w:t>
      </w:r>
      <w:r w:rsidRPr="007A3223">
        <w:t xml:space="preserve">) signs or symptoms of enterocolitis, dermatitis, hepatitis, and endocrinopathy should be considered to be immune-related.  </w:t>
      </w:r>
    </w:p>
    <w:p w14:paraId="7C138076" w14:textId="70816914" w:rsidR="00880CE8" w:rsidRPr="00F33908" w:rsidRDefault="00880CE8" w:rsidP="00FB66BA">
      <w:pPr>
        <w:pStyle w:val="ListParagraph"/>
        <w:numPr>
          <w:ilvl w:val="0"/>
          <w:numId w:val="32"/>
        </w:numPr>
        <w:ind w:left="360"/>
      </w:pPr>
      <w:r w:rsidRPr="007A3223">
        <w:t xml:space="preserve">Dose modification recommendations and toxicity management guidelines for </w:t>
      </w:r>
      <w:r w:rsidR="00B94A14">
        <w:rPr>
          <w:lang w:val="en-US"/>
        </w:rPr>
        <w:t>Durvalumab</w:t>
      </w:r>
      <w:r w:rsidR="00733545" w:rsidRPr="007A3223">
        <w:t xml:space="preserve">, </w:t>
      </w:r>
      <w:r w:rsidRPr="007A3223">
        <w:t xml:space="preserve">immune-mediated reactions are detailed in </w:t>
      </w:r>
      <w:r w:rsidR="00307B04" w:rsidRPr="00F33908">
        <w:fldChar w:fldCharType="begin"/>
      </w:r>
      <w:r w:rsidR="00307B04" w:rsidRPr="007A3223">
        <w:instrText xml:space="preserve"> REF _Ref408926531 \h  \* MERGEFORMAT </w:instrText>
      </w:r>
      <w:r w:rsidR="00307B04" w:rsidRPr="00F33908">
        <w:fldChar w:fldCharType="separate"/>
      </w:r>
      <w:r w:rsidR="00E47ACA" w:rsidRPr="00E47ACA">
        <w:rPr>
          <w:b/>
          <w:color w:val="0000FF"/>
          <w:sz w:val="22"/>
          <w:szCs w:val="22"/>
        </w:rPr>
        <w:t>Table 17</w:t>
      </w:r>
      <w:r w:rsidR="00307B04" w:rsidRPr="00F33908">
        <w:fldChar w:fldCharType="end"/>
      </w:r>
      <w:r w:rsidR="003B6D45" w:rsidRPr="007A3223">
        <w:rPr>
          <w:b/>
          <w:color w:val="0000FF"/>
        </w:rPr>
        <w:t xml:space="preserve"> - </w:t>
      </w:r>
      <w:r w:rsidR="002457B0" w:rsidRPr="00F33908">
        <w:rPr>
          <w:b/>
          <w:color w:val="0000FF"/>
        </w:rPr>
        <w:fldChar w:fldCharType="begin"/>
      </w:r>
      <w:r w:rsidR="003B6D45" w:rsidRPr="007A3223">
        <w:rPr>
          <w:b/>
          <w:color w:val="0000FF"/>
        </w:rPr>
        <w:instrText xml:space="preserve"> REF _Ref408929116 \h </w:instrText>
      </w:r>
      <w:r w:rsidR="00800A5E" w:rsidRPr="007A3223">
        <w:rPr>
          <w:b/>
          <w:color w:val="0000FF"/>
        </w:rPr>
        <w:instrText xml:space="preserve"> \* MERGEFORMAT </w:instrText>
      </w:r>
      <w:r w:rsidR="002457B0" w:rsidRPr="00F33908">
        <w:rPr>
          <w:b/>
          <w:color w:val="0000FF"/>
        </w:rPr>
      </w:r>
      <w:r w:rsidR="002457B0" w:rsidRPr="00F33908">
        <w:rPr>
          <w:b/>
          <w:color w:val="0000FF"/>
        </w:rPr>
        <w:fldChar w:fldCharType="separate"/>
      </w:r>
      <w:r w:rsidR="00E47ACA" w:rsidRPr="00E47ACA">
        <w:rPr>
          <w:b/>
          <w:color w:val="0000FF"/>
        </w:rPr>
        <w:t xml:space="preserve">Table </w:t>
      </w:r>
      <w:r w:rsidR="00E47ACA" w:rsidRPr="00E47ACA">
        <w:rPr>
          <w:b/>
          <w:noProof/>
          <w:color w:val="0000FF"/>
        </w:rPr>
        <w:t>24</w:t>
      </w:r>
      <w:r w:rsidR="002457B0" w:rsidRPr="00F33908">
        <w:rPr>
          <w:b/>
          <w:color w:val="0000FF"/>
        </w:rPr>
        <w:fldChar w:fldCharType="end"/>
      </w:r>
      <w:r w:rsidRPr="007A3223">
        <w:rPr>
          <w:color w:val="0000FF"/>
        </w:rPr>
        <w:t>.</w:t>
      </w:r>
    </w:p>
    <w:tbl>
      <w:tblPr>
        <w:tblW w:w="5000" w:type="pct"/>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162"/>
        <w:gridCol w:w="576"/>
        <w:gridCol w:w="2286"/>
        <w:gridCol w:w="5320"/>
      </w:tblGrid>
      <w:tr w:rsidR="001647DF" w:rsidRPr="007A3223" w14:paraId="51CB30A2" w14:textId="77777777" w:rsidTr="007D591B">
        <w:trPr>
          <w:cantSplit/>
          <w:tblHeader/>
        </w:trPr>
        <w:tc>
          <w:tcPr>
            <w:tcW w:w="5000" w:type="pct"/>
            <w:gridSpan w:val="4"/>
            <w:tcBorders>
              <w:top w:val="single" w:sz="6" w:space="0" w:color="000000"/>
              <w:left w:val="single" w:sz="6" w:space="0" w:color="000000"/>
              <w:bottom w:val="single" w:sz="6" w:space="0" w:color="000000"/>
              <w:right w:val="single" w:sz="6" w:space="0" w:color="000000"/>
            </w:tcBorders>
            <w:vAlign w:val="center"/>
          </w:tcPr>
          <w:p w14:paraId="13342063" w14:textId="2504B535" w:rsidR="007C16DA" w:rsidRPr="007A3223" w:rsidRDefault="00800A5E" w:rsidP="00403449">
            <w:pPr>
              <w:pStyle w:val="Caption"/>
              <w:rPr>
                <w:sz w:val="22"/>
                <w:szCs w:val="22"/>
              </w:rPr>
            </w:pPr>
            <w:bookmarkStart w:id="195" w:name="_Ref450557791"/>
            <w:bookmarkStart w:id="196" w:name="_Ref408926531"/>
            <w:bookmarkStart w:id="197" w:name="_Toc82444451"/>
            <w:r w:rsidRPr="00F33908">
              <w:lastRenderedPageBreak/>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17</w:t>
            </w:r>
            <w:r w:rsidR="00F82420" w:rsidRPr="007A3223">
              <w:rPr>
                <w:noProof/>
              </w:rPr>
              <w:fldChar w:fldCharType="end"/>
            </w:r>
            <w:bookmarkEnd w:id="195"/>
            <w:bookmarkEnd w:id="196"/>
            <w:r w:rsidR="001647DF" w:rsidRPr="007A3223">
              <w:rPr>
                <w:sz w:val="22"/>
                <w:szCs w:val="22"/>
              </w:rPr>
              <w:t xml:space="preserve">. </w:t>
            </w:r>
            <w:r w:rsidR="007C16DA" w:rsidRPr="007A3223">
              <w:rPr>
                <w:sz w:val="22"/>
                <w:szCs w:val="22"/>
              </w:rPr>
              <w:t>Immune-</w:t>
            </w:r>
            <w:r w:rsidR="006B5C65" w:rsidRPr="00F33908">
              <w:rPr>
                <w:sz w:val="22"/>
                <w:szCs w:val="22"/>
              </w:rPr>
              <w:t>related Adverse Events (Overall Management)</w:t>
            </w:r>
            <w:bookmarkEnd w:id="197"/>
          </w:p>
        </w:tc>
      </w:tr>
      <w:tr w:rsidR="001647DF" w:rsidRPr="007A3223" w14:paraId="58466659" w14:textId="77777777" w:rsidTr="009F04E7">
        <w:trPr>
          <w:cantSplit/>
          <w:tblHeader/>
        </w:trPr>
        <w:tc>
          <w:tcPr>
            <w:tcW w:w="2153"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B15994E" w14:textId="77777777" w:rsidR="00BA3BB8" w:rsidRPr="007A3223" w:rsidRDefault="00BA3BB8" w:rsidP="00A02E77">
            <w:pPr>
              <w:pStyle w:val="TableHead"/>
              <w:widowControl w:val="0"/>
              <w:spacing w:before="60"/>
              <w:rPr>
                <w:sz w:val="22"/>
                <w:szCs w:val="22"/>
              </w:rPr>
            </w:pPr>
            <w:r w:rsidRPr="007A3223">
              <w:rPr>
                <w:sz w:val="22"/>
                <w:szCs w:val="22"/>
              </w:rPr>
              <w:t>Dose Modifications</w:t>
            </w:r>
          </w:p>
        </w:tc>
        <w:tc>
          <w:tcPr>
            <w:tcW w:w="284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6A7391B" w14:textId="77777777" w:rsidR="00BA3BB8" w:rsidRPr="007A3223" w:rsidRDefault="00BA3BB8" w:rsidP="00A02E77">
            <w:pPr>
              <w:pStyle w:val="TableHead"/>
              <w:widowControl w:val="0"/>
              <w:spacing w:before="60"/>
              <w:rPr>
                <w:sz w:val="22"/>
                <w:szCs w:val="22"/>
              </w:rPr>
            </w:pPr>
            <w:r w:rsidRPr="007A3223">
              <w:rPr>
                <w:sz w:val="22"/>
                <w:szCs w:val="22"/>
              </w:rPr>
              <w:t>Toxicity Management</w:t>
            </w:r>
          </w:p>
        </w:tc>
      </w:tr>
      <w:tr w:rsidR="001647DF" w:rsidRPr="007A3223" w14:paraId="562DA10F" w14:textId="77777777" w:rsidTr="009F04E7">
        <w:trPr>
          <w:cantSplit/>
        </w:trPr>
        <w:tc>
          <w:tcPr>
            <w:tcW w:w="2153" w:type="pct"/>
            <w:gridSpan w:val="3"/>
            <w:tcBorders>
              <w:top w:val="single" w:sz="6" w:space="0" w:color="000000"/>
              <w:left w:val="single" w:sz="6" w:space="0" w:color="000000"/>
              <w:bottom w:val="single" w:sz="4" w:space="0" w:color="808080" w:themeColor="background1" w:themeShade="80"/>
              <w:right w:val="single" w:sz="6" w:space="0" w:color="000000"/>
            </w:tcBorders>
            <w:hideMark/>
          </w:tcPr>
          <w:p w14:paraId="1FD13E40" w14:textId="77777777" w:rsidR="00D10BAE" w:rsidRPr="007A3223" w:rsidRDefault="00BA3BB8" w:rsidP="00D10BAE">
            <w:pPr>
              <w:pStyle w:val="TableLeft"/>
              <w:widowControl w:val="0"/>
              <w:spacing w:before="60"/>
              <w:rPr>
                <w:sz w:val="22"/>
                <w:szCs w:val="22"/>
              </w:rPr>
            </w:pPr>
            <w:r w:rsidRPr="007A3223">
              <w:rPr>
                <w:sz w:val="22"/>
                <w:szCs w:val="22"/>
              </w:rPr>
              <w:t xml:space="preserve">Drug administration modifications of Study regimen will be made to manage potential </w:t>
            </w:r>
          </w:p>
          <w:p w14:paraId="394DCF87" w14:textId="77777777" w:rsidR="00BA3BB8" w:rsidRPr="007A3223" w:rsidRDefault="00D10BAE" w:rsidP="00D10BAE">
            <w:pPr>
              <w:pStyle w:val="TableLeft"/>
              <w:widowControl w:val="0"/>
              <w:spacing w:before="60"/>
              <w:rPr>
                <w:sz w:val="22"/>
                <w:szCs w:val="22"/>
              </w:rPr>
            </w:pPr>
            <w:r w:rsidRPr="007A3223">
              <w:rPr>
                <w:sz w:val="22"/>
                <w:szCs w:val="22"/>
              </w:rPr>
              <w:t>ir</w:t>
            </w:r>
            <w:r w:rsidR="00BA3BB8" w:rsidRPr="007A3223">
              <w:rPr>
                <w:sz w:val="22"/>
                <w:szCs w:val="22"/>
              </w:rPr>
              <w:t>AEs per NCI CTCAE v4.03.</w:t>
            </w:r>
          </w:p>
        </w:tc>
        <w:tc>
          <w:tcPr>
            <w:tcW w:w="2847" w:type="pct"/>
            <w:vMerge w:val="restart"/>
            <w:tcBorders>
              <w:top w:val="single" w:sz="6" w:space="0" w:color="000000"/>
              <w:left w:val="single" w:sz="6" w:space="0" w:color="000000"/>
              <w:right w:val="single" w:sz="6" w:space="0" w:color="000000"/>
            </w:tcBorders>
            <w:hideMark/>
          </w:tcPr>
          <w:p w14:paraId="791F434F" w14:textId="77777777" w:rsidR="00BA3BB8" w:rsidRPr="007A3223" w:rsidRDefault="00BA3BB8" w:rsidP="00A02E77">
            <w:pPr>
              <w:pStyle w:val="TableLeft"/>
              <w:keepNext/>
              <w:widowControl w:val="0"/>
              <w:spacing w:before="60"/>
              <w:rPr>
                <w:sz w:val="22"/>
                <w:szCs w:val="22"/>
              </w:rPr>
            </w:pPr>
            <w:r w:rsidRPr="007A3223">
              <w:rPr>
                <w:sz w:val="22"/>
                <w:szCs w:val="22"/>
              </w:rPr>
              <w:t>It is recommended that management of irAEs follow the guidelines presented in this table</w:t>
            </w:r>
          </w:p>
          <w:p w14:paraId="3F6622AA" w14:textId="77777777" w:rsidR="00BA3BB8" w:rsidRPr="007A3223" w:rsidRDefault="00BA3BB8" w:rsidP="003017BC">
            <w:pPr>
              <w:pStyle w:val="ListBulletSmall"/>
              <w:keepNext/>
              <w:widowControl w:val="0"/>
              <w:tabs>
                <w:tab w:val="clear" w:pos="360"/>
                <w:tab w:val="num" w:pos="81"/>
              </w:tabs>
              <w:spacing w:before="60"/>
              <w:ind w:hanging="459"/>
              <w:rPr>
                <w:sz w:val="22"/>
                <w:szCs w:val="22"/>
              </w:rPr>
            </w:pPr>
          </w:p>
          <w:p w14:paraId="4C4C9C10" w14:textId="77777777" w:rsidR="00BA3BB8" w:rsidRPr="007A3223" w:rsidRDefault="00BA3BB8" w:rsidP="00FB66BA">
            <w:pPr>
              <w:pStyle w:val="ListBulletSmall"/>
              <w:keepNext/>
              <w:widowControl w:val="0"/>
              <w:numPr>
                <w:ilvl w:val="0"/>
                <w:numId w:val="49"/>
              </w:numPr>
              <w:tabs>
                <w:tab w:val="num" w:pos="81"/>
              </w:tabs>
              <w:spacing w:before="60"/>
              <w:ind w:left="441"/>
              <w:rPr>
                <w:sz w:val="22"/>
                <w:szCs w:val="22"/>
              </w:rPr>
            </w:pPr>
            <w:r w:rsidRPr="007A3223">
              <w:rPr>
                <w:sz w:val="22"/>
                <w:szCs w:val="22"/>
              </w:rPr>
              <w:t>Patients should be thoroughly evaluated to rule out any alternative etiology (e.g., disease progression, concomitant medications, infections, etc.)</w:t>
            </w:r>
            <w:r w:rsidR="006A7009" w:rsidRPr="007A3223">
              <w:rPr>
                <w:sz w:val="22"/>
                <w:szCs w:val="22"/>
              </w:rPr>
              <w:t>.</w:t>
            </w:r>
          </w:p>
          <w:p w14:paraId="320BF684" w14:textId="77777777" w:rsidR="00BA3BB8" w:rsidRPr="007A3223" w:rsidRDefault="00BA3BB8" w:rsidP="00FB66BA">
            <w:pPr>
              <w:pStyle w:val="ListBulletSmall"/>
              <w:keepNext/>
              <w:widowControl w:val="0"/>
              <w:numPr>
                <w:ilvl w:val="0"/>
                <w:numId w:val="49"/>
              </w:numPr>
              <w:tabs>
                <w:tab w:val="num" w:pos="81"/>
              </w:tabs>
              <w:spacing w:before="60"/>
              <w:ind w:left="441"/>
              <w:rPr>
                <w:sz w:val="22"/>
                <w:szCs w:val="22"/>
              </w:rPr>
            </w:pPr>
            <w:r w:rsidRPr="007A3223">
              <w:rPr>
                <w:sz w:val="22"/>
                <w:szCs w:val="22"/>
              </w:rPr>
              <w:t>In the absence of a clear alternative etiology, all events should be considered potentially immune related.</w:t>
            </w:r>
          </w:p>
          <w:p w14:paraId="0FFD0497" w14:textId="77777777" w:rsidR="00BA3BB8" w:rsidRPr="007A3223" w:rsidRDefault="00BA3BB8" w:rsidP="00FB66BA">
            <w:pPr>
              <w:pStyle w:val="ListBulletSmall"/>
              <w:keepNext/>
              <w:widowControl w:val="0"/>
              <w:numPr>
                <w:ilvl w:val="0"/>
                <w:numId w:val="49"/>
              </w:numPr>
              <w:tabs>
                <w:tab w:val="num" w:pos="81"/>
              </w:tabs>
              <w:spacing w:before="60"/>
              <w:ind w:left="441"/>
              <w:rPr>
                <w:sz w:val="22"/>
                <w:szCs w:val="22"/>
              </w:rPr>
            </w:pPr>
            <w:r w:rsidRPr="007A3223">
              <w:rPr>
                <w:sz w:val="22"/>
                <w:szCs w:val="22"/>
              </w:rPr>
              <w:t>Symptomatic and topical therapy should be considered for low-grade (</w:t>
            </w:r>
            <w:r w:rsidR="00111398" w:rsidRPr="007A3223">
              <w:rPr>
                <w:sz w:val="22"/>
                <w:szCs w:val="22"/>
              </w:rPr>
              <w:t>g</w:t>
            </w:r>
            <w:r w:rsidRPr="007A3223">
              <w:rPr>
                <w:sz w:val="22"/>
                <w:szCs w:val="22"/>
              </w:rPr>
              <w:t>rade 1 or 2, unless otherwise specified) events</w:t>
            </w:r>
            <w:r w:rsidR="00355943" w:rsidRPr="007A3223">
              <w:rPr>
                <w:sz w:val="22"/>
                <w:szCs w:val="22"/>
              </w:rPr>
              <w:t>.</w:t>
            </w:r>
            <w:r w:rsidRPr="007A3223">
              <w:rPr>
                <w:sz w:val="22"/>
                <w:szCs w:val="22"/>
              </w:rPr>
              <w:t xml:space="preserve"> </w:t>
            </w:r>
          </w:p>
          <w:p w14:paraId="78A5D823" w14:textId="77777777" w:rsidR="003B36D8" w:rsidRPr="007A3223" w:rsidRDefault="003B36D8" w:rsidP="00FB66BA">
            <w:pPr>
              <w:pStyle w:val="ListBulletSmall"/>
              <w:keepNext/>
              <w:widowControl w:val="0"/>
              <w:numPr>
                <w:ilvl w:val="0"/>
                <w:numId w:val="49"/>
              </w:numPr>
              <w:spacing w:before="60" w:line="276" w:lineRule="auto"/>
              <w:ind w:left="470"/>
              <w:rPr>
                <w:sz w:val="22"/>
                <w:szCs w:val="22"/>
              </w:rPr>
            </w:pPr>
            <w:r w:rsidRPr="007A3223">
              <w:rPr>
                <w:sz w:val="22"/>
                <w:szCs w:val="22"/>
              </w:rPr>
              <w:t xml:space="preserve">For persistent (greater than 3 to 5 days) low-grade (Grade 2) or severe (Grade ≥3) events promptly start prednisone PO 1-2mg/kg/day or IV equivalent. </w:t>
            </w:r>
          </w:p>
          <w:p w14:paraId="0D61BB44" w14:textId="77777777" w:rsidR="003B36D8" w:rsidRPr="007A3223" w:rsidRDefault="003B36D8" w:rsidP="00FB66BA">
            <w:pPr>
              <w:pStyle w:val="ListBulletSmall"/>
              <w:keepNext/>
              <w:widowControl w:val="0"/>
              <w:numPr>
                <w:ilvl w:val="0"/>
                <w:numId w:val="49"/>
              </w:numPr>
              <w:spacing w:before="60" w:line="276" w:lineRule="auto"/>
              <w:ind w:left="470"/>
              <w:rPr>
                <w:sz w:val="22"/>
                <w:szCs w:val="22"/>
              </w:rPr>
            </w:pPr>
            <w:r w:rsidRPr="007A3223">
              <w:rPr>
                <w:sz w:val="22"/>
                <w:szCs w:val="22"/>
              </w:rPr>
              <w:t>If symptoms recur or worsen during corticosteroid tapering (</w:t>
            </w:r>
            <w:r w:rsidRPr="007A3223">
              <w:rPr>
                <w:sz w:val="22"/>
                <w:szCs w:val="22"/>
                <w:u w:val="single"/>
              </w:rPr>
              <w:t xml:space="preserve">&gt; </w:t>
            </w:r>
            <w:r w:rsidRPr="007A3223">
              <w:rPr>
                <w:sz w:val="22"/>
                <w:szCs w:val="22"/>
              </w:rPr>
              <w:t xml:space="preserve">4 weeks of taper), increase the corticosteroid dose (prednisone dose [e.g. up to 2-4mg/kg/day or IV equivalent]) until stabilization or improvement of symptoms, then resume corticosteroid tapering at a slower rate. </w:t>
            </w:r>
            <w:r w:rsidRPr="007A3223">
              <w:rPr>
                <w:sz w:val="22"/>
                <w:szCs w:val="22"/>
              </w:rPr>
              <w:tab/>
            </w:r>
          </w:p>
          <w:p w14:paraId="7959DF9D" w14:textId="77777777" w:rsidR="003B36D8" w:rsidRPr="007A3223" w:rsidRDefault="003B36D8" w:rsidP="00FB66BA">
            <w:pPr>
              <w:pStyle w:val="ListBulletSmall"/>
              <w:keepNext/>
              <w:widowControl w:val="0"/>
              <w:numPr>
                <w:ilvl w:val="0"/>
                <w:numId w:val="49"/>
              </w:numPr>
              <w:spacing w:before="60" w:line="276" w:lineRule="auto"/>
              <w:ind w:left="470"/>
              <w:rPr>
                <w:sz w:val="22"/>
                <w:szCs w:val="22"/>
              </w:rPr>
            </w:pPr>
            <w:r w:rsidRPr="007A3223">
              <w:rPr>
                <w:sz w:val="22"/>
                <w:szCs w:val="22"/>
              </w:rPr>
              <w:t xml:space="preserve">More potent immunosuppressives – (refer to individual sections of the immune related adverse event for specific type of immunosuppressive) should be considered for events not responding to systemic steroids.  </w:t>
            </w:r>
          </w:p>
          <w:p w14:paraId="07E487EB" w14:textId="77777777" w:rsidR="003B36D8" w:rsidRPr="007A3223" w:rsidRDefault="003B36D8" w:rsidP="00FB66BA">
            <w:pPr>
              <w:pStyle w:val="ListBulletSmall"/>
              <w:keepNext/>
              <w:widowControl w:val="0"/>
              <w:numPr>
                <w:ilvl w:val="0"/>
                <w:numId w:val="49"/>
              </w:numPr>
              <w:tabs>
                <w:tab w:val="num" w:pos="81"/>
              </w:tabs>
              <w:spacing w:before="60"/>
              <w:ind w:left="470"/>
              <w:rPr>
                <w:sz w:val="22"/>
                <w:szCs w:val="22"/>
              </w:rPr>
            </w:pPr>
            <w:r w:rsidRPr="007A3223">
              <w:rPr>
                <w:sz w:val="22"/>
                <w:szCs w:val="22"/>
                <w:lang w:val="en-GB"/>
              </w:rPr>
              <w:t>Discontinuation of study drug is not mandated for Grade 3 / Grade 4 inflammatory reactions attributed to local tumour response (e.g.</w:t>
            </w:r>
            <w:r w:rsidR="00FF07A6" w:rsidRPr="007A3223">
              <w:rPr>
                <w:sz w:val="22"/>
                <w:szCs w:val="22"/>
                <w:lang w:val="en-GB"/>
              </w:rPr>
              <w:t>,</w:t>
            </w:r>
            <w:r w:rsidRPr="007A3223">
              <w:rPr>
                <w:sz w:val="22"/>
                <w:szCs w:val="22"/>
                <w:lang w:val="en-GB"/>
              </w:rPr>
              <w:t xml:space="preserve"> inflammatory reaction at sites of metastatic disease, lymph nodes etc.). Continuation of study drug in this situation should be based upon a benefit/risk analysis for that patient </w:t>
            </w:r>
          </w:p>
          <w:p w14:paraId="653EFBD7" w14:textId="77777777" w:rsidR="003B36D8" w:rsidRPr="007A3223" w:rsidRDefault="003B36D8" w:rsidP="00F14833">
            <w:pPr>
              <w:pStyle w:val="ListBulletSmall"/>
              <w:keepNext/>
              <w:widowControl w:val="0"/>
              <w:tabs>
                <w:tab w:val="clear" w:pos="360"/>
              </w:tabs>
              <w:spacing w:before="60"/>
              <w:ind w:left="0" w:firstLine="0"/>
              <w:rPr>
                <w:sz w:val="22"/>
                <w:szCs w:val="22"/>
                <w:lang w:val="en-GB"/>
              </w:rPr>
            </w:pPr>
          </w:p>
          <w:p w14:paraId="3C504D29" w14:textId="77777777" w:rsidR="003B36D8" w:rsidRPr="007A3223" w:rsidRDefault="003B36D8" w:rsidP="00F14833">
            <w:pPr>
              <w:pStyle w:val="ListBulletSmall"/>
              <w:keepNext/>
              <w:widowControl w:val="0"/>
              <w:tabs>
                <w:tab w:val="clear" w:pos="360"/>
              </w:tabs>
              <w:spacing w:before="60"/>
              <w:ind w:left="0" w:firstLine="0"/>
              <w:rPr>
                <w:sz w:val="22"/>
                <w:szCs w:val="22"/>
                <w:lang w:val="en-GB"/>
              </w:rPr>
            </w:pPr>
          </w:p>
          <w:p w14:paraId="6FACE081" w14:textId="77777777" w:rsidR="00BA3BB8" w:rsidRPr="007A3223" w:rsidRDefault="00BA3BB8" w:rsidP="00F14833">
            <w:pPr>
              <w:pStyle w:val="ListBulletSmall"/>
              <w:keepNext/>
              <w:widowControl w:val="0"/>
              <w:tabs>
                <w:tab w:val="clear" w:pos="360"/>
              </w:tabs>
              <w:spacing w:before="60"/>
              <w:ind w:left="0" w:firstLine="0"/>
              <w:rPr>
                <w:sz w:val="22"/>
                <w:szCs w:val="22"/>
              </w:rPr>
            </w:pPr>
          </w:p>
        </w:tc>
      </w:tr>
      <w:tr w:rsidR="009F04E7" w:rsidRPr="007A3223" w14:paraId="168B49BA" w14:textId="77777777" w:rsidTr="000232A0">
        <w:trPr>
          <w:cantSplit/>
        </w:trPr>
        <w:tc>
          <w:tcPr>
            <w:tcW w:w="622" w:type="pct"/>
            <w:tcBorders>
              <w:top w:val="single" w:sz="4" w:space="0" w:color="808080" w:themeColor="background1" w:themeShade="80"/>
              <w:left w:val="single" w:sz="6" w:space="0" w:color="000000"/>
              <w:bottom w:val="single" w:sz="4" w:space="0" w:color="808080" w:themeColor="background1" w:themeShade="80"/>
              <w:right w:val="single" w:sz="4" w:space="0" w:color="808080" w:themeColor="background1" w:themeShade="80"/>
            </w:tcBorders>
            <w:hideMark/>
          </w:tcPr>
          <w:p w14:paraId="2F88A161" w14:textId="77777777" w:rsidR="009F04E7" w:rsidRPr="007A3223" w:rsidRDefault="009F04E7" w:rsidP="008E0B5C">
            <w:pPr>
              <w:pStyle w:val="TableCenter"/>
              <w:widowControl w:val="0"/>
              <w:spacing w:before="60"/>
              <w:rPr>
                <w:b/>
                <w:sz w:val="22"/>
                <w:szCs w:val="22"/>
              </w:rPr>
            </w:pPr>
            <w:r w:rsidRPr="007A3223">
              <w:rPr>
                <w:b/>
                <w:sz w:val="22"/>
                <w:szCs w:val="22"/>
              </w:rPr>
              <w:t>Grade 1</w:t>
            </w:r>
          </w:p>
        </w:tc>
        <w:tc>
          <w:tcPr>
            <w:tcW w:w="1531"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000000"/>
            </w:tcBorders>
          </w:tcPr>
          <w:p w14:paraId="52F266CB" w14:textId="77777777" w:rsidR="009F04E7" w:rsidRPr="007A3223" w:rsidRDefault="009F04E7" w:rsidP="000232A0">
            <w:pPr>
              <w:pStyle w:val="TableLeft"/>
              <w:keepNext/>
              <w:widowControl w:val="0"/>
              <w:tabs>
                <w:tab w:val="left" w:pos="-326"/>
              </w:tabs>
              <w:spacing w:before="60"/>
              <w:ind w:hanging="108"/>
              <w:jc w:val="center"/>
              <w:rPr>
                <w:sz w:val="22"/>
                <w:szCs w:val="22"/>
              </w:rPr>
            </w:pPr>
            <w:r w:rsidRPr="007A3223">
              <w:rPr>
                <w:sz w:val="22"/>
                <w:szCs w:val="22"/>
              </w:rPr>
              <w:t>No dose modification</w:t>
            </w:r>
          </w:p>
        </w:tc>
        <w:tc>
          <w:tcPr>
            <w:tcW w:w="2847" w:type="pct"/>
            <w:vMerge/>
            <w:tcBorders>
              <w:left w:val="single" w:sz="6" w:space="0" w:color="000000"/>
              <w:right w:val="single" w:sz="6" w:space="0" w:color="000000"/>
            </w:tcBorders>
            <w:vAlign w:val="center"/>
            <w:hideMark/>
          </w:tcPr>
          <w:p w14:paraId="385E590E" w14:textId="77777777" w:rsidR="009F04E7" w:rsidRPr="007A3223" w:rsidRDefault="009F04E7" w:rsidP="00A02E77">
            <w:pPr>
              <w:keepNext/>
              <w:widowControl w:val="0"/>
              <w:spacing w:after="0"/>
              <w:rPr>
                <w:sz w:val="20"/>
                <w:szCs w:val="48"/>
              </w:rPr>
            </w:pPr>
          </w:p>
        </w:tc>
      </w:tr>
      <w:tr w:rsidR="009F04E7" w:rsidRPr="007A3223" w14:paraId="2D749493" w14:textId="77777777" w:rsidTr="000232A0">
        <w:trPr>
          <w:cantSplit/>
        </w:trPr>
        <w:tc>
          <w:tcPr>
            <w:tcW w:w="622" w:type="pct"/>
            <w:tcBorders>
              <w:top w:val="single" w:sz="4" w:space="0" w:color="808080" w:themeColor="background1" w:themeShade="80"/>
              <w:left w:val="single" w:sz="6" w:space="0" w:color="000000"/>
              <w:bottom w:val="single" w:sz="4" w:space="0" w:color="808080" w:themeColor="background1" w:themeShade="80"/>
              <w:right w:val="single" w:sz="4" w:space="0" w:color="808080" w:themeColor="background1" w:themeShade="80"/>
            </w:tcBorders>
            <w:hideMark/>
          </w:tcPr>
          <w:p w14:paraId="78981DAA" w14:textId="77777777" w:rsidR="009F04E7" w:rsidRPr="007A3223" w:rsidRDefault="009F04E7" w:rsidP="008E0B5C">
            <w:pPr>
              <w:pStyle w:val="TableCenter"/>
              <w:widowControl w:val="0"/>
              <w:spacing w:before="60"/>
              <w:rPr>
                <w:b/>
                <w:sz w:val="22"/>
                <w:szCs w:val="22"/>
              </w:rPr>
            </w:pPr>
            <w:r w:rsidRPr="007A3223">
              <w:rPr>
                <w:b/>
                <w:sz w:val="22"/>
                <w:szCs w:val="22"/>
              </w:rPr>
              <w:t>Grade 2</w:t>
            </w:r>
          </w:p>
        </w:tc>
        <w:tc>
          <w:tcPr>
            <w:tcW w:w="1531"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000000"/>
            </w:tcBorders>
          </w:tcPr>
          <w:p w14:paraId="4A95502C" w14:textId="77777777" w:rsidR="009F04E7" w:rsidRPr="007A3223" w:rsidRDefault="009F04E7" w:rsidP="000232A0">
            <w:pPr>
              <w:pStyle w:val="ListBulletSmall"/>
              <w:keepNext/>
              <w:widowControl w:val="0"/>
              <w:tabs>
                <w:tab w:val="clear" w:pos="360"/>
                <w:tab w:val="left" w:pos="-127"/>
              </w:tabs>
              <w:spacing w:before="60"/>
              <w:ind w:left="-127" w:firstLine="0"/>
              <w:jc w:val="center"/>
              <w:rPr>
                <w:sz w:val="22"/>
                <w:szCs w:val="22"/>
              </w:rPr>
            </w:pPr>
            <w:r w:rsidRPr="007A3223">
              <w:rPr>
                <w:sz w:val="22"/>
                <w:szCs w:val="22"/>
              </w:rPr>
              <w:t>Hold Study regimen dose until grade 2 resolution to ≤ grade 1.</w:t>
            </w:r>
          </w:p>
          <w:p w14:paraId="5D3172FC" w14:textId="77777777" w:rsidR="009F04E7" w:rsidRPr="007A3223" w:rsidRDefault="009F04E7" w:rsidP="000232A0">
            <w:pPr>
              <w:pStyle w:val="ListBulletSmall"/>
              <w:keepNext/>
              <w:widowControl w:val="0"/>
              <w:tabs>
                <w:tab w:val="left" w:pos="-127"/>
              </w:tabs>
              <w:spacing w:before="60"/>
              <w:ind w:left="-127" w:hanging="219"/>
              <w:jc w:val="center"/>
              <w:rPr>
                <w:sz w:val="22"/>
                <w:szCs w:val="22"/>
              </w:rPr>
            </w:pPr>
            <w:r w:rsidRPr="007A3223">
              <w:rPr>
                <w:sz w:val="22"/>
                <w:szCs w:val="22"/>
              </w:rPr>
              <w:t>•</w:t>
            </w:r>
            <w:r w:rsidRPr="007A3223">
              <w:rPr>
                <w:sz w:val="22"/>
                <w:szCs w:val="22"/>
              </w:rPr>
              <w:tab/>
              <w:t>If toxicity worsens then treat as grade 3 or grade 4.</w:t>
            </w:r>
          </w:p>
          <w:p w14:paraId="4D1526EE" w14:textId="77777777" w:rsidR="009F04E7" w:rsidRPr="007A3223" w:rsidRDefault="009F04E7" w:rsidP="000232A0">
            <w:pPr>
              <w:pStyle w:val="ListBulletSmall"/>
              <w:keepNext/>
              <w:widowControl w:val="0"/>
              <w:tabs>
                <w:tab w:val="clear" w:pos="360"/>
                <w:tab w:val="left" w:pos="-127"/>
                <w:tab w:val="num" w:pos="303"/>
                <w:tab w:val="left" w:pos="503"/>
              </w:tabs>
              <w:spacing w:before="60"/>
              <w:ind w:left="-127" w:hanging="219"/>
              <w:jc w:val="center"/>
              <w:rPr>
                <w:sz w:val="22"/>
                <w:szCs w:val="22"/>
              </w:rPr>
            </w:pPr>
            <w:r w:rsidRPr="007A3223">
              <w:rPr>
                <w:sz w:val="22"/>
                <w:szCs w:val="22"/>
              </w:rPr>
              <w:t>•</w:t>
            </w:r>
            <w:r w:rsidRPr="007A3223">
              <w:rPr>
                <w:sz w:val="22"/>
                <w:szCs w:val="22"/>
              </w:rPr>
              <w:tab/>
              <w:t>If toxicity improves to baseline then treat at next scheduled treatment date.</w:t>
            </w:r>
          </w:p>
        </w:tc>
        <w:tc>
          <w:tcPr>
            <w:tcW w:w="2847" w:type="pct"/>
            <w:vMerge/>
            <w:tcBorders>
              <w:left w:val="single" w:sz="6" w:space="0" w:color="000000"/>
              <w:right w:val="single" w:sz="6" w:space="0" w:color="000000"/>
            </w:tcBorders>
            <w:vAlign w:val="center"/>
            <w:hideMark/>
          </w:tcPr>
          <w:p w14:paraId="3F835C31" w14:textId="77777777" w:rsidR="009F04E7" w:rsidRPr="007A3223" w:rsidRDefault="009F04E7" w:rsidP="00A02E77">
            <w:pPr>
              <w:keepNext/>
              <w:widowControl w:val="0"/>
              <w:spacing w:after="0"/>
              <w:rPr>
                <w:sz w:val="20"/>
                <w:szCs w:val="48"/>
              </w:rPr>
            </w:pPr>
          </w:p>
        </w:tc>
      </w:tr>
      <w:tr w:rsidR="00FD211F" w:rsidRPr="007A3223" w14:paraId="2738B628" w14:textId="77777777" w:rsidTr="000232A0">
        <w:trPr>
          <w:cantSplit/>
          <w:trHeight w:val="561"/>
        </w:trPr>
        <w:tc>
          <w:tcPr>
            <w:tcW w:w="622" w:type="pct"/>
            <w:tcBorders>
              <w:top w:val="single" w:sz="4" w:space="0" w:color="808080" w:themeColor="background1" w:themeShade="80"/>
              <w:left w:val="single" w:sz="6" w:space="0" w:color="000000"/>
              <w:bottom w:val="single" w:sz="4" w:space="0" w:color="808080" w:themeColor="background1" w:themeShade="80"/>
              <w:right w:val="single" w:sz="4" w:space="0" w:color="808080" w:themeColor="background1" w:themeShade="80"/>
            </w:tcBorders>
            <w:hideMark/>
          </w:tcPr>
          <w:p w14:paraId="6C749DE5" w14:textId="77777777" w:rsidR="00FD211F" w:rsidRPr="007A3223" w:rsidRDefault="00FD211F" w:rsidP="008E0B5C">
            <w:pPr>
              <w:pStyle w:val="TableCenter"/>
              <w:widowControl w:val="0"/>
              <w:spacing w:before="60"/>
              <w:rPr>
                <w:b/>
                <w:sz w:val="22"/>
                <w:szCs w:val="22"/>
              </w:rPr>
            </w:pPr>
            <w:r w:rsidRPr="007A3223">
              <w:rPr>
                <w:b/>
                <w:sz w:val="22"/>
                <w:szCs w:val="22"/>
              </w:rPr>
              <w:t>Grade 3</w:t>
            </w:r>
          </w:p>
        </w:tc>
        <w:tc>
          <w:tcPr>
            <w:tcW w:w="1531"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000000"/>
            </w:tcBorders>
          </w:tcPr>
          <w:p w14:paraId="63B68744" w14:textId="77777777" w:rsidR="00FD211F" w:rsidRPr="007A3223" w:rsidRDefault="00FD211F" w:rsidP="000232A0">
            <w:pPr>
              <w:pStyle w:val="TableLeft"/>
              <w:keepNext/>
              <w:widowControl w:val="0"/>
              <w:spacing w:before="60"/>
              <w:ind w:left="-118"/>
              <w:jc w:val="center"/>
              <w:rPr>
                <w:sz w:val="22"/>
                <w:szCs w:val="22"/>
              </w:rPr>
            </w:pPr>
            <w:r w:rsidRPr="007A3223">
              <w:rPr>
                <w:sz w:val="22"/>
                <w:szCs w:val="22"/>
              </w:rPr>
              <w:t>Depending on the individual toxicity, may permanently discontinue Study regimen. Please refer to guidelines below.</w:t>
            </w:r>
          </w:p>
        </w:tc>
        <w:tc>
          <w:tcPr>
            <w:tcW w:w="2847" w:type="pct"/>
            <w:vMerge/>
            <w:tcBorders>
              <w:left w:val="single" w:sz="6" w:space="0" w:color="000000"/>
              <w:right w:val="single" w:sz="6" w:space="0" w:color="000000"/>
            </w:tcBorders>
            <w:vAlign w:val="center"/>
            <w:hideMark/>
          </w:tcPr>
          <w:p w14:paraId="6C7031F0" w14:textId="77777777" w:rsidR="00FD211F" w:rsidRPr="007A3223" w:rsidRDefault="00FD211F" w:rsidP="00A02E77">
            <w:pPr>
              <w:keepNext/>
              <w:widowControl w:val="0"/>
              <w:spacing w:after="0"/>
              <w:rPr>
                <w:sz w:val="20"/>
                <w:szCs w:val="48"/>
              </w:rPr>
            </w:pPr>
          </w:p>
        </w:tc>
      </w:tr>
      <w:tr w:rsidR="00FD211F" w:rsidRPr="007A3223" w14:paraId="6E326227" w14:textId="77777777" w:rsidTr="000232A0">
        <w:trPr>
          <w:cantSplit/>
          <w:trHeight w:val="4364"/>
        </w:trPr>
        <w:tc>
          <w:tcPr>
            <w:tcW w:w="622" w:type="pct"/>
            <w:tcBorders>
              <w:top w:val="single" w:sz="4" w:space="0" w:color="808080" w:themeColor="background1" w:themeShade="80"/>
              <w:left w:val="single" w:sz="6" w:space="0" w:color="000000"/>
              <w:bottom w:val="single" w:sz="4" w:space="0" w:color="auto"/>
              <w:right w:val="single" w:sz="4" w:space="0" w:color="808080" w:themeColor="background1" w:themeShade="80"/>
            </w:tcBorders>
            <w:hideMark/>
          </w:tcPr>
          <w:p w14:paraId="45B0DAA6" w14:textId="77777777" w:rsidR="00FD211F" w:rsidRPr="007A3223" w:rsidRDefault="00FD211F" w:rsidP="008E0B5C">
            <w:pPr>
              <w:pStyle w:val="TableCenter"/>
              <w:widowControl w:val="0"/>
              <w:spacing w:before="60"/>
              <w:rPr>
                <w:b/>
                <w:sz w:val="22"/>
                <w:szCs w:val="22"/>
              </w:rPr>
            </w:pPr>
            <w:r w:rsidRPr="007A3223">
              <w:rPr>
                <w:b/>
                <w:sz w:val="22"/>
                <w:szCs w:val="22"/>
              </w:rPr>
              <w:t>Grade 4</w:t>
            </w:r>
          </w:p>
        </w:tc>
        <w:tc>
          <w:tcPr>
            <w:tcW w:w="1531" w:type="pct"/>
            <w:gridSpan w:val="2"/>
            <w:tcBorders>
              <w:top w:val="single" w:sz="4" w:space="0" w:color="808080" w:themeColor="background1" w:themeShade="80"/>
              <w:left w:val="single" w:sz="4" w:space="0" w:color="808080" w:themeColor="background1" w:themeShade="80"/>
              <w:bottom w:val="single" w:sz="4" w:space="0" w:color="auto"/>
              <w:right w:val="single" w:sz="6" w:space="0" w:color="000000"/>
            </w:tcBorders>
          </w:tcPr>
          <w:p w14:paraId="7DC614EA" w14:textId="1DA0849E" w:rsidR="00FD211F" w:rsidRPr="007A3223" w:rsidRDefault="00FD211F" w:rsidP="000232A0">
            <w:pPr>
              <w:pStyle w:val="TableLeft"/>
              <w:keepNext/>
              <w:widowControl w:val="0"/>
              <w:spacing w:before="60"/>
              <w:ind w:left="-118"/>
              <w:jc w:val="center"/>
              <w:rPr>
                <w:sz w:val="22"/>
                <w:szCs w:val="22"/>
              </w:rPr>
            </w:pPr>
            <w:r w:rsidRPr="007A3223">
              <w:rPr>
                <w:sz w:val="22"/>
                <w:szCs w:val="22"/>
              </w:rPr>
              <w:t>Permanently discontinue Study regimen.</w:t>
            </w:r>
          </w:p>
          <w:p w14:paraId="331D586F" w14:textId="77777777" w:rsidR="00FD211F" w:rsidRPr="007A3223" w:rsidRDefault="00FD211F" w:rsidP="000232A0">
            <w:pPr>
              <w:pStyle w:val="TableLeft"/>
              <w:keepNext/>
              <w:widowControl w:val="0"/>
              <w:spacing w:before="60"/>
              <w:ind w:left="-118"/>
              <w:jc w:val="center"/>
              <w:rPr>
                <w:sz w:val="22"/>
                <w:szCs w:val="22"/>
              </w:rPr>
            </w:pPr>
          </w:p>
          <w:p w14:paraId="07D664E2" w14:textId="77777777" w:rsidR="00FD211F" w:rsidRPr="007A3223" w:rsidRDefault="00FD211F" w:rsidP="000232A0">
            <w:pPr>
              <w:pStyle w:val="TableLeft"/>
              <w:keepNext/>
              <w:widowControl w:val="0"/>
              <w:spacing w:before="60"/>
              <w:ind w:left="-118"/>
              <w:jc w:val="center"/>
              <w:rPr>
                <w:sz w:val="22"/>
                <w:szCs w:val="22"/>
              </w:rPr>
            </w:pPr>
            <w:r w:rsidRPr="007A3223">
              <w:t>Note:  For Grade 3 and above asymptomatic amylase or lipase levels hold study drug/regimen and if complete work up shows no evidence of pancreatitis, may continue or resume study drug/regimen</w:t>
            </w:r>
          </w:p>
        </w:tc>
        <w:tc>
          <w:tcPr>
            <w:tcW w:w="2847" w:type="pct"/>
            <w:vMerge/>
            <w:tcBorders>
              <w:left w:val="single" w:sz="6" w:space="0" w:color="000000"/>
              <w:bottom w:val="single" w:sz="4" w:space="0" w:color="auto"/>
              <w:right w:val="single" w:sz="6" w:space="0" w:color="000000"/>
            </w:tcBorders>
            <w:vAlign w:val="center"/>
            <w:hideMark/>
          </w:tcPr>
          <w:p w14:paraId="46E8DB50" w14:textId="77777777" w:rsidR="00FD211F" w:rsidRPr="007A3223" w:rsidRDefault="00FD211F" w:rsidP="00A02E77">
            <w:pPr>
              <w:keepNext/>
              <w:widowControl w:val="0"/>
              <w:spacing w:after="0"/>
              <w:rPr>
                <w:sz w:val="20"/>
                <w:szCs w:val="48"/>
              </w:rPr>
            </w:pPr>
          </w:p>
        </w:tc>
      </w:tr>
      <w:tr w:rsidR="003B36D8" w:rsidRPr="007A3223" w14:paraId="2AE2DE8A" w14:textId="77777777" w:rsidTr="009F04E7">
        <w:trPr>
          <w:cantSplit/>
          <w:trHeight w:val="1120"/>
        </w:trPr>
        <w:tc>
          <w:tcPr>
            <w:tcW w:w="930" w:type="pct"/>
            <w:gridSpan w:val="2"/>
            <w:tcBorders>
              <w:top w:val="single" w:sz="4" w:space="0" w:color="auto"/>
              <w:left w:val="single" w:sz="6" w:space="0" w:color="000000"/>
              <w:bottom w:val="single" w:sz="6" w:space="0" w:color="000000"/>
              <w:right w:val="nil"/>
            </w:tcBorders>
          </w:tcPr>
          <w:p w14:paraId="1DEC670F" w14:textId="77777777" w:rsidR="003B36D8" w:rsidRPr="007A3223" w:rsidRDefault="003B36D8" w:rsidP="008F00A5">
            <w:pPr>
              <w:pStyle w:val="TableCenter"/>
              <w:keepNext/>
              <w:widowControl w:val="0"/>
              <w:spacing w:before="60"/>
              <w:rPr>
                <w:sz w:val="22"/>
                <w:szCs w:val="22"/>
              </w:rPr>
            </w:pPr>
          </w:p>
        </w:tc>
        <w:tc>
          <w:tcPr>
            <w:tcW w:w="4070" w:type="pct"/>
            <w:gridSpan w:val="2"/>
            <w:tcBorders>
              <w:top w:val="single" w:sz="4" w:space="0" w:color="auto"/>
              <w:left w:val="nil"/>
              <w:bottom w:val="single" w:sz="6" w:space="0" w:color="000000"/>
              <w:right w:val="single" w:sz="6" w:space="0" w:color="000000"/>
            </w:tcBorders>
          </w:tcPr>
          <w:p w14:paraId="113A6BB7" w14:textId="77777777" w:rsidR="00D12AF7" w:rsidRPr="007A3223" w:rsidRDefault="00D12AF7" w:rsidP="00A02E77">
            <w:pPr>
              <w:keepNext/>
              <w:widowControl w:val="0"/>
              <w:spacing w:after="0"/>
              <w:rPr>
                <w:sz w:val="20"/>
                <w:szCs w:val="48"/>
              </w:rPr>
            </w:pPr>
            <w:r w:rsidRPr="007A3223">
              <w:rPr>
                <w:sz w:val="20"/>
                <w:szCs w:val="48"/>
              </w:rPr>
              <w:t>Note: In addition to the criteria for permanent discontinuation of study drug/regimen based on CTC grade/severity (table below), permanently discontinue study drug/study regimen for the following conditions:</w:t>
            </w:r>
          </w:p>
          <w:p w14:paraId="094306FA" w14:textId="77777777" w:rsidR="003B36D8" w:rsidRPr="007A3223" w:rsidRDefault="00D12AF7" w:rsidP="00FB66BA">
            <w:pPr>
              <w:pStyle w:val="ListParagraph"/>
              <w:keepNext/>
              <w:widowControl w:val="0"/>
              <w:numPr>
                <w:ilvl w:val="0"/>
                <w:numId w:val="49"/>
              </w:numPr>
              <w:rPr>
                <w:sz w:val="20"/>
                <w:szCs w:val="48"/>
              </w:rPr>
            </w:pPr>
            <w:r w:rsidRPr="007A3223">
              <w:rPr>
                <w:sz w:val="20"/>
                <w:szCs w:val="48"/>
              </w:rPr>
              <w:t xml:space="preserve">Inability to reduce corticorsteroid to a dose of </w:t>
            </w:r>
            <w:r w:rsidRPr="007A3223">
              <w:rPr>
                <w:rFonts w:hint="eastAsia"/>
                <w:sz w:val="20"/>
                <w:szCs w:val="48"/>
              </w:rPr>
              <w:t>≤</w:t>
            </w:r>
            <w:r w:rsidRPr="007A3223">
              <w:rPr>
                <w:sz w:val="20"/>
                <w:szCs w:val="48"/>
              </w:rPr>
              <w:t>10 mg of prednisone per day (or equivalent) within 12 weeks after last dose of study drug/regimen</w:t>
            </w:r>
          </w:p>
          <w:p w14:paraId="6B6F60D6" w14:textId="77777777" w:rsidR="00D12AF7" w:rsidRPr="007A3223" w:rsidRDefault="00D12AF7" w:rsidP="00FB66BA">
            <w:pPr>
              <w:pStyle w:val="ListParagraph"/>
              <w:keepNext/>
              <w:widowControl w:val="0"/>
              <w:numPr>
                <w:ilvl w:val="0"/>
                <w:numId w:val="49"/>
              </w:numPr>
              <w:rPr>
                <w:sz w:val="20"/>
                <w:szCs w:val="48"/>
              </w:rPr>
            </w:pPr>
            <w:r w:rsidRPr="007A3223">
              <w:rPr>
                <w:sz w:val="20"/>
                <w:szCs w:val="48"/>
              </w:rPr>
              <w:t>Recurrence of a previously experienced Grade 3 treatment-related AE following resumption of dosing.</w:t>
            </w:r>
          </w:p>
        </w:tc>
      </w:tr>
    </w:tbl>
    <w:p w14:paraId="5C802414" w14:textId="77777777" w:rsidR="007C16DA" w:rsidRPr="007A3223" w:rsidRDefault="007C16DA" w:rsidP="00880CE8">
      <w:pPr>
        <w:pStyle w:val="ListParagraph"/>
        <w:ind w:left="360" w:hanging="360"/>
      </w:pPr>
    </w:p>
    <w:tbl>
      <w:tblPr>
        <w:tblW w:w="5000" w:type="pct"/>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071"/>
        <w:gridCol w:w="1981"/>
        <w:gridCol w:w="6292"/>
      </w:tblGrid>
      <w:tr w:rsidR="001F0F0F" w:rsidRPr="007A3223" w14:paraId="257A4EB3" w14:textId="77777777" w:rsidTr="008E0B5C">
        <w:trPr>
          <w:cantSplit/>
          <w:trHeight w:val="222"/>
          <w:tblHeader/>
        </w:trPr>
        <w:tc>
          <w:tcPr>
            <w:tcW w:w="573" w:type="pct"/>
            <w:tcBorders>
              <w:top w:val="single" w:sz="6" w:space="0" w:color="000000"/>
              <w:left w:val="single" w:sz="6" w:space="0" w:color="000000"/>
              <w:bottom w:val="single" w:sz="4" w:space="0" w:color="auto"/>
              <w:right w:val="nil"/>
            </w:tcBorders>
          </w:tcPr>
          <w:p w14:paraId="3AF50C33" w14:textId="77777777" w:rsidR="00F5593D" w:rsidRPr="007A3223" w:rsidRDefault="00F5593D" w:rsidP="000919D4">
            <w:pPr>
              <w:pStyle w:val="TableCenter"/>
              <w:keepNext/>
              <w:widowControl w:val="0"/>
              <w:spacing w:before="60"/>
              <w:ind w:firstLine="1530"/>
            </w:pPr>
          </w:p>
        </w:tc>
        <w:tc>
          <w:tcPr>
            <w:tcW w:w="4427" w:type="pct"/>
            <w:gridSpan w:val="2"/>
            <w:tcBorders>
              <w:top w:val="single" w:sz="6" w:space="0" w:color="000000"/>
              <w:left w:val="nil"/>
              <w:bottom w:val="single" w:sz="4" w:space="0" w:color="auto"/>
              <w:right w:val="single" w:sz="6" w:space="0" w:color="000000"/>
            </w:tcBorders>
            <w:vAlign w:val="center"/>
          </w:tcPr>
          <w:p w14:paraId="65E1E0CF" w14:textId="32AA972C" w:rsidR="00F5593D" w:rsidRPr="00F33908" w:rsidRDefault="00800A5E" w:rsidP="00403449">
            <w:pPr>
              <w:pStyle w:val="Caption"/>
              <w:rPr>
                <w:sz w:val="22"/>
                <w:szCs w:val="22"/>
              </w:rPr>
            </w:pPr>
            <w:bookmarkStart w:id="198" w:name="_Ref408927786"/>
            <w:bookmarkStart w:id="199" w:name="_Toc82444452"/>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18</w:t>
            </w:r>
            <w:r w:rsidR="00F82420" w:rsidRPr="007A3223">
              <w:rPr>
                <w:noProof/>
              </w:rPr>
              <w:fldChar w:fldCharType="end"/>
            </w:r>
            <w:bookmarkEnd w:id="198"/>
            <w:r w:rsidR="00F5593D" w:rsidRPr="007A3223">
              <w:rPr>
                <w:b w:val="0"/>
                <w:sz w:val="22"/>
                <w:szCs w:val="22"/>
              </w:rPr>
              <w:t>. Pneumonitis/Interstitial Lung Disease</w:t>
            </w:r>
            <w:r w:rsidR="00D632EC" w:rsidRPr="007A3223">
              <w:rPr>
                <w:b w:val="0"/>
                <w:sz w:val="22"/>
                <w:szCs w:val="22"/>
              </w:rPr>
              <w:t xml:space="preserve"> (ILD)</w:t>
            </w:r>
            <w:bookmarkEnd w:id="199"/>
          </w:p>
        </w:tc>
      </w:tr>
      <w:tr w:rsidR="001F0F0F" w:rsidRPr="007A3223" w14:paraId="280E9FFC" w14:textId="77777777" w:rsidTr="00355943">
        <w:trPr>
          <w:cantSplit/>
          <w:trHeight w:val="364"/>
          <w:tblHeader/>
        </w:trPr>
        <w:tc>
          <w:tcPr>
            <w:tcW w:w="573" w:type="pct"/>
            <w:tcBorders>
              <w:top w:val="single" w:sz="4" w:space="0" w:color="auto"/>
              <w:left w:val="single" w:sz="6" w:space="0" w:color="000000"/>
              <w:bottom w:val="single" w:sz="4" w:space="0" w:color="auto"/>
              <w:right w:val="nil"/>
            </w:tcBorders>
            <w:shd w:val="clear" w:color="auto" w:fill="BFBFBF" w:themeFill="background1" w:themeFillShade="BF"/>
          </w:tcPr>
          <w:p w14:paraId="6029F946" w14:textId="77777777" w:rsidR="00F5593D" w:rsidRPr="007A3223" w:rsidRDefault="00F5593D" w:rsidP="000919D4">
            <w:pPr>
              <w:pStyle w:val="TableCenter"/>
              <w:keepNext/>
              <w:widowControl w:val="0"/>
              <w:spacing w:before="60"/>
            </w:pPr>
          </w:p>
        </w:tc>
        <w:tc>
          <w:tcPr>
            <w:tcW w:w="1060" w:type="pct"/>
            <w:tcBorders>
              <w:top w:val="single" w:sz="4" w:space="0" w:color="auto"/>
              <w:left w:val="nil"/>
              <w:bottom w:val="single" w:sz="4" w:space="0" w:color="auto"/>
              <w:right w:val="single" w:sz="6" w:space="0" w:color="000000"/>
            </w:tcBorders>
            <w:shd w:val="clear" w:color="auto" w:fill="BFBFBF" w:themeFill="background1" w:themeFillShade="BF"/>
            <w:vAlign w:val="center"/>
          </w:tcPr>
          <w:p w14:paraId="454CE0E0" w14:textId="77777777" w:rsidR="00F5593D" w:rsidRPr="007A3223" w:rsidRDefault="00F5593D" w:rsidP="008E0B5C">
            <w:pPr>
              <w:pStyle w:val="TableLeft"/>
              <w:widowControl w:val="0"/>
              <w:spacing w:before="60"/>
              <w:rPr>
                <w:b/>
                <w:sz w:val="22"/>
                <w:szCs w:val="22"/>
              </w:rPr>
            </w:pPr>
            <w:r w:rsidRPr="007A3223">
              <w:rPr>
                <w:b/>
                <w:sz w:val="22"/>
                <w:szCs w:val="22"/>
              </w:rPr>
              <w:t>Dose Modifications</w:t>
            </w:r>
          </w:p>
        </w:tc>
        <w:tc>
          <w:tcPr>
            <w:tcW w:w="3367" w:type="pct"/>
            <w:tcBorders>
              <w:top w:val="single" w:sz="4" w:space="0" w:color="auto"/>
              <w:left w:val="single" w:sz="6" w:space="0" w:color="000000"/>
              <w:bottom w:val="single" w:sz="4" w:space="0" w:color="auto"/>
              <w:right w:val="single" w:sz="6" w:space="0" w:color="000000"/>
            </w:tcBorders>
            <w:shd w:val="clear" w:color="auto" w:fill="BFBFBF" w:themeFill="background1" w:themeFillShade="BF"/>
            <w:vAlign w:val="center"/>
          </w:tcPr>
          <w:p w14:paraId="315BC12D" w14:textId="77777777" w:rsidR="00F5593D" w:rsidRPr="007A3223" w:rsidRDefault="00F5593D" w:rsidP="000919D4">
            <w:pPr>
              <w:pStyle w:val="ListBulletSmall"/>
              <w:keepNext/>
              <w:widowControl w:val="0"/>
              <w:spacing w:before="60"/>
              <w:jc w:val="center"/>
              <w:rPr>
                <w:b/>
                <w:sz w:val="22"/>
                <w:szCs w:val="22"/>
              </w:rPr>
            </w:pPr>
            <w:r w:rsidRPr="007A3223">
              <w:rPr>
                <w:b/>
                <w:sz w:val="22"/>
                <w:szCs w:val="22"/>
              </w:rPr>
              <w:t>Toxicity Management</w:t>
            </w:r>
          </w:p>
        </w:tc>
      </w:tr>
      <w:tr w:rsidR="001F0F0F" w:rsidRPr="007A3223" w14:paraId="0D9CFBEC" w14:textId="77777777" w:rsidTr="00355943">
        <w:trPr>
          <w:cantSplit/>
          <w:trHeight w:val="2003"/>
        </w:trPr>
        <w:tc>
          <w:tcPr>
            <w:tcW w:w="573" w:type="pct"/>
            <w:tcBorders>
              <w:top w:val="single" w:sz="6" w:space="0" w:color="000000"/>
              <w:left w:val="single" w:sz="6" w:space="0" w:color="000000"/>
              <w:bottom w:val="single" w:sz="4" w:space="0" w:color="auto"/>
              <w:right w:val="nil"/>
            </w:tcBorders>
          </w:tcPr>
          <w:p w14:paraId="541C48B5" w14:textId="77777777" w:rsidR="00F5593D" w:rsidRPr="007A3223" w:rsidRDefault="00F5593D" w:rsidP="008E0B5C">
            <w:pPr>
              <w:pStyle w:val="TableCenter"/>
              <w:widowControl w:val="0"/>
              <w:spacing w:before="60"/>
            </w:pPr>
          </w:p>
        </w:tc>
        <w:tc>
          <w:tcPr>
            <w:tcW w:w="1060" w:type="pct"/>
            <w:tcBorders>
              <w:top w:val="single" w:sz="6" w:space="0" w:color="000000"/>
              <w:left w:val="nil"/>
              <w:bottom w:val="single" w:sz="4" w:space="0" w:color="auto"/>
              <w:right w:val="single" w:sz="6" w:space="0" w:color="000000"/>
            </w:tcBorders>
          </w:tcPr>
          <w:p w14:paraId="5C1E3081" w14:textId="77777777" w:rsidR="00F5593D" w:rsidRPr="007A3223" w:rsidRDefault="00F5593D" w:rsidP="008E0B5C">
            <w:pPr>
              <w:pStyle w:val="TableLeft"/>
              <w:widowControl w:val="0"/>
              <w:spacing w:before="60"/>
              <w:rPr>
                <w:sz w:val="22"/>
                <w:szCs w:val="22"/>
              </w:rPr>
            </w:pPr>
            <w:r w:rsidRPr="007A3223">
              <w:rPr>
                <w:sz w:val="22"/>
                <w:szCs w:val="22"/>
              </w:rPr>
              <w:t>Any Grade</w:t>
            </w:r>
          </w:p>
        </w:tc>
        <w:tc>
          <w:tcPr>
            <w:tcW w:w="3367" w:type="pct"/>
            <w:tcBorders>
              <w:top w:val="single" w:sz="6" w:space="0" w:color="000000"/>
              <w:left w:val="single" w:sz="6" w:space="0" w:color="000000"/>
              <w:bottom w:val="single" w:sz="4" w:space="0" w:color="auto"/>
              <w:right w:val="single" w:sz="6" w:space="0" w:color="000000"/>
            </w:tcBorders>
          </w:tcPr>
          <w:p w14:paraId="0D379C28" w14:textId="77777777" w:rsidR="00F5593D" w:rsidRPr="007A3223" w:rsidRDefault="00D632EC" w:rsidP="000919D4">
            <w:pPr>
              <w:pStyle w:val="ListBulletSmall"/>
              <w:keepNext/>
              <w:widowControl w:val="0"/>
              <w:tabs>
                <w:tab w:val="clear" w:pos="360"/>
              </w:tabs>
              <w:spacing w:before="60"/>
              <w:ind w:left="90" w:hanging="90"/>
              <w:rPr>
                <w:sz w:val="22"/>
                <w:szCs w:val="22"/>
              </w:rPr>
            </w:pPr>
            <w:r w:rsidRPr="007A3223">
              <w:rPr>
                <w:sz w:val="22"/>
                <w:szCs w:val="22"/>
              </w:rPr>
              <w:t xml:space="preserve">- </w:t>
            </w:r>
            <w:r w:rsidR="00F5593D" w:rsidRPr="007A3223">
              <w:rPr>
                <w:sz w:val="22"/>
                <w:szCs w:val="22"/>
              </w:rPr>
              <w:t>Monitor patients for signs and symptoms of pneumonitis or ILD</w:t>
            </w:r>
            <w:r w:rsidRPr="007A3223">
              <w:rPr>
                <w:sz w:val="22"/>
                <w:szCs w:val="22"/>
              </w:rPr>
              <w:t xml:space="preserve"> </w:t>
            </w:r>
            <w:r w:rsidR="00F5593D" w:rsidRPr="007A3223">
              <w:rPr>
                <w:sz w:val="22"/>
                <w:szCs w:val="22"/>
              </w:rPr>
              <w:t>(new onset or worsening shortness of breath or cough).  Patients should be evaluated with imaging and</w:t>
            </w:r>
            <w:r w:rsidR="00F46B23" w:rsidRPr="007A3223">
              <w:rPr>
                <w:sz w:val="22"/>
                <w:szCs w:val="22"/>
              </w:rPr>
              <w:t>/or</w:t>
            </w:r>
            <w:r w:rsidR="00F5593D" w:rsidRPr="007A3223">
              <w:rPr>
                <w:sz w:val="22"/>
                <w:szCs w:val="22"/>
              </w:rPr>
              <w:t xml:space="preserve"> pulmonary function tests including other diagnostic procedures as described below</w:t>
            </w:r>
            <w:r w:rsidRPr="007A3223">
              <w:rPr>
                <w:sz w:val="22"/>
                <w:szCs w:val="22"/>
              </w:rPr>
              <w:t>.</w:t>
            </w:r>
          </w:p>
          <w:p w14:paraId="296E7576" w14:textId="77777777" w:rsidR="00F5593D" w:rsidRPr="007A3223" w:rsidRDefault="00D632EC" w:rsidP="000919D4">
            <w:pPr>
              <w:pStyle w:val="ListBulletSmall"/>
              <w:keepNext/>
              <w:widowControl w:val="0"/>
              <w:tabs>
                <w:tab w:val="clear" w:pos="360"/>
              </w:tabs>
              <w:spacing w:before="60"/>
              <w:ind w:left="90" w:hanging="90"/>
              <w:rPr>
                <w:sz w:val="22"/>
                <w:szCs w:val="22"/>
              </w:rPr>
            </w:pPr>
            <w:r w:rsidRPr="007A3223">
              <w:rPr>
                <w:sz w:val="22"/>
                <w:szCs w:val="22"/>
              </w:rPr>
              <w:t xml:space="preserve">- </w:t>
            </w:r>
            <w:r w:rsidR="00F5593D" w:rsidRPr="007A3223">
              <w:rPr>
                <w:sz w:val="22"/>
                <w:szCs w:val="22"/>
              </w:rPr>
              <w:t>Initial work-up may include clinical evaluation, monitoring of oxygenation via pulse oximetry (resting and exertion), laboratory work-up and high-resolution CT scan</w:t>
            </w:r>
            <w:r w:rsidRPr="007A3223">
              <w:rPr>
                <w:sz w:val="22"/>
                <w:szCs w:val="22"/>
              </w:rPr>
              <w:t>.</w:t>
            </w:r>
          </w:p>
        </w:tc>
      </w:tr>
      <w:tr w:rsidR="001F0F0F" w:rsidRPr="007A3223" w14:paraId="682AEE80" w14:textId="77777777" w:rsidTr="00355943">
        <w:trPr>
          <w:cantSplit/>
          <w:trHeight w:val="1691"/>
        </w:trPr>
        <w:tc>
          <w:tcPr>
            <w:tcW w:w="573" w:type="pct"/>
            <w:tcBorders>
              <w:top w:val="single" w:sz="6" w:space="0" w:color="000000"/>
              <w:left w:val="single" w:sz="6" w:space="0" w:color="000000"/>
              <w:bottom w:val="single" w:sz="4" w:space="0" w:color="auto"/>
              <w:right w:val="single" w:sz="4" w:space="0" w:color="808080" w:themeColor="background1" w:themeShade="80"/>
            </w:tcBorders>
            <w:hideMark/>
          </w:tcPr>
          <w:p w14:paraId="5A794E38" w14:textId="77777777" w:rsidR="00F5593D" w:rsidRPr="007A3223" w:rsidRDefault="00F5593D" w:rsidP="008E0B5C">
            <w:pPr>
              <w:pStyle w:val="TableCenter"/>
              <w:widowControl w:val="0"/>
              <w:spacing w:before="60"/>
              <w:rPr>
                <w:b/>
                <w:sz w:val="22"/>
                <w:szCs w:val="22"/>
              </w:rPr>
            </w:pPr>
            <w:r w:rsidRPr="007A3223">
              <w:rPr>
                <w:b/>
                <w:sz w:val="22"/>
                <w:szCs w:val="22"/>
              </w:rPr>
              <w:t>Grade 1</w:t>
            </w:r>
          </w:p>
        </w:tc>
        <w:tc>
          <w:tcPr>
            <w:tcW w:w="1060" w:type="pct"/>
            <w:tcBorders>
              <w:top w:val="single" w:sz="6" w:space="0" w:color="000000"/>
              <w:left w:val="single" w:sz="4" w:space="0" w:color="808080" w:themeColor="background1" w:themeShade="80"/>
              <w:bottom w:val="single" w:sz="4" w:space="0" w:color="auto"/>
              <w:right w:val="single" w:sz="6" w:space="0" w:color="000000"/>
            </w:tcBorders>
            <w:hideMark/>
          </w:tcPr>
          <w:p w14:paraId="7ABAB11A" w14:textId="77777777" w:rsidR="00F5593D" w:rsidRPr="007A3223" w:rsidRDefault="00F5593D" w:rsidP="000919D4">
            <w:pPr>
              <w:pStyle w:val="TableLeft"/>
              <w:keepNext/>
              <w:widowControl w:val="0"/>
              <w:spacing w:before="60"/>
              <w:rPr>
                <w:sz w:val="22"/>
                <w:szCs w:val="22"/>
              </w:rPr>
            </w:pPr>
            <w:r w:rsidRPr="007A3223">
              <w:rPr>
                <w:sz w:val="22"/>
                <w:szCs w:val="22"/>
              </w:rPr>
              <w:t>No dose modification required. However, consider holding Study regimen dosing as clinically appropriate and during diagnostic work-up for other etiologies</w:t>
            </w:r>
          </w:p>
        </w:tc>
        <w:tc>
          <w:tcPr>
            <w:tcW w:w="3367" w:type="pct"/>
            <w:tcBorders>
              <w:top w:val="single" w:sz="6" w:space="0" w:color="000000"/>
              <w:left w:val="single" w:sz="6" w:space="0" w:color="000000"/>
              <w:bottom w:val="single" w:sz="4" w:space="0" w:color="auto"/>
              <w:right w:val="single" w:sz="6" w:space="0" w:color="000000"/>
            </w:tcBorders>
            <w:hideMark/>
          </w:tcPr>
          <w:p w14:paraId="67292ED3" w14:textId="77777777" w:rsidR="00F5593D" w:rsidRPr="007A3223" w:rsidRDefault="00F5593D" w:rsidP="000919D4">
            <w:pPr>
              <w:pStyle w:val="ListBulletSmall"/>
              <w:keepNext/>
              <w:widowControl w:val="0"/>
              <w:spacing w:before="60"/>
              <w:rPr>
                <w:sz w:val="22"/>
                <w:szCs w:val="22"/>
              </w:rPr>
            </w:pPr>
            <w:r w:rsidRPr="007A3223">
              <w:rPr>
                <w:sz w:val="22"/>
                <w:szCs w:val="22"/>
              </w:rPr>
              <w:t>For Grade 1 (Radiographic Changes Only)</w:t>
            </w:r>
          </w:p>
          <w:p w14:paraId="31F64293" w14:textId="77777777" w:rsidR="00F5593D" w:rsidRPr="007A3223" w:rsidRDefault="000D7746" w:rsidP="00956FB0">
            <w:pPr>
              <w:pStyle w:val="ListBulletSmall"/>
              <w:keepNext/>
              <w:widowControl w:val="0"/>
              <w:tabs>
                <w:tab w:val="clear" w:pos="360"/>
                <w:tab w:val="num" w:pos="22"/>
                <w:tab w:val="left" w:pos="3870"/>
              </w:tabs>
              <w:spacing w:before="60"/>
              <w:ind w:left="22" w:hanging="22"/>
              <w:rPr>
                <w:sz w:val="22"/>
                <w:szCs w:val="22"/>
              </w:rPr>
            </w:pPr>
            <w:r w:rsidRPr="007A3223">
              <w:rPr>
                <w:sz w:val="22"/>
                <w:szCs w:val="22"/>
              </w:rPr>
              <w:t xml:space="preserve">-  </w:t>
            </w:r>
            <w:r w:rsidR="00F5593D" w:rsidRPr="007A3223">
              <w:rPr>
                <w:sz w:val="22"/>
                <w:szCs w:val="22"/>
              </w:rPr>
              <w:t>Monitor and closely follow up in 2-4 days for clinical symptoms, pulse oximetry (resting and exertion) and laboratory work-up and then as clinically indicated</w:t>
            </w:r>
          </w:p>
          <w:p w14:paraId="4F64C6C9" w14:textId="77777777" w:rsidR="00F5593D" w:rsidRPr="007A3223" w:rsidRDefault="000D7746" w:rsidP="000919D4">
            <w:pPr>
              <w:pStyle w:val="ListBulletSmall"/>
              <w:keepNext/>
              <w:widowControl w:val="0"/>
              <w:tabs>
                <w:tab w:val="left" w:pos="3870"/>
              </w:tabs>
              <w:spacing w:before="60"/>
              <w:ind w:left="0" w:firstLine="0"/>
              <w:rPr>
                <w:sz w:val="22"/>
                <w:szCs w:val="22"/>
              </w:rPr>
            </w:pPr>
            <w:r w:rsidRPr="007A3223">
              <w:rPr>
                <w:sz w:val="22"/>
                <w:szCs w:val="22"/>
              </w:rPr>
              <w:t xml:space="preserve">-  </w:t>
            </w:r>
            <w:r w:rsidR="00F5593D" w:rsidRPr="007A3223">
              <w:rPr>
                <w:sz w:val="22"/>
                <w:szCs w:val="22"/>
              </w:rPr>
              <w:t xml:space="preserve">Consider </w:t>
            </w:r>
            <w:r w:rsidR="00183CCB" w:rsidRPr="007A3223">
              <w:rPr>
                <w:sz w:val="22"/>
                <w:szCs w:val="22"/>
              </w:rPr>
              <w:t>p</w:t>
            </w:r>
            <w:r w:rsidR="00F5593D" w:rsidRPr="007A3223">
              <w:rPr>
                <w:sz w:val="22"/>
                <w:szCs w:val="22"/>
              </w:rPr>
              <w:t xml:space="preserve">ulmonary and </w:t>
            </w:r>
            <w:r w:rsidR="00183CCB" w:rsidRPr="007A3223">
              <w:rPr>
                <w:sz w:val="22"/>
                <w:szCs w:val="22"/>
              </w:rPr>
              <w:t>i</w:t>
            </w:r>
            <w:r w:rsidR="00F5593D" w:rsidRPr="007A3223">
              <w:rPr>
                <w:sz w:val="22"/>
                <w:szCs w:val="22"/>
              </w:rPr>
              <w:t xml:space="preserve">nfectious </w:t>
            </w:r>
            <w:r w:rsidR="00183CCB" w:rsidRPr="007A3223">
              <w:rPr>
                <w:sz w:val="22"/>
                <w:szCs w:val="22"/>
              </w:rPr>
              <w:t>d</w:t>
            </w:r>
            <w:r w:rsidR="00F5593D" w:rsidRPr="007A3223">
              <w:rPr>
                <w:sz w:val="22"/>
                <w:szCs w:val="22"/>
              </w:rPr>
              <w:t>isease consul</w:t>
            </w:r>
            <w:r w:rsidRPr="007A3223">
              <w:rPr>
                <w:sz w:val="22"/>
                <w:szCs w:val="22"/>
              </w:rPr>
              <w:t>t</w:t>
            </w:r>
            <w:r w:rsidR="006A7009" w:rsidRPr="007A3223">
              <w:rPr>
                <w:sz w:val="22"/>
                <w:szCs w:val="22"/>
              </w:rPr>
              <w:t>.</w:t>
            </w:r>
          </w:p>
        </w:tc>
      </w:tr>
      <w:tr w:rsidR="001F0F0F" w:rsidRPr="007A3223" w14:paraId="07823208" w14:textId="77777777" w:rsidTr="002D1740">
        <w:trPr>
          <w:cantSplit/>
          <w:trHeight w:val="3725"/>
        </w:trPr>
        <w:tc>
          <w:tcPr>
            <w:tcW w:w="573" w:type="pct"/>
            <w:tcBorders>
              <w:top w:val="single" w:sz="4" w:space="0" w:color="auto"/>
              <w:left w:val="single" w:sz="6" w:space="0" w:color="000000"/>
              <w:bottom w:val="single" w:sz="6" w:space="0" w:color="000000"/>
              <w:right w:val="single" w:sz="4" w:space="0" w:color="808080" w:themeColor="background1" w:themeShade="80"/>
            </w:tcBorders>
            <w:hideMark/>
          </w:tcPr>
          <w:p w14:paraId="520C8A67" w14:textId="77777777" w:rsidR="00F5593D" w:rsidRPr="007A3223" w:rsidRDefault="00F5593D" w:rsidP="008E0B5C">
            <w:pPr>
              <w:pStyle w:val="TableCenter"/>
              <w:widowControl w:val="0"/>
              <w:spacing w:before="60"/>
              <w:rPr>
                <w:b/>
                <w:sz w:val="22"/>
                <w:szCs w:val="22"/>
              </w:rPr>
            </w:pPr>
            <w:r w:rsidRPr="007A3223">
              <w:rPr>
                <w:b/>
                <w:sz w:val="22"/>
                <w:szCs w:val="22"/>
              </w:rPr>
              <w:lastRenderedPageBreak/>
              <w:t>Grade 2</w:t>
            </w:r>
          </w:p>
        </w:tc>
        <w:tc>
          <w:tcPr>
            <w:tcW w:w="1060" w:type="pct"/>
            <w:tcBorders>
              <w:top w:val="single" w:sz="4" w:space="0" w:color="auto"/>
              <w:left w:val="single" w:sz="4" w:space="0" w:color="808080" w:themeColor="background1" w:themeShade="80"/>
              <w:bottom w:val="single" w:sz="6" w:space="0" w:color="000000"/>
              <w:right w:val="single" w:sz="6" w:space="0" w:color="000000"/>
            </w:tcBorders>
            <w:hideMark/>
          </w:tcPr>
          <w:p w14:paraId="46266C75" w14:textId="77777777" w:rsidR="00F5593D" w:rsidRPr="007A3223" w:rsidRDefault="00F5593D" w:rsidP="000919D4">
            <w:pPr>
              <w:pStyle w:val="ListBulletSmall"/>
              <w:keepNext/>
              <w:widowControl w:val="0"/>
              <w:tabs>
                <w:tab w:val="num" w:pos="252"/>
              </w:tabs>
              <w:spacing w:before="60"/>
              <w:ind w:left="259" w:hanging="259"/>
              <w:rPr>
                <w:sz w:val="22"/>
                <w:szCs w:val="22"/>
              </w:rPr>
            </w:pPr>
            <w:r w:rsidRPr="007A3223">
              <w:rPr>
                <w:sz w:val="22"/>
                <w:szCs w:val="22"/>
              </w:rPr>
              <w:t xml:space="preserve"> Hold Study regimen dose until </w:t>
            </w:r>
            <w:r w:rsidR="00183CCB" w:rsidRPr="007A3223">
              <w:rPr>
                <w:sz w:val="22"/>
                <w:szCs w:val="22"/>
              </w:rPr>
              <w:t>g</w:t>
            </w:r>
            <w:r w:rsidRPr="007A3223">
              <w:rPr>
                <w:sz w:val="22"/>
                <w:szCs w:val="22"/>
              </w:rPr>
              <w:t xml:space="preserve">rade 2 resolution to </w:t>
            </w:r>
            <w:r w:rsidR="00183CCB" w:rsidRPr="007A3223">
              <w:rPr>
                <w:sz w:val="22"/>
                <w:szCs w:val="22"/>
              </w:rPr>
              <w:t>g</w:t>
            </w:r>
            <w:r w:rsidRPr="007A3223">
              <w:rPr>
                <w:sz w:val="22"/>
                <w:szCs w:val="22"/>
              </w:rPr>
              <w:t>rade 1</w:t>
            </w:r>
            <w:r w:rsidR="00017420" w:rsidRPr="007A3223">
              <w:rPr>
                <w:sz w:val="22"/>
                <w:szCs w:val="22"/>
              </w:rPr>
              <w:t xml:space="preserve"> or better</w:t>
            </w:r>
          </w:p>
          <w:p w14:paraId="4B1B9294" w14:textId="77777777" w:rsidR="00F5593D" w:rsidRPr="007A3223" w:rsidRDefault="00F5593D" w:rsidP="000919D4">
            <w:pPr>
              <w:pStyle w:val="ListBulletSmall"/>
              <w:keepNext/>
              <w:widowControl w:val="0"/>
              <w:tabs>
                <w:tab w:val="num" w:pos="252"/>
              </w:tabs>
              <w:spacing w:before="60"/>
              <w:ind w:left="259" w:hanging="259"/>
              <w:rPr>
                <w:sz w:val="22"/>
                <w:szCs w:val="22"/>
              </w:rPr>
            </w:pPr>
            <w:r w:rsidRPr="007A3223">
              <w:rPr>
                <w:sz w:val="22"/>
                <w:szCs w:val="22"/>
              </w:rPr>
              <w:t>•</w:t>
            </w:r>
            <w:r w:rsidRPr="007A3223">
              <w:rPr>
                <w:sz w:val="22"/>
                <w:szCs w:val="22"/>
              </w:rPr>
              <w:tab/>
              <w:t xml:space="preserve">If worsens then treat as </w:t>
            </w:r>
            <w:r w:rsidR="00183CCB" w:rsidRPr="007A3223">
              <w:rPr>
                <w:sz w:val="22"/>
                <w:szCs w:val="22"/>
              </w:rPr>
              <w:t>g</w:t>
            </w:r>
            <w:r w:rsidR="008B601D" w:rsidRPr="007A3223">
              <w:rPr>
                <w:sz w:val="22"/>
                <w:szCs w:val="22"/>
              </w:rPr>
              <w:t xml:space="preserve">rade </w:t>
            </w:r>
            <w:r w:rsidRPr="007A3223">
              <w:rPr>
                <w:sz w:val="22"/>
                <w:szCs w:val="22"/>
              </w:rPr>
              <w:t xml:space="preserve">3 or </w:t>
            </w:r>
            <w:r w:rsidR="00183CCB" w:rsidRPr="007A3223">
              <w:rPr>
                <w:sz w:val="22"/>
                <w:szCs w:val="22"/>
              </w:rPr>
              <w:t>g</w:t>
            </w:r>
            <w:r w:rsidR="008B601D" w:rsidRPr="007A3223">
              <w:rPr>
                <w:sz w:val="22"/>
                <w:szCs w:val="22"/>
              </w:rPr>
              <w:t xml:space="preserve">rade </w:t>
            </w:r>
            <w:r w:rsidRPr="007A3223">
              <w:rPr>
                <w:sz w:val="22"/>
                <w:szCs w:val="22"/>
              </w:rPr>
              <w:t>4</w:t>
            </w:r>
          </w:p>
          <w:p w14:paraId="7BD31BF1" w14:textId="77777777" w:rsidR="00F5593D" w:rsidRPr="007A3223" w:rsidRDefault="00F5593D" w:rsidP="000919D4">
            <w:pPr>
              <w:pStyle w:val="ListBulletSmall"/>
              <w:keepNext/>
              <w:widowControl w:val="0"/>
              <w:tabs>
                <w:tab w:val="num" w:pos="252"/>
              </w:tabs>
              <w:spacing w:before="60"/>
              <w:ind w:left="259" w:hanging="259"/>
              <w:rPr>
                <w:sz w:val="22"/>
                <w:szCs w:val="22"/>
              </w:rPr>
            </w:pPr>
            <w:r w:rsidRPr="007A3223">
              <w:rPr>
                <w:sz w:val="22"/>
                <w:szCs w:val="22"/>
              </w:rPr>
              <w:t>•</w:t>
            </w:r>
            <w:r w:rsidRPr="007A3223">
              <w:rPr>
                <w:sz w:val="22"/>
                <w:szCs w:val="22"/>
              </w:rPr>
              <w:tab/>
              <w:t>If improves to baseline then treat at next scheduled treatment date</w:t>
            </w:r>
          </w:p>
        </w:tc>
        <w:tc>
          <w:tcPr>
            <w:tcW w:w="3367" w:type="pct"/>
            <w:tcBorders>
              <w:top w:val="single" w:sz="4" w:space="0" w:color="auto"/>
              <w:left w:val="single" w:sz="6" w:space="0" w:color="000000"/>
              <w:bottom w:val="single" w:sz="6" w:space="0" w:color="000000"/>
              <w:right w:val="single" w:sz="6" w:space="0" w:color="000000"/>
            </w:tcBorders>
            <w:hideMark/>
          </w:tcPr>
          <w:p w14:paraId="6CE3E722" w14:textId="77777777" w:rsidR="00F5593D" w:rsidRPr="007A3223" w:rsidRDefault="00F5593D" w:rsidP="000919D4">
            <w:pPr>
              <w:pStyle w:val="ListBulletSmall"/>
              <w:keepNext/>
              <w:widowControl w:val="0"/>
              <w:spacing w:before="60"/>
              <w:rPr>
                <w:sz w:val="22"/>
                <w:szCs w:val="22"/>
              </w:rPr>
            </w:pPr>
            <w:r w:rsidRPr="007A3223">
              <w:rPr>
                <w:sz w:val="22"/>
                <w:szCs w:val="22"/>
              </w:rPr>
              <w:t>For Grade 2 (Mild to Moderate New Symptoms)</w:t>
            </w:r>
          </w:p>
          <w:p w14:paraId="7E26E37B" w14:textId="77777777" w:rsidR="00F5593D" w:rsidRPr="007A3223" w:rsidRDefault="00017420" w:rsidP="000919D4">
            <w:pPr>
              <w:pStyle w:val="ListBulletSmall2"/>
              <w:keepNext/>
              <w:widowControl w:val="0"/>
              <w:rPr>
                <w:sz w:val="22"/>
                <w:szCs w:val="22"/>
              </w:rPr>
            </w:pPr>
            <w:r w:rsidRPr="007A3223">
              <w:rPr>
                <w:sz w:val="22"/>
                <w:szCs w:val="22"/>
              </w:rPr>
              <w:t xml:space="preserve">-  </w:t>
            </w:r>
            <w:r w:rsidR="00F5593D" w:rsidRPr="007A3223">
              <w:rPr>
                <w:sz w:val="22"/>
                <w:szCs w:val="22"/>
              </w:rPr>
              <w:t>Monitor symptoms daily and consider hospitalization</w:t>
            </w:r>
          </w:p>
          <w:p w14:paraId="34F1E7AF" w14:textId="77777777" w:rsidR="00F5593D" w:rsidRPr="007A3223" w:rsidRDefault="00017420" w:rsidP="000919D4">
            <w:pPr>
              <w:pStyle w:val="ListBulletSmall2"/>
              <w:keepNext/>
              <w:widowControl w:val="0"/>
              <w:rPr>
                <w:sz w:val="22"/>
                <w:szCs w:val="22"/>
              </w:rPr>
            </w:pPr>
            <w:r w:rsidRPr="007A3223">
              <w:rPr>
                <w:sz w:val="22"/>
                <w:szCs w:val="22"/>
              </w:rPr>
              <w:t xml:space="preserve">-  </w:t>
            </w:r>
            <w:r w:rsidR="00F5593D" w:rsidRPr="007A3223">
              <w:rPr>
                <w:sz w:val="22"/>
                <w:szCs w:val="22"/>
              </w:rPr>
              <w:t xml:space="preserve">Discuss with </w:t>
            </w:r>
            <w:r w:rsidR="008B601D" w:rsidRPr="007A3223">
              <w:rPr>
                <w:sz w:val="22"/>
                <w:szCs w:val="22"/>
              </w:rPr>
              <w:t>the PI</w:t>
            </w:r>
            <w:r w:rsidR="00F5593D" w:rsidRPr="007A3223">
              <w:rPr>
                <w:sz w:val="22"/>
                <w:szCs w:val="22"/>
              </w:rPr>
              <w:t xml:space="preserve"> and consider systemic steroids (e.g., prednisone 1-2mg/kg/day or IV equivalent</w:t>
            </w:r>
          </w:p>
          <w:p w14:paraId="3F52041C" w14:textId="77777777" w:rsidR="00F5593D" w:rsidRPr="007A3223" w:rsidRDefault="00017420" w:rsidP="000919D4">
            <w:pPr>
              <w:pStyle w:val="ListBulletSmall2"/>
              <w:keepNext/>
              <w:widowControl w:val="0"/>
              <w:rPr>
                <w:sz w:val="22"/>
                <w:szCs w:val="22"/>
              </w:rPr>
            </w:pPr>
            <w:r w:rsidRPr="007A3223">
              <w:rPr>
                <w:sz w:val="22"/>
                <w:szCs w:val="22"/>
              </w:rPr>
              <w:t xml:space="preserve">-  </w:t>
            </w:r>
            <w:r w:rsidR="00F5593D" w:rsidRPr="007A3223">
              <w:rPr>
                <w:sz w:val="22"/>
                <w:szCs w:val="22"/>
              </w:rPr>
              <w:t>Reimaging as clinically indicated</w:t>
            </w:r>
          </w:p>
          <w:p w14:paraId="4874705A" w14:textId="77777777" w:rsidR="00682656" w:rsidRPr="007A3223" w:rsidRDefault="00017420" w:rsidP="00682656">
            <w:pPr>
              <w:pStyle w:val="TableLeft"/>
              <w:keepNext/>
              <w:widowControl w:val="0"/>
              <w:spacing w:before="60"/>
              <w:rPr>
                <w:sz w:val="22"/>
                <w:szCs w:val="22"/>
              </w:rPr>
            </w:pPr>
            <w:r w:rsidRPr="007A3223">
              <w:rPr>
                <w:sz w:val="22"/>
                <w:szCs w:val="22"/>
              </w:rPr>
              <w:t xml:space="preserve">-  </w:t>
            </w:r>
            <w:r w:rsidR="00682656" w:rsidRPr="007A3223">
              <w:rPr>
                <w:sz w:val="22"/>
                <w:szCs w:val="22"/>
              </w:rPr>
              <w:t xml:space="preserve">If no improvement within 3-5 days, additional workup should be considered and prompt treatment with IV methylprednisolone 2-4mg/kg/day started </w:t>
            </w:r>
          </w:p>
          <w:p w14:paraId="3606FFCB" w14:textId="77777777" w:rsidR="00682656" w:rsidRPr="007A3223" w:rsidRDefault="00682656" w:rsidP="00682656">
            <w:pPr>
              <w:pStyle w:val="TableLeft"/>
              <w:keepNext/>
              <w:widowControl w:val="0"/>
              <w:spacing w:before="60"/>
              <w:rPr>
                <w:sz w:val="22"/>
                <w:szCs w:val="22"/>
              </w:rPr>
            </w:pPr>
            <w:r w:rsidRPr="007A3223">
              <w:rPr>
                <w:sz w:val="22"/>
                <w:szCs w:val="22"/>
              </w:rPr>
              <w:t xml:space="preserve">-  If still no improvement within 3-5 days despite IV methylprednisone at 2-4m4mg/kg/day, promptly start immunosuppressive therapy (infliximab at 5mg/kg every 2 weeks). Caution: Important to rule out sepsis and refer to infliximab label for general guidance before using infliximab </w:t>
            </w:r>
          </w:p>
          <w:p w14:paraId="458FD315" w14:textId="77777777" w:rsidR="00F5593D" w:rsidRPr="007A3223" w:rsidRDefault="00682656" w:rsidP="000919D4">
            <w:pPr>
              <w:pStyle w:val="ListBulletSmall2"/>
              <w:keepNext/>
              <w:widowControl w:val="0"/>
              <w:rPr>
                <w:sz w:val="22"/>
                <w:szCs w:val="22"/>
              </w:rPr>
            </w:pPr>
            <w:r w:rsidRPr="007A3223" w:rsidDel="00682656">
              <w:rPr>
                <w:sz w:val="22"/>
                <w:szCs w:val="22"/>
              </w:rPr>
              <w:t xml:space="preserve"> </w:t>
            </w:r>
            <w:r w:rsidR="00017420" w:rsidRPr="007A3223">
              <w:rPr>
                <w:sz w:val="22"/>
                <w:szCs w:val="22"/>
              </w:rPr>
              <w:t xml:space="preserve">-  </w:t>
            </w:r>
            <w:r w:rsidR="00F5593D" w:rsidRPr="007A3223">
              <w:rPr>
                <w:sz w:val="22"/>
                <w:szCs w:val="22"/>
              </w:rPr>
              <w:t>Once improving, gradually taper steroids over ≥4 weeks and consider prophylactic antibiotics</w:t>
            </w:r>
            <w:r w:rsidR="00681AB7" w:rsidRPr="007A3223">
              <w:rPr>
                <w:sz w:val="22"/>
                <w:szCs w:val="22"/>
              </w:rPr>
              <w:t>, antifungal or anti PCP treatment.</w:t>
            </w:r>
          </w:p>
          <w:p w14:paraId="39A19948" w14:textId="77777777" w:rsidR="008B601D" w:rsidRPr="007A3223" w:rsidRDefault="00017420" w:rsidP="001F422B">
            <w:pPr>
              <w:pStyle w:val="ListBulletSmall2"/>
              <w:keepNext/>
              <w:widowControl w:val="0"/>
            </w:pPr>
            <w:r w:rsidRPr="007A3223">
              <w:rPr>
                <w:sz w:val="22"/>
                <w:szCs w:val="22"/>
              </w:rPr>
              <w:t xml:space="preserve">-  </w:t>
            </w:r>
            <w:r w:rsidR="00F5593D" w:rsidRPr="007A3223">
              <w:rPr>
                <w:sz w:val="22"/>
                <w:szCs w:val="22"/>
              </w:rPr>
              <w:t>Consider Pulmonary and Infectious Disease consult</w:t>
            </w:r>
            <w:r w:rsidR="00735BAD" w:rsidRPr="007A3223" w:rsidDel="00735BAD">
              <w:t xml:space="preserve"> </w:t>
            </w:r>
          </w:p>
        </w:tc>
      </w:tr>
      <w:tr w:rsidR="001F0F0F" w:rsidRPr="007A3223" w14:paraId="10F1C303" w14:textId="77777777" w:rsidTr="00355943">
        <w:trPr>
          <w:cantSplit/>
          <w:trHeight w:val="3221"/>
        </w:trPr>
        <w:tc>
          <w:tcPr>
            <w:tcW w:w="573" w:type="pct"/>
            <w:tcBorders>
              <w:top w:val="single" w:sz="6" w:space="0" w:color="000000"/>
              <w:left w:val="single" w:sz="6" w:space="0" w:color="000000"/>
              <w:bottom w:val="single" w:sz="4" w:space="0" w:color="auto"/>
              <w:right w:val="single" w:sz="4" w:space="0" w:color="808080" w:themeColor="background1" w:themeShade="80"/>
            </w:tcBorders>
            <w:hideMark/>
          </w:tcPr>
          <w:p w14:paraId="28C60C56" w14:textId="77777777" w:rsidR="00F5593D" w:rsidRPr="007A3223" w:rsidRDefault="00F5593D" w:rsidP="008E0B5C">
            <w:pPr>
              <w:pStyle w:val="TableCenter"/>
              <w:widowControl w:val="0"/>
              <w:spacing w:before="60"/>
              <w:rPr>
                <w:b/>
                <w:sz w:val="22"/>
                <w:szCs w:val="22"/>
              </w:rPr>
            </w:pPr>
            <w:r w:rsidRPr="007A3223">
              <w:rPr>
                <w:b/>
                <w:sz w:val="22"/>
                <w:szCs w:val="22"/>
              </w:rPr>
              <w:t>Grade 3 or 4</w:t>
            </w:r>
          </w:p>
        </w:tc>
        <w:tc>
          <w:tcPr>
            <w:tcW w:w="1060" w:type="pct"/>
            <w:tcBorders>
              <w:top w:val="single" w:sz="6" w:space="0" w:color="000000"/>
              <w:left w:val="single" w:sz="4" w:space="0" w:color="808080" w:themeColor="background1" w:themeShade="80"/>
              <w:bottom w:val="single" w:sz="4" w:space="0" w:color="auto"/>
              <w:right w:val="single" w:sz="6" w:space="0" w:color="000000"/>
            </w:tcBorders>
            <w:hideMark/>
          </w:tcPr>
          <w:p w14:paraId="50D41842" w14:textId="77777777" w:rsidR="00F5593D" w:rsidRPr="007A3223" w:rsidRDefault="00F5593D" w:rsidP="000919D4">
            <w:pPr>
              <w:pStyle w:val="TableLeft"/>
              <w:keepNext/>
              <w:widowControl w:val="0"/>
              <w:spacing w:before="60"/>
              <w:rPr>
                <w:sz w:val="22"/>
                <w:szCs w:val="22"/>
              </w:rPr>
            </w:pPr>
            <w:r w:rsidRPr="007A3223">
              <w:rPr>
                <w:sz w:val="22"/>
                <w:szCs w:val="22"/>
              </w:rPr>
              <w:t>Permanently discontinue Study regimen</w:t>
            </w:r>
          </w:p>
          <w:p w14:paraId="73B36DB8" w14:textId="77777777" w:rsidR="00F5593D" w:rsidRPr="007A3223" w:rsidRDefault="00F5593D" w:rsidP="000919D4">
            <w:pPr>
              <w:pStyle w:val="TableLeft"/>
              <w:keepNext/>
              <w:widowControl w:val="0"/>
              <w:spacing w:before="60"/>
              <w:rPr>
                <w:sz w:val="22"/>
                <w:szCs w:val="22"/>
              </w:rPr>
            </w:pPr>
          </w:p>
        </w:tc>
        <w:tc>
          <w:tcPr>
            <w:tcW w:w="3367" w:type="pct"/>
            <w:tcBorders>
              <w:top w:val="single" w:sz="6" w:space="0" w:color="000000"/>
              <w:left w:val="single" w:sz="6" w:space="0" w:color="000000"/>
              <w:bottom w:val="single" w:sz="4" w:space="0" w:color="auto"/>
              <w:right w:val="single" w:sz="6" w:space="0" w:color="000000"/>
            </w:tcBorders>
            <w:hideMark/>
          </w:tcPr>
          <w:p w14:paraId="45853291" w14:textId="77777777" w:rsidR="00F5593D" w:rsidRPr="007A3223" w:rsidRDefault="00F5593D" w:rsidP="001F422B">
            <w:pPr>
              <w:pStyle w:val="ListBulletSmall"/>
              <w:keepNext/>
              <w:widowControl w:val="0"/>
              <w:ind w:left="0" w:firstLine="0"/>
            </w:pPr>
            <w:r w:rsidRPr="007A3223">
              <w:rPr>
                <w:sz w:val="22"/>
                <w:szCs w:val="22"/>
              </w:rPr>
              <w:t>For Grade 3 or 4 (Severe or New Symptoms, New/Worsening Hypoxia, Life threatening</w:t>
            </w:r>
            <w:r w:rsidR="002251C9" w:rsidRPr="007A3223">
              <w:rPr>
                <w:sz w:val="22"/>
                <w:szCs w:val="22"/>
              </w:rPr>
              <w:t>)</w:t>
            </w:r>
            <w:r w:rsidRPr="007A3223">
              <w:rPr>
                <w:sz w:val="22"/>
                <w:szCs w:val="22"/>
              </w:rPr>
              <w:t xml:space="preserve"> </w:t>
            </w:r>
          </w:p>
          <w:p w14:paraId="21F1AEEF" w14:textId="77777777" w:rsidR="00BE2101" w:rsidRPr="007A3223" w:rsidRDefault="00AA696F" w:rsidP="00BE2101">
            <w:pPr>
              <w:pStyle w:val="TableLeft"/>
              <w:keepNext/>
              <w:widowControl w:val="0"/>
              <w:spacing w:before="60"/>
              <w:rPr>
                <w:sz w:val="22"/>
                <w:szCs w:val="22"/>
              </w:rPr>
            </w:pPr>
            <w:r w:rsidRPr="007A3223">
              <w:rPr>
                <w:sz w:val="22"/>
                <w:szCs w:val="22"/>
                <w:lang w:eastAsia="ko-KR"/>
              </w:rPr>
              <w:t xml:space="preserve">- </w:t>
            </w:r>
            <w:r w:rsidR="00BE2101" w:rsidRPr="007A3223">
              <w:rPr>
                <w:sz w:val="22"/>
                <w:szCs w:val="22"/>
              </w:rPr>
              <w:t xml:space="preserve">Promptly initiate empiric IV methylprednisolone 1 to 4 mg/kg/day or equivalent </w:t>
            </w:r>
          </w:p>
          <w:p w14:paraId="4FD0BA86" w14:textId="77777777" w:rsidR="00BE2101" w:rsidRPr="007A3223" w:rsidRDefault="00BE2101" w:rsidP="00BE2101">
            <w:pPr>
              <w:pStyle w:val="TableLeft"/>
              <w:keepNext/>
              <w:widowControl w:val="0"/>
              <w:spacing w:before="60"/>
              <w:rPr>
                <w:sz w:val="22"/>
                <w:szCs w:val="22"/>
              </w:rPr>
            </w:pPr>
            <w:r w:rsidRPr="007A3223">
              <w:rPr>
                <w:sz w:val="22"/>
                <w:szCs w:val="22"/>
              </w:rPr>
              <w:t>- Obtain pulmonary and infectious disease consult</w:t>
            </w:r>
          </w:p>
          <w:p w14:paraId="15908D42" w14:textId="77777777" w:rsidR="00BE2101" w:rsidRPr="007A3223" w:rsidRDefault="00BE2101" w:rsidP="00BE2101">
            <w:pPr>
              <w:pStyle w:val="TableLeft"/>
              <w:keepNext/>
              <w:widowControl w:val="0"/>
              <w:spacing w:before="60"/>
              <w:rPr>
                <w:sz w:val="22"/>
                <w:szCs w:val="22"/>
              </w:rPr>
            </w:pPr>
            <w:r w:rsidRPr="007A3223">
              <w:rPr>
                <w:sz w:val="22"/>
                <w:szCs w:val="22"/>
              </w:rPr>
              <w:t>- Hospitalize the patient</w:t>
            </w:r>
          </w:p>
          <w:p w14:paraId="6587EA00" w14:textId="77777777" w:rsidR="00BE2101" w:rsidRPr="007A3223" w:rsidRDefault="00BE2101" w:rsidP="00BE2101">
            <w:pPr>
              <w:pStyle w:val="TableLeft"/>
              <w:keepNext/>
              <w:widowControl w:val="0"/>
              <w:spacing w:before="60"/>
              <w:rPr>
                <w:sz w:val="22"/>
                <w:szCs w:val="22"/>
              </w:rPr>
            </w:pPr>
            <w:r w:rsidRPr="007A3223">
              <w:rPr>
                <w:sz w:val="22"/>
                <w:szCs w:val="22"/>
              </w:rPr>
              <w:t>- Supportive Care (oxygen, etc.)</w:t>
            </w:r>
          </w:p>
          <w:p w14:paraId="2A28F7B7" w14:textId="77777777" w:rsidR="00BE2101" w:rsidRPr="007A3223" w:rsidRDefault="00BE2101" w:rsidP="00BE2101">
            <w:pPr>
              <w:pStyle w:val="TableLeft"/>
              <w:keepNext/>
              <w:widowControl w:val="0"/>
              <w:spacing w:before="60"/>
              <w:rPr>
                <w:sz w:val="22"/>
                <w:szCs w:val="22"/>
              </w:rPr>
            </w:pPr>
            <w:r w:rsidRPr="007A3223">
              <w:rPr>
                <w:sz w:val="22"/>
                <w:szCs w:val="22"/>
              </w:rPr>
              <w:t xml:space="preserve">- If no improvement within 3-5 days, additional workup should be considered and prompt treatment with additional immunosuppressive therapy infliximab at 5mg/kg every 2 weeks dose) started. Caution: rule out sepsis and refer to infliximab label for general guidance before using infliximab. </w:t>
            </w:r>
          </w:p>
          <w:p w14:paraId="00B3E8AC" w14:textId="77777777" w:rsidR="00F5593D" w:rsidRPr="007A3223" w:rsidRDefault="00AA696F" w:rsidP="003009D9">
            <w:pPr>
              <w:pStyle w:val="ListBulletSmall"/>
              <w:keepNext/>
              <w:widowControl w:val="0"/>
              <w:ind w:left="0" w:firstLine="0"/>
              <w:rPr>
                <w:sz w:val="22"/>
                <w:szCs w:val="22"/>
              </w:rPr>
            </w:pPr>
            <w:r w:rsidRPr="007A3223">
              <w:rPr>
                <w:sz w:val="22"/>
                <w:szCs w:val="22"/>
              </w:rPr>
              <w:t xml:space="preserve">- </w:t>
            </w:r>
            <w:r w:rsidR="00F5593D" w:rsidRPr="007A3223">
              <w:rPr>
                <w:sz w:val="22"/>
                <w:szCs w:val="22"/>
              </w:rPr>
              <w:t>Once improving, gradually taper steroids over ≥</w:t>
            </w:r>
            <w:r w:rsidR="006B64F3" w:rsidRPr="007A3223">
              <w:rPr>
                <w:sz w:val="22"/>
                <w:szCs w:val="22"/>
              </w:rPr>
              <w:t xml:space="preserve"> </w:t>
            </w:r>
            <w:r w:rsidR="00F5593D" w:rsidRPr="007A3223">
              <w:rPr>
                <w:sz w:val="22"/>
                <w:szCs w:val="22"/>
              </w:rPr>
              <w:t>4 weeks and consider prophylactic antibiotics</w:t>
            </w:r>
            <w:r w:rsidR="00BE2101" w:rsidRPr="007A3223">
              <w:rPr>
                <w:sz w:val="22"/>
                <w:szCs w:val="22"/>
              </w:rPr>
              <w:t>, antifungal or anti PCP treatment</w:t>
            </w:r>
          </w:p>
        </w:tc>
      </w:tr>
    </w:tbl>
    <w:p w14:paraId="25D30A3B" w14:textId="77777777" w:rsidR="003009D9" w:rsidRPr="007A3223" w:rsidRDefault="003009D9"/>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79"/>
        <w:gridCol w:w="2175"/>
        <w:gridCol w:w="6290"/>
      </w:tblGrid>
      <w:tr w:rsidR="003009D9" w:rsidRPr="007A3223" w14:paraId="2015D465" w14:textId="77777777" w:rsidTr="008E0B5C">
        <w:trPr>
          <w:cantSplit/>
          <w:trHeight w:val="334"/>
          <w:tblHeader/>
        </w:trPr>
        <w:tc>
          <w:tcPr>
            <w:tcW w:w="5000" w:type="pct"/>
            <w:gridSpan w:val="3"/>
          </w:tcPr>
          <w:p w14:paraId="2C3C4AFF" w14:textId="7332507E" w:rsidR="003009D9" w:rsidRPr="00F33908" w:rsidRDefault="00800A5E" w:rsidP="00403449">
            <w:pPr>
              <w:pStyle w:val="Caption"/>
              <w:rPr>
                <w:sz w:val="22"/>
                <w:szCs w:val="22"/>
              </w:rPr>
            </w:pPr>
            <w:bookmarkStart w:id="200" w:name="_Ref450557719"/>
            <w:bookmarkStart w:id="201" w:name="_Toc82444453"/>
            <w:r w:rsidRPr="007A3223">
              <w:lastRenderedPageBreak/>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19</w:t>
            </w:r>
            <w:r w:rsidR="00F82420" w:rsidRPr="007A3223">
              <w:rPr>
                <w:noProof/>
              </w:rPr>
              <w:fldChar w:fldCharType="end"/>
            </w:r>
            <w:bookmarkEnd w:id="200"/>
            <w:r w:rsidRPr="007A3223">
              <w:rPr>
                <w:b w:val="0"/>
                <w:sz w:val="22"/>
                <w:szCs w:val="22"/>
                <w:lang w:val="en-US"/>
              </w:rPr>
              <w:t>.</w:t>
            </w:r>
            <w:r w:rsidR="003009D9" w:rsidRPr="007A3223">
              <w:rPr>
                <w:b w:val="0"/>
                <w:sz w:val="22"/>
                <w:szCs w:val="22"/>
              </w:rPr>
              <w:t xml:space="preserve"> </w:t>
            </w:r>
            <w:r w:rsidR="003009D9" w:rsidRPr="00F33908">
              <w:rPr>
                <w:b w:val="0"/>
                <w:sz w:val="22"/>
                <w:szCs w:val="22"/>
              </w:rPr>
              <w:t>Diarrhea and enterocolitis</w:t>
            </w:r>
            <w:bookmarkEnd w:id="201"/>
          </w:p>
        </w:tc>
      </w:tr>
      <w:tr w:rsidR="003009D9" w:rsidRPr="007A3223" w14:paraId="42687E93" w14:textId="77777777" w:rsidTr="008E0B5C">
        <w:trPr>
          <w:cantSplit/>
          <w:trHeight w:val="307"/>
          <w:tblHeader/>
        </w:trPr>
        <w:tc>
          <w:tcPr>
            <w:tcW w:w="1634" w:type="pct"/>
            <w:gridSpan w:val="2"/>
            <w:shd w:val="clear" w:color="auto" w:fill="BFBFBF" w:themeFill="background1" w:themeFillShade="BF"/>
          </w:tcPr>
          <w:p w14:paraId="0081E7EC" w14:textId="77777777" w:rsidR="003009D9" w:rsidRPr="007A3223" w:rsidRDefault="003009D9" w:rsidP="000919D4">
            <w:pPr>
              <w:pStyle w:val="TableLeft"/>
              <w:keepNext/>
              <w:widowControl w:val="0"/>
              <w:spacing w:before="60"/>
              <w:rPr>
                <w:sz w:val="22"/>
                <w:szCs w:val="22"/>
              </w:rPr>
            </w:pPr>
            <w:r w:rsidRPr="007A3223">
              <w:rPr>
                <w:sz w:val="22"/>
                <w:szCs w:val="22"/>
              </w:rPr>
              <w:t>Dose modifications</w:t>
            </w:r>
          </w:p>
        </w:tc>
        <w:tc>
          <w:tcPr>
            <w:tcW w:w="3366" w:type="pct"/>
            <w:shd w:val="clear" w:color="auto" w:fill="BFBFBF" w:themeFill="background1" w:themeFillShade="BF"/>
          </w:tcPr>
          <w:p w14:paraId="12AAED91" w14:textId="77777777" w:rsidR="003009D9" w:rsidRPr="007A3223" w:rsidRDefault="003009D9" w:rsidP="000919D4">
            <w:pPr>
              <w:pStyle w:val="ListBulletSmall"/>
              <w:keepNext/>
              <w:widowControl w:val="0"/>
              <w:tabs>
                <w:tab w:val="clear" w:pos="360"/>
              </w:tabs>
              <w:spacing w:before="60"/>
              <w:rPr>
                <w:sz w:val="22"/>
                <w:szCs w:val="22"/>
              </w:rPr>
            </w:pPr>
            <w:r w:rsidRPr="007A3223">
              <w:rPr>
                <w:sz w:val="22"/>
                <w:szCs w:val="22"/>
              </w:rPr>
              <w:t>Toxicity Management</w:t>
            </w:r>
          </w:p>
        </w:tc>
      </w:tr>
      <w:tr w:rsidR="00956FB0" w:rsidRPr="007A3223" w14:paraId="2BEA8166" w14:textId="77777777" w:rsidTr="002D1740">
        <w:trPr>
          <w:cantSplit/>
          <w:trHeight w:val="2622"/>
        </w:trPr>
        <w:tc>
          <w:tcPr>
            <w:tcW w:w="1634" w:type="pct"/>
            <w:gridSpan w:val="2"/>
          </w:tcPr>
          <w:p w14:paraId="3DCC9F26" w14:textId="77777777" w:rsidR="00956FB0" w:rsidRPr="007A3223" w:rsidRDefault="00956FB0" w:rsidP="001B66C1">
            <w:pPr>
              <w:pStyle w:val="TableLeft"/>
              <w:keepNext/>
              <w:widowControl w:val="0"/>
              <w:spacing w:before="60"/>
              <w:ind w:left="270" w:firstLine="540"/>
              <w:rPr>
                <w:sz w:val="22"/>
                <w:szCs w:val="22"/>
              </w:rPr>
            </w:pPr>
            <w:r w:rsidRPr="007A3223">
              <w:rPr>
                <w:sz w:val="22"/>
                <w:szCs w:val="22"/>
              </w:rPr>
              <w:t>Any Grade</w:t>
            </w:r>
          </w:p>
        </w:tc>
        <w:tc>
          <w:tcPr>
            <w:tcW w:w="3366" w:type="pct"/>
          </w:tcPr>
          <w:p w14:paraId="6E025529" w14:textId="77777777" w:rsidR="00956FB0" w:rsidRPr="007A3223" w:rsidRDefault="00956FB0" w:rsidP="000919D4">
            <w:pPr>
              <w:pStyle w:val="ListBulletSmall"/>
              <w:keepNext/>
              <w:widowControl w:val="0"/>
              <w:tabs>
                <w:tab w:val="clear" w:pos="360"/>
              </w:tabs>
              <w:spacing w:before="60"/>
              <w:ind w:left="0" w:firstLine="0"/>
              <w:rPr>
                <w:sz w:val="22"/>
                <w:szCs w:val="22"/>
              </w:rPr>
            </w:pPr>
            <w:r w:rsidRPr="007A3223">
              <w:rPr>
                <w:sz w:val="22"/>
                <w:szCs w:val="22"/>
              </w:rPr>
              <w:t>-  Monitor for symptoms that may be related to diarrhea/enterocolitis (abdominal pain, cramping, or changes in bowel habits</w:t>
            </w:r>
            <w:r w:rsidR="00B11810" w:rsidRPr="007A3223">
              <w:rPr>
                <w:sz w:val="22"/>
                <w:szCs w:val="22"/>
              </w:rPr>
              <w:t xml:space="preserve">) and </w:t>
            </w:r>
            <w:r w:rsidR="00BF3C76" w:rsidRPr="007A3223">
              <w:rPr>
                <w:sz w:val="22"/>
                <w:szCs w:val="22"/>
              </w:rPr>
              <w:t xml:space="preserve">daily </w:t>
            </w:r>
            <w:r w:rsidR="00B11810" w:rsidRPr="007A3223">
              <w:rPr>
                <w:sz w:val="22"/>
                <w:szCs w:val="22"/>
              </w:rPr>
              <w:t>document bowel movements (</w:t>
            </w:r>
            <w:r w:rsidR="00162E55" w:rsidRPr="007A3223">
              <w:rPr>
                <w:sz w:val="22"/>
                <w:szCs w:val="22"/>
              </w:rPr>
              <w:t>Appendix E</w:t>
            </w:r>
            <w:r w:rsidRPr="007A3223">
              <w:rPr>
                <w:sz w:val="22"/>
                <w:szCs w:val="22"/>
              </w:rPr>
              <w:t xml:space="preserve">) </w:t>
            </w:r>
          </w:p>
          <w:p w14:paraId="6A89F65C" w14:textId="77777777" w:rsidR="00956FB0" w:rsidRPr="007A3223" w:rsidRDefault="00956FB0" w:rsidP="000919D4">
            <w:pPr>
              <w:pStyle w:val="ListBulletSmall"/>
              <w:keepNext/>
              <w:widowControl w:val="0"/>
              <w:tabs>
                <w:tab w:val="clear" w:pos="360"/>
              </w:tabs>
              <w:ind w:left="0" w:firstLine="0"/>
              <w:rPr>
                <w:sz w:val="22"/>
                <w:szCs w:val="22"/>
              </w:rPr>
            </w:pPr>
            <w:r w:rsidRPr="007A3223">
              <w:rPr>
                <w:sz w:val="22"/>
                <w:szCs w:val="22"/>
              </w:rPr>
              <w:t>-  Patients should be thoroughly evaluated to rule out any alternative etiology (e.g., disease progression, infections, etc.)</w:t>
            </w:r>
          </w:p>
          <w:p w14:paraId="49BD19FD" w14:textId="77777777" w:rsidR="00956FB0" w:rsidRPr="007A3223" w:rsidRDefault="00956FB0" w:rsidP="000919D4">
            <w:pPr>
              <w:pStyle w:val="ListBulletSmall"/>
              <w:keepNext/>
              <w:widowControl w:val="0"/>
              <w:tabs>
                <w:tab w:val="clear" w:pos="360"/>
              </w:tabs>
              <w:spacing w:before="60"/>
              <w:ind w:left="0" w:firstLine="0"/>
              <w:rPr>
                <w:sz w:val="22"/>
                <w:szCs w:val="22"/>
              </w:rPr>
            </w:pPr>
            <w:r w:rsidRPr="007A3223">
              <w:rPr>
                <w:sz w:val="22"/>
                <w:szCs w:val="22"/>
              </w:rPr>
              <w:t>-  Steroids should be considered if an alternative etiology is not determined, even for low grade events, in order to prevent potential progression to higher grade event</w:t>
            </w:r>
          </w:p>
          <w:p w14:paraId="769ACE55" w14:textId="77777777" w:rsidR="00956FB0" w:rsidRPr="007A3223" w:rsidRDefault="00956FB0" w:rsidP="000919D4">
            <w:pPr>
              <w:pStyle w:val="ListBulletSmall"/>
              <w:keepNext/>
              <w:widowControl w:val="0"/>
              <w:tabs>
                <w:tab w:val="clear" w:pos="360"/>
                <w:tab w:val="left" w:pos="720"/>
                <w:tab w:val="left" w:pos="1080"/>
              </w:tabs>
              <w:spacing w:before="60"/>
              <w:ind w:left="0" w:firstLine="0"/>
              <w:rPr>
                <w:sz w:val="22"/>
                <w:szCs w:val="22"/>
              </w:rPr>
            </w:pPr>
            <w:r w:rsidRPr="007A3223">
              <w:rPr>
                <w:sz w:val="22"/>
                <w:szCs w:val="22"/>
              </w:rPr>
              <w:t>-  Use analgesics carefully; they can mask symptoms of perforation and peritonitis</w:t>
            </w:r>
          </w:p>
        </w:tc>
      </w:tr>
      <w:tr w:rsidR="00560090" w:rsidRPr="007A3223" w14:paraId="07CC062F" w14:textId="77777777" w:rsidTr="003009D9">
        <w:trPr>
          <w:cantSplit/>
          <w:trHeight w:val="474"/>
        </w:trPr>
        <w:tc>
          <w:tcPr>
            <w:tcW w:w="470" w:type="pct"/>
            <w:hideMark/>
          </w:tcPr>
          <w:p w14:paraId="5E72FCE5" w14:textId="77777777" w:rsidR="00910233" w:rsidRPr="007A3223" w:rsidRDefault="00910233" w:rsidP="008E0B5C">
            <w:pPr>
              <w:pStyle w:val="TableCenter"/>
              <w:widowControl w:val="0"/>
              <w:spacing w:before="60"/>
              <w:rPr>
                <w:rFonts w:ascii="Times" w:hAnsi="Times"/>
                <w:b/>
                <w:sz w:val="22"/>
                <w:szCs w:val="22"/>
              </w:rPr>
            </w:pPr>
            <w:r w:rsidRPr="007A3223">
              <w:rPr>
                <w:rFonts w:ascii="Times" w:hAnsi="Times"/>
                <w:b/>
                <w:sz w:val="22"/>
                <w:szCs w:val="22"/>
              </w:rPr>
              <w:t>Grade 1</w:t>
            </w:r>
          </w:p>
        </w:tc>
        <w:tc>
          <w:tcPr>
            <w:tcW w:w="1164" w:type="pct"/>
            <w:hideMark/>
          </w:tcPr>
          <w:p w14:paraId="7C5CCB08" w14:textId="77777777" w:rsidR="00910233" w:rsidRPr="007A3223" w:rsidRDefault="00910233" w:rsidP="000919D4">
            <w:pPr>
              <w:pStyle w:val="TableLeft"/>
              <w:keepNext/>
              <w:widowControl w:val="0"/>
              <w:spacing w:before="60"/>
              <w:rPr>
                <w:rFonts w:ascii="Times" w:hAnsi="Times"/>
                <w:sz w:val="22"/>
                <w:szCs w:val="22"/>
              </w:rPr>
            </w:pPr>
            <w:r w:rsidRPr="007A3223">
              <w:rPr>
                <w:rFonts w:ascii="Times" w:hAnsi="Times"/>
                <w:sz w:val="22"/>
                <w:szCs w:val="22"/>
              </w:rPr>
              <w:t>No dose modification</w:t>
            </w:r>
          </w:p>
        </w:tc>
        <w:tc>
          <w:tcPr>
            <w:tcW w:w="3366" w:type="pct"/>
            <w:hideMark/>
          </w:tcPr>
          <w:p w14:paraId="0EE5FD0D" w14:textId="77777777" w:rsidR="00910233" w:rsidRPr="007A3223" w:rsidRDefault="00910233" w:rsidP="000919D4">
            <w:pPr>
              <w:pStyle w:val="ListBulletSmall"/>
              <w:keepNext/>
              <w:widowControl w:val="0"/>
              <w:spacing w:before="60"/>
              <w:rPr>
                <w:rFonts w:ascii="Times" w:hAnsi="Times"/>
                <w:sz w:val="22"/>
                <w:szCs w:val="22"/>
              </w:rPr>
            </w:pPr>
            <w:r w:rsidRPr="007A3223">
              <w:rPr>
                <w:rFonts w:ascii="Times" w:hAnsi="Times"/>
                <w:sz w:val="22"/>
                <w:szCs w:val="22"/>
              </w:rPr>
              <w:t xml:space="preserve">For Grade 1: </w:t>
            </w:r>
          </w:p>
          <w:p w14:paraId="28299B0A" w14:textId="77777777" w:rsidR="00910233" w:rsidRPr="007A3223" w:rsidRDefault="00910233" w:rsidP="00EE41FE">
            <w:pPr>
              <w:pStyle w:val="ListBulletSmall"/>
              <w:keepNext/>
              <w:widowControl w:val="0"/>
              <w:tabs>
                <w:tab w:val="clear" w:pos="360"/>
                <w:tab w:val="num" w:pos="201"/>
              </w:tabs>
              <w:spacing w:before="60"/>
              <w:ind w:left="180" w:hanging="180"/>
              <w:rPr>
                <w:rFonts w:ascii="Times" w:hAnsi="Times"/>
                <w:sz w:val="22"/>
                <w:szCs w:val="22"/>
              </w:rPr>
            </w:pPr>
            <w:r w:rsidRPr="007A3223">
              <w:rPr>
                <w:rFonts w:ascii="Times" w:hAnsi="Times"/>
                <w:sz w:val="22"/>
                <w:szCs w:val="22"/>
              </w:rPr>
              <w:t>-  Close monitoring for worsening symptom</w:t>
            </w:r>
          </w:p>
          <w:p w14:paraId="5F2D94C4" w14:textId="77777777" w:rsidR="001F0F0F" w:rsidRPr="007A3223" w:rsidRDefault="00910233" w:rsidP="00EE41FE">
            <w:pPr>
              <w:pStyle w:val="ListBulletSmall"/>
              <w:keepNext/>
              <w:widowControl w:val="0"/>
              <w:tabs>
                <w:tab w:val="clear" w:pos="360"/>
                <w:tab w:val="num" w:pos="201"/>
              </w:tabs>
              <w:spacing w:before="60"/>
              <w:ind w:left="180" w:hanging="180"/>
              <w:rPr>
                <w:rFonts w:ascii="Times" w:hAnsi="Times"/>
                <w:sz w:val="22"/>
                <w:szCs w:val="22"/>
              </w:rPr>
            </w:pPr>
            <w:r w:rsidRPr="007A3223">
              <w:rPr>
                <w:rFonts w:ascii="Times" w:hAnsi="Times"/>
                <w:sz w:val="22"/>
                <w:szCs w:val="22"/>
              </w:rPr>
              <w:t>-  Consider symptomatic treatment including hydration, electrolyte replacement, dietary changes</w:t>
            </w:r>
            <w:r w:rsidR="009F791C" w:rsidRPr="007A3223">
              <w:rPr>
                <w:rFonts w:ascii="Times" w:hAnsi="Times"/>
                <w:sz w:val="22"/>
                <w:szCs w:val="22"/>
              </w:rPr>
              <w:t xml:space="preserve"> (e.g., ADA colitis diet), and </w:t>
            </w:r>
            <w:r w:rsidRPr="007A3223">
              <w:rPr>
                <w:rFonts w:ascii="Times" w:hAnsi="Times"/>
                <w:sz w:val="22"/>
                <w:szCs w:val="22"/>
              </w:rPr>
              <w:t>loperamide</w:t>
            </w:r>
          </w:p>
          <w:p w14:paraId="72B0FDA4" w14:textId="77777777" w:rsidR="00910233" w:rsidRPr="007A3223" w:rsidRDefault="001F0F0F" w:rsidP="00EE41FE">
            <w:pPr>
              <w:pStyle w:val="ListBulletSmall"/>
              <w:keepNext/>
              <w:widowControl w:val="0"/>
              <w:tabs>
                <w:tab w:val="clear" w:pos="360"/>
                <w:tab w:val="num" w:pos="201"/>
              </w:tabs>
              <w:spacing w:before="60"/>
              <w:ind w:left="180" w:hanging="180"/>
              <w:rPr>
                <w:rFonts w:ascii="Times" w:hAnsi="Times"/>
                <w:sz w:val="22"/>
                <w:szCs w:val="22"/>
              </w:rPr>
            </w:pPr>
            <w:r w:rsidRPr="007A3223">
              <w:rPr>
                <w:rFonts w:ascii="Times" w:hAnsi="Times"/>
                <w:sz w:val="22"/>
                <w:szCs w:val="22"/>
              </w:rPr>
              <w:t>-  Patients can take loperamide (per standard practice) and continue to take loperamide until patients are free from diarrhea for at least 12 hours. The dose of loperamide should not exceed 16mg in a 24-hour period. Patients will be followed by phone every day until they are free from diarrhea for at least 12 hours.</w:t>
            </w:r>
          </w:p>
          <w:p w14:paraId="0AFF5FA3" w14:textId="77777777" w:rsidR="001F0F0F" w:rsidRPr="007A3223" w:rsidRDefault="001F0F0F" w:rsidP="00EE41FE">
            <w:pPr>
              <w:pStyle w:val="ListBulletSmall"/>
              <w:keepNext/>
              <w:widowControl w:val="0"/>
              <w:tabs>
                <w:tab w:val="clear" w:pos="360"/>
                <w:tab w:val="num" w:pos="201"/>
              </w:tabs>
              <w:spacing w:before="60"/>
              <w:ind w:left="180" w:hanging="180"/>
              <w:rPr>
                <w:rFonts w:ascii="Times" w:hAnsi="Times"/>
                <w:sz w:val="22"/>
                <w:szCs w:val="22"/>
              </w:rPr>
            </w:pPr>
            <w:r w:rsidRPr="007A3223">
              <w:rPr>
                <w:rFonts w:ascii="Times" w:hAnsi="Times"/>
                <w:sz w:val="22"/>
                <w:szCs w:val="22"/>
              </w:rPr>
              <w:t>-  If diarrhea persists despite 24 hours of loperamide treatment, hold the drug(s) causing the toxicity for a maximum of 7 days, continue loperamide, and maintain hydration. The drug(s) causing the toxicity may be restarted at the same dose once patients have been free from diarrhea for 12 hours</w:t>
            </w:r>
          </w:p>
          <w:p w14:paraId="0204A8CA" w14:textId="77777777" w:rsidR="004C12B9" w:rsidRPr="007A3223" w:rsidRDefault="004C12B9" w:rsidP="0015219F">
            <w:pPr>
              <w:pStyle w:val="ListBulletSmall"/>
              <w:keepNext/>
              <w:widowControl w:val="0"/>
              <w:tabs>
                <w:tab w:val="clear" w:pos="360"/>
                <w:tab w:val="num" w:pos="201"/>
              </w:tabs>
              <w:spacing w:before="60"/>
              <w:ind w:left="0" w:firstLine="0"/>
              <w:rPr>
                <w:rFonts w:ascii="Times" w:hAnsi="Times"/>
                <w:sz w:val="22"/>
                <w:szCs w:val="22"/>
              </w:rPr>
            </w:pPr>
          </w:p>
        </w:tc>
      </w:tr>
      <w:tr w:rsidR="00560090" w:rsidRPr="007A3223" w14:paraId="356FE7E7" w14:textId="77777777" w:rsidTr="003009D9">
        <w:trPr>
          <w:cantSplit/>
          <w:trHeight w:val="148"/>
        </w:trPr>
        <w:tc>
          <w:tcPr>
            <w:tcW w:w="470" w:type="pct"/>
            <w:hideMark/>
          </w:tcPr>
          <w:p w14:paraId="3915E06A" w14:textId="77777777" w:rsidR="00910233" w:rsidRPr="007A3223" w:rsidRDefault="00910233" w:rsidP="008E0B5C">
            <w:pPr>
              <w:pStyle w:val="TableCenter"/>
              <w:widowControl w:val="0"/>
              <w:spacing w:before="60"/>
              <w:rPr>
                <w:rFonts w:ascii="Times" w:hAnsi="Times"/>
                <w:b/>
                <w:sz w:val="22"/>
                <w:szCs w:val="22"/>
              </w:rPr>
            </w:pPr>
            <w:r w:rsidRPr="007A3223">
              <w:rPr>
                <w:rFonts w:ascii="Times" w:hAnsi="Times"/>
                <w:b/>
                <w:sz w:val="22"/>
                <w:szCs w:val="22"/>
              </w:rPr>
              <w:lastRenderedPageBreak/>
              <w:t>Grade 2</w:t>
            </w:r>
          </w:p>
        </w:tc>
        <w:tc>
          <w:tcPr>
            <w:tcW w:w="1164" w:type="pct"/>
            <w:hideMark/>
          </w:tcPr>
          <w:p w14:paraId="174F1AD7" w14:textId="77777777" w:rsidR="00910233" w:rsidRPr="007A3223" w:rsidRDefault="00FF2097" w:rsidP="000919D4">
            <w:pPr>
              <w:pStyle w:val="ListBulletSmall"/>
              <w:keepNext/>
              <w:widowControl w:val="0"/>
              <w:tabs>
                <w:tab w:val="left" w:pos="720"/>
              </w:tabs>
              <w:spacing w:before="60"/>
              <w:rPr>
                <w:rFonts w:ascii="Times" w:hAnsi="Times"/>
                <w:sz w:val="22"/>
                <w:szCs w:val="22"/>
              </w:rPr>
            </w:pPr>
            <w:r w:rsidRPr="007A3223">
              <w:rPr>
                <w:rFonts w:ascii="Times" w:hAnsi="Times"/>
                <w:sz w:val="22"/>
                <w:szCs w:val="22"/>
              </w:rPr>
              <w:t xml:space="preserve">Hold Study regimen dose until </w:t>
            </w:r>
            <w:r w:rsidR="00363BFB" w:rsidRPr="007A3223">
              <w:rPr>
                <w:rFonts w:ascii="Times" w:hAnsi="Times"/>
                <w:sz w:val="22"/>
                <w:szCs w:val="22"/>
              </w:rPr>
              <w:t>g</w:t>
            </w:r>
            <w:r w:rsidR="00910233" w:rsidRPr="007A3223">
              <w:rPr>
                <w:rFonts w:ascii="Times" w:hAnsi="Times"/>
                <w:sz w:val="22"/>
                <w:szCs w:val="22"/>
              </w:rPr>
              <w:t xml:space="preserve">rade 2 resolution to ≤ </w:t>
            </w:r>
            <w:r w:rsidR="00EE41FE" w:rsidRPr="007A3223">
              <w:rPr>
                <w:rFonts w:ascii="Times" w:hAnsi="Times"/>
                <w:sz w:val="22"/>
                <w:szCs w:val="22"/>
              </w:rPr>
              <w:t>g</w:t>
            </w:r>
            <w:r w:rsidR="00910233" w:rsidRPr="007A3223">
              <w:rPr>
                <w:rFonts w:ascii="Times" w:hAnsi="Times"/>
                <w:sz w:val="22"/>
                <w:szCs w:val="22"/>
              </w:rPr>
              <w:t>rade 1</w:t>
            </w:r>
          </w:p>
          <w:p w14:paraId="50C57A94" w14:textId="77777777" w:rsidR="00910233" w:rsidRPr="007A3223" w:rsidRDefault="00910233" w:rsidP="000919D4">
            <w:pPr>
              <w:pStyle w:val="ListBulletSmall"/>
              <w:keepNext/>
              <w:widowControl w:val="0"/>
              <w:tabs>
                <w:tab w:val="left" w:pos="720"/>
              </w:tabs>
              <w:spacing w:before="60"/>
              <w:rPr>
                <w:rFonts w:ascii="Times" w:hAnsi="Times"/>
                <w:sz w:val="22"/>
                <w:szCs w:val="22"/>
              </w:rPr>
            </w:pPr>
            <w:r w:rsidRPr="007A3223">
              <w:rPr>
                <w:rFonts w:ascii="Times" w:hAnsi="Times"/>
                <w:sz w:val="22"/>
                <w:szCs w:val="22"/>
              </w:rPr>
              <w:t>•</w:t>
            </w:r>
            <w:r w:rsidRPr="007A3223">
              <w:rPr>
                <w:rFonts w:ascii="Times" w:hAnsi="Times"/>
                <w:sz w:val="22"/>
                <w:szCs w:val="22"/>
              </w:rPr>
              <w:tab/>
              <w:t xml:space="preserve">If worsens then treat as </w:t>
            </w:r>
            <w:r w:rsidR="00EE41FE" w:rsidRPr="007A3223">
              <w:rPr>
                <w:rFonts w:ascii="Times" w:hAnsi="Times"/>
                <w:sz w:val="22"/>
                <w:szCs w:val="22"/>
              </w:rPr>
              <w:t>g</w:t>
            </w:r>
            <w:r w:rsidR="001B66C1" w:rsidRPr="007A3223">
              <w:rPr>
                <w:rFonts w:ascii="Times" w:hAnsi="Times"/>
                <w:sz w:val="22"/>
                <w:szCs w:val="22"/>
              </w:rPr>
              <w:t xml:space="preserve">rade 3 or </w:t>
            </w:r>
            <w:r w:rsidR="00EE41FE" w:rsidRPr="007A3223">
              <w:rPr>
                <w:rFonts w:ascii="Times" w:hAnsi="Times"/>
                <w:sz w:val="22"/>
                <w:szCs w:val="22"/>
              </w:rPr>
              <w:t xml:space="preserve">grade </w:t>
            </w:r>
            <w:r w:rsidRPr="007A3223">
              <w:rPr>
                <w:rFonts w:ascii="Times" w:hAnsi="Times"/>
                <w:sz w:val="22"/>
                <w:szCs w:val="22"/>
              </w:rPr>
              <w:t>4</w:t>
            </w:r>
          </w:p>
          <w:p w14:paraId="42FC5CC0" w14:textId="77777777" w:rsidR="00910233" w:rsidRPr="007A3223" w:rsidRDefault="00910233" w:rsidP="000919D4">
            <w:pPr>
              <w:pStyle w:val="ListBulletSmall"/>
              <w:keepNext/>
              <w:widowControl w:val="0"/>
              <w:tabs>
                <w:tab w:val="clear" w:pos="360"/>
                <w:tab w:val="left" w:pos="720"/>
              </w:tabs>
              <w:spacing w:before="60"/>
              <w:rPr>
                <w:rFonts w:ascii="Times" w:hAnsi="Times"/>
                <w:sz w:val="22"/>
                <w:szCs w:val="22"/>
              </w:rPr>
            </w:pPr>
            <w:r w:rsidRPr="007A3223">
              <w:rPr>
                <w:rFonts w:ascii="Times" w:hAnsi="Times"/>
                <w:sz w:val="22"/>
                <w:szCs w:val="22"/>
              </w:rPr>
              <w:t>•</w:t>
            </w:r>
            <w:r w:rsidRPr="007A3223">
              <w:rPr>
                <w:rFonts w:ascii="Times" w:hAnsi="Times"/>
                <w:sz w:val="22"/>
                <w:szCs w:val="22"/>
              </w:rPr>
              <w:tab/>
              <w:t>If improves to baseline then treat at next scheduled treatment date</w:t>
            </w:r>
          </w:p>
        </w:tc>
        <w:tc>
          <w:tcPr>
            <w:tcW w:w="3366" w:type="pct"/>
          </w:tcPr>
          <w:p w14:paraId="667F1B8C" w14:textId="77777777" w:rsidR="00910233" w:rsidRPr="007A3223" w:rsidRDefault="00910233" w:rsidP="000919D4">
            <w:pPr>
              <w:pStyle w:val="ListBulletSmall"/>
              <w:keepNext/>
              <w:widowControl w:val="0"/>
              <w:spacing w:before="60"/>
              <w:rPr>
                <w:rFonts w:ascii="Times" w:hAnsi="Times"/>
                <w:sz w:val="22"/>
                <w:szCs w:val="22"/>
              </w:rPr>
            </w:pPr>
            <w:r w:rsidRPr="007A3223">
              <w:rPr>
                <w:rFonts w:ascii="Times" w:hAnsi="Times"/>
                <w:sz w:val="22"/>
                <w:szCs w:val="22"/>
              </w:rPr>
              <w:t xml:space="preserve">For Grade 2: </w:t>
            </w:r>
          </w:p>
          <w:p w14:paraId="3550B5FB" w14:textId="77777777" w:rsidR="00EE41FE" w:rsidRPr="007A3223" w:rsidRDefault="001F0F0F" w:rsidP="000919D4">
            <w:pPr>
              <w:pStyle w:val="ListBulletSmall2"/>
              <w:keepNext/>
              <w:widowControl w:val="0"/>
              <w:rPr>
                <w:rFonts w:ascii="Times" w:hAnsi="Times"/>
                <w:sz w:val="22"/>
                <w:szCs w:val="22"/>
              </w:rPr>
            </w:pPr>
            <w:r w:rsidRPr="007A3223">
              <w:rPr>
                <w:rFonts w:ascii="Times" w:hAnsi="Times"/>
                <w:sz w:val="22"/>
                <w:szCs w:val="22"/>
              </w:rPr>
              <w:t xml:space="preserve">- </w:t>
            </w:r>
            <w:r w:rsidR="00F343AA" w:rsidRPr="007A3223">
              <w:rPr>
                <w:rFonts w:ascii="Times" w:hAnsi="Times"/>
                <w:sz w:val="22"/>
                <w:szCs w:val="22"/>
              </w:rPr>
              <w:t xml:space="preserve"> </w:t>
            </w:r>
            <w:r w:rsidR="00EE41FE" w:rsidRPr="007A3223">
              <w:rPr>
                <w:rFonts w:ascii="Times" w:hAnsi="Times"/>
                <w:sz w:val="22"/>
                <w:szCs w:val="22"/>
              </w:rPr>
              <w:t>NPO</w:t>
            </w:r>
          </w:p>
          <w:p w14:paraId="74623C24" w14:textId="77777777" w:rsidR="00910233" w:rsidRPr="007A3223" w:rsidRDefault="00EE41FE" w:rsidP="000919D4">
            <w:pPr>
              <w:pStyle w:val="ListBulletSmall2"/>
              <w:keepNext/>
              <w:widowControl w:val="0"/>
              <w:rPr>
                <w:rFonts w:ascii="Times" w:hAnsi="Times"/>
                <w:sz w:val="22"/>
                <w:szCs w:val="22"/>
              </w:rPr>
            </w:pPr>
            <w:r w:rsidRPr="007A3223">
              <w:rPr>
                <w:rFonts w:ascii="Times" w:hAnsi="Times"/>
                <w:sz w:val="22"/>
                <w:szCs w:val="22"/>
              </w:rPr>
              <w:t xml:space="preserve">-  </w:t>
            </w:r>
            <w:r w:rsidR="00910233" w:rsidRPr="007A3223">
              <w:rPr>
                <w:rFonts w:ascii="Times" w:hAnsi="Times"/>
                <w:sz w:val="22"/>
                <w:szCs w:val="22"/>
              </w:rPr>
              <w:t xml:space="preserve">Consider symptomatic treatment including hydration, electrolyte replacement, and loperamide and/or budesonide </w:t>
            </w:r>
          </w:p>
          <w:p w14:paraId="77AA28BC" w14:textId="77777777" w:rsidR="007B5FC6" w:rsidRPr="007A3223" w:rsidRDefault="001F0F0F" w:rsidP="000919D4">
            <w:pPr>
              <w:pStyle w:val="ListBulletSmall2"/>
              <w:keepNext/>
              <w:widowControl w:val="0"/>
              <w:rPr>
                <w:rFonts w:ascii="Times" w:hAnsi="Times"/>
                <w:sz w:val="22"/>
                <w:szCs w:val="22"/>
              </w:rPr>
            </w:pPr>
            <w:r w:rsidRPr="007A3223">
              <w:rPr>
                <w:rFonts w:ascii="Times" w:hAnsi="Times"/>
                <w:sz w:val="22"/>
                <w:szCs w:val="22"/>
              </w:rPr>
              <w:t xml:space="preserve">-  </w:t>
            </w:r>
            <w:r w:rsidR="007B5FC6" w:rsidRPr="007A3223">
              <w:rPr>
                <w:rFonts w:ascii="Times" w:hAnsi="Times"/>
                <w:sz w:val="22"/>
                <w:szCs w:val="22"/>
              </w:rPr>
              <w:t>Promptly start prednisone 1 to 2 mg/kg/day or IV equivalent</w:t>
            </w:r>
          </w:p>
          <w:p w14:paraId="55E9B7A5" w14:textId="77777777" w:rsidR="007B5FC6" w:rsidRPr="007A3223" w:rsidRDefault="007B5FC6" w:rsidP="000919D4">
            <w:pPr>
              <w:pStyle w:val="ListBulletSmall2"/>
              <w:keepNext/>
              <w:widowControl w:val="0"/>
              <w:rPr>
                <w:rFonts w:ascii="Times" w:hAnsi="Times"/>
                <w:sz w:val="22"/>
                <w:szCs w:val="22"/>
              </w:rPr>
            </w:pPr>
            <w:r w:rsidRPr="007A3223">
              <w:rPr>
                <w:rFonts w:ascii="Times" w:hAnsi="Times"/>
                <w:sz w:val="22"/>
                <w:szCs w:val="22"/>
              </w:rPr>
              <w:t xml:space="preserve">-  If event is not responsive within 3-5 days or worsens despite prednisone at 1-2 mg/kg/day or IV equivalent, GI consult should be obtained for consideration of further workup such as imaging and/or colonoscopy to confirm colitis and rule out perforation, and prompt treatment with IV methylprednisolone 2-4mg/kg/day started. </w:t>
            </w:r>
          </w:p>
          <w:p w14:paraId="02371ED2" w14:textId="77777777" w:rsidR="00910233" w:rsidRPr="007A3223" w:rsidRDefault="001F0F0F" w:rsidP="000919D4">
            <w:pPr>
              <w:pStyle w:val="ListBulletSmall2"/>
              <w:keepNext/>
              <w:widowControl w:val="0"/>
              <w:rPr>
                <w:rFonts w:ascii="Times" w:hAnsi="Times"/>
                <w:sz w:val="22"/>
                <w:szCs w:val="22"/>
              </w:rPr>
            </w:pPr>
            <w:r w:rsidRPr="007A3223">
              <w:rPr>
                <w:rFonts w:ascii="Times" w:hAnsi="Times"/>
                <w:sz w:val="22"/>
                <w:szCs w:val="22"/>
              </w:rPr>
              <w:t xml:space="preserve">-  </w:t>
            </w:r>
            <w:r w:rsidR="00910233" w:rsidRPr="007A3223">
              <w:rPr>
                <w:rFonts w:ascii="Times" w:hAnsi="Times"/>
                <w:sz w:val="22"/>
                <w:szCs w:val="22"/>
              </w:rPr>
              <w:t>If</w:t>
            </w:r>
            <w:r w:rsidR="007B5FC6" w:rsidRPr="007A3223">
              <w:rPr>
                <w:rFonts w:ascii="Times" w:hAnsi="Times"/>
                <w:sz w:val="22"/>
                <w:szCs w:val="22"/>
              </w:rPr>
              <w:t xml:space="preserve"> still</w:t>
            </w:r>
            <w:r w:rsidR="00910233" w:rsidRPr="007A3223">
              <w:rPr>
                <w:rFonts w:ascii="Times" w:hAnsi="Times"/>
                <w:sz w:val="22"/>
                <w:szCs w:val="22"/>
              </w:rPr>
              <w:t xml:space="preserve"> no improvement within 3-5 days</w:t>
            </w:r>
            <w:r w:rsidR="00F343AA" w:rsidRPr="007A3223">
              <w:rPr>
                <w:rFonts w:ascii="Times" w:hAnsi="Times"/>
                <w:sz w:val="22"/>
                <w:szCs w:val="22"/>
              </w:rPr>
              <w:t xml:space="preserve"> </w:t>
            </w:r>
            <w:r w:rsidR="007B5FC6" w:rsidRPr="007A3223">
              <w:rPr>
                <w:rFonts w:ascii="Times" w:hAnsi="Times"/>
                <w:sz w:val="22"/>
                <w:szCs w:val="22"/>
              </w:rPr>
              <w:t xml:space="preserve">despite 2-4mg/kg IV methylprednisolone, promptly start  immunosuppressives (infliximab at 5mg/kg once every 2 weeks ).  Caution: Important to rule out bowel perforation and refer to infliximab label for general guidance before using infliximab  </w:t>
            </w:r>
          </w:p>
          <w:p w14:paraId="17A604A8" w14:textId="77777777" w:rsidR="00910233" w:rsidRPr="007A3223" w:rsidRDefault="001F0F0F" w:rsidP="000919D4">
            <w:pPr>
              <w:pStyle w:val="TableLeft"/>
              <w:keepNext/>
              <w:widowControl w:val="0"/>
              <w:spacing w:before="60"/>
              <w:rPr>
                <w:rFonts w:ascii="Times" w:hAnsi="Times"/>
                <w:sz w:val="22"/>
                <w:szCs w:val="22"/>
              </w:rPr>
            </w:pPr>
            <w:r w:rsidRPr="007A3223">
              <w:rPr>
                <w:rFonts w:ascii="Times" w:hAnsi="Times"/>
                <w:sz w:val="22"/>
                <w:szCs w:val="22"/>
              </w:rPr>
              <w:t xml:space="preserve">-  </w:t>
            </w:r>
            <w:r w:rsidR="00910233" w:rsidRPr="007A3223">
              <w:rPr>
                <w:rFonts w:ascii="Times" w:hAnsi="Times"/>
                <w:sz w:val="22"/>
                <w:szCs w:val="22"/>
              </w:rPr>
              <w:t xml:space="preserve">Once improving, gradually taper steroids over ≥4 weeks </w:t>
            </w:r>
            <w:r w:rsidR="007B5FC6" w:rsidRPr="007A3223">
              <w:rPr>
                <w:sz w:val="22"/>
                <w:szCs w:val="22"/>
              </w:rPr>
              <w:t>and consider prophylactic antibiotics, antifungal or anti PCP treatment</w:t>
            </w:r>
          </w:p>
          <w:p w14:paraId="570D5482" w14:textId="77777777" w:rsidR="00B85280" w:rsidRPr="007A3223" w:rsidRDefault="00B85280" w:rsidP="00B85280">
            <w:pPr>
              <w:pStyle w:val="ListBulletSmall2"/>
              <w:keepNext/>
              <w:widowControl w:val="0"/>
              <w:rPr>
                <w:rFonts w:ascii="Times" w:hAnsi="Times"/>
                <w:sz w:val="22"/>
                <w:szCs w:val="22"/>
              </w:rPr>
            </w:pPr>
            <w:r w:rsidRPr="007A3223">
              <w:rPr>
                <w:rFonts w:ascii="Times" w:hAnsi="Times"/>
                <w:sz w:val="22"/>
                <w:szCs w:val="22"/>
              </w:rPr>
              <w:t>-  Consider GI consult and imaging as appropriate.</w:t>
            </w:r>
          </w:p>
        </w:tc>
      </w:tr>
      <w:tr w:rsidR="00560090" w:rsidRPr="007A3223" w14:paraId="2580247A" w14:textId="77777777" w:rsidTr="003009D9">
        <w:trPr>
          <w:cantSplit/>
          <w:trHeight w:val="4666"/>
        </w:trPr>
        <w:tc>
          <w:tcPr>
            <w:tcW w:w="470" w:type="pct"/>
            <w:hideMark/>
          </w:tcPr>
          <w:p w14:paraId="2120593E" w14:textId="77777777" w:rsidR="00910233" w:rsidRPr="007A3223" w:rsidRDefault="00910233" w:rsidP="008E0B5C">
            <w:pPr>
              <w:pStyle w:val="TableCenter"/>
              <w:widowControl w:val="0"/>
              <w:spacing w:before="60"/>
              <w:rPr>
                <w:rFonts w:ascii="Times" w:hAnsi="Times"/>
                <w:b/>
                <w:sz w:val="22"/>
                <w:szCs w:val="22"/>
              </w:rPr>
            </w:pPr>
            <w:r w:rsidRPr="007A3223">
              <w:rPr>
                <w:rFonts w:ascii="Times" w:hAnsi="Times"/>
                <w:b/>
                <w:sz w:val="22"/>
                <w:szCs w:val="22"/>
              </w:rPr>
              <w:t>Grade 3 or 4</w:t>
            </w:r>
          </w:p>
        </w:tc>
        <w:tc>
          <w:tcPr>
            <w:tcW w:w="1164" w:type="pct"/>
            <w:hideMark/>
          </w:tcPr>
          <w:p w14:paraId="710C6E92" w14:textId="77777777" w:rsidR="00910233" w:rsidRPr="007A3223" w:rsidRDefault="00910233" w:rsidP="000919D4">
            <w:pPr>
              <w:pStyle w:val="TableLeft"/>
              <w:keepNext/>
              <w:widowControl w:val="0"/>
              <w:spacing w:before="60"/>
              <w:rPr>
                <w:rFonts w:ascii="Times" w:hAnsi="Times"/>
                <w:sz w:val="22"/>
                <w:szCs w:val="22"/>
              </w:rPr>
            </w:pPr>
            <w:r w:rsidRPr="007A3223">
              <w:rPr>
                <w:rFonts w:ascii="Times" w:hAnsi="Times"/>
                <w:sz w:val="22"/>
                <w:szCs w:val="22"/>
              </w:rPr>
              <w:t>Permanently discontinue Study regimen</w:t>
            </w:r>
          </w:p>
        </w:tc>
        <w:tc>
          <w:tcPr>
            <w:tcW w:w="3366" w:type="pct"/>
            <w:hideMark/>
          </w:tcPr>
          <w:p w14:paraId="04FAC915" w14:textId="77777777" w:rsidR="00910233" w:rsidRPr="007A3223" w:rsidRDefault="00910233" w:rsidP="000919D4">
            <w:pPr>
              <w:pStyle w:val="ListBulletSmall"/>
              <w:keepNext/>
              <w:widowControl w:val="0"/>
              <w:spacing w:before="60"/>
              <w:rPr>
                <w:rFonts w:ascii="Times" w:hAnsi="Times"/>
                <w:sz w:val="22"/>
                <w:szCs w:val="22"/>
              </w:rPr>
            </w:pPr>
            <w:r w:rsidRPr="007A3223">
              <w:rPr>
                <w:rFonts w:ascii="Times" w:hAnsi="Times"/>
                <w:sz w:val="22"/>
                <w:szCs w:val="22"/>
              </w:rPr>
              <w:t>For Grade 3 or 4:</w:t>
            </w:r>
          </w:p>
          <w:p w14:paraId="2400EFCA" w14:textId="77777777" w:rsidR="00F343AA" w:rsidRPr="007A3223" w:rsidRDefault="00D80AD4" w:rsidP="000919D4">
            <w:pPr>
              <w:pStyle w:val="ListBulletSmall2"/>
              <w:keepNext/>
              <w:widowControl w:val="0"/>
              <w:rPr>
                <w:rFonts w:ascii="Times" w:hAnsi="Times"/>
                <w:sz w:val="22"/>
                <w:szCs w:val="22"/>
              </w:rPr>
            </w:pPr>
            <w:r w:rsidRPr="007A3223">
              <w:rPr>
                <w:rFonts w:ascii="Times" w:hAnsi="Times"/>
                <w:sz w:val="22"/>
                <w:szCs w:val="22"/>
              </w:rPr>
              <w:t xml:space="preserve">-  </w:t>
            </w:r>
            <w:r w:rsidR="00F343AA" w:rsidRPr="007A3223">
              <w:rPr>
                <w:rFonts w:ascii="Times" w:hAnsi="Times"/>
                <w:sz w:val="22"/>
                <w:szCs w:val="22"/>
              </w:rPr>
              <w:t>NPO</w:t>
            </w:r>
          </w:p>
          <w:p w14:paraId="52FBE4F5" w14:textId="77777777" w:rsidR="00910233" w:rsidRPr="007A3223" w:rsidRDefault="00F343AA" w:rsidP="000919D4">
            <w:pPr>
              <w:pStyle w:val="ListBulletSmall2"/>
              <w:keepNext/>
              <w:widowControl w:val="0"/>
              <w:rPr>
                <w:rFonts w:ascii="Times" w:hAnsi="Times"/>
                <w:sz w:val="22"/>
                <w:szCs w:val="22"/>
              </w:rPr>
            </w:pPr>
            <w:r w:rsidRPr="007A3223">
              <w:rPr>
                <w:rFonts w:ascii="Times" w:hAnsi="Times"/>
                <w:sz w:val="22"/>
                <w:szCs w:val="22"/>
              </w:rPr>
              <w:t xml:space="preserve">-  </w:t>
            </w:r>
            <w:r w:rsidR="00910233" w:rsidRPr="007A3223">
              <w:rPr>
                <w:rFonts w:ascii="Times" w:hAnsi="Times"/>
                <w:sz w:val="22"/>
                <w:szCs w:val="22"/>
              </w:rPr>
              <w:t xml:space="preserve">Monitor stool frequency and volume and maintain hydration  </w:t>
            </w:r>
          </w:p>
          <w:p w14:paraId="248B7D46" w14:textId="77777777" w:rsidR="00950D95" w:rsidRPr="007A3223" w:rsidRDefault="00D80AD4" w:rsidP="00950D95">
            <w:pPr>
              <w:pStyle w:val="ListBulletSmall2"/>
              <w:keepNext/>
              <w:widowControl w:val="0"/>
              <w:rPr>
                <w:rFonts w:ascii="Times" w:hAnsi="Times"/>
                <w:sz w:val="22"/>
                <w:szCs w:val="22"/>
              </w:rPr>
            </w:pPr>
            <w:r w:rsidRPr="007A3223">
              <w:rPr>
                <w:rFonts w:ascii="Times" w:hAnsi="Times"/>
                <w:sz w:val="22"/>
                <w:szCs w:val="22"/>
              </w:rPr>
              <w:t xml:space="preserve">-  </w:t>
            </w:r>
            <w:r w:rsidR="00950D95" w:rsidRPr="007A3223">
              <w:rPr>
                <w:rFonts w:ascii="Times" w:hAnsi="Times"/>
                <w:sz w:val="22"/>
                <w:szCs w:val="22"/>
              </w:rPr>
              <w:t xml:space="preserve">Promptly initiate empiric IV methylprednisolone 1 to 4 mg/kg/day or equivalent  </w:t>
            </w:r>
          </w:p>
          <w:p w14:paraId="165199FC" w14:textId="77777777" w:rsidR="00950D95" w:rsidRPr="007A3223" w:rsidRDefault="00950D95" w:rsidP="00950D95">
            <w:pPr>
              <w:pStyle w:val="ListBulletSmall2"/>
              <w:keepNext/>
              <w:widowControl w:val="0"/>
              <w:rPr>
                <w:rFonts w:ascii="Times" w:hAnsi="Times"/>
                <w:sz w:val="22"/>
                <w:szCs w:val="22"/>
              </w:rPr>
            </w:pPr>
            <w:r w:rsidRPr="007A3223">
              <w:rPr>
                <w:rFonts w:ascii="Times" w:hAnsi="Times"/>
                <w:sz w:val="22"/>
                <w:szCs w:val="22"/>
              </w:rPr>
              <w:t>-  Urgent GI consult and imaging and/or colonoscopy as appropriate</w:t>
            </w:r>
          </w:p>
          <w:p w14:paraId="538D0AD3" w14:textId="77777777" w:rsidR="00950D95" w:rsidRPr="007A3223" w:rsidRDefault="00950D95" w:rsidP="00950D95">
            <w:pPr>
              <w:pStyle w:val="ListBulletSmall2"/>
              <w:keepNext/>
              <w:widowControl w:val="0"/>
              <w:rPr>
                <w:rFonts w:ascii="Times" w:hAnsi="Times"/>
                <w:sz w:val="22"/>
                <w:szCs w:val="22"/>
              </w:rPr>
            </w:pPr>
            <w:r w:rsidRPr="007A3223">
              <w:rPr>
                <w:rFonts w:ascii="Times" w:hAnsi="Times"/>
                <w:sz w:val="22"/>
                <w:szCs w:val="22"/>
              </w:rPr>
              <w:t xml:space="preserve">-  If still no improvement within 3-5 days of IV methylprednisolone  1 to 4mg/kg/day or equivalent, promptly start further immunosuppressives (infliximab at 5mg/kg once every 2 weeks).  </w:t>
            </w:r>
          </w:p>
          <w:p w14:paraId="64E515EB" w14:textId="77777777" w:rsidR="00950D95" w:rsidRPr="007A3223" w:rsidRDefault="00950D95" w:rsidP="00950D95">
            <w:pPr>
              <w:pStyle w:val="ListBulletSmall2"/>
              <w:keepNext/>
              <w:widowControl w:val="0"/>
              <w:rPr>
                <w:rFonts w:ascii="Times" w:hAnsi="Times"/>
                <w:sz w:val="22"/>
                <w:szCs w:val="22"/>
              </w:rPr>
            </w:pPr>
            <w:r w:rsidRPr="007A3223">
              <w:rPr>
                <w:rFonts w:ascii="Times" w:hAnsi="Times"/>
                <w:sz w:val="22"/>
                <w:szCs w:val="22"/>
              </w:rPr>
              <w:t xml:space="preserve">-  Caution: Ensure GI consult to rule out bowel perforation and refer to infliximab label for general guidance before using infliximab. </w:t>
            </w:r>
          </w:p>
          <w:p w14:paraId="4386CD56" w14:textId="77777777" w:rsidR="00910233" w:rsidRPr="007A3223" w:rsidRDefault="00950D95" w:rsidP="007B5FC6">
            <w:pPr>
              <w:spacing w:after="0" w:line="280" w:lineRule="atLeast"/>
              <w:rPr>
                <w:rFonts w:ascii="Times" w:hAnsi="Times"/>
                <w:sz w:val="22"/>
              </w:rPr>
            </w:pPr>
            <w:r w:rsidRPr="007A3223">
              <w:rPr>
                <w:rFonts w:ascii="Times" w:hAnsi="Times"/>
                <w:sz w:val="22"/>
              </w:rPr>
              <w:t>-</w:t>
            </w:r>
            <w:r w:rsidR="00FF07A6" w:rsidRPr="007A3223">
              <w:rPr>
                <w:rFonts w:ascii="Times" w:hAnsi="Times"/>
                <w:sz w:val="22"/>
              </w:rPr>
              <w:t xml:space="preserve"> </w:t>
            </w:r>
            <w:r w:rsidRPr="007A3223">
              <w:rPr>
                <w:rFonts w:ascii="Times" w:hAnsi="Times"/>
                <w:sz w:val="22"/>
              </w:rPr>
              <w:t xml:space="preserve">Once improving, gradually taper steroids over </w:t>
            </w:r>
            <w:r w:rsidRPr="007A3223">
              <w:rPr>
                <w:rFonts w:ascii="Times" w:hAnsi="Times" w:hint="eastAsia"/>
                <w:sz w:val="22"/>
              </w:rPr>
              <w:t>≥</w:t>
            </w:r>
            <w:r w:rsidRPr="007A3223">
              <w:rPr>
                <w:rFonts w:ascii="Times" w:hAnsi="Times"/>
                <w:sz w:val="22"/>
              </w:rPr>
              <w:t>4 weeks and consider prophylactic antibiotics, antifungals and anti PCP treatment</w:t>
            </w:r>
          </w:p>
        </w:tc>
      </w:tr>
    </w:tbl>
    <w:p w14:paraId="400413B1" w14:textId="77777777" w:rsidR="00E91D43" w:rsidRPr="007A3223" w:rsidRDefault="00E91D43"/>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95"/>
        <w:gridCol w:w="2811"/>
        <w:gridCol w:w="5638"/>
      </w:tblGrid>
      <w:tr w:rsidR="00FF2097" w:rsidRPr="007A3223" w14:paraId="4430125C" w14:textId="77777777" w:rsidTr="00105726">
        <w:trPr>
          <w:cantSplit/>
          <w:trHeight w:val="417"/>
          <w:tblHeader/>
        </w:trPr>
        <w:tc>
          <w:tcPr>
            <w:tcW w:w="5000" w:type="pct"/>
            <w:gridSpan w:val="3"/>
          </w:tcPr>
          <w:p w14:paraId="7774500E" w14:textId="6844D998" w:rsidR="00FF2097" w:rsidRPr="007A3223" w:rsidRDefault="00800A5E" w:rsidP="00403449">
            <w:pPr>
              <w:pStyle w:val="Caption"/>
              <w:rPr>
                <w:rFonts w:ascii="Times" w:hAnsi="Times"/>
                <w:sz w:val="22"/>
                <w:szCs w:val="22"/>
              </w:rPr>
            </w:pPr>
            <w:bookmarkStart w:id="202" w:name="_Ref450557840"/>
            <w:bookmarkStart w:id="203" w:name="_Toc82444454"/>
            <w:r w:rsidRPr="007A3223">
              <w:lastRenderedPageBreak/>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20</w:t>
            </w:r>
            <w:r w:rsidR="00F82420" w:rsidRPr="007A3223">
              <w:rPr>
                <w:noProof/>
              </w:rPr>
              <w:fldChar w:fldCharType="end"/>
            </w:r>
            <w:bookmarkEnd w:id="202"/>
            <w:r w:rsidR="00FF2097" w:rsidRPr="007A3223">
              <w:rPr>
                <w:rFonts w:ascii="Times" w:hAnsi="Times"/>
                <w:b w:val="0"/>
                <w:sz w:val="22"/>
                <w:szCs w:val="22"/>
              </w:rPr>
              <w:t>. Hepatitis (Elevated LFTs)</w:t>
            </w:r>
            <w:bookmarkEnd w:id="203"/>
          </w:p>
        </w:tc>
      </w:tr>
      <w:tr w:rsidR="00FF2097" w:rsidRPr="007A3223" w14:paraId="486C65E4" w14:textId="77777777" w:rsidTr="00162DAB">
        <w:trPr>
          <w:cantSplit/>
          <w:trHeight w:val="436"/>
          <w:tblHeader/>
        </w:trPr>
        <w:tc>
          <w:tcPr>
            <w:tcW w:w="1983" w:type="pct"/>
            <w:gridSpan w:val="2"/>
            <w:shd w:val="clear" w:color="auto" w:fill="BFBFBF" w:themeFill="background1" w:themeFillShade="BF"/>
          </w:tcPr>
          <w:p w14:paraId="033D3535" w14:textId="77777777" w:rsidR="00FF2097" w:rsidRPr="007A3223" w:rsidRDefault="00FF2097" w:rsidP="000919D4">
            <w:pPr>
              <w:pStyle w:val="ListBulletSmall2"/>
              <w:keepNext/>
              <w:widowControl w:val="0"/>
              <w:rPr>
                <w:rFonts w:ascii="Times" w:hAnsi="Times"/>
                <w:b/>
                <w:sz w:val="22"/>
                <w:szCs w:val="22"/>
              </w:rPr>
            </w:pPr>
            <w:r w:rsidRPr="007A3223">
              <w:rPr>
                <w:rFonts w:ascii="Times" w:hAnsi="Times"/>
                <w:b/>
                <w:sz w:val="22"/>
                <w:szCs w:val="22"/>
              </w:rPr>
              <w:t>Dose Modifications</w:t>
            </w:r>
          </w:p>
        </w:tc>
        <w:tc>
          <w:tcPr>
            <w:tcW w:w="3017" w:type="pct"/>
            <w:shd w:val="clear" w:color="auto" w:fill="BFBFBF" w:themeFill="background1" w:themeFillShade="BF"/>
          </w:tcPr>
          <w:p w14:paraId="5E2EE74D" w14:textId="77777777" w:rsidR="00FF2097" w:rsidRPr="007A3223" w:rsidRDefault="00FF2097" w:rsidP="000919D4">
            <w:pPr>
              <w:pStyle w:val="ListBulletSmall2"/>
              <w:keepNext/>
              <w:widowControl w:val="0"/>
              <w:rPr>
                <w:rFonts w:ascii="Times" w:hAnsi="Times"/>
                <w:b/>
                <w:sz w:val="22"/>
                <w:szCs w:val="22"/>
              </w:rPr>
            </w:pPr>
            <w:r w:rsidRPr="007A3223">
              <w:rPr>
                <w:rFonts w:ascii="Times" w:hAnsi="Times"/>
                <w:b/>
                <w:sz w:val="22"/>
                <w:szCs w:val="22"/>
              </w:rPr>
              <w:t>Toxicity Management</w:t>
            </w:r>
          </w:p>
        </w:tc>
      </w:tr>
      <w:tr w:rsidR="006E14E6" w:rsidRPr="007A3223" w14:paraId="047DADE1" w14:textId="77777777" w:rsidTr="00162DAB">
        <w:trPr>
          <w:cantSplit/>
          <w:trHeight w:val="1194"/>
        </w:trPr>
        <w:tc>
          <w:tcPr>
            <w:tcW w:w="1983" w:type="pct"/>
            <w:gridSpan w:val="2"/>
          </w:tcPr>
          <w:p w14:paraId="018DC269" w14:textId="77777777" w:rsidR="006E14E6" w:rsidRPr="007A3223" w:rsidRDefault="006E14E6" w:rsidP="000919D4">
            <w:pPr>
              <w:pStyle w:val="TableLeft"/>
              <w:keepNext/>
              <w:widowControl w:val="0"/>
              <w:spacing w:before="60"/>
              <w:rPr>
                <w:rFonts w:ascii="Times" w:hAnsi="Times"/>
                <w:sz w:val="22"/>
                <w:szCs w:val="22"/>
              </w:rPr>
            </w:pPr>
            <w:r w:rsidRPr="007A3223">
              <w:rPr>
                <w:rFonts w:ascii="Times" w:hAnsi="Times"/>
                <w:sz w:val="22"/>
                <w:szCs w:val="22"/>
              </w:rPr>
              <w:t>Any Grade</w:t>
            </w:r>
          </w:p>
        </w:tc>
        <w:tc>
          <w:tcPr>
            <w:tcW w:w="3017" w:type="pct"/>
          </w:tcPr>
          <w:p w14:paraId="3667DCCF" w14:textId="77777777" w:rsidR="006E14E6" w:rsidRPr="007A3223" w:rsidRDefault="006E14E6" w:rsidP="000919D4">
            <w:pPr>
              <w:pStyle w:val="ListBulletSmall"/>
              <w:keepNext/>
              <w:widowControl w:val="0"/>
              <w:tabs>
                <w:tab w:val="clear" w:pos="360"/>
              </w:tabs>
              <w:ind w:left="0" w:firstLine="0"/>
              <w:rPr>
                <w:rFonts w:ascii="Times" w:hAnsi="Times"/>
                <w:sz w:val="22"/>
                <w:szCs w:val="22"/>
              </w:rPr>
            </w:pPr>
            <w:r w:rsidRPr="007A3223">
              <w:rPr>
                <w:rFonts w:ascii="Times" w:hAnsi="Times"/>
                <w:sz w:val="22"/>
                <w:szCs w:val="22"/>
              </w:rPr>
              <w:t xml:space="preserve">-  Monitor and evaluate liver function test: AST, ALT, ALP and total bilirubin </w:t>
            </w:r>
          </w:p>
          <w:p w14:paraId="498EC08D" w14:textId="77777777" w:rsidR="006E14E6" w:rsidRPr="007A3223" w:rsidRDefault="006E14E6" w:rsidP="000919D4">
            <w:pPr>
              <w:pStyle w:val="ListBulletSmall"/>
              <w:keepNext/>
              <w:widowControl w:val="0"/>
              <w:tabs>
                <w:tab w:val="clear" w:pos="360"/>
                <w:tab w:val="left" w:pos="4230"/>
                <w:tab w:val="left" w:pos="4320"/>
              </w:tabs>
              <w:ind w:left="0" w:firstLine="0"/>
              <w:rPr>
                <w:rFonts w:ascii="Times" w:hAnsi="Times"/>
                <w:sz w:val="22"/>
                <w:szCs w:val="22"/>
              </w:rPr>
            </w:pPr>
            <w:r w:rsidRPr="007A3223">
              <w:rPr>
                <w:rFonts w:ascii="Times" w:hAnsi="Times"/>
                <w:sz w:val="22"/>
                <w:szCs w:val="22"/>
              </w:rPr>
              <w:t xml:space="preserve">-  Evaluate for alternative etiologies (e.g., viral hepatitis, disease progression, concomitant medications) </w:t>
            </w:r>
          </w:p>
        </w:tc>
      </w:tr>
      <w:tr w:rsidR="00560090" w:rsidRPr="007A3223" w14:paraId="49B3E349" w14:textId="77777777" w:rsidTr="00162DAB">
        <w:trPr>
          <w:cantSplit/>
          <w:trHeight w:val="570"/>
        </w:trPr>
        <w:tc>
          <w:tcPr>
            <w:tcW w:w="479" w:type="pct"/>
          </w:tcPr>
          <w:p w14:paraId="64843D3E" w14:textId="77777777" w:rsidR="00560090" w:rsidRPr="007A3223" w:rsidRDefault="00560090" w:rsidP="008E0B5C">
            <w:pPr>
              <w:pStyle w:val="TableCenter"/>
              <w:widowControl w:val="0"/>
              <w:spacing w:before="60"/>
              <w:rPr>
                <w:rFonts w:ascii="Times" w:hAnsi="Times"/>
                <w:b/>
                <w:sz w:val="22"/>
                <w:szCs w:val="22"/>
              </w:rPr>
            </w:pPr>
            <w:r w:rsidRPr="007A3223">
              <w:rPr>
                <w:rFonts w:ascii="Times" w:hAnsi="Times"/>
                <w:b/>
                <w:sz w:val="22"/>
                <w:szCs w:val="22"/>
              </w:rPr>
              <w:t>Grade 1</w:t>
            </w:r>
          </w:p>
        </w:tc>
        <w:tc>
          <w:tcPr>
            <w:tcW w:w="1504" w:type="pct"/>
          </w:tcPr>
          <w:p w14:paraId="402E6FAE" w14:textId="77777777" w:rsidR="00560090" w:rsidRPr="007A3223" w:rsidRDefault="00560090" w:rsidP="000919D4">
            <w:pPr>
              <w:pStyle w:val="TableLeft"/>
              <w:keepNext/>
              <w:widowControl w:val="0"/>
              <w:spacing w:before="60"/>
              <w:rPr>
                <w:rFonts w:ascii="Times" w:hAnsi="Times"/>
                <w:sz w:val="22"/>
                <w:szCs w:val="22"/>
              </w:rPr>
            </w:pPr>
            <w:r w:rsidRPr="007A3223">
              <w:rPr>
                <w:rFonts w:ascii="Times" w:hAnsi="Times"/>
                <w:sz w:val="22"/>
                <w:szCs w:val="22"/>
              </w:rPr>
              <w:t>No dose modification</w:t>
            </w:r>
          </w:p>
        </w:tc>
        <w:tc>
          <w:tcPr>
            <w:tcW w:w="3017" w:type="pct"/>
          </w:tcPr>
          <w:p w14:paraId="507F3F3A" w14:textId="77777777" w:rsidR="00560090" w:rsidRPr="007A3223" w:rsidRDefault="00560090" w:rsidP="000919D4">
            <w:pPr>
              <w:pStyle w:val="ListBulletSmall"/>
              <w:keepNext/>
              <w:widowControl w:val="0"/>
              <w:tabs>
                <w:tab w:val="clear" w:pos="360"/>
              </w:tabs>
              <w:ind w:left="0" w:firstLine="0"/>
              <w:rPr>
                <w:rFonts w:ascii="Times" w:hAnsi="Times"/>
                <w:sz w:val="22"/>
                <w:szCs w:val="22"/>
              </w:rPr>
            </w:pPr>
            <w:r w:rsidRPr="007A3223">
              <w:rPr>
                <w:rFonts w:ascii="Times" w:hAnsi="Times"/>
                <w:sz w:val="22"/>
                <w:szCs w:val="22"/>
              </w:rPr>
              <w:t>Continue LFT monitoring per protocol</w:t>
            </w:r>
          </w:p>
          <w:p w14:paraId="3CA965D1" w14:textId="77777777" w:rsidR="00560090" w:rsidRPr="007A3223" w:rsidRDefault="00560090" w:rsidP="000919D4">
            <w:pPr>
              <w:pStyle w:val="ListBulletSmall"/>
              <w:keepNext/>
              <w:widowControl w:val="0"/>
              <w:tabs>
                <w:tab w:val="clear" w:pos="360"/>
              </w:tabs>
              <w:rPr>
                <w:rFonts w:ascii="Times" w:hAnsi="Times"/>
                <w:sz w:val="22"/>
                <w:szCs w:val="22"/>
              </w:rPr>
            </w:pPr>
            <w:r w:rsidRPr="007A3223">
              <w:rPr>
                <w:rFonts w:ascii="Times" w:hAnsi="Times"/>
                <w:sz w:val="22"/>
                <w:szCs w:val="22"/>
              </w:rPr>
              <w:t xml:space="preserve">If it worsens, treat as </w:t>
            </w:r>
            <w:r w:rsidR="005B3677" w:rsidRPr="007A3223">
              <w:rPr>
                <w:rFonts w:ascii="Times" w:hAnsi="Times"/>
                <w:sz w:val="22"/>
                <w:szCs w:val="22"/>
              </w:rPr>
              <w:t>g</w:t>
            </w:r>
            <w:r w:rsidRPr="007A3223">
              <w:rPr>
                <w:rFonts w:ascii="Times" w:hAnsi="Times"/>
                <w:sz w:val="22"/>
                <w:szCs w:val="22"/>
              </w:rPr>
              <w:t xml:space="preserve">rade 2 </w:t>
            </w:r>
          </w:p>
        </w:tc>
      </w:tr>
      <w:tr w:rsidR="00C26AA3" w:rsidRPr="007A3223" w14:paraId="6AA6D49D" w14:textId="77777777" w:rsidTr="00162DAB">
        <w:trPr>
          <w:cantSplit/>
        </w:trPr>
        <w:tc>
          <w:tcPr>
            <w:tcW w:w="479" w:type="pct"/>
          </w:tcPr>
          <w:p w14:paraId="152331A0" w14:textId="77777777" w:rsidR="00560090" w:rsidRPr="007A3223" w:rsidRDefault="00560090" w:rsidP="008E0B5C">
            <w:pPr>
              <w:pStyle w:val="TableCenter"/>
              <w:widowControl w:val="0"/>
              <w:spacing w:before="60"/>
              <w:rPr>
                <w:rFonts w:ascii="Times" w:hAnsi="Times"/>
                <w:b/>
                <w:sz w:val="22"/>
                <w:szCs w:val="22"/>
              </w:rPr>
            </w:pPr>
            <w:r w:rsidRPr="007A3223">
              <w:rPr>
                <w:rFonts w:ascii="Times" w:hAnsi="Times"/>
                <w:b/>
                <w:sz w:val="22"/>
                <w:szCs w:val="22"/>
              </w:rPr>
              <w:t>Grade 2</w:t>
            </w:r>
          </w:p>
        </w:tc>
        <w:tc>
          <w:tcPr>
            <w:tcW w:w="1504" w:type="pct"/>
          </w:tcPr>
          <w:p w14:paraId="02339342" w14:textId="77777777" w:rsidR="00560090" w:rsidRPr="007A3223" w:rsidRDefault="00560090" w:rsidP="000919D4">
            <w:pPr>
              <w:pStyle w:val="ListBulletSmall"/>
              <w:keepNext/>
              <w:widowControl w:val="0"/>
              <w:tabs>
                <w:tab w:val="num" w:pos="252"/>
              </w:tabs>
              <w:spacing w:before="60"/>
              <w:rPr>
                <w:rFonts w:ascii="Times" w:hAnsi="Times"/>
                <w:sz w:val="22"/>
                <w:szCs w:val="22"/>
              </w:rPr>
            </w:pPr>
            <w:r w:rsidRPr="007A3223">
              <w:rPr>
                <w:rFonts w:ascii="Times" w:hAnsi="Times"/>
                <w:sz w:val="22"/>
                <w:szCs w:val="22"/>
              </w:rPr>
              <w:t xml:space="preserve">Hold Study regimen dose until grade 2 resolution to ≤ </w:t>
            </w:r>
            <w:r w:rsidR="005B3677" w:rsidRPr="007A3223">
              <w:rPr>
                <w:rFonts w:ascii="Times" w:hAnsi="Times"/>
                <w:sz w:val="22"/>
                <w:szCs w:val="22"/>
              </w:rPr>
              <w:t>g</w:t>
            </w:r>
            <w:r w:rsidRPr="007A3223">
              <w:rPr>
                <w:rFonts w:ascii="Times" w:hAnsi="Times"/>
                <w:sz w:val="22"/>
                <w:szCs w:val="22"/>
              </w:rPr>
              <w:t>rade 1</w:t>
            </w:r>
          </w:p>
          <w:p w14:paraId="0FA4ED12" w14:textId="77777777" w:rsidR="00560090" w:rsidRPr="007A3223" w:rsidRDefault="00560090" w:rsidP="000919D4">
            <w:pPr>
              <w:pStyle w:val="ListBulletSmall"/>
              <w:keepNext/>
              <w:widowControl w:val="0"/>
              <w:tabs>
                <w:tab w:val="num" w:pos="252"/>
              </w:tabs>
              <w:spacing w:before="60"/>
              <w:ind w:left="252" w:hanging="270"/>
              <w:rPr>
                <w:rFonts w:ascii="Times" w:hAnsi="Times"/>
                <w:sz w:val="22"/>
                <w:szCs w:val="22"/>
              </w:rPr>
            </w:pPr>
            <w:r w:rsidRPr="007A3223">
              <w:rPr>
                <w:rFonts w:ascii="Times" w:hAnsi="Times"/>
                <w:sz w:val="22"/>
                <w:szCs w:val="22"/>
              </w:rPr>
              <w:t>•</w:t>
            </w:r>
            <w:r w:rsidRPr="007A3223">
              <w:rPr>
                <w:rFonts w:ascii="Times" w:hAnsi="Times"/>
                <w:sz w:val="22"/>
                <w:szCs w:val="22"/>
              </w:rPr>
              <w:tab/>
              <w:t xml:space="preserve">If worsens then treat as </w:t>
            </w:r>
            <w:r w:rsidR="005B3677" w:rsidRPr="007A3223">
              <w:rPr>
                <w:rFonts w:ascii="Times" w:hAnsi="Times"/>
                <w:sz w:val="22"/>
                <w:szCs w:val="22"/>
              </w:rPr>
              <w:t>g</w:t>
            </w:r>
            <w:r w:rsidR="00D52102" w:rsidRPr="007A3223">
              <w:rPr>
                <w:rFonts w:ascii="Times" w:hAnsi="Times"/>
                <w:sz w:val="22"/>
                <w:szCs w:val="22"/>
              </w:rPr>
              <w:t xml:space="preserve">rade </w:t>
            </w:r>
            <w:r w:rsidRPr="007A3223">
              <w:rPr>
                <w:rFonts w:ascii="Times" w:hAnsi="Times"/>
                <w:sz w:val="22"/>
                <w:szCs w:val="22"/>
              </w:rPr>
              <w:t>3 or 4</w:t>
            </w:r>
          </w:p>
          <w:p w14:paraId="452797D2" w14:textId="77777777" w:rsidR="00560090" w:rsidRPr="007A3223" w:rsidRDefault="00560090" w:rsidP="000919D4">
            <w:pPr>
              <w:pStyle w:val="ListBulletSmall"/>
              <w:keepNext/>
              <w:widowControl w:val="0"/>
              <w:tabs>
                <w:tab w:val="num" w:pos="252"/>
              </w:tabs>
              <w:spacing w:before="60"/>
              <w:ind w:left="252" w:hanging="270"/>
              <w:rPr>
                <w:rFonts w:ascii="Times" w:hAnsi="Times"/>
                <w:sz w:val="22"/>
                <w:szCs w:val="22"/>
              </w:rPr>
            </w:pPr>
            <w:r w:rsidRPr="007A3223">
              <w:rPr>
                <w:rFonts w:ascii="Times" w:hAnsi="Times"/>
                <w:sz w:val="22"/>
                <w:szCs w:val="22"/>
              </w:rPr>
              <w:t>•</w:t>
            </w:r>
            <w:r w:rsidRPr="007A3223">
              <w:rPr>
                <w:rFonts w:ascii="Times" w:hAnsi="Times"/>
                <w:sz w:val="22"/>
                <w:szCs w:val="22"/>
              </w:rPr>
              <w:tab/>
              <w:t>If improves to baseline then treat at next scheduled treatment date</w:t>
            </w:r>
          </w:p>
        </w:tc>
        <w:tc>
          <w:tcPr>
            <w:tcW w:w="3017" w:type="pct"/>
          </w:tcPr>
          <w:p w14:paraId="1AF81A53" w14:textId="77777777" w:rsidR="00560090" w:rsidRPr="007A3223" w:rsidRDefault="00560090" w:rsidP="000919D4">
            <w:pPr>
              <w:pStyle w:val="ListBulletSmall"/>
              <w:keepNext/>
              <w:widowControl w:val="0"/>
              <w:spacing w:before="60"/>
              <w:ind w:left="0" w:firstLine="0"/>
              <w:rPr>
                <w:rFonts w:ascii="Times" w:hAnsi="Times"/>
                <w:sz w:val="22"/>
                <w:szCs w:val="22"/>
              </w:rPr>
            </w:pPr>
            <w:r w:rsidRPr="007A3223">
              <w:rPr>
                <w:rFonts w:ascii="Times" w:hAnsi="Times"/>
                <w:sz w:val="22"/>
                <w:szCs w:val="22"/>
              </w:rPr>
              <w:t xml:space="preserve">For Grade 2: </w:t>
            </w:r>
          </w:p>
          <w:p w14:paraId="3B169D1F" w14:textId="77777777" w:rsidR="00457F9A" w:rsidRPr="007A3223" w:rsidRDefault="00D52102" w:rsidP="00457F9A">
            <w:pPr>
              <w:pStyle w:val="ListBulletSmall"/>
              <w:keepNext/>
              <w:widowControl w:val="0"/>
              <w:rPr>
                <w:rFonts w:ascii="Times" w:hAnsi="Times"/>
                <w:sz w:val="22"/>
                <w:szCs w:val="22"/>
              </w:rPr>
            </w:pPr>
            <w:r w:rsidRPr="007A3223">
              <w:rPr>
                <w:rFonts w:ascii="Times" w:hAnsi="Times"/>
                <w:sz w:val="22"/>
                <w:szCs w:val="22"/>
              </w:rPr>
              <w:t xml:space="preserve">-  </w:t>
            </w:r>
            <w:r w:rsidR="00457F9A" w:rsidRPr="007A3223">
              <w:rPr>
                <w:rFonts w:ascii="Times" w:hAnsi="Times"/>
                <w:sz w:val="22"/>
                <w:szCs w:val="22"/>
              </w:rPr>
              <w:t xml:space="preserve">Regular and frequent checking of LFTs (e.g. every 1-2 days) until elevations of these are improving or resolved.  </w:t>
            </w:r>
          </w:p>
          <w:p w14:paraId="6D96863A" w14:textId="77777777" w:rsidR="00457F9A" w:rsidRPr="007A3223" w:rsidRDefault="00457F9A" w:rsidP="00457F9A">
            <w:pPr>
              <w:pStyle w:val="ListBulletSmall"/>
              <w:keepNext/>
              <w:widowControl w:val="0"/>
              <w:rPr>
                <w:rFonts w:ascii="Times" w:hAnsi="Times"/>
                <w:sz w:val="22"/>
                <w:szCs w:val="22"/>
              </w:rPr>
            </w:pPr>
            <w:r w:rsidRPr="007A3223">
              <w:rPr>
                <w:rFonts w:ascii="Times" w:hAnsi="Times"/>
                <w:sz w:val="22"/>
                <w:szCs w:val="22"/>
              </w:rPr>
              <w:t>-  If no resolution to ≤ Grade 1 in 1-2 days, discuss with study physician.</w:t>
            </w:r>
          </w:p>
          <w:p w14:paraId="42A8425A" w14:textId="77777777" w:rsidR="00457F9A" w:rsidRPr="007A3223" w:rsidRDefault="00457F9A" w:rsidP="00457F9A">
            <w:pPr>
              <w:pStyle w:val="ListBulletSmall"/>
              <w:keepNext/>
              <w:widowControl w:val="0"/>
              <w:rPr>
                <w:rFonts w:ascii="Times" w:hAnsi="Times"/>
                <w:sz w:val="22"/>
                <w:szCs w:val="22"/>
              </w:rPr>
            </w:pPr>
            <w:r w:rsidRPr="007A3223">
              <w:rPr>
                <w:rFonts w:ascii="Times" w:hAnsi="Times"/>
                <w:sz w:val="22"/>
                <w:szCs w:val="22"/>
              </w:rPr>
              <w:t xml:space="preserve">-  If event is persistent (&gt; 3-5 days) or worsens, promptly start prednisone 1-2mg/kg/day or IV equivalent. </w:t>
            </w:r>
          </w:p>
          <w:p w14:paraId="4C064419" w14:textId="77777777" w:rsidR="00457F9A" w:rsidRPr="007A3223" w:rsidRDefault="00457F9A" w:rsidP="00457F9A">
            <w:pPr>
              <w:pStyle w:val="ListBulletSmall"/>
              <w:keepNext/>
              <w:widowControl w:val="0"/>
              <w:rPr>
                <w:rFonts w:ascii="Times" w:hAnsi="Times"/>
                <w:sz w:val="22"/>
                <w:szCs w:val="22"/>
              </w:rPr>
            </w:pPr>
            <w:r w:rsidRPr="007A3223">
              <w:rPr>
                <w:rFonts w:ascii="Times" w:hAnsi="Times"/>
                <w:sz w:val="22"/>
                <w:szCs w:val="22"/>
              </w:rPr>
              <w:t>-  If still no improvement within 3-5 days despite 1-2mg/kg/day of prednisone or IV equivalent, consider additional workup and prompt treatment with IV methylprednisolone 2-4mg/kg/day started.</w:t>
            </w:r>
          </w:p>
          <w:p w14:paraId="276F3EE9" w14:textId="77777777" w:rsidR="00457F9A" w:rsidRPr="007A3223" w:rsidRDefault="00457F9A" w:rsidP="00B85280">
            <w:pPr>
              <w:pStyle w:val="ListParagraph"/>
              <w:spacing w:line="280" w:lineRule="atLeast"/>
              <w:ind w:left="0"/>
              <w:rPr>
                <w:rFonts w:ascii="Times" w:hAnsi="Times"/>
                <w:sz w:val="22"/>
                <w:szCs w:val="22"/>
              </w:rPr>
            </w:pPr>
            <w:r w:rsidRPr="007A3223">
              <w:rPr>
                <w:rFonts w:ascii="Times" w:hAnsi="Times"/>
                <w:sz w:val="22"/>
                <w:szCs w:val="22"/>
              </w:rPr>
              <w:t xml:space="preserve">-  If still no improvement within 3-5 days despite 2-4mg/kg/day of IV methylprednisolone, promptly start immunosuppressives (mycophenolate mofetil at 500mg every 12 hours). </w:t>
            </w:r>
            <w:r w:rsidRPr="007A3223">
              <w:rPr>
                <w:rFonts w:ascii="Times" w:hAnsi="Times"/>
                <w:b/>
                <w:sz w:val="22"/>
                <w:szCs w:val="22"/>
              </w:rPr>
              <w:t>Infliximab should NOT be used</w:t>
            </w:r>
            <w:r w:rsidRPr="007A3223">
              <w:rPr>
                <w:rFonts w:ascii="Times" w:hAnsi="Times"/>
                <w:sz w:val="22"/>
                <w:szCs w:val="22"/>
              </w:rPr>
              <w:t>.</w:t>
            </w:r>
          </w:p>
          <w:p w14:paraId="71CD4396" w14:textId="77777777" w:rsidR="00560090" w:rsidRPr="007A3223" w:rsidRDefault="00D52102" w:rsidP="00B85280">
            <w:pPr>
              <w:pStyle w:val="ListParagraph"/>
              <w:spacing w:line="280" w:lineRule="atLeast"/>
              <w:ind w:left="0"/>
            </w:pPr>
            <w:r w:rsidRPr="007A3223">
              <w:rPr>
                <w:rFonts w:ascii="Times" w:hAnsi="Times"/>
                <w:sz w:val="22"/>
                <w:szCs w:val="22"/>
              </w:rPr>
              <w:t xml:space="preserve">- </w:t>
            </w:r>
            <w:r w:rsidR="005B3677" w:rsidRPr="007A3223">
              <w:rPr>
                <w:rFonts w:ascii="Times" w:hAnsi="Times"/>
                <w:sz w:val="22"/>
                <w:szCs w:val="22"/>
              </w:rPr>
              <w:t xml:space="preserve"> </w:t>
            </w:r>
            <w:r w:rsidR="00560090" w:rsidRPr="007A3223">
              <w:rPr>
                <w:rFonts w:ascii="Times" w:hAnsi="Times"/>
                <w:sz w:val="22"/>
                <w:szCs w:val="22"/>
              </w:rPr>
              <w:t xml:space="preserve">Once improving, gradually taper steroids over </w:t>
            </w:r>
            <w:r w:rsidR="00560090" w:rsidRPr="007A3223">
              <w:rPr>
                <w:rFonts w:ascii="Times" w:hAnsi="Times" w:hint="eastAsia"/>
                <w:sz w:val="22"/>
                <w:szCs w:val="22"/>
              </w:rPr>
              <w:t>≥</w:t>
            </w:r>
            <w:r w:rsidR="00560090" w:rsidRPr="007A3223">
              <w:rPr>
                <w:rFonts w:ascii="Times" w:hAnsi="Times" w:hint="eastAsia"/>
                <w:sz w:val="22"/>
                <w:szCs w:val="22"/>
              </w:rPr>
              <w:t>4</w:t>
            </w:r>
            <w:r w:rsidR="00560090" w:rsidRPr="007A3223">
              <w:rPr>
                <w:rFonts w:ascii="Times" w:hAnsi="Times"/>
                <w:sz w:val="22"/>
                <w:szCs w:val="22"/>
              </w:rPr>
              <w:t xml:space="preserve"> weeks and consider prophylactic antibiotics</w:t>
            </w:r>
            <w:r w:rsidR="00457F9A" w:rsidRPr="007A3223">
              <w:rPr>
                <w:rFonts w:ascii="Times" w:hAnsi="Times"/>
                <w:sz w:val="22"/>
                <w:szCs w:val="22"/>
              </w:rPr>
              <w:t>,</w:t>
            </w:r>
            <w:r w:rsidR="00457F9A" w:rsidRPr="007A3223">
              <w:t xml:space="preserve"> </w:t>
            </w:r>
            <w:r w:rsidR="00457F9A" w:rsidRPr="007A3223">
              <w:rPr>
                <w:rFonts w:ascii="Times" w:hAnsi="Times"/>
                <w:sz w:val="22"/>
                <w:szCs w:val="22"/>
              </w:rPr>
              <w:t>antifungals and anti PCP treatment</w:t>
            </w:r>
            <w:r w:rsidR="00485CDE" w:rsidRPr="007A3223">
              <w:rPr>
                <w:rFonts w:ascii="Times" w:hAnsi="Times"/>
                <w:sz w:val="22"/>
                <w:szCs w:val="22"/>
              </w:rPr>
              <w:t>.</w:t>
            </w:r>
          </w:p>
        </w:tc>
      </w:tr>
      <w:tr w:rsidR="00560090" w:rsidRPr="007A3223" w14:paraId="5484365D" w14:textId="77777777" w:rsidTr="00162DAB">
        <w:trPr>
          <w:cantSplit/>
          <w:trHeight w:val="148"/>
        </w:trPr>
        <w:tc>
          <w:tcPr>
            <w:tcW w:w="479" w:type="pct"/>
            <w:hideMark/>
          </w:tcPr>
          <w:p w14:paraId="1D378672" w14:textId="77777777" w:rsidR="00560090" w:rsidRPr="007A3223" w:rsidRDefault="00560090" w:rsidP="008E0B5C">
            <w:pPr>
              <w:pStyle w:val="TableCenter"/>
              <w:widowControl w:val="0"/>
              <w:spacing w:before="60"/>
              <w:rPr>
                <w:rFonts w:ascii="Times" w:hAnsi="Times"/>
                <w:b/>
                <w:sz w:val="22"/>
                <w:szCs w:val="22"/>
              </w:rPr>
            </w:pPr>
            <w:r w:rsidRPr="007A3223">
              <w:rPr>
                <w:rFonts w:ascii="Times" w:hAnsi="Times"/>
                <w:b/>
                <w:sz w:val="22"/>
                <w:szCs w:val="22"/>
              </w:rPr>
              <w:lastRenderedPageBreak/>
              <w:t>Grade 3</w:t>
            </w:r>
          </w:p>
        </w:tc>
        <w:tc>
          <w:tcPr>
            <w:tcW w:w="1504" w:type="pct"/>
            <w:hideMark/>
          </w:tcPr>
          <w:p w14:paraId="762D7D1B" w14:textId="77777777" w:rsidR="00560090" w:rsidRPr="007A3223" w:rsidRDefault="00560090"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For elevations in transaminases ≤ 8 × ULN, or elevations in bilirubin ≤ 5 × ULN </w:t>
            </w:r>
          </w:p>
          <w:p w14:paraId="4A256FC4" w14:textId="77777777" w:rsidR="00560090" w:rsidRPr="007A3223" w:rsidRDefault="00560090" w:rsidP="00FB66BA">
            <w:pPr>
              <w:pStyle w:val="ListBulletSmall2"/>
              <w:keepNext/>
              <w:widowControl w:val="0"/>
              <w:numPr>
                <w:ilvl w:val="0"/>
                <w:numId w:val="50"/>
              </w:numPr>
              <w:tabs>
                <w:tab w:val="num" w:pos="0"/>
              </w:tabs>
              <w:ind w:left="343" w:hanging="343"/>
              <w:rPr>
                <w:rFonts w:ascii="Times" w:hAnsi="Times"/>
                <w:sz w:val="22"/>
                <w:szCs w:val="22"/>
              </w:rPr>
            </w:pPr>
            <w:r w:rsidRPr="007A3223">
              <w:rPr>
                <w:rFonts w:ascii="Times" w:hAnsi="Times"/>
                <w:sz w:val="22"/>
                <w:szCs w:val="22"/>
              </w:rPr>
              <w:t xml:space="preserve">Hold </w:t>
            </w:r>
            <w:r w:rsidR="00692538" w:rsidRPr="007A3223">
              <w:rPr>
                <w:rFonts w:ascii="Times" w:hAnsi="Times"/>
                <w:sz w:val="22"/>
                <w:szCs w:val="22"/>
              </w:rPr>
              <w:t>s</w:t>
            </w:r>
            <w:r w:rsidRPr="007A3223">
              <w:rPr>
                <w:rFonts w:ascii="Times" w:hAnsi="Times"/>
                <w:sz w:val="22"/>
                <w:szCs w:val="22"/>
              </w:rPr>
              <w:t xml:space="preserve">tudy regimen dose until resolution to ≤ </w:t>
            </w:r>
            <w:r w:rsidR="00692538" w:rsidRPr="007A3223">
              <w:rPr>
                <w:rFonts w:ascii="Times" w:hAnsi="Times"/>
                <w:sz w:val="22"/>
                <w:szCs w:val="22"/>
              </w:rPr>
              <w:t>g</w:t>
            </w:r>
            <w:r w:rsidRPr="007A3223">
              <w:rPr>
                <w:rFonts w:ascii="Times" w:hAnsi="Times"/>
                <w:sz w:val="22"/>
                <w:szCs w:val="22"/>
              </w:rPr>
              <w:t xml:space="preserve">rade 1 or baseline  </w:t>
            </w:r>
          </w:p>
          <w:p w14:paraId="193D8EE4" w14:textId="77777777" w:rsidR="00560090" w:rsidRPr="007A3223" w:rsidRDefault="00560090" w:rsidP="00FB66BA">
            <w:pPr>
              <w:pStyle w:val="ListBulletSmall2"/>
              <w:keepNext/>
              <w:widowControl w:val="0"/>
              <w:numPr>
                <w:ilvl w:val="0"/>
                <w:numId w:val="50"/>
              </w:numPr>
              <w:tabs>
                <w:tab w:val="num" w:pos="0"/>
              </w:tabs>
              <w:ind w:left="343" w:hanging="343"/>
              <w:rPr>
                <w:rFonts w:ascii="Times" w:hAnsi="Times"/>
                <w:sz w:val="22"/>
                <w:szCs w:val="22"/>
              </w:rPr>
            </w:pPr>
            <w:r w:rsidRPr="007A3223">
              <w:rPr>
                <w:rFonts w:ascii="Times" w:hAnsi="Times"/>
                <w:sz w:val="22"/>
                <w:szCs w:val="22"/>
              </w:rPr>
              <w:t xml:space="preserve">Resume </w:t>
            </w:r>
            <w:r w:rsidR="00692538" w:rsidRPr="007A3223">
              <w:rPr>
                <w:rFonts w:ascii="Times" w:hAnsi="Times"/>
                <w:sz w:val="22"/>
                <w:szCs w:val="22"/>
              </w:rPr>
              <w:t>s</w:t>
            </w:r>
            <w:r w:rsidRPr="007A3223">
              <w:rPr>
                <w:rFonts w:ascii="Times" w:hAnsi="Times"/>
                <w:sz w:val="22"/>
                <w:szCs w:val="22"/>
              </w:rPr>
              <w:t xml:space="preserve">tudy regimen administration at the next scheduled dose if elevations downgrade ≤ </w:t>
            </w:r>
            <w:r w:rsidR="00692538" w:rsidRPr="007A3223">
              <w:rPr>
                <w:rFonts w:ascii="Times" w:hAnsi="Times"/>
                <w:sz w:val="22"/>
                <w:szCs w:val="22"/>
              </w:rPr>
              <w:t>g</w:t>
            </w:r>
            <w:r w:rsidRPr="007A3223">
              <w:rPr>
                <w:rFonts w:ascii="Times" w:hAnsi="Times"/>
                <w:sz w:val="22"/>
                <w:szCs w:val="22"/>
              </w:rPr>
              <w:t>rade 1 or baseline within 14 days</w:t>
            </w:r>
          </w:p>
          <w:p w14:paraId="699F8EC0" w14:textId="77777777" w:rsidR="00560090" w:rsidRPr="007A3223" w:rsidRDefault="00560090"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Permanently discontinue </w:t>
            </w:r>
            <w:r w:rsidR="00692538" w:rsidRPr="007A3223">
              <w:rPr>
                <w:rFonts w:ascii="Times" w:hAnsi="Times"/>
                <w:sz w:val="22"/>
                <w:szCs w:val="22"/>
              </w:rPr>
              <w:t>s</w:t>
            </w:r>
            <w:r w:rsidRPr="007A3223">
              <w:rPr>
                <w:rFonts w:ascii="Times" w:hAnsi="Times"/>
                <w:sz w:val="22"/>
                <w:szCs w:val="22"/>
              </w:rPr>
              <w:t xml:space="preserve">tudy regimen if the elevations do not downgrade to ≤ </w:t>
            </w:r>
            <w:r w:rsidR="00692538" w:rsidRPr="007A3223">
              <w:rPr>
                <w:rFonts w:ascii="Times" w:hAnsi="Times"/>
                <w:sz w:val="22"/>
                <w:szCs w:val="22"/>
              </w:rPr>
              <w:t>g</w:t>
            </w:r>
            <w:r w:rsidRPr="007A3223">
              <w:rPr>
                <w:rFonts w:ascii="Times" w:hAnsi="Times"/>
                <w:sz w:val="22"/>
                <w:szCs w:val="22"/>
              </w:rPr>
              <w:t>rade 1 or baseline within 14 days</w:t>
            </w:r>
            <w:r w:rsidR="00692538" w:rsidRPr="007A3223">
              <w:rPr>
                <w:rFonts w:ascii="Times" w:hAnsi="Times"/>
                <w:sz w:val="22"/>
                <w:szCs w:val="22"/>
              </w:rPr>
              <w:t>.</w:t>
            </w:r>
            <w:r w:rsidRPr="007A3223">
              <w:rPr>
                <w:rFonts w:ascii="Times" w:hAnsi="Times"/>
                <w:sz w:val="22"/>
                <w:szCs w:val="22"/>
              </w:rPr>
              <w:t xml:space="preserve"> </w:t>
            </w:r>
          </w:p>
          <w:p w14:paraId="2934585C" w14:textId="77777777" w:rsidR="00560090" w:rsidRPr="007A3223" w:rsidRDefault="00560090"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For elevations in transaminases &gt; 8 × ULN or elevations in bilirubin &gt; 5 × ULN, discontinue </w:t>
            </w:r>
            <w:r w:rsidR="00692538" w:rsidRPr="007A3223">
              <w:rPr>
                <w:rFonts w:ascii="Times" w:hAnsi="Times"/>
                <w:sz w:val="22"/>
                <w:szCs w:val="22"/>
              </w:rPr>
              <w:t>s</w:t>
            </w:r>
            <w:r w:rsidRPr="007A3223">
              <w:rPr>
                <w:rFonts w:ascii="Times" w:hAnsi="Times"/>
                <w:sz w:val="22"/>
                <w:szCs w:val="22"/>
              </w:rPr>
              <w:t>tudy regimen</w:t>
            </w:r>
            <w:r w:rsidR="00692538" w:rsidRPr="007A3223">
              <w:rPr>
                <w:rFonts w:ascii="Times" w:hAnsi="Times"/>
                <w:sz w:val="22"/>
                <w:szCs w:val="22"/>
              </w:rPr>
              <w:t>.</w:t>
            </w:r>
            <w:r w:rsidRPr="007A3223">
              <w:rPr>
                <w:rFonts w:ascii="Times" w:hAnsi="Times"/>
                <w:sz w:val="22"/>
                <w:szCs w:val="22"/>
              </w:rPr>
              <w:t xml:space="preserve"> </w:t>
            </w:r>
          </w:p>
          <w:p w14:paraId="582E7785" w14:textId="77777777" w:rsidR="00560090" w:rsidRPr="007A3223" w:rsidRDefault="00560090"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Discontinue Study regimen for any case meeting Hy’s law criteria</w:t>
            </w:r>
            <w:r w:rsidR="00545017" w:rsidRPr="007A3223">
              <w:rPr>
                <w:rFonts w:ascii="Times" w:hAnsi="Times"/>
                <w:sz w:val="22"/>
                <w:szCs w:val="22"/>
              </w:rPr>
              <w:t>*</w:t>
            </w:r>
          </w:p>
        </w:tc>
        <w:tc>
          <w:tcPr>
            <w:tcW w:w="3017" w:type="pct"/>
            <w:vMerge w:val="restart"/>
            <w:hideMark/>
          </w:tcPr>
          <w:p w14:paraId="09AC08B4" w14:textId="77777777" w:rsidR="00560090" w:rsidRPr="007A3223" w:rsidRDefault="00560090" w:rsidP="000919D4">
            <w:pPr>
              <w:pStyle w:val="ListBulletSmall"/>
              <w:keepNext/>
              <w:widowControl w:val="0"/>
              <w:rPr>
                <w:rFonts w:ascii="Times" w:hAnsi="Times"/>
                <w:sz w:val="22"/>
                <w:szCs w:val="22"/>
              </w:rPr>
            </w:pPr>
            <w:r w:rsidRPr="007A3223">
              <w:rPr>
                <w:rFonts w:ascii="Times" w:hAnsi="Times"/>
                <w:sz w:val="22"/>
                <w:szCs w:val="22"/>
              </w:rPr>
              <w:t>For Grade 3 or 4:</w:t>
            </w:r>
          </w:p>
          <w:p w14:paraId="27D69DA3" w14:textId="77777777" w:rsidR="00C97688" w:rsidRPr="007A3223" w:rsidRDefault="00E81EA6" w:rsidP="00C97688">
            <w:pPr>
              <w:pStyle w:val="ListBulletSmall"/>
              <w:keepNext/>
              <w:widowControl w:val="0"/>
              <w:spacing w:after="0"/>
              <w:rPr>
                <w:rFonts w:ascii="Times" w:hAnsi="Times"/>
                <w:sz w:val="22"/>
                <w:szCs w:val="22"/>
              </w:rPr>
            </w:pPr>
            <w:r w:rsidRPr="007A3223">
              <w:rPr>
                <w:rFonts w:ascii="Times" w:hAnsi="Times"/>
                <w:sz w:val="22"/>
                <w:szCs w:val="22"/>
              </w:rPr>
              <w:t xml:space="preserve">-  </w:t>
            </w:r>
            <w:r w:rsidR="00C97688" w:rsidRPr="007A3223">
              <w:rPr>
                <w:rFonts w:ascii="Times" w:hAnsi="Times"/>
                <w:sz w:val="22"/>
                <w:szCs w:val="22"/>
              </w:rPr>
              <w:tab/>
              <w:t xml:space="preserve">Promptly initiate empiric IV methylprednisolone at 1 to 4 mg/kg/day or equivalent </w:t>
            </w:r>
          </w:p>
          <w:p w14:paraId="6F6A2B30" w14:textId="77777777" w:rsidR="00C97688" w:rsidRPr="007A3223" w:rsidRDefault="00C97688" w:rsidP="00C97688">
            <w:pPr>
              <w:pStyle w:val="ListBulletSmall"/>
              <w:keepNext/>
              <w:widowControl w:val="0"/>
              <w:spacing w:after="0"/>
              <w:rPr>
                <w:rFonts w:ascii="Times" w:hAnsi="Times"/>
                <w:sz w:val="22"/>
                <w:szCs w:val="22"/>
              </w:rPr>
            </w:pPr>
            <w:r w:rsidRPr="007A3223">
              <w:rPr>
                <w:rFonts w:ascii="Times" w:hAnsi="Times"/>
                <w:sz w:val="22"/>
                <w:szCs w:val="22"/>
              </w:rPr>
              <w:t>-</w:t>
            </w:r>
            <w:r w:rsidRPr="007A3223">
              <w:rPr>
                <w:rFonts w:ascii="Times" w:hAnsi="Times"/>
                <w:sz w:val="22"/>
                <w:szCs w:val="22"/>
              </w:rPr>
              <w:tab/>
              <w:t>If still no improvement within 3-5 days despite 1 to 4 mg/kg/day meth</w:t>
            </w:r>
            <w:r w:rsidR="00497789" w:rsidRPr="007A3223">
              <w:rPr>
                <w:rFonts w:ascii="Times" w:hAnsi="Times"/>
                <w:sz w:val="22"/>
                <w:szCs w:val="22"/>
              </w:rPr>
              <w:t>ylprednisolone IV or equivalent</w:t>
            </w:r>
            <w:r w:rsidRPr="007A3223">
              <w:rPr>
                <w:rFonts w:ascii="Times" w:hAnsi="Times"/>
                <w:sz w:val="22"/>
                <w:szCs w:val="22"/>
              </w:rPr>
              <w:t>, promptly start treatment with immunosuppressive therapy (mycophenolate mofetil at 500mg every 12 hours)  Discuss with study physician if mycophenolate is not available. Infliximab should NOT be used.</w:t>
            </w:r>
          </w:p>
          <w:p w14:paraId="5707BA63" w14:textId="77777777" w:rsidR="00C97688" w:rsidRPr="007A3223" w:rsidRDefault="00C97688" w:rsidP="00C97688">
            <w:pPr>
              <w:pStyle w:val="ListBulletSmall"/>
              <w:keepNext/>
              <w:widowControl w:val="0"/>
              <w:spacing w:after="0"/>
              <w:rPr>
                <w:rFonts w:ascii="Times" w:hAnsi="Times"/>
                <w:sz w:val="22"/>
                <w:szCs w:val="22"/>
              </w:rPr>
            </w:pPr>
            <w:r w:rsidRPr="007A3223">
              <w:rPr>
                <w:rFonts w:ascii="Times" w:hAnsi="Times"/>
                <w:sz w:val="22"/>
                <w:szCs w:val="22"/>
              </w:rPr>
              <w:t>-</w:t>
            </w:r>
            <w:r w:rsidRPr="007A3223">
              <w:rPr>
                <w:rFonts w:ascii="Times" w:hAnsi="Times"/>
                <w:sz w:val="22"/>
                <w:szCs w:val="22"/>
              </w:rPr>
              <w:tab/>
              <w:t>Hepatology consult, abdominal workup, and imaging as appropriate.</w:t>
            </w:r>
          </w:p>
          <w:p w14:paraId="5E863BCF" w14:textId="77777777" w:rsidR="00560090" w:rsidRPr="007A3223" w:rsidRDefault="00C97688" w:rsidP="000807F5">
            <w:pPr>
              <w:pStyle w:val="ListBulletSmall"/>
              <w:keepNext/>
              <w:widowControl w:val="0"/>
              <w:tabs>
                <w:tab w:val="clear" w:pos="360"/>
              </w:tabs>
              <w:spacing w:after="0"/>
              <w:ind w:left="342" w:hanging="342"/>
              <w:rPr>
                <w:rFonts w:ascii="Times" w:hAnsi="Times"/>
                <w:sz w:val="22"/>
                <w:szCs w:val="22"/>
              </w:rPr>
            </w:pPr>
            <w:r w:rsidRPr="007A3223">
              <w:rPr>
                <w:rFonts w:ascii="Times" w:hAnsi="Times"/>
                <w:sz w:val="22"/>
                <w:szCs w:val="22"/>
              </w:rPr>
              <w:t xml:space="preserve">-     Once improving, gradually taper steroids over ≥4 weeks and consider prophylactic antibiotics, antifungals and anti PCP treatment. </w:t>
            </w:r>
          </w:p>
          <w:p w14:paraId="5EB157DA" w14:textId="77777777" w:rsidR="00560090" w:rsidRPr="007A3223" w:rsidRDefault="00560090" w:rsidP="000919D4">
            <w:pPr>
              <w:pStyle w:val="ListBulletSmall"/>
              <w:keepNext/>
              <w:widowControl w:val="0"/>
              <w:tabs>
                <w:tab w:val="clear" w:pos="360"/>
              </w:tabs>
              <w:ind w:left="720" w:firstLine="0"/>
              <w:rPr>
                <w:rFonts w:ascii="Times" w:hAnsi="Times"/>
                <w:sz w:val="22"/>
                <w:szCs w:val="22"/>
              </w:rPr>
            </w:pPr>
          </w:p>
        </w:tc>
      </w:tr>
      <w:tr w:rsidR="00C26AA3" w:rsidRPr="007A3223" w14:paraId="5DF3A8E0" w14:textId="77777777" w:rsidTr="00162DAB">
        <w:trPr>
          <w:cantSplit/>
          <w:trHeight w:val="634"/>
        </w:trPr>
        <w:tc>
          <w:tcPr>
            <w:tcW w:w="479" w:type="pct"/>
            <w:hideMark/>
          </w:tcPr>
          <w:p w14:paraId="6F266466" w14:textId="77777777" w:rsidR="00560090" w:rsidRPr="007A3223" w:rsidRDefault="00560090" w:rsidP="008E0B5C">
            <w:pPr>
              <w:pStyle w:val="TableCenter"/>
              <w:widowControl w:val="0"/>
              <w:spacing w:before="60"/>
              <w:rPr>
                <w:rFonts w:ascii="Times" w:hAnsi="Times"/>
                <w:b/>
                <w:sz w:val="22"/>
                <w:szCs w:val="22"/>
              </w:rPr>
            </w:pPr>
            <w:r w:rsidRPr="007A3223">
              <w:rPr>
                <w:rFonts w:ascii="Times" w:hAnsi="Times"/>
                <w:b/>
                <w:sz w:val="22"/>
                <w:szCs w:val="22"/>
              </w:rPr>
              <w:t>Grade 4</w:t>
            </w:r>
          </w:p>
        </w:tc>
        <w:tc>
          <w:tcPr>
            <w:tcW w:w="1504" w:type="pct"/>
            <w:hideMark/>
          </w:tcPr>
          <w:p w14:paraId="2EE69C5C" w14:textId="77777777" w:rsidR="00560090" w:rsidRPr="007A3223" w:rsidRDefault="00560090" w:rsidP="000919D4">
            <w:pPr>
              <w:pStyle w:val="TableLeft"/>
              <w:keepNext/>
              <w:widowControl w:val="0"/>
              <w:spacing w:before="60"/>
              <w:rPr>
                <w:rFonts w:ascii="Times" w:hAnsi="Times"/>
                <w:sz w:val="22"/>
                <w:szCs w:val="22"/>
              </w:rPr>
            </w:pPr>
            <w:r w:rsidRPr="007A3223">
              <w:rPr>
                <w:rFonts w:ascii="Times" w:hAnsi="Times"/>
                <w:sz w:val="22"/>
                <w:szCs w:val="22"/>
              </w:rPr>
              <w:t xml:space="preserve">Permanently discontinue Study regimen </w:t>
            </w:r>
          </w:p>
        </w:tc>
        <w:tc>
          <w:tcPr>
            <w:tcW w:w="3017" w:type="pct"/>
            <w:vMerge/>
            <w:vAlign w:val="center"/>
            <w:hideMark/>
          </w:tcPr>
          <w:p w14:paraId="60094046" w14:textId="77777777" w:rsidR="00560090" w:rsidRPr="007A3223" w:rsidRDefault="00560090" w:rsidP="000919D4">
            <w:pPr>
              <w:keepNext/>
              <w:widowControl w:val="0"/>
              <w:spacing w:after="0"/>
              <w:rPr>
                <w:rFonts w:ascii="Times" w:hAnsi="Times"/>
                <w:sz w:val="22"/>
              </w:rPr>
            </w:pPr>
          </w:p>
        </w:tc>
      </w:tr>
    </w:tbl>
    <w:p w14:paraId="67A28558" w14:textId="77777777" w:rsidR="00E91D43" w:rsidRPr="007A3223" w:rsidRDefault="00545017" w:rsidP="00692538">
      <w:pPr>
        <w:pBdr>
          <w:top w:val="single" w:sz="4" w:space="1" w:color="auto"/>
        </w:pBdr>
        <w:spacing w:after="60"/>
        <w:rPr>
          <w:rFonts w:ascii="Times" w:hAnsi="Times" w:cs="Arial"/>
          <w:kern w:val="32"/>
          <w:szCs w:val="24"/>
        </w:rPr>
      </w:pPr>
      <w:r w:rsidRPr="007A3223">
        <w:rPr>
          <w:rFonts w:ascii="Times" w:hAnsi="Times" w:cs="Arial"/>
          <w:kern w:val="32"/>
          <w:szCs w:val="24"/>
        </w:rPr>
        <w:t>* Hy’s Law</w:t>
      </w:r>
    </w:p>
    <w:p w14:paraId="60E2775B" w14:textId="77777777" w:rsidR="00545017" w:rsidRPr="007A3223" w:rsidRDefault="00545017" w:rsidP="00545017">
      <w:pPr>
        <w:ind w:left="360"/>
        <w:rPr>
          <w:kern w:val="32"/>
          <w:szCs w:val="24"/>
        </w:rPr>
      </w:pPr>
      <w:r w:rsidRPr="007A3223">
        <w:rPr>
          <w:kern w:val="32"/>
          <w:szCs w:val="24"/>
        </w:rPr>
        <w:t>A prognostic indicator that pure drug-induced liver injury (DILI) leading to jaundice, without a hepatic transplant, has a case fatality rate of 10 – 50%.  The principle is based on observations by Hy Zimmerman, a scholar of drug-induced liver injury.</w:t>
      </w:r>
    </w:p>
    <w:p w14:paraId="6B09B798" w14:textId="77777777" w:rsidR="00545017" w:rsidRPr="007A3223" w:rsidRDefault="00545017" w:rsidP="00692538">
      <w:pPr>
        <w:spacing w:before="60" w:after="60"/>
        <w:rPr>
          <w:kern w:val="32"/>
          <w:szCs w:val="24"/>
        </w:rPr>
      </w:pPr>
      <w:r w:rsidRPr="007A3223">
        <w:rPr>
          <w:kern w:val="32"/>
          <w:szCs w:val="24"/>
        </w:rPr>
        <w:t>Hy’s Law cases include the following three components:</w:t>
      </w:r>
    </w:p>
    <w:p w14:paraId="6ED544BE" w14:textId="77777777" w:rsidR="00545017" w:rsidRPr="007A3223" w:rsidRDefault="00545017" w:rsidP="00FB66BA">
      <w:pPr>
        <w:numPr>
          <w:ilvl w:val="0"/>
          <w:numId w:val="57"/>
        </w:numPr>
        <w:tabs>
          <w:tab w:val="left" w:pos="360"/>
        </w:tabs>
        <w:spacing w:after="60"/>
        <w:ind w:left="0" w:firstLine="0"/>
        <w:rPr>
          <w:kern w:val="32"/>
          <w:szCs w:val="24"/>
        </w:rPr>
      </w:pPr>
      <w:r w:rsidRPr="007A3223">
        <w:rPr>
          <w:kern w:val="32"/>
          <w:szCs w:val="24"/>
        </w:rPr>
        <w:t xml:space="preserve">An implicated drug causes hepatocellular injury, generally shown by more frequent increase in ALT or AST </w:t>
      </w:r>
      <w:r w:rsidRPr="007A3223">
        <w:rPr>
          <w:rFonts w:hint="eastAsia"/>
          <w:kern w:val="32"/>
          <w:szCs w:val="24"/>
        </w:rPr>
        <w:t>≥</w:t>
      </w:r>
      <w:r w:rsidR="00692538" w:rsidRPr="007A3223">
        <w:rPr>
          <w:kern w:val="32"/>
          <w:szCs w:val="24"/>
        </w:rPr>
        <w:t xml:space="preserve"> </w:t>
      </w:r>
      <w:r w:rsidRPr="007A3223">
        <w:rPr>
          <w:kern w:val="32"/>
          <w:szCs w:val="24"/>
        </w:rPr>
        <w:t xml:space="preserve">3x ULN than a (non-hepatotoxic) control or placebo. </w:t>
      </w:r>
    </w:p>
    <w:p w14:paraId="06BB170D" w14:textId="77777777" w:rsidR="00545017" w:rsidRPr="007A3223" w:rsidRDefault="00545017" w:rsidP="00FB66BA">
      <w:pPr>
        <w:numPr>
          <w:ilvl w:val="0"/>
          <w:numId w:val="57"/>
        </w:numPr>
        <w:tabs>
          <w:tab w:val="left" w:pos="360"/>
        </w:tabs>
        <w:spacing w:after="60"/>
        <w:ind w:left="0" w:firstLine="0"/>
        <w:rPr>
          <w:kern w:val="32"/>
          <w:szCs w:val="24"/>
        </w:rPr>
      </w:pPr>
      <w:r w:rsidRPr="007A3223">
        <w:rPr>
          <w:kern w:val="32"/>
          <w:szCs w:val="24"/>
        </w:rPr>
        <w:t xml:space="preserve">Among subjects showing </w:t>
      </w:r>
      <w:r w:rsidRPr="007A3223">
        <w:rPr>
          <w:rFonts w:hint="eastAsia"/>
          <w:kern w:val="32"/>
          <w:szCs w:val="24"/>
        </w:rPr>
        <w:t>↑’</w:t>
      </w:r>
      <w:r w:rsidRPr="007A3223">
        <w:rPr>
          <w:kern w:val="32"/>
          <w:szCs w:val="24"/>
        </w:rPr>
        <w:t>d transaminases, often with transaminases &gt;&gt;</w:t>
      </w:r>
      <w:r w:rsidR="00BD634B" w:rsidRPr="007A3223">
        <w:rPr>
          <w:kern w:val="32"/>
          <w:szCs w:val="24"/>
        </w:rPr>
        <w:t xml:space="preserve"> </w:t>
      </w:r>
      <w:r w:rsidRPr="007A3223">
        <w:rPr>
          <w:kern w:val="32"/>
          <w:szCs w:val="24"/>
        </w:rPr>
        <w:t>3x ULN, some subjects also show increased serum total bilirubin &gt;2x ULN, without initial evidence of cholestasis (serum alkaline phosphatase activity &gt;2</w:t>
      </w:r>
      <w:r w:rsidR="00BD634B" w:rsidRPr="007A3223">
        <w:rPr>
          <w:kern w:val="32"/>
          <w:szCs w:val="24"/>
        </w:rPr>
        <w:t xml:space="preserve"> </w:t>
      </w:r>
      <w:r w:rsidRPr="007A3223">
        <w:rPr>
          <w:kern w:val="32"/>
          <w:szCs w:val="24"/>
        </w:rPr>
        <w:t>x ULN).</w:t>
      </w:r>
    </w:p>
    <w:p w14:paraId="52700219" w14:textId="77777777" w:rsidR="00545017" w:rsidRPr="007A3223" w:rsidRDefault="00545017" w:rsidP="00FB66BA">
      <w:pPr>
        <w:numPr>
          <w:ilvl w:val="0"/>
          <w:numId w:val="57"/>
        </w:numPr>
        <w:tabs>
          <w:tab w:val="left" w:pos="360"/>
        </w:tabs>
        <w:spacing w:after="60"/>
        <w:ind w:left="0" w:firstLine="0"/>
        <w:rPr>
          <w:kern w:val="32"/>
          <w:szCs w:val="24"/>
        </w:rPr>
      </w:pPr>
      <w:r w:rsidRPr="007A3223">
        <w:rPr>
          <w:kern w:val="32"/>
          <w:szCs w:val="24"/>
        </w:rPr>
        <w:lastRenderedPageBreak/>
        <w:t xml:space="preserve">No other reason explains the combination of </w:t>
      </w:r>
      <w:r w:rsidRPr="007A3223">
        <w:rPr>
          <w:rFonts w:hint="eastAsia"/>
          <w:kern w:val="32"/>
          <w:szCs w:val="24"/>
        </w:rPr>
        <w:t>↑’</w:t>
      </w:r>
      <w:r w:rsidRPr="007A3223">
        <w:rPr>
          <w:kern w:val="32"/>
          <w:szCs w:val="24"/>
        </w:rPr>
        <w:t>d transaminases &amp; total bilirubin; e.g., viral hepatitis A, B, or C; preexisting or acute liver disease; another drug capable of causing injury.</w:t>
      </w:r>
    </w:p>
    <w:p w14:paraId="2E0D51A6" w14:textId="5007BE53" w:rsidR="00545017" w:rsidRPr="007A3223" w:rsidRDefault="00545017" w:rsidP="00692538">
      <w:pPr>
        <w:spacing w:after="0"/>
        <w:rPr>
          <w:kern w:val="32"/>
          <w:szCs w:val="24"/>
        </w:rPr>
      </w:pPr>
      <w:r w:rsidRPr="007A3223">
        <w:rPr>
          <w:kern w:val="32"/>
          <w:szCs w:val="24"/>
        </w:rPr>
        <w:t xml:space="preserve">Defined by the U.S. Department of Health and Human Services, Food and Drug Administration, Center for Drug Evaluation and Research </w:t>
      </w:r>
      <w:hyperlink w:anchor="_ENREF_42" w:tooltip="Hodi, 2014 #41" w:history="1">
        <w:r w:rsidR="00F77861" w:rsidRPr="00244551">
          <w:rPr>
            <w:rStyle w:val="Hyperlink"/>
            <w:kern w:val="32"/>
            <w:szCs w:val="24"/>
          </w:rPr>
          <w:fldChar w:fldCharType="begin">
            <w:fldData xml:space="preserve">PEVuZE5vdGU+PENpdGUgRXhjbHVkZVllYXI9IjEiPjxBdXRob3I+SG9kaTwvQXV0aG9yPjxZZWFy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</w:fldData>
          </w:fldChar>
        </w:r>
        <w:r w:rsidR="00F77861" w:rsidRPr="00244551">
          <w:rPr>
            <w:rStyle w:val="Hyperlink"/>
            <w:kern w:val="32"/>
            <w:szCs w:val="24"/>
          </w:rPr>
          <w:instrText xml:space="preserve"> ADDIN EN.CITE </w:instrText>
        </w:r>
        <w:r w:rsidR="00F77861" w:rsidRPr="00380A33">
          <w:rPr>
            <w:rStyle w:val="Hyperlink"/>
            <w:kern w:val="32"/>
            <w:szCs w:val="24"/>
          </w:rPr>
          <w:fldChar w:fldCharType="begin">
            <w:fldData xml:space="preserve">PEVuZE5vdGU+PENpdGUgRXhjbHVkZVllYXI9IjEiPjxBdXRob3I+SG9kaTwvQXV0aG9yPjxZZWFy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</w:fldData>
          </w:fldChar>
        </w:r>
        <w:r w:rsidR="00F77861" w:rsidRPr="00244551">
          <w:rPr>
            <w:rStyle w:val="Hyperlink"/>
            <w:kern w:val="32"/>
            <w:szCs w:val="24"/>
          </w:rPr>
          <w:instrText xml:space="preserve"> ADDIN EN.CITE.DATA </w:instrText>
        </w:r>
        <w:r w:rsidR="00F77861" w:rsidRPr="00380A33">
          <w:rPr>
            <w:rStyle w:val="Hyperlink"/>
            <w:kern w:val="32"/>
            <w:szCs w:val="24"/>
          </w:rPr>
        </w:r>
        <w:r w:rsidR="00F77861" w:rsidRPr="00380A33">
          <w:rPr>
            <w:rStyle w:val="Hyperlink"/>
            <w:kern w:val="32"/>
            <w:szCs w:val="24"/>
          </w:rPr>
          <w:fldChar w:fldCharType="end"/>
        </w:r>
        <w:r w:rsidR="00F77861" w:rsidRPr="00244551">
          <w:rPr>
            <w:rStyle w:val="Hyperlink"/>
            <w:kern w:val="32"/>
            <w:szCs w:val="24"/>
          </w:rPr>
        </w:r>
        <w:r w:rsidR="00F77861" w:rsidRPr="00244551">
          <w:rPr>
            <w:rStyle w:val="Hyperlink"/>
            <w:kern w:val="32"/>
            <w:szCs w:val="24"/>
          </w:rPr>
          <w:fldChar w:fldCharType="separate"/>
        </w:r>
        <w:r w:rsidR="00F77861" w:rsidRPr="00244551">
          <w:rPr>
            <w:rStyle w:val="Hyperlink"/>
            <w:noProof/>
            <w:kern w:val="32"/>
            <w:szCs w:val="24"/>
            <w:vertAlign w:val="superscript"/>
          </w:rPr>
          <w:t>42</w:t>
        </w:r>
        <w:r w:rsidR="00F77861" w:rsidRPr="00244551">
          <w:rPr>
            <w:rStyle w:val="Hyperlink"/>
            <w:kern w:val="32"/>
            <w:szCs w:val="24"/>
          </w:rPr>
          <w:fldChar w:fldCharType="end"/>
        </w:r>
      </w:hyperlink>
      <w:r w:rsidRPr="007A3223">
        <w:rPr>
          <w:kern w:val="32"/>
          <w:szCs w:val="24"/>
        </w:rPr>
        <w:t xml:space="preserve"> Center for Biologics Evaluation and Research (CBER) in “Guidance f</w:t>
      </w:r>
      <w:r w:rsidRPr="00F33908">
        <w:rPr>
          <w:kern w:val="32"/>
          <w:szCs w:val="24"/>
        </w:rPr>
        <w:t>or Industry Drug-Induced Liver Injury: Premarketing Clinical Evaluation, July 2009 Drug Safety”</w:t>
      </w:r>
    </w:p>
    <w:p w14:paraId="50021B9B" w14:textId="77777777" w:rsidR="00545017" w:rsidRPr="007A3223" w:rsidRDefault="00545017" w:rsidP="00545017">
      <w:pPr>
        <w:spacing w:after="0"/>
        <w:rPr>
          <w:rFonts w:ascii="Times" w:hAnsi="Times" w:cs="Arial"/>
          <w:kern w:val="32"/>
          <w:sz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96"/>
        <w:gridCol w:w="2158"/>
        <w:gridCol w:w="6290"/>
      </w:tblGrid>
      <w:tr w:rsidR="000A2723" w:rsidRPr="007A3223" w14:paraId="55AAE6C3" w14:textId="77777777" w:rsidTr="00BD634B">
        <w:trPr>
          <w:cantSplit/>
          <w:trHeight w:val="345"/>
          <w:tblHeader/>
        </w:trPr>
        <w:tc>
          <w:tcPr>
            <w:tcW w:w="5000" w:type="pct"/>
            <w:gridSpan w:val="3"/>
          </w:tcPr>
          <w:p w14:paraId="7BE9DC07" w14:textId="5C34149F" w:rsidR="000A2723" w:rsidRPr="007A3223" w:rsidRDefault="00800A5E" w:rsidP="00403449">
            <w:pPr>
              <w:pStyle w:val="Caption"/>
              <w:rPr>
                <w:rFonts w:ascii="Times" w:hAnsi="Times"/>
                <w:sz w:val="22"/>
              </w:rPr>
            </w:pPr>
            <w:bookmarkStart w:id="204" w:name="_Toc82444455"/>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21</w:t>
            </w:r>
            <w:r w:rsidR="00F82420" w:rsidRPr="007A3223">
              <w:rPr>
                <w:noProof/>
              </w:rPr>
              <w:fldChar w:fldCharType="end"/>
            </w:r>
            <w:r w:rsidR="000A2723" w:rsidRPr="007A3223">
              <w:rPr>
                <w:rFonts w:ascii="Times" w:hAnsi="Times"/>
                <w:b w:val="0"/>
                <w:sz w:val="22"/>
              </w:rPr>
              <w:t>. Rash (excluding Bullous skin formations)</w:t>
            </w:r>
            <w:bookmarkEnd w:id="204"/>
          </w:p>
        </w:tc>
      </w:tr>
      <w:tr w:rsidR="000A2723" w:rsidRPr="007A3223" w14:paraId="6501888E" w14:textId="77777777" w:rsidTr="000A2723">
        <w:trPr>
          <w:cantSplit/>
          <w:trHeight w:val="333"/>
          <w:tblHeader/>
        </w:trPr>
        <w:tc>
          <w:tcPr>
            <w:tcW w:w="1634" w:type="pct"/>
            <w:gridSpan w:val="2"/>
            <w:shd w:val="clear" w:color="auto" w:fill="BFBFBF" w:themeFill="background1" w:themeFillShade="BF"/>
          </w:tcPr>
          <w:p w14:paraId="1863A82D" w14:textId="77777777" w:rsidR="000A2723" w:rsidRPr="007A3223" w:rsidRDefault="000A2723" w:rsidP="000919D4">
            <w:pPr>
              <w:keepNext/>
              <w:widowControl w:val="0"/>
              <w:rPr>
                <w:rFonts w:ascii="Times" w:hAnsi="Times"/>
                <w:b/>
                <w:sz w:val="22"/>
              </w:rPr>
            </w:pPr>
            <w:r w:rsidRPr="007A3223">
              <w:rPr>
                <w:rFonts w:ascii="Times" w:hAnsi="Times"/>
                <w:b/>
                <w:sz w:val="22"/>
              </w:rPr>
              <w:t>Dose Modifications</w:t>
            </w:r>
          </w:p>
        </w:tc>
        <w:tc>
          <w:tcPr>
            <w:tcW w:w="3366" w:type="pct"/>
            <w:shd w:val="clear" w:color="auto" w:fill="BFBFBF" w:themeFill="background1" w:themeFillShade="BF"/>
          </w:tcPr>
          <w:p w14:paraId="423777F3" w14:textId="77777777" w:rsidR="000A2723" w:rsidRPr="007A3223" w:rsidRDefault="000A2723" w:rsidP="000919D4">
            <w:pPr>
              <w:keepNext/>
              <w:widowControl w:val="0"/>
              <w:rPr>
                <w:rFonts w:ascii="Times" w:hAnsi="Times"/>
                <w:b/>
                <w:sz w:val="22"/>
              </w:rPr>
            </w:pPr>
            <w:r w:rsidRPr="007A3223">
              <w:rPr>
                <w:rFonts w:ascii="Times" w:hAnsi="Times"/>
                <w:b/>
                <w:sz w:val="22"/>
              </w:rPr>
              <w:t>Toxicity Management</w:t>
            </w:r>
          </w:p>
        </w:tc>
      </w:tr>
      <w:tr w:rsidR="000A2723" w:rsidRPr="007A3223" w14:paraId="369C28D6" w14:textId="77777777" w:rsidTr="000A2723">
        <w:trPr>
          <w:cantSplit/>
          <w:trHeight w:val="468"/>
        </w:trPr>
        <w:tc>
          <w:tcPr>
            <w:tcW w:w="1634" w:type="pct"/>
            <w:gridSpan w:val="2"/>
          </w:tcPr>
          <w:p w14:paraId="06E0A347" w14:textId="77777777" w:rsidR="000A2723" w:rsidRPr="007A3223" w:rsidRDefault="000A2723" w:rsidP="000919D4">
            <w:pPr>
              <w:pStyle w:val="TableLeft"/>
              <w:keepNext/>
              <w:widowControl w:val="0"/>
              <w:spacing w:before="60"/>
              <w:rPr>
                <w:rFonts w:ascii="Times" w:hAnsi="Times"/>
                <w:sz w:val="22"/>
                <w:szCs w:val="22"/>
              </w:rPr>
            </w:pPr>
            <w:r w:rsidRPr="007A3223">
              <w:rPr>
                <w:rFonts w:ascii="Times" w:hAnsi="Times"/>
                <w:sz w:val="22"/>
                <w:szCs w:val="22"/>
              </w:rPr>
              <w:t>Any Grade</w:t>
            </w:r>
          </w:p>
        </w:tc>
        <w:tc>
          <w:tcPr>
            <w:tcW w:w="3366" w:type="pct"/>
          </w:tcPr>
          <w:p w14:paraId="72E49FA6" w14:textId="77777777" w:rsidR="000A2723" w:rsidRPr="007A3223" w:rsidRDefault="000A2723" w:rsidP="003934C1">
            <w:pPr>
              <w:pStyle w:val="ListBulletSmall"/>
              <w:keepNext/>
              <w:widowControl w:val="0"/>
              <w:spacing w:after="0"/>
              <w:rPr>
                <w:rFonts w:ascii="Times" w:hAnsi="Times"/>
                <w:sz w:val="22"/>
                <w:szCs w:val="22"/>
              </w:rPr>
            </w:pPr>
            <w:r w:rsidRPr="007A3223">
              <w:rPr>
                <w:rFonts w:ascii="Times" w:hAnsi="Times"/>
                <w:sz w:val="22"/>
                <w:szCs w:val="22"/>
              </w:rPr>
              <w:t xml:space="preserve">Monitor for signs and symptoms of dermatitis (rash and pruritus) </w:t>
            </w:r>
          </w:p>
          <w:p w14:paraId="47CDA0BC" w14:textId="77777777" w:rsidR="000A2723" w:rsidRPr="007A3223" w:rsidRDefault="000A2723" w:rsidP="003934C1">
            <w:pPr>
              <w:pStyle w:val="ListBulletSmall"/>
              <w:keepNext/>
              <w:widowControl w:val="0"/>
              <w:spacing w:after="0"/>
              <w:rPr>
                <w:rFonts w:ascii="Times" w:hAnsi="Times"/>
                <w:sz w:val="22"/>
                <w:szCs w:val="22"/>
              </w:rPr>
            </w:pPr>
            <w:r w:rsidRPr="007A3223">
              <w:rPr>
                <w:rFonts w:ascii="Times" w:hAnsi="Times"/>
                <w:sz w:val="22"/>
                <w:szCs w:val="22"/>
              </w:rPr>
              <w:t>**IF THERE IS ANY BULLOUS FORMATION, THE STUDY PHYSICIAN SHOULD BE CONTACTED</w:t>
            </w:r>
            <w:r w:rsidR="004234F7" w:rsidRPr="007A3223">
              <w:t xml:space="preserve"> </w:t>
            </w:r>
            <w:r w:rsidR="004234F7" w:rsidRPr="007A3223">
              <w:rPr>
                <w:rFonts w:ascii="Times" w:hAnsi="Times"/>
                <w:sz w:val="22"/>
                <w:szCs w:val="22"/>
              </w:rPr>
              <w:t>AND STUDY DRUG DISCONTINUED</w:t>
            </w:r>
            <w:r w:rsidRPr="007A3223">
              <w:rPr>
                <w:rFonts w:ascii="Times" w:hAnsi="Times"/>
                <w:sz w:val="22"/>
                <w:szCs w:val="22"/>
              </w:rPr>
              <w:t>**</w:t>
            </w:r>
          </w:p>
        </w:tc>
      </w:tr>
      <w:tr w:rsidR="00C26AA3" w:rsidRPr="007A3223" w14:paraId="1518601E" w14:textId="77777777" w:rsidTr="002D1740">
        <w:trPr>
          <w:cantSplit/>
          <w:trHeight w:val="1056"/>
        </w:trPr>
        <w:tc>
          <w:tcPr>
            <w:tcW w:w="479" w:type="pct"/>
            <w:hideMark/>
          </w:tcPr>
          <w:p w14:paraId="1FD759BC" w14:textId="77777777" w:rsidR="00C26AA3" w:rsidRPr="007A3223" w:rsidRDefault="00C26AA3" w:rsidP="008E0B5C">
            <w:pPr>
              <w:pStyle w:val="TableCenter"/>
              <w:widowControl w:val="0"/>
              <w:spacing w:before="60"/>
              <w:rPr>
                <w:rFonts w:ascii="Times" w:hAnsi="Times"/>
                <w:b/>
                <w:sz w:val="22"/>
                <w:szCs w:val="22"/>
              </w:rPr>
            </w:pPr>
            <w:r w:rsidRPr="007A3223">
              <w:rPr>
                <w:rFonts w:ascii="Times" w:hAnsi="Times"/>
                <w:b/>
                <w:sz w:val="22"/>
                <w:szCs w:val="22"/>
              </w:rPr>
              <w:t>Grade 1</w:t>
            </w:r>
          </w:p>
        </w:tc>
        <w:tc>
          <w:tcPr>
            <w:tcW w:w="1155" w:type="pct"/>
            <w:hideMark/>
          </w:tcPr>
          <w:p w14:paraId="239A396C" w14:textId="77777777" w:rsidR="00C26AA3" w:rsidRPr="007A3223" w:rsidRDefault="00C26AA3" w:rsidP="000919D4">
            <w:pPr>
              <w:pStyle w:val="TableLeft"/>
              <w:keepNext/>
              <w:widowControl w:val="0"/>
              <w:spacing w:before="60"/>
              <w:rPr>
                <w:rFonts w:ascii="Times" w:hAnsi="Times"/>
                <w:sz w:val="22"/>
                <w:szCs w:val="22"/>
              </w:rPr>
            </w:pPr>
            <w:r w:rsidRPr="007A3223">
              <w:rPr>
                <w:rFonts w:ascii="Times" w:hAnsi="Times"/>
                <w:sz w:val="22"/>
                <w:szCs w:val="22"/>
              </w:rPr>
              <w:t>No dose modification</w:t>
            </w:r>
          </w:p>
        </w:tc>
        <w:tc>
          <w:tcPr>
            <w:tcW w:w="3366" w:type="pct"/>
            <w:hideMark/>
          </w:tcPr>
          <w:p w14:paraId="6E999995" w14:textId="77777777" w:rsidR="00C26AA3" w:rsidRPr="007A3223" w:rsidRDefault="00C26AA3" w:rsidP="003934C1">
            <w:pPr>
              <w:pStyle w:val="ListBulletSmall"/>
              <w:keepNext/>
              <w:widowControl w:val="0"/>
              <w:spacing w:after="0"/>
              <w:rPr>
                <w:rFonts w:ascii="Times" w:hAnsi="Times"/>
                <w:sz w:val="22"/>
                <w:szCs w:val="22"/>
              </w:rPr>
            </w:pPr>
            <w:r w:rsidRPr="007A3223">
              <w:rPr>
                <w:rFonts w:ascii="Times" w:hAnsi="Times"/>
                <w:sz w:val="22"/>
                <w:szCs w:val="22"/>
              </w:rPr>
              <w:t>For Grade 1:</w:t>
            </w:r>
          </w:p>
          <w:p w14:paraId="15A5CF8F" w14:textId="77777777" w:rsidR="00C26AA3" w:rsidRPr="007A3223" w:rsidRDefault="008E03EA" w:rsidP="003934C1">
            <w:pPr>
              <w:pStyle w:val="ListBulletSmall2"/>
              <w:keepNext/>
              <w:widowControl w:val="0"/>
              <w:spacing w:after="0"/>
            </w:pPr>
            <w:r w:rsidRPr="007A3223">
              <w:rPr>
                <w:rFonts w:ascii="Times" w:hAnsi="Times"/>
                <w:sz w:val="22"/>
                <w:szCs w:val="22"/>
              </w:rPr>
              <w:t xml:space="preserve">-  </w:t>
            </w:r>
            <w:r w:rsidR="00C26AA3" w:rsidRPr="007A3223">
              <w:rPr>
                <w:rFonts w:ascii="Times" w:hAnsi="Times"/>
                <w:sz w:val="22"/>
                <w:szCs w:val="22"/>
              </w:rPr>
              <w:t>Consider symptomatic treatment including oral antipruritics (e.g., diphenhydramine or hydroxyzine) and topical therapy (e.g., urea cream)</w:t>
            </w:r>
          </w:p>
        </w:tc>
      </w:tr>
      <w:tr w:rsidR="00C26AA3" w:rsidRPr="007A3223" w14:paraId="59C8428E" w14:textId="77777777" w:rsidTr="000A2723">
        <w:trPr>
          <w:cantSplit/>
          <w:trHeight w:val="148"/>
        </w:trPr>
        <w:tc>
          <w:tcPr>
            <w:tcW w:w="479" w:type="pct"/>
            <w:hideMark/>
          </w:tcPr>
          <w:p w14:paraId="632C1718" w14:textId="77777777" w:rsidR="00C26AA3" w:rsidRPr="007A3223" w:rsidRDefault="00C26AA3" w:rsidP="008E0B5C">
            <w:pPr>
              <w:pStyle w:val="TableCenter"/>
              <w:widowControl w:val="0"/>
              <w:spacing w:before="60"/>
              <w:rPr>
                <w:rFonts w:ascii="Times" w:hAnsi="Times"/>
                <w:b/>
                <w:sz w:val="22"/>
                <w:szCs w:val="22"/>
              </w:rPr>
            </w:pPr>
            <w:r w:rsidRPr="007A3223">
              <w:rPr>
                <w:rFonts w:ascii="Times" w:hAnsi="Times"/>
                <w:b/>
                <w:sz w:val="22"/>
                <w:szCs w:val="22"/>
              </w:rPr>
              <w:t>Grade 2</w:t>
            </w:r>
          </w:p>
        </w:tc>
        <w:tc>
          <w:tcPr>
            <w:tcW w:w="1155" w:type="pct"/>
            <w:hideMark/>
          </w:tcPr>
          <w:p w14:paraId="2D7ED667" w14:textId="77777777" w:rsidR="00C26AA3" w:rsidRPr="007A3223" w:rsidRDefault="00C26AA3" w:rsidP="000919D4">
            <w:pPr>
              <w:pStyle w:val="ListBulletSmall"/>
              <w:keepNext/>
              <w:widowControl w:val="0"/>
              <w:tabs>
                <w:tab w:val="clear" w:pos="360"/>
                <w:tab w:val="num" w:pos="0"/>
              </w:tabs>
              <w:spacing w:before="60"/>
              <w:ind w:left="0" w:firstLine="0"/>
              <w:rPr>
                <w:rFonts w:ascii="Times" w:hAnsi="Times"/>
                <w:sz w:val="22"/>
                <w:szCs w:val="22"/>
              </w:rPr>
            </w:pPr>
            <w:r w:rsidRPr="007A3223">
              <w:rPr>
                <w:rFonts w:ascii="Times" w:hAnsi="Times"/>
                <w:sz w:val="22"/>
                <w:szCs w:val="22"/>
              </w:rPr>
              <w:t xml:space="preserve">For persistent (&gt; 1- 2 weeks) </w:t>
            </w:r>
            <w:r w:rsidR="00D121AA" w:rsidRPr="007A3223">
              <w:rPr>
                <w:rFonts w:ascii="Times" w:hAnsi="Times"/>
                <w:sz w:val="22"/>
                <w:szCs w:val="22"/>
              </w:rPr>
              <w:t>g</w:t>
            </w:r>
            <w:r w:rsidRPr="007A3223">
              <w:rPr>
                <w:rFonts w:ascii="Times" w:hAnsi="Times"/>
                <w:sz w:val="22"/>
                <w:szCs w:val="22"/>
              </w:rPr>
              <w:t xml:space="preserve">rade 2 events, hold scheduled </w:t>
            </w:r>
            <w:r w:rsidR="00D121AA" w:rsidRPr="007A3223">
              <w:rPr>
                <w:rFonts w:ascii="Times" w:hAnsi="Times"/>
                <w:sz w:val="22"/>
                <w:szCs w:val="22"/>
              </w:rPr>
              <w:t>s</w:t>
            </w:r>
            <w:r w:rsidRPr="007A3223">
              <w:rPr>
                <w:rFonts w:ascii="Times" w:hAnsi="Times"/>
                <w:sz w:val="22"/>
                <w:szCs w:val="22"/>
              </w:rPr>
              <w:t xml:space="preserve">tudy regimen until resolution to ≤ </w:t>
            </w:r>
            <w:r w:rsidR="00D121AA" w:rsidRPr="007A3223">
              <w:rPr>
                <w:rFonts w:ascii="Times" w:hAnsi="Times"/>
                <w:sz w:val="22"/>
                <w:szCs w:val="22"/>
              </w:rPr>
              <w:t>g</w:t>
            </w:r>
            <w:r w:rsidRPr="007A3223">
              <w:rPr>
                <w:rFonts w:ascii="Times" w:hAnsi="Times"/>
                <w:sz w:val="22"/>
                <w:szCs w:val="22"/>
              </w:rPr>
              <w:t xml:space="preserve">rade 1 or baseline and resume administration at next scheduled dose </w:t>
            </w:r>
          </w:p>
        </w:tc>
        <w:tc>
          <w:tcPr>
            <w:tcW w:w="3366" w:type="pct"/>
            <w:hideMark/>
          </w:tcPr>
          <w:p w14:paraId="75F3E95C" w14:textId="77777777" w:rsidR="00C26AA3" w:rsidRPr="007A3223" w:rsidRDefault="00C26AA3" w:rsidP="003934C1">
            <w:pPr>
              <w:pStyle w:val="ListBulletSmall"/>
              <w:keepNext/>
              <w:widowControl w:val="0"/>
              <w:spacing w:after="0"/>
              <w:rPr>
                <w:rFonts w:ascii="Times" w:hAnsi="Times"/>
                <w:sz w:val="22"/>
                <w:szCs w:val="22"/>
              </w:rPr>
            </w:pPr>
            <w:r w:rsidRPr="007A3223">
              <w:rPr>
                <w:rFonts w:ascii="Times" w:hAnsi="Times"/>
                <w:sz w:val="22"/>
                <w:szCs w:val="22"/>
              </w:rPr>
              <w:t>For Grade 2:</w:t>
            </w:r>
          </w:p>
          <w:p w14:paraId="294C5440" w14:textId="77777777" w:rsidR="004234F7" w:rsidRPr="007A3223" w:rsidRDefault="00102438" w:rsidP="004234F7">
            <w:pPr>
              <w:pStyle w:val="ListBulletSmall2"/>
              <w:keepNext/>
              <w:widowControl w:val="0"/>
              <w:spacing w:after="0"/>
              <w:rPr>
                <w:rFonts w:ascii="Times" w:hAnsi="Times"/>
                <w:sz w:val="22"/>
                <w:szCs w:val="22"/>
              </w:rPr>
            </w:pPr>
            <w:r w:rsidRPr="007A3223">
              <w:rPr>
                <w:rFonts w:ascii="Times" w:hAnsi="Times"/>
                <w:sz w:val="22"/>
                <w:szCs w:val="22"/>
              </w:rPr>
              <w:t xml:space="preserve">-  </w:t>
            </w:r>
            <w:r w:rsidR="004234F7" w:rsidRPr="007A3223">
              <w:rPr>
                <w:rFonts w:ascii="Times" w:hAnsi="Times"/>
                <w:sz w:val="22"/>
                <w:szCs w:val="22"/>
              </w:rPr>
              <w:t xml:space="preserve">Obtain dermatology consult </w:t>
            </w:r>
          </w:p>
          <w:p w14:paraId="7048EF64" w14:textId="77777777" w:rsidR="004234F7" w:rsidRPr="007A3223" w:rsidRDefault="004234F7" w:rsidP="004234F7">
            <w:pPr>
              <w:pStyle w:val="ListBulletSmall2"/>
              <w:keepNext/>
              <w:widowControl w:val="0"/>
              <w:spacing w:after="0"/>
              <w:rPr>
                <w:rFonts w:ascii="Times" w:hAnsi="Times"/>
                <w:sz w:val="22"/>
                <w:szCs w:val="22"/>
              </w:rPr>
            </w:pPr>
            <w:r w:rsidRPr="007A3223">
              <w:rPr>
                <w:rFonts w:ascii="Times" w:hAnsi="Times"/>
                <w:sz w:val="22"/>
                <w:szCs w:val="22"/>
              </w:rPr>
              <w:t>-  Consider symptomatic treatment including oral antipruritics (e.g., diphenhydramine or hydroxyzine) and topical therapy (e.g., urea cream)</w:t>
            </w:r>
          </w:p>
          <w:p w14:paraId="3914CEDB" w14:textId="77777777" w:rsidR="004234F7" w:rsidRPr="007A3223" w:rsidRDefault="004234F7" w:rsidP="004234F7">
            <w:pPr>
              <w:pStyle w:val="ListBulletSmall2"/>
              <w:keepNext/>
              <w:widowControl w:val="0"/>
              <w:spacing w:after="0"/>
              <w:rPr>
                <w:rFonts w:ascii="Times" w:hAnsi="Times"/>
                <w:sz w:val="22"/>
                <w:szCs w:val="22"/>
              </w:rPr>
            </w:pPr>
            <w:r w:rsidRPr="007A3223">
              <w:rPr>
                <w:rFonts w:ascii="Times" w:hAnsi="Times"/>
                <w:sz w:val="22"/>
                <w:szCs w:val="22"/>
              </w:rPr>
              <w:t xml:space="preserve">-  Consider moderate-strength topical steroid </w:t>
            </w:r>
          </w:p>
          <w:p w14:paraId="6E508764" w14:textId="77777777" w:rsidR="004234F7" w:rsidRPr="007A3223" w:rsidRDefault="004234F7" w:rsidP="004234F7">
            <w:pPr>
              <w:pStyle w:val="ListBulletSmall2"/>
              <w:keepNext/>
              <w:widowControl w:val="0"/>
              <w:spacing w:after="0"/>
              <w:rPr>
                <w:rFonts w:ascii="Times" w:hAnsi="Times"/>
                <w:sz w:val="22"/>
                <w:szCs w:val="22"/>
              </w:rPr>
            </w:pPr>
            <w:r w:rsidRPr="007A3223">
              <w:rPr>
                <w:rFonts w:ascii="Times" w:hAnsi="Times"/>
                <w:sz w:val="22"/>
                <w:szCs w:val="22"/>
              </w:rPr>
              <w:t xml:space="preserve">-  If no improvement of rash/skin lesions occurs within 3-5 days or is worsening despite symptomatic treatment and/or use of moderate strength topical steroid, discuss with study physician and promptly start systemic steroids prednisone 1-2 mg/kg/day or IV equivalent  </w:t>
            </w:r>
          </w:p>
          <w:p w14:paraId="2266ED62" w14:textId="77777777" w:rsidR="004234F7" w:rsidRPr="007A3223" w:rsidRDefault="004234F7" w:rsidP="004234F7">
            <w:pPr>
              <w:pStyle w:val="ListBulletSmall2"/>
              <w:keepNext/>
              <w:widowControl w:val="0"/>
              <w:spacing w:after="0"/>
              <w:rPr>
                <w:rFonts w:ascii="Times" w:hAnsi="Times"/>
                <w:sz w:val="22"/>
                <w:szCs w:val="22"/>
              </w:rPr>
            </w:pPr>
            <w:r w:rsidRPr="007A3223">
              <w:rPr>
                <w:rFonts w:ascii="Times" w:hAnsi="Times"/>
                <w:sz w:val="22"/>
                <w:szCs w:val="22"/>
              </w:rPr>
              <w:t>-  Consider skin biopsy if persistent for &gt;1-2 weeks or recurs</w:t>
            </w:r>
          </w:p>
          <w:p w14:paraId="61AD8B5C" w14:textId="77777777" w:rsidR="00C26AA3" w:rsidRPr="007A3223" w:rsidRDefault="00C26AA3" w:rsidP="003934C1">
            <w:pPr>
              <w:pStyle w:val="ListBulletSmall2"/>
              <w:keepNext/>
              <w:widowControl w:val="0"/>
              <w:spacing w:after="0"/>
              <w:rPr>
                <w:rFonts w:ascii="Times" w:hAnsi="Times"/>
                <w:sz w:val="22"/>
                <w:szCs w:val="22"/>
              </w:rPr>
            </w:pPr>
          </w:p>
        </w:tc>
      </w:tr>
      <w:tr w:rsidR="00C26AA3" w:rsidRPr="007A3223" w14:paraId="52C034DB" w14:textId="77777777" w:rsidTr="000A2723">
        <w:trPr>
          <w:cantSplit/>
          <w:trHeight w:val="148"/>
        </w:trPr>
        <w:tc>
          <w:tcPr>
            <w:tcW w:w="479" w:type="pct"/>
            <w:hideMark/>
          </w:tcPr>
          <w:p w14:paraId="72AE1E45" w14:textId="77777777" w:rsidR="00C26AA3" w:rsidRPr="007A3223" w:rsidRDefault="00C26AA3" w:rsidP="008E0B5C">
            <w:pPr>
              <w:pStyle w:val="TableCenter"/>
              <w:widowControl w:val="0"/>
              <w:spacing w:before="60"/>
              <w:rPr>
                <w:rFonts w:ascii="Times" w:hAnsi="Times"/>
                <w:b/>
                <w:sz w:val="22"/>
                <w:szCs w:val="22"/>
              </w:rPr>
            </w:pPr>
            <w:r w:rsidRPr="007A3223">
              <w:rPr>
                <w:rFonts w:ascii="Times" w:hAnsi="Times"/>
                <w:b/>
                <w:sz w:val="22"/>
                <w:szCs w:val="22"/>
              </w:rPr>
              <w:lastRenderedPageBreak/>
              <w:t>Grade 3</w:t>
            </w:r>
          </w:p>
        </w:tc>
        <w:tc>
          <w:tcPr>
            <w:tcW w:w="1155" w:type="pct"/>
            <w:hideMark/>
          </w:tcPr>
          <w:p w14:paraId="1CCC315C" w14:textId="77777777" w:rsidR="00C26AA3" w:rsidRPr="007A3223" w:rsidRDefault="00C26AA3"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Hold </w:t>
            </w:r>
            <w:r w:rsidR="00D121AA" w:rsidRPr="007A3223">
              <w:rPr>
                <w:rFonts w:ascii="Times" w:hAnsi="Times"/>
                <w:sz w:val="22"/>
                <w:szCs w:val="22"/>
              </w:rPr>
              <w:t>s</w:t>
            </w:r>
            <w:r w:rsidRPr="007A3223">
              <w:rPr>
                <w:rFonts w:ascii="Times" w:hAnsi="Times"/>
                <w:sz w:val="22"/>
                <w:szCs w:val="22"/>
              </w:rPr>
              <w:t xml:space="preserve">tudy regimen until resolution to ≤ </w:t>
            </w:r>
            <w:r w:rsidR="00D121AA" w:rsidRPr="007A3223">
              <w:rPr>
                <w:rFonts w:ascii="Times" w:hAnsi="Times"/>
                <w:sz w:val="22"/>
                <w:szCs w:val="22"/>
              </w:rPr>
              <w:t>g</w:t>
            </w:r>
            <w:r w:rsidRPr="007A3223">
              <w:rPr>
                <w:rFonts w:ascii="Times" w:hAnsi="Times"/>
                <w:sz w:val="22"/>
                <w:szCs w:val="22"/>
              </w:rPr>
              <w:t>rade 1 or baseline</w:t>
            </w:r>
          </w:p>
          <w:p w14:paraId="608E464D" w14:textId="77777777" w:rsidR="00C26AA3" w:rsidRPr="007A3223" w:rsidRDefault="00C26AA3"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If temporarily holding the study regimen does not provide improvement of the </w:t>
            </w:r>
            <w:r w:rsidR="00D121AA" w:rsidRPr="007A3223">
              <w:rPr>
                <w:rFonts w:ascii="Times" w:hAnsi="Times"/>
                <w:sz w:val="22"/>
                <w:szCs w:val="22"/>
              </w:rPr>
              <w:t>g</w:t>
            </w:r>
            <w:r w:rsidRPr="007A3223">
              <w:rPr>
                <w:rFonts w:ascii="Times" w:hAnsi="Times"/>
                <w:sz w:val="22"/>
                <w:szCs w:val="22"/>
              </w:rPr>
              <w:t xml:space="preserve">rade 3 skin rash to ≤ </w:t>
            </w:r>
            <w:r w:rsidR="00D121AA" w:rsidRPr="007A3223">
              <w:rPr>
                <w:rFonts w:ascii="Times" w:hAnsi="Times"/>
                <w:sz w:val="22"/>
                <w:szCs w:val="22"/>
              </w:rPr>
              <w:t>g</w:t>
            </w:r>
            <w:r w:rsidRPr="007A3223">
              <w:rPr>
                <w:rFonts w:ascii="Times" w:hAnsi="Times"/>
                <w:sz w:val="22"/>
                <w:szCs w:val="22"/>
              </w:rPr>
              <w:t xml:space="preserve">rade 1 or baseline within </w:t>
            </w:r>
            <w:r w:rsidR="00D121AA" w:rsidRPr="007A3223">
              <w:rPr>
                <w:rFonts w:ascii="Times" w:hAnsi="Times"/>
                <w:sz w:val="22"/>
                <w:szCs w:val="22"/>
              </w:rPr>
              <w:t>14</w:t>
            </w:r>
            <w:r w:rsidRPr="007A3223">
              <w:rPr>
                <w:rFonts w:ascii="Times" w:hAnsi="Times"/>
                <w:sz w:val="22"/>
                <w:szCs w:val="22"/>
              </w:rPr>
              <w:t xml:space="preserve"> days, then permanently discontinue </w:t>
            </w:r>
            <w:r w:rsidR="00D121AA" w:rsidRPr="007A3223">
              <w:rPr>
                <w:rFonts w:ascii="Times" w:hAnsi="Times"/>
                <w:sz w:val="22"/>
                <w:szCs w:val="22"/>
              </w:rPr>
              <w:t>s</w:t>
            </w:r>
            <w:r w:rsidRPr="007A3223">
              <w:rPr>
                <w:rFonts w:ascii="Times" w:hAnsi="Times"/>
                <w:sz w:val="22"/>
                <w:szCs w:val="22"/>
              </w:rPr>
              <w:t xml:space="preserve">tudy regimen </w:t>
            </w:r>
          </w:p>
        </w:tc>
        <w:tc>
          <w:tcPr>
            <w:tcW w:w="3366" w:type="pct"/>
            <w:vMerge w:val="restart"/>
            <w:hideMark/>
          </w:tcPr>
          <w:p w14:paraId="4D2BD46F" w14:textId="77777777" w:rsidR="00C26AA3" w:rsidRPr="007A3223" w:rsidRDefault="00C26AA3" w:rsidP="003934C1">
            <w:pPr>
              <w:pStyle w:val="ListBulletSmall"/>
              <w:keepNext/>
              <w:widowControl w:val="0"/>
              <w:spacing w:after="0"/>
              <w:rPr>
                <w:rFonts w:ascii="Times" w:hAnsi="Times"/>
                <w:sz w:val="22"/>
                <w:szCs w:val="22"/>
              </w:rPr>
            </w:pPr>
            <w:r w:rsidRPr="007A3223">
              <w:rPr>
                <w:rFonts w:ascii="Times" w:hAnsi="Times"/>
                <w:sz w:val="22"/>
                <w:szCs w:val="22"/>
              </w:rPr>
              <w:t>For Grade 3 or 4:</w:t>
            </w:r>
          </w:p>
          <w:p w14:paraId="258185B6" w14:textId="77777777" w:rsidR="00C26AA3" w:rsidRPr="007A3223" w:rsidRDefault="00031798" w:rsidP="003934C1">
            <w:pPr>
              <w:pStyle w:val="ListBulletSmall2"/>
              <w:keepNext/>
              <w:widowControl w:val="0"/>
              <w:spacing w:after="0"/>
              <w:rPr>
                <w:rFonts w:ascii="Times" w:hAnsi="Times"/>
                <w:sz w:val="22"/>
                <w:szCs w:val="22"/>
              </w:rPr>
            </w:pPr>
            <w:r w:rsidRPr="007A3223">
              <w:rPr>
                <w:rFonts w:ascii="Times" w:hAnsi="Times"/>
                <w:sz w:val="22"/>
                <w:szCs w:val="22"/>
              </w:rPr>
              <w:t xml:space="preserve">-  </w:t>
            </w:r>
            <w:r w:rsidR="00C26AA3" w:rsidRPr="007A3223">
              <w:rPr>
                <w:rFonts w:ascii="Times" w:hAnsi="Times"/>
                <w:sz w:val="22"/>
                <w:szCs w:val="22"/>
              </w:rPr>
              <w:t>Consider hospitalization</w:t>
            </w:r>
          </w:p>
          <w:p w14:paraId="74F3535B" w14:textId="77777777" w:rsidR="00C26AA3" w:rsidRPr="007A3223" w:rsidRDefault="00031798" w:rsidP="003934C1">
            <w:pPr>
              <w:pStyle w:val="ListBulletSmall2"/>
              <w:keepNext/>
              <w:widowControl w:val="0"/>
              <w:spacing w:after="0"/>
              <w:rPr>
                <w:rFonts w:ascii="Times" w:hAnsi="Times"/>
                <w:sz w:val="22"/>
                <w:szCs w:val="22"/>
              </w:rPr>
            </w:pPr>
            <w:r w:rsidRPr="007A3223">
              <w:rPr>
                <w:rFonts w:ascii="Times" w:hAnsi="Times"/>
                <w:sz w:val="22"/>
                <w:szCs w:val="22"/>
              </w:rPr>
              <w:t xml:space="preserve">-  </w:t>
            </w:r>
            <w:r w:rsidR="00C26AA3" w:rsidRPr="007A3223">
              <w:rPr>
                <w:rFonts w:ascii="Times" w:hAnsi="Times"/>
                <w:sz w:val="22"/>
                <w:szCs w:val="22"/>
              </w:rPr>
              <w:t xml:space="preserve">Consult dermatology </w:t>
            </w:r>
          </w:p>
          <w:p w14:paraId="35D1CBC3" w14:textId="77777777" w:rsidR="00C26AA3" w:rsidRPr="007A3223" w:rsidRDefault="00031798" w:rsidP="003934C1">
            <w:pPr>
              <w:pStyle w:val="ListBulletSmall2"/>
              <w:keepNext/>
              <w:widowControl w:val="0"/>
              <w:spacing w:after="0"/>
              <w:rPr>
                <w:rFonts w:ascii="Times" w:hAnsi="Times"/>
                <w:sz w:val="22"/>
                <w:szCs w:val="22"/>
              </w:rPr>
            </w:pPr>
            <w:r w:rsidRPr="007A3223">
              <w:rPr>
                <w:rFonts w:ascii="Times" w:hAnsi="Times"/>
                <w:sz w:val="22"/>
                <w:szCs w:val="22"/>
              </w:rPr>
              <w:t xml:space="preserve">-  </w:t>
            </w:r>
            <w:r w:rsidR="00C26AA3" w:rsidRPr="007A3223">
              <w:rPr>
                <w:rFonts w:ascii="Times" w:hAnsi="Times"/>
                <w:sz w:val="22"/>
                <w:szCs w:val="22"/>
              </w:rPr>
              <w:t>Consider skin biopsy (preferably more than 1) as clinically feasible.</w:t>
            </w:r>
          </w:p>
          <w:p w14:paraId="4C82BB80" w14:textId="77777777" w:rsidR="00C26AA3" w:rsidRPr="007A3223" w:rsidRDefault="00031798" w:rsidP="003934C1">
            <w:pPr>
              <w:pStyle w:val="ListBulletSmall2"/>
              <w:keepNext/>
              <w:widowControl w:val="0"/>
              <w:spacing w:after="0"/>
              <w:rPr>
                <w:rFonts w:ascii="Times" w:hAnsi="Times"/>
                <w:sz w:val="22"/>
                <w:szCs w:val="22"/>
              </w:rPr>
            </w:pPr>
            <w:r w:rsidRPr="007A3223">
              <w:rPr>
                <w:rFonts w:ascii="Times" w:hAnsi="Times"/>
                <w:sz w:val="22"/>
                <w:szCs w:val="22"/>
              </w:rPr>
              <w:t xml:space="preserve">-  </w:t>
            </w:r>
            <w:r w:rsidR="00414DCF" w:rsidRPr="007A3223">
              <w:rPr>
                <w:rFonts w:ascii="Times" w:hAnsi="Times"/>
                <w:sz w:val="22"/>
                <w:szCs w:val="22"/>
              </w:rPr>
              <w:t>Promptly i</w:t>
            </w:r>
            <w:r w:rsidR="00C26AA3" w:rsidRPr="007A3223">
              <w:rPr>
                <w:rFonts w:ascii="Times" w:hAnsi="Times"/>
                <w:sz w:val="22"/>
                <w:szCs w:val="22"/>
              </w:rPr>
              <w:t xml:space="preserve">nitiate empiric IV methylprednisolone IV at 1 to </w:t>
            </w:r>
            <w:r w:rsidR="00414DCF" w:rsidRPr="007A3223">
              <w:rPr>
                <w:rFonts w:ascii="Times" w:hAnsi="Times"/>
                <w:sz w:val="22"/>
                <w:szCs w:val="22"/>
              </w:rPr>
              <w:t>4</w:t>
            </w:r>
            <w:r w:rsidR="00C26AA3" w:rsidRPr="007A3223">
              <w:rPr>
                <w:rFonts w:ascii="Times" w:hAnsi="Times"/>
                <w:sz w:val="22"/>
                <w:szCs w:val="22"/>
              </w:rPr>
              <w:t xml:space="preserve"> mg/kg/day</w:t>
            </w:r>
            <w:r w:rsidR="00414DCF" w:rsidRPr="007A3223">
              <w:rPr>
                <w:rFonts w:ascii="Times" w:hAnsi="Times"/>
                <w:sz w:val="22"/>
                <w:szCs w:val="22"/>
              </w:rPr>
              <w:t xml:space="preserve"> or equivalent.</w:t>
            </w:r>
          </w:p>
          <w:p w14:paraId="4E5FF82A" w14:textId="77777777" w:rsidR="00C26AA3" w:rsidRPr="007A3223" w:rsidRDefault="00031798" w:rsidP="003934C1">
            <w:pPr>
              <w:pStyle w:val="ListBulletSmall2"/>
              <w:keepNext/>
              <w:widowControl w:val="0"/>
              <w:spacing w:after="0"/>
              <w:rPr>
                <w:rFonts w:ascii="Times" w:hAnsi="Times"/>
                <w:sz w:val="22"/>
                <w:szCs w:val="22"/>
              </w:rPr>
            </w:pPr>
            <w:r w:rsidRPr="007A3223">
              <w:rPr>
                <w:rFonts w:ascii="Times" w:hAnsi="Times"/>
                <w:sz w:val="22"/>
                <w:szCs w:val="22"/>
              </w:rPr>
              <w:t xml:space="preserve">-  </w:t>
            </w:r>
            <w:r w:rsidR="00C26AA3" w:rsidRPr="007A3223">
              <w:rPr>
                <w:rFonts w:ascii="Times" w:hAnsi="Times"/>
                <w:sz w:val="22"/>
                <w:szCs w:val="22"/>
              </w:rPr>
              <w:t>Once improving, gradually taper steroids over ≥4 weeks and consider prophylactic antibiotics</w:t>
            </w:r>
          </w:p>
        </w:tc>
      </w:tr>
      <w:tr w:rsidR="00E55ADA" w:rsidRPr="007A3223" w14:paraId="365EB4AB" w14:textId="77777777" w:rsidTr="003934C1">
        <w:trPr>
          <w:cantSplit/>
          <w:trHeight w:val="849"/>
        </w:trPr>
        <w:tc>
          <w:tcPr>
            <w:tcW w:w="479" w:type="pct"/>
            <w:hideMark/>
          </w:tcPr>
          <w:p w14:paraId="32B887FB" w14:textId="77777777" w:rsidR="00C26AA3" w:rsidRPr="007A3223" w:rsidRDefault="00C26AA3" w:rsidP="008E0B5C">
            <w:pPr>
              <w:pStyle w:val="TableCenter"/>
              <w:widowControl w:val="0"/>
              <w:spacing w:before="60"/>
              <w:rPr>
                <w:rFonts w:ascii="Times" w:hAnsi="Times"/>
                <w:b/>
                <w:sz w:val="22"/>
                <w:szCs w:val="22"/>
              </w:rPr>
            </w:pPr>
            <w:r w:rsidRPr="007A3223">
              <w:rPr>
                <w:rFonts w:ascii="Times" w:hAnsi="Times"/>
                <w:b/>
                <w:sz w:val="22"/>
                <w:szCs w:val="22"/>
              </w:rPr>
              <w:t>Grade 4</w:t>
            </w:r>
          </w:p>
        </w:tc>
        <w:tc>
          <w:tcPr>
            <w:tcW w:w="1155" w:type="pct"/>
            <w:hideMark/>
          </w:tcPr>
          <w:p w14:paraId="6C457A87" w14:textId="77777777" w:rsidR="00C26AA3" w:rsidRPr="007A3223" w:rsidRDefault="00C26AA3" w:rsidP="000919D4">
            <w:pPr>
              <w:pStyle w:val="TableLeft"/>
              <w:keepNext/>
              <w:widowControl w:val="0"/>
              <w:spacing w:before="60"/>
              <w:rPr>
                <w:rFonts w:ascii="Times" w:hAnsi="Times"/>
                <w:sz w:val="22"/>
                <w:szCs w:val="22"/>
              </w:rPr>
            </w:pPr>
            <w:r w:rsidRPr="007A3223">
              <w:rPr>
                <w:rFonts w:ascii="Times" w:hAnsi="Times"/>
                <w:sz w:val="22"/>
                <w:szCs w:val="22"/>
              </w:rPr>
              <w:t xml:space="preserve">Permanently discontinue study regimen </w:t>
            </w:r>
          </w:p>
        </w:tc>
        <w:tc>
          <w:tcPr>
            <w:tcW w:w="3366" w:type="pct"/>
            <w:vMerge/>
            <w:vAlign w:val="center"/>
            <w:hideMark/>
          </w:tcPr>
          <w:p w14:paraId="407A7EC9" w14:textId="77777777" w:rsidR="00C26AA3" w:rsidRPr="007A3223" w:rsidRDefault="00C26AA3" w:rsidP="000919D4">
            <w:pPr>
              <w:keepNext/>
              <w:widowControl w:val="0"/>
              <w:spacing w:after="0"/>
              <w:rPr>
                <w:rFonts w:ascii="Times" w:hAnsi="Times"/>
                <w:sz w:val="22"/>
              </w:rPr>
            </w:pPr>
          </w:p>
        </w:tc>
      </w:tr>
    </w:tbl>
    <w:p w14:paraId="6A45E12E" w14:textId="77777777" w:rsidR="00E91D43" w:rsidRPr="007A3223" w:rsidRDefault="00E91D43"/>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70"/>
        <w:gridCol w:w="2372"/>
        <w:gridCol w:w="5902"/>
      </w:tblGrid>
      <w:tr w:rsidR="009B658E" w:rsidRPr="007A3223" w14:paraId="49EC3A52" w14:textId="77777777" w:rsidTr="004F0331">
        <w:trPr>
          <w:cantSplit/>
          <w:trHeight w:val="525"/>
          <w:tblHeader/>
        </w:trPr>
        <w:tc>
          <w:tcPr>
            <w:tcW w:w="5000" w:type="pct"/>
            <w:gridSpan w:val="3"/>
          </w:tcPr>
          <w:p w14:paraId="15DC927B" w14:textId="3D701643" w:rsidR="009B658E" w:rsidRPr="007A3223" w:rsidRDefault="00800A5E" w:rsidP="00800A5E">
            <w:pPr>
              <w:pStyle w:val="ListBulletSmall2"/>
              <w:keepNext/>
              <w:widowControl w:val="0"/>
              <w:rPr>
                <w:rFonts w:ascii="Times" w:hAnsi="Times"/>
                <w:b/>
                <w:sz w:val="22"/>
                <w:szCs w:val="22"/>
              </w:rPr>
            </w:pPr>
            <w:bookmarkStart w:id="205" w:name="_Ref450557737"/>
            <w:bookmarkStart w:id="206" w:name="_Toc82444456"/>
            <w:r w:rsidRPr="007A3223">
              <w:rPr>
                <w:b/>
              </w:rPr>
              <w:lastRenderedPageBreak/>
              <w:t xml:space="preserve">Table </w:t>
            </w:r>
            <w:r w:rsidRPr="007A3223">
              <w:rPr>
                <w:b/>
              </w:rPr>
              <w:fldChar w:fldCharType="begin"/>
            </w:r>
            <w:r w:rsidRPr="007A3223">
              <w:rPr>
                <w:b/>
              </w:rPr>
              <w:instrText xml:space="preserve"> SEQ Table \* ARABIC </w:instrText>
            </w:r>
            <w:r w:rsidRPr="007A3223">
              <w:rPr>
                <w:b/>
              </w:rPr>
              <w:fldChar w:fldCharType="separate"/>
            </w:r>
            <w:r w:rsidR="00E47ACA">
              <w:rPr>
                <w:b/>
                <w:noProof/>
              </w:rPr>
              <w:t>22</w:t>
            </w:r>
            <w:r w:rsidRPr="007A3223">
              <w:rPr>
                <w:b/>
              </w:rPr>
              <w:fldChar w:fldCharType="end"/>
            </w:r>
            <w:bookmarkEnd w:id="205"/>
            <w:r w:rsidR="009B658E" w:rsidRPr="007A3223">
              <w:rPr>
                <w:rFonts w:ascii="Times" w:hAnsi="Times"/>
                <w:b/>
                <w:sz w:val="22"/>
                <w:szCs w:val="22"/>
              </w:rPr>
              <w:t>. Endocrinopathy (e.g., hyperthyroidism, hypothyroidism, hypopituitarism, adrenal insufficiency, etc.)</w:t>
            </w:r>
            <w:bookmarkEnd w:id="206"/>
          </w:p>
        </w:tc>
      </w:tr>
      <w:tr w:rsidR="009B658E" w:rsidRPr="007A3223" w14:paraId="0B6C56BA" w14:textId="77777777" w:rsidTr="002D5091">
        <w:trPr>
          <w:cantSplit/>
          <w:trHeight w:val="227"/>
          <w:tblHeader/>
        </w:trPr>
        <w:tc>
          <w:tcPr>
            <w:tcW w:w="1842" w:type="pct"/>
            <w:gridSpan w:val="2"/>
            <w:shd w:val="clear" w:color="auto" w:fill="BFBFBF" w:themeFill="background1" w:themeFillShade="BF"/>
          </w:tcPr>
          <w:p w14:paraId="06863A21" w14:textId="77777777" w:rsidR="009B658E" w:rsidRPr="007A3223" w:rsidRDefault="009B658E" w:rsidP="000919D4">
            <w:pPr>
              <w:pStyle w:val="ListBulletSmall2"/>
              <w:keepNext/>
              <w:widowControl w:val="0"/>
              <w:rPr>
                <w:rFonts w:ascii="Times" w:hAnsi="Times"/>
                <w:b/>
                <w:sz w:val="22"/>
                <w:szCs w:val="22"/>
              </w:rPr>
            </w:pPr>
            <w:r w:rsidRPr="007A3223">
              <w:rPr>
                <w:rFonts w:ascii="Times" w:hAnsi="Times"/>
                <w:b/>
                <w:sz w:val="22"/>
                <w:szCs w:val="22"/>
              </w:rPr>
              <w:t>Dose Modifications</w:t>
            </w:r>
          </w:p>
        </w:tc>
        <w:tc>
          <w:tcPr>
            <w:tcW w:w="3158" w:type="pct"/>
            <w:shd w:val="clear" w:color="auto" w:fill="BFBFBF" w:themeFill="background1" w:themeFillShade="BF"/>
          </w:tcPr>
          <w:p w14:paraId="6670AB66" w14:textId="77777777" w:rsidR="009B658E" w:rsidRPr="007A3223" w:rsidRDefault="009B658E" w:rsidP="000919D4">
            <w:pPr>
              <w:pStyle w:val="ListBulletSmall2"/>
              <w:keepNext/>
              <w:widowControl w:val="0"/>
              <w:rPr>
                <w:rFonts w:ascii="Times" w:hAnsi="Times"/>
                <w:b/>
                <w:sz w:val="22"/>
                <w:szCs w:val="22"/>
              </w:rPr>
            </w:pPr>
            <w:r w:rsidRPr="007A3223">
              <w:rPr>
                <w:rFonts w:ascii="Times" w:hAnsi="Times"/>
                <w:b/>
                <w:sz w:val="22"/>
                <w:szCs w:val="22"/>
              </w:rPr>
              <w:t>Toxicity Management</w:t>
            </w:r>
          </w:p>
        </w:tc>
      </w:tr>
      <w:tr w:rsidR="009B658E" w:rsidRPr="007A3223" w14:paraId="54AD08E3" w14:textId="77777777" w:rsidTr="005A475F">
        <w:trPr>
          <w:cantSplit/>
          <w:trHeight w:val="3936"/>
        </w:trPr>
        <w:tc>
          <w:tcPr>
            <w:tcW w:w="1842" w:type="pct"/>
            <w:gridSpan w:val="2"/>
          </w:tcPr>
          <w:p w14:paraId="5647DBE9" w14:textId="77777777" w:rsidR="009B658E" w:rsidRPr="007A3223" w:rsidRDefault="009B658E" w:rsidP="000919D4">
            <w:pPr>
              <w:pStyle w:val="TableLeft"/>
              <w:keepNext/>
              <w:widowControl w:val="0"/>
              <w:spacing w:before="60"/>
              <w:jc w:val="center"/>
              <w:rPr>
                <w:rFonts w:ascii="Times" w:hAnsi="Times"/>
                <w:sz w:val="22"/>
                <w:szCs w:val="22"/>
              </w:rPr>
            </w:pPr>
            <w:r w:rsidRPr="007A3223">
              <w:rPr>
                <w:rFonts w:ascii="Times" w:hAnsi="Times"/>
                <w:sz w:val="22"/>
                <w:szCs w:val="22"/>
              </w:rPr>
              <w:t>Any Grade</w:t>
            </w:r>
          </w:p>
        </w:tc>
        <w:tc>
          <w:tcPr>
            <w:tcW w:w="3158" w:type="pct"/>
          </w:tcPr>
          <w:p w14:paraId="1DCC5848" w14:textId="77777777" w:rsidR="009B658E" w:rsidRPr="007A3223" w:rsidRDefault="009B658E" w:rsidP="005A475F">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Monitor patients for signs and symptoms of endocrinopathies.  Non-specific symptoms include headache, fatigue, behavior changes, changed mental status, vertigo, abdominal pain, unusual bowel habits, hypotension and weakness.</w:t>
            </w:r>
          </w:p>
          <w:p w14:paraId="43638571" w14:textId="77777777" w:rsidR="009B658E" w:rsidRPr="007A3223" w:rsidRDefault="009B658E" w:rsidP="005A475F">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Patients should be thoroughly evaluated to rule out any alternative etiology (e.g., disease progression </w:t>
            </w:r>
            <w:r w:rsidRPr="007A3223">
              <w:rPr>
                <w:rFonts w:ascii="Times" w:hAnsi="Times"/>
                <w:b/>
                <w:sz w:val="22"/>
                <w:szCs w:val="22"/>
              </w:rPr>
              <w:t>including brain metastases</w:t>
            </w:r>
            <w:r w:rsidRPr="007A3223">
              <w:rPr>
                <w:rFonts w:ascii="Times" w:hAnsi="Times"/>
                <w:sz w:val="22"/>
                <w:szCs w:val="22"/>
              </w:rPr>
              <w:t>, infections, etc.).</w:t>
            </w:r>
          </w:p>
          <w:p w14:paraId="5C031E3C" w14:textId="77777777" w:rsidR="009B658E" w:rsidRPr="007A3223" w:rsidRDefault="009B658E" w:rsidP="005A475F">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Monitor and evaluate thyroid function tests: TSH, free T</w:t>
            </w:r>
            <w:r w:rsidRPr="007A3223">
              <w:rPr>
                <w:rFonts w:ascii="Times" w:hAnsi="Times"/>
                <w:sz w:val="22"/>
                <w:szCs w:val="22"/>
                <w:vertAlign w:val="subscript"/>
              </w:rPr>
              <w:t>3</w:t>
            </w:r>
            <w:r w:rsidRPr="007A3223">
              <w:rPr>
                <w:rFonts w:ascii="Times" w:hAnsi="Times"/>
                <w:sz w:val="22"/>
                <w:szCs w:val="22"/>
              </w:rPr>
              <w:t xml:space="preserve"> and free T</w:t>
            </w:r>
            <w:r w:rsidRPr="007A3223">
              <w:rPr>
                <w:rFonts w:ascii="Times" w:hAnsi="Times"/>
                <w:sz w:val="22"/>
                <w:szCs w:val="22"/>
                <w:vertAlign w:val="subscript"/>
              </w:rPr>
              <w:t xml:space="preserve">4 </w:t>
            </w:r>
            <w:r w:rsidRPr="007A3223">
              <w:rPr>
                <w:rFonts w:ascii="Times" w:hAnsi="Times"/>
                <w:sz w:val="22"/>
                <w:szCs w:val="22"/>
              </w:rPr>
              <w:t xml:space="preserve">and other relevant endocrine labs depending on suspected endocrinopathy. </w:t>
            </w:r>
          </w:p>
          <w:p w14:paraId="7EABC9FF" w14:textId="77777777" w:rsidR="009B658E" w:rsidRPr="007A3223" w:rsidRDefault="009B658E" w:rsidP="005A475F">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w:t>
            </w:r>
            <w:r w:rsidR="00B96E6C" w:rsidRPr="007A3223">
              <w:rPr>
                <w:rFonts w:ascii="Times" w:hAnsi="Times"/>
                <w:sz w:val="22"/>
                <w:szCs w:val="22"/>
              </w:rPr>
              <w:t>Consult endocrinologist</w:t>
            </w:r>
            <w:r w:rsidRPr="007A3223">
              <w:rPr>
                <w:rFonts w:ascii="Times" w:hAnsi="Times"/>
                <w:sz w:val="22"/>
                <w:szCs w:val="22"/>
              </w:rPr>
              <w:t>.</w:t>
            </w:r>
          </w:p>
          <w:p w14:paraId="1F71328D" w14:textId="77777777" w:rsidR="009B658E" w:rsidRPr="007A3223" w:rsidRDefault="009B658E" w:rsidP="005A475F">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If a patient experiences an AE that is thought to be possibly of autoimmune nature (e.g., thyroiditis, pancreatitis, hypophysitis, diabetes insipidus), the investigator should send a blood sample for appropriate autoimmune antibody testing. </w:t>
            </w:r>
          </w:p>
        </w:tc>
      </w:tr>
      <w:tr w:rsidR="00BF51CD" w:rsidRPr="007A3223" w14:paraId="59AE6CBB" w14:textId="77777777" w:rsidTr="002D5091">
        <w:trPr>
          <w:cantSplit/>
          <w:trHeight w:val="1533"/>
        </w:trPr>
        <w:tc>
          <w:tcPr>
            <w:tcW w:w="573" w:type="pct"/>
            <w:hideMark/>
          </w:tcPr>
          <w:p w14:paraId="0D3AD91D" w14:textId="77777777" w:rsidR="00E55ADA" w:rsidRPr="007A3223" w:rsidRDefault="00E55ADA" w:rsidP="008E0B5C">
            <w:pPr>
              <w:pStyle w:val="TableCenter"/>
              <w:widowControl w:val="0"/>
              <w:spacing w:before="60"/>
              <w:rPr>
                <w:rFonts w:ascii="Times" w:hAnsi="Times"/>
                <w:b/>
                <w:sz w:val="22"/>
                <w:szCs w:val="22"/>
              </w:rPr>
            </w:pPr>
            <w:r w:rsidRPr="007A3223">
              <w:rPr>
                <w:rFonts w:ascii="Times" w:hAnsi="Times"/>
                <w:b/>
                <w:sz w:val="22"/>
                <w:szCs w:val="22"/>
              </w:rPr>
              <w:t>Grade 1</w:t>
            </w:r>
          </w:p>
        </w:tc>
        <w:tc>
          <w:tcPr>
            <w:tcW w:w="1269" w:type="pct"/>
            <w:hideMark/>
          </w:tcPr>
          <w:p w14:paraId="25A7EF8D" w14:textId="77777777" w:rsidR="00E55ADA" w:rsidRPr="007A3223" w:rsidRDefault="00E55ADA" w:rsidP="000919D4">
            <w:pPr>
              <w:pStyle w:val="TableLeft"/>
              <w:keepNext/>
              <w:widowControl w:val="0"/>
              <w:spacing w:before="60"/>
              <w:rPr>
                <w:rFonts w:ascii="Times" w:hAnsi="Times"/>
                <w:sz w:val="22"/>
                <w:szCs w:val="22"/>
              </w:rPr>
            </w:pPr>
            <w:r w:rsidRPr="007A3223">
              <w:rPr>
                <w:rFonts w:ascii="Times" w:hAnsi="Times"/>
                <w:sz w:val="22"/>
                <w:szCs w:val="22"/>
              </w:rPr>
              <w:t>No dose modification</w:t>
            </w:r>
          </w:p>
        </w:tc>
        <w:tc>
          <w:tcPr>
            <w:tcW w:w="3158" w:type="pct"/>
            <w:hideMark/>
          </w:tcPr>
          <w:p w14:paraId="369DA8AC" w14:textId="77777777" w:rsidR="00E55ADA" w:rsidRPr="007A3223" w:rsidRDefault="00E55ADA" w:rsidP="005A475F">
            <w:pPr>
              <w:pStyle w:val="ListBulletSmall"/>
              <w:keepNext/>
              <w:widowControl w:val="0"/>
              <w:spacing w:after="0"/>
              <w:rPr>
                <w:rFonts w:ascii="Times" w:hAnsi="Times"/>
                <w:sz w:val="22"/>
                <w:szCs w:val="22"/>
              </w:rPr>
            </w:pPr>
            <w:r w:rsidRPr="007A3223">
              <w:rPr>
                <w:rFonts w:ascii="Times" w:hAnsi="Times"/>
                <w:sz w:val="22"/>
                <w:szCs w:val="22"/>
              </w:rPr>
              <w:t>For Grade 1: (including those with asymptomatic TSH elevation)</w:t>
            </w:r>
          </w:p>
          <w:p w14:paraId="595CAE04" w14:textId="77777777" w:rsidR="00E55ADA" w:rsidRPr="007A3223" w:rsidRDefault="00E55ADA" w:rsidP="00FB66BA">
            <w:pPr>
              <w:pStyle w:val="ListBulletSmall"/>
              <w:keepNext/>
              <w:widowControl w:val="0"/>
              <w:numPr>
                <w:ilvl w:val="0"/>
                <w:numId w:val="50"/>
              </w:numPr>
              <w:spacing w:after="0"/>
              <w:ind w:left="162" w:hanging="180"/>
              <w:rPr>
                <w:rFonts w:ascii="Times" w:hAnsi="Times"/>
                <w:sz w:val="22"/>
                <w:szCs w:val="22"/>
              </w:rPr>
            </w:pPr>
            <w:r w:rsidRPr="007A3223">
              <w:rPr>
                <w:rFonts w:ascii="Times" w:hAnsi="Times"/>
                <w:sz w:val="22"/>
                <w:szCs w:val="22"/>
              </w:rPr>
              <w:t>Monitor patient with appropriate endocrine function tests</w:t>
            </w:r>
          </w:p>
          <w:p w14:paraId="538CBFFF" w14:textId="77777777" w:rsidR="00E55ADA" w:rsidRPr="007A3223" w:rsidRDefault="0063688C" w:rsidP="005A475F">
            <w:pPr>
              <w:pStyle w:val="ListBulletSmall"/>
              <w:keepNext/>
              <w:widowControl w:val="0"/>
              <w:tabs>
                <w:tab w:val="clear" w:pos="360"/>
              </w:tabs>
              <w:spacing w:after="0"/>
              <w:ind w:left="162" w:hanging="180"/>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If TSH &lt; 0.5 LLN, or TSH &gt;</w:t>
            </w:r>
            <w:r w:rsidR="001E197F" w:rsidRPr="007A3223">
              <w:rPr>
                <w:rFonts w:ascii="Times" w:hAnsi="Times"/>
                <w:sz w:val="22"/>
                <w:szCs w:val="22"/>
              </w:rPr>
              <w:t xml:space="preserve"> </w:t>
            </w:r>
            <w:r w:rsidR="00E55ADA" w:rsidRPr="007A3223">
              <w:rPr>
                <w:rFonts w:ascii="Times" w:hAnsi="Times"/>
                <w:sz w:val="22"/>
                <w:szCs w:val="22"/>
              </w:rPr>
              <w:t>2X ULN or consistently out of range in 2 subsequent measurements, include FT4 at subsequent cycles as clinically indicated and consider Endocrinology consult.</w:t>
            </w:r>
          </w:p>
        </w:tc>
      </w:tr>
      <w:tr w:rsidR="00233038" w:rsidRPr="007A3223" w14:paraId="30414552" w14:textId="77777777" w:rsidTr="005A475F">
        <w:trPr>
          <w:cantSplit/>
          <w:trHeight w:val="2757"/>
        </w:trPr>
        <w:tc>
          <w:tcPr>
            <w:tcW w:w="573" w:type="pct"/>
            <w:hideMark/>
          </w:tcPr>
          <w:p w14:paraId="138E2CA2" w14:textId="77777777" w:rsidR="00E55ADA" w:rsidRPr="007A3223" w:rsidRDefault="00E55ADA" w:rsidP="008E0B5C">
            <w:pPr>
              <w:pStyle w:val="TableCenter"/>
              <w:widowControl w:val="0"/>
              <w:spacing w:before="60"/>
              <w:rPr>
                <w:rFonts w:ascii="Times" w:hAnsi="Times"/>
                <w:sz w:val="22"/>
                <w:szCs w:val="22"/>
              </w:rPr>
            </w:pPr>
            <w:r w:rsidRPr="007A3223">
              <w:rPr>
                <w:rFonts w:ascii="Times" w:hAnsi="Times"/>
                <w:b/>
                <w:sz w:val="22"/>
                <w:szCs w:val="22"/>
              </w:rPr>
              <w:t xml:space="preserve">Grade 2 </w:t>
            </w:r>
          </w:p>
        </w:tc>
        <w:tc>
          <w:tcPr>
            <w:tcW w:w="1269" w:type="pct"/>
            <w:hideMark/>
          </w:tcPr>
          <w:p w14:paraId="50530F81" w14:textId="77777777" w:rsidR="00E55ADA" w:rsidRPr="007A3223" w:rsidRDefault="00E55ADA" w:rsidP="000919D4">
            <w:pPr>
              <w:pStyle w:val="ListBulletSmall"/>
              <w:keepNext/>
              <w:widowControl w:val="0"/>
              <w:tabs>
                <w:tab w:val="num" w:pos="252"/>
              </w:tabs>
              <w:spacing w:before="60"/>
              <w:ind w:left="252" w:hanging="252"/>
              <w:rPr>
                <w:rFonts w:ascii="Times" w:hAnsi="Times"/>
                <w:sz w:val="22"/>
                <w:szCs w:val="22"/>
              </w:rPr>
            </w:pPr>
            <w:r w:rsidRPr="007A3223">
              <w:rPr>
                <w:rFonts w:ascii="Times" w:hAnsi="Times"/>
                <w:sz w:val="22"/>
                <w:szCs w:val="22"/>
              </w:rPr>
              <w:t xml:space="preserve">Hold Study regimen dose until grade 2 resolution to ≤ </w:t>
            </w:r>
            <w:r w:rsidR="001E197F" w:rsidRPr="007A3223">
              <w:rPr>
                <w:rFonts w:ascii="Times" w:hAnsi="Times"/>
                <w:sz w:val="22"/>
                <w:szCs w:val="22"/>
              </w:rPr>
              <w:t>g</w:t>
            </w:r>
            <w:r w:rsidRPr="007A3223">
              <w:rPr>
                <w:rFonts w:ascii="Times" w:hAnsi="Times"/>
                <w:sz w:val="22"/>
                <w:szCs w:val="22"/>
              </w:rPr>
              <w:t>rade 1</w:t>
            </w:r>
          </w:p>
          <w:p w14:paraId="1D869ABD" w14:textId="77777777" w:rsidR="00E55ADA" w:rsidRPr="007A3223" w:rsidRDefault="00E55ADA" w:rsidP="000919D4">
            <w:pPr>
              <w:pStyle w:val="ListBulletSmall"/>
              <w:keepNext/>
              <w:widowControl w:val="0"/>
              <w:tabs>
                <w:tab w:val="num" w:pos="252"/>
              </w:tabs>
              <w:spacing w:before="60"/>
              <w:ind w:left="252" w:hanging="252"/>
              <w:rPr>
                <w:rFonts w:ascii="Times" w:hAnsi="Times"/>
                <w:sz w:val="22"/>
                <w:szCs w:val="22"/>
              </w:rPr>
            </w:pPr>
            <w:r w:rsidRPr="007A3223">
              <w:rPr>
                <w:rFonts w:ascii="Times" w:hAnsi="Times"/>
                <w:sz w:val="22"/>
                <w:szCs w:val="22"/>
              </w:rPr>
              <w:t>•</w:t>
            </w:r>
            <w:r w:rsidRPr="007A3223">
              <w:rPr>
                <w:rFonts w:ascii="Times" w:hAnsi="Times"/>
                <w:sz w:val="22"/>
                <w:szCs w:val="22"/>
              </w:rPr>
              <w:tab/>
              <w:t xml:space="preserve">If worsens then treat as </w:t>
            </w:r>
            <w:r w:rsidR="001E197F" w:rsidRPr="007A3223">
              <w:rPr>
                <w:rFonts w:ascii="Times" w:hAnsi="Times"/>
                <w:sz w:val="22"/>
                <w:szCs w:val="22"/>
              </w:rPr>
              <w:t>g</w:t>
            </w:r>
            <w:r w:rsidR="00A13FE0" w:rsidRPr="007A3223">
              <w:rPr>
                <w:rFonts w:ascii="Times" w:hAnsi="Times"/>
                <w:sz w:val="22"/>
                <w:szCs w:val="22"/>
              </w:rPr>
              <w:t xml:space="preserve">rade </w:t>
            </w:r>
            <w:r w:rsidRPr="007A3223">
              <w:rPr>
                <w:rFonts w:ascii="Times" w:hAnsi="Times"/>
                <w:sz w:val="22"/>
                <w:szCs w:val="22"/>
              </w:rPr>
              <w:t>3 or 4</w:t>
            </w:r>
          </w:p>
          <w:p w14:paraId="4FEAF417" w14:textId="77777777" w:rsidR="00E55ADA" w:rsidRPr="007A3223" w:rsidRDefault="00E55ADA" w:rsidP="000919D4">
            <w:pPr>
              <w:pStyle w:val="ListBulletSmall"/>
              <w:keepNext/>
              <w:widowControl w:val="0"/>
              <w:tabs>
                <w:tab w:val="num" w:pos="252"/>
              </w:tabs>
              <w:spacing w:before="60"/>
              <w:ind w:left="252" w:hanging="252"/>
              <w:rPr>
                <w:rFonts w:ascii="Times" w:hAnsi="Times"/>
                <w:sz w:val="22"/>
                <w:szCs w:val="22"/>
              </w:rPr>
            </w:pPr>
            <w:r w:rsidRPr="007A3223">
              <w:rPr>
                <w:rFonts w:ascii="Times" w:hAnsi="Times"/>
                <w:sz w:val="22"/>
                <w:szCs w:val="22"/>
              </w:rPr>
              <w:t>•</w:t>
            </w:r>
            <w:r w:rsidRPr="007A3223">
              <w:rPr>
                <w:rFonts w:ascii="Times" w:hAnsi="Times"/>
                <w:sz w:val="22"/>
                <w:szCs w:val="22"/>
              </w:rPr>
              <w:tab/>
              <w:t>If improves to baseline then treat at next scheduled treatment date</w:t>
            </w:r>
          </w:p>
        </w:tc>
        <w:tc>
          <w:tcPr>
            <w:tcW w:w="3158" w:type="pct"/>
            <w:hideMark/>
          </w:tcPr>
          <w:p w14:paraId="03A2EF60" w14:textId="77777777" w:rsidR="00E55ADA" w:rsidRPr="007A3223" w:rsidRDefault="00E55ADA" w:rsidP="005A475F">
            <w:pPr>
              <w:pStyle w:val="ListBulletSmall"/>
              <w:keepNext/>
              <w:widowControl w:val="0"/>
              <w:spacing w:after="0"/>
              <w:rPr>
                <w:rFonts w:ascii="Times" w:hAnsi="Times"/>
                <w:sz w:val="22"/>
                <w:szCs w:val="22"/>
              </w:rPr>
            </w:pPr>
            <w:r w:rsidRPr="007A3223">
              <w:rPr>
                <w:rFonts w:ascii="Times" w:hAnsi="Times"/>
                <w:sz w:val="22"/>
                <w:szCs w:val="22"/>
              </w:rPr>
              <w:t>For Grade 2: (including those with symptomatic endocrinopathy)</w:t>
            </w:r>
          </w:p>
          <w:p w14:paraId="1CC5E143" w14:textId="77777777" w:rsidR="00B96E6C" w:rsidRPr="007A3223" w:rsidRDefault="00A13FE0" w:rsidP="00B96E6C">
            <w:pPr>
              <w:pStyle w:val="ListBulletSmall"/>
              <w:keepNext/>
              <w:widowControl w:val="0"/>
              <w:spacing w:after="0"/>
              <w:ind w:left="162" w:hanging="162"/>
              <w:rPr>
                <w:rFonts w:ascii="Times" w:hAnsi="Times"/>
                <w:sz w:val="22"/>
                <w:szCs w:val="22"/>
              </w:rPr>
            </w:pPr>
            <w:r w:rsidRPr="007A3223">
              <w:rPr>
                <w:rFonts w:ascii="Times" w:hAnsi="Times"/>
                <w:sz w:val="22"/>
                <w:szCs w:val="22"/>
              </w:rPr>
              <w:t xml:space="preserve">-  </w:t>
            </w:r>
            <w:r w:rsidR="00B96E6C" w:rsidRPr="007A3223">
              <w:rPr>
                <w:rFonts w:ascii="Times" w:hAnsi="Times"/>
                <w:sz w:val="22"/>
                <w:szCs w:val="22"/>
              </w:rPr>
              <w:t>Isolated hypothyroidism may be treated with replacement therapy without treatment interruption and without corticosteroids</w:t>
            </w:r>
          </w:p>
          <w:p w14:paraId="6E5F8155" w14:textId="77777777" w:rsidR="00E55ADA" w:rsidRPr="007A3223" w:rsidRDefault="00B96E6C" w:rsidP="005A475F">
            <w:pPr>
              <w:pStyle w:val="ListBulletSmall"/>
              <w:keepNext/>
              <w:widowControl w:val="0"/>
              <w:tabs>
                <w:tab w:val="clear" w:pos="360"/>
              </w:tabs>
              <w:spacing w:after="0"/>
              <w:ind w:left="162" w:hanging="162"/>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Initiate hormone replacement as needed for management</w:t>
            </w:r>
          </w:p>
          <w:p w14:paraId="60F18A58" w14:textId="77777777" w:rsidR="00B96E6C" w:rsidRPr="007A3223" w:rsidRDefault="00A13FE0" w:rsidP="0015219F">
            <w:pPr>
              <w:pStyle w:val="ListBulletSmall"/>
              <w:keepNext/>
              <w:widowControl w:val="0"/>
              <w:tabs>
                <w:tab w:val="clear" w:pos="360"/>
              </w:tabs>
              <w:spacing w:after="0"/>
              <w:ind w:left="162" w:hanging="162"/>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Evaluate endocrine function, and as clinically indicated consider pituitary scan</w:t>
            </w:r>
          </w:p>
          <w:p w14:paraId="2D554489" w14:textId="77777777" w:rsidR="00E55ADA" w:rsidRPr="007A3223" w:rsidRDefault="00B96E6C" w:rsidP="00B96E6C">
            <w:pPr>
              <w:pStyle w:val="ListBulletSmall"/>
              <w:keepNext/>
              <w:widowControl w:val="0"/>
              <w:spacing w:after="0"/>
              <w:ind w:left="162" w:hanging="162"/>
              <w:rPr>
                <w:rFonts w:ascii="Times" w:hAnsi="Times"/>
                <w:sz w:val="22"/>
                <w:szCs w:val="22"/>
              </w:rPr>
            </w:pPr>
            <w:r w:rsidRPr="007A3223">
              <w:rPr>
                <w:rFonts w:ascii="Times" w:hAnsi="Times"/>
                <w:sz w:val="22"/>
                <w:szCs w:val="22"/>
              </w:rPr>
              <w:t>-</w:t>
            </w:r>
            <w:r w:rsidRPr="007A3223">
              <w:rPr>
                <w:rFonts w:ascii="Times" w:hAnsi="Times"/>
                <w:sz w:val="22"/>
                <w:szCs w:val="22"/>
              </w:rPr>
              <w:tab/>
              <w:t xml:space="preserve">For patients with abnormal endocrine work up, except for those with isolated hypothyroidism, consider short-term, corticosteroids (e.g., 1-2mg/kg/day methylprednisolone or IV equivalent) and prompt initiation of treatment with relevant hormone replacement (e.g. Levothyroxine, hydrocortisone, or sex hormones). </w:t>
            </w:r>
          </w:p>
          <w:p w14:paraId="3B330B32" w14:textId="77777777" w:rsidR="00E55ADA" w:rsidRPr="007A3223" w:rsidRDefault="00A13FE0" w:rsidP="005A475F">
            <w:pPr>
              <w:pStyle w:val="ListBulletSmall"/>
              <w:keepNext/>
              <w:widowControl w:val="0"/>
              <w:tabs>
                <w:tab w:val="clear" w:pos="360"/>
              </w:tabs>
              <w:spacing w:after="0"/>
              <w:ind w:left="162" w:hanging="162"/>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For patients with normal endocrine work up (lab or MRI scans), repeat labs/MRI as clinically indicated.</w:t>
            </w:r>
          </w:p>
        </w:tc>
      </w:tr>
      <w:tr w:rsidR="00E55ADA" w:rsidRPr="007A3223" w14:paraId="4A038FAC" w14:textId="77777777" w:rsidTr="002D5091">
        <w:trPr>
          <w:cantSplit/>
          <w:trHeight w:val="1218"/>
        </w:trPr>
        <w:tc>
          <w:tcPr>
            <w:tcW w:w="573" w:type="pct"/>
          </w:tcPr>
          <w:p w14:paraId="530D318E" w14:textId="77777777" w:rsidR="00E55ADA" w:rsidRPr="007A3223" w:rsidRDefault="00E55ADA" w:rsidP="008E0B5C">
            <w:pPr>
              <w:pStyle w:val="TableCenter"/>
              <w:widowControl w:val="0"/>
              <w:spacing w:before="60"/>
              <w:rPr>
                <w:rFonts w:ascii="Times" w:hAnsi="Times"/>
                <w:b/>
                <w:sz w:val="22"/>
                <w:szCs w:val="22"/>
              </w:rPr>
            </w:pPr>
            <w:r w:rsidRPr="007A3223">
              <w:rPr>
                <w:rFonts w:ascii="Times" w:hAnsi="Times"/>
                <w:b/>
                <w:sz w:val="22"/>
                <w:szCs w:val="22"/>
              </w:rPr>
              <w:lastRenderedPageBreak/>
              <w:t>Grade 3</w:t>
            </w:r>
          </w:p>
        </w:tc>
        <w:tc>
          <w:tcPr>
            <w:tcW w:w="1269" w:type="pct"/>
          </w:tcPr>
          <w:p w14:paraId="3C32FB77" w14:textId="77777777" w:rsidR="00E55ADA" w:rsidRPr="007A3223" w:rsidRDefault="00E55ADA" w:rsidP="000919D4">
            <w:pPr>
              <w:pStyle w:val="ListBulletSmall"/>
              <w:keepNext/>
              <w:widowControl w:val="0"/>
              <w:tabs>
                <w:tab w:val="num" w:pos="252"/>
              </w:tabs>
              <w:spacing w:before="60"/>
              <w:ind w:left="0" w:firstLine="0"/>
              <w:rPr>
                <w:rFonts w:ascii="Times" w:hAnsi="Times"/>
                <w:sz w:val="22"/>
                <w:szCs w:val="22"/>
              </w:rPr>
            </w:pPr>
            <w:r w:rsidRPr="007A3223">
              <w:rPr>
                <w:rFonts w:ascii="Times" w:hAnsi="Times"/>
                <w:sz w:val="22"/>
                <w:szCs w:val="22"/>
              </w:rPr>
              <w:t>Hold Study regimen dose until endocrinopathy symptom(s) are controlled</w:t>
            </w:r>
          </w:p>
          <w:p w14:paraId="0AE5C6C5" w14:textId="77777777" w:rsidR="00E55ADA" w:rsidRPr="007A3223" w:rsidRDefault="00E55ADA" w:rsidP="000919D4">
            <w:pPr>
              <w:pStyle w:val="ListBulletSmall"/>
              <w:keepNext/>
              <w:widowControl w:val="0"/>
              <w:tabs>
                <w:tab w:val="num" w:pos="252"/>
              </w:tabs>
              <w:spacing w:before="60"/>
              <w:ind w:left="0" w:firstLine="0"/>
              <w:rPr>
                <w:rFonts w:ascii="Times" w:hAnsi="Times"/>
                <w:sz w:val="22"/>
                <w:szCs w:val="22"/>
              </w:rPr>
            </w:pPr>
            <w:r w:rsidRPr="007A3223">
              <w:rPr>
                <w:rFonts w:ascii="Times" w:hAnsi="Times"/>
                <w:sz w:val="22"/>
                <w:szCs w:val="22"/>
              </w:rPr>
              <w:t>Resume Study regimen     administration if controlled at the next scheduled dose</w:t>
            </w:r>
          </w:p>
        </w:tc>
        <w:tc>
          <w:tcPr>
            <w:tcW w:w="3158" w:type="pct"/>
            <w:vMerge w:val="restart"/>
          </w:tcPr>
          <w:p w14:paraId="2C07326F" w14:textId="77777777" w:rsidR="00E55ADA" w:rsidRPr="007A3223" w:rsidRDefault="00E55ADA" w:rsidP="005A475F">
            <w:pPr>
              <w:pStyle w:val="ListBulletSmall"/>
              <w:keepNext/>
              <w:widowControl w:val="0"/>
              <w:spacing w:after="0"/>
              <w:rPr>
                <w:rFonts w:ascii="Times" w:hAnsi="Times"/>
                <w:sz w:val="22"/>
                <w:szCs w:val="22"/>
              </w:rPr>
            </w:pPr>
            <w:r w:rsidRPr="007A3223">
              <w:rPr>
                <w:rFonts w:ascii="Times" w:hAnsi="Times"/>
                <w:sz w:val="22"/>
                <w:szCs w:val="22"/>
              </w:rPr>
              <w:t>For Grade 3 or 4:</w:t>
            </w:r>
          </w:p>
          <w:p w14:paraId="2B268F03" w14:textId="77777777" w:rsidR="00A97309" w:rsidRPr="007A3223" w:rsidRDefault="00A97309" w:rsidP="00A97309">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Isolated hypothyroidism may be treated with replacement therapy without treatment interruption and without corticosteroids</w:t>
            </w:r>
          </w:p>
          <w:p w14:paraId="014932E5" w14:textId="77777777" w:rsidR="00E55ADA" w:rsidRPr="007A3223" w:rsidRDefault="00A97309" w:rsidP="00A97309">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Promptly i</w:t>
            </w:r>
            <w:r w:rsidR="00E55ADA" w:rsidRPr="007A3223">
              <w:rPr>
                <w:rFonts w:ascii="Times" w:hAnsi="Times"/>
                <w:sz w:val="22"/>
                <w:szCs w:val="22"/>
              </w:rPr>
              <w:t xml:space="preserve">nitiate empiric IV corticosteroids (e.g., methylprednisolone IV or equivalent) at 1 to 2 mg/kg/day </w:t>
            </w:r>
          </w:p>
          <w:p w14:paraId="703235A2" w14:textId="77777777" w:rsidR="00E55ADA" w:rsidRPr="007A3223" w:rsidRDefault="00233038" w:rsidP="005A475F">
            <w:pPr>
              <w:pStyle w:val="ListBulletSmall"/>
              <w:keepNext/>
              <w:widowControl w:val="0"/>
              <w:tabs>
                <w:tab w:val="clear" w:pos="360"/>
              </w:tabs>
              <w:spacing w:after="0"/>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Administer hormone replacement therapy as necessary</w:t>
            </w:r>
          </w:p>
          <w:p w14:paraId="51407BC4" w14:textId="77777777" w:rsidR="00E55ADA" w:rsidRPr="007A3223" w:rsidRDefault="00233038" w:rsidP="005A475F">
            <w:pPr>
              <w:pStyle w:val="ListBulletSmall"/>
              <w:keepNext/>
              <w:widowControl w:val="0"/>
              <w:tabs>
                <w:tab w:val="clear" w:pos="360"/>
              </w:tabs>
              <w:spacing w:after="0"/>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For adrenal crisis, severe dehydration, hypotension, or shock: immediately initiate intravenous corticosteroids with mineralocorticoid activity</w:t>
            </w:r>
          </w:p>
          <w:p w14:paraId="31D8F395" w14:textId="77777777" w:rsidR="00E55ADA" w:rsidRPr="007A3223" w:rsidRDefault="00233038" w:rsidP="005A475F">
            <w:pPr>
              <w:pStyle w:val="ListBulletSmall"/>
              <w:keepNext/>
              <w:widowControl w:val="0"/>
              <w:tabs>
                <w:tab w:val="clear" w:pos="360"/>
              </w:tabs>
              <w:spacing w:after="0"/>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Consult endocrinologist</w:t>
            </w:r>
          </w:p>
          <w:p w14:paraId="6B056BC0" w14:textId="77777777" w:rsidR="00E55ADA" w:rsidRPr="007A3223" w:rsidRDefault="00233038" w:rsidP="005A475F">
            <w:pPr>
              <w:pStyle w:val="ListBulletSmall"/>
              <w:keepNext/>
              <w:widowControl w:val="0"/>
              <w:tabs>
                <w:tab w:val="clear" w:pos="360"/>
              </w:tabs>
              <w:spacing w:after="0"/>
              <w:rPr>
                <w:rFonts w:ascii="Times" w:hAnsi="Times"/>
                <w:sz w:val="22"/>
                <w:szCs w:val="22"/>
              </w:rPr>
            </w:pPr>
            <w:r w:rsidRPr="007A3223">
              <w:rPr>
                <w:rFonts w:ascii="Times" w:hAnsi="Times"/>
                <w:sz w:val="22"/>
                <w:szCs w:val="22"/>
              </w:rPr>
              <w:t xml:space="preserve">-  </w:t>
            </w:r>
            <w:r w:rsidR="00E55ADA" w:rsidRPr="007A3223">
              <w:rPr>
                <w:rFonts w:ascii="Times" w:hAnsi="Times"/>
                <w:sz w:val="22"/>
                <w:szCs w:val="22"/>
              </w:rPr>
              <w:t>Once improving, gradually taper immunosuppressive steroids over ≥4 weeks</w:t>
            </w:r>
            <w:r w:rsidR="00A97309" w:rsidRPr="007A3223">
              <w:t xml:space="preserve"> </w:t>
            </w:r>
            <w:r w:rsidR="00A97309" w:rsidRPr="007A3223">
              <w:rPr>
                <w:rFonts w:ascii="Times" w:hAnsi="Times"/>
                <w:sz w:val="22"/>
                <w:szCs w:val="22"/>
              </w:rPr>
              <w:t>and consider prophylactic antibiotics, antifungals and anti PCP treatment.</w:t>
            </w:r>
          </w:p>
        </w:tc>
      </w:tr>
      <w:tr w:rsidR="00E55ADA" w:rsidRPr="007A3223" w14:paraId="26098950" w14:textId="77777777" w:rsidTr="002D5091">
        <w:trPr>
          <w:cantSplit/>
          <w:trHeight w:val="148"/>
        </w:trPr>
        <w:tc>
          <w:tcPr>
            <w:tcW w:w="573" w:type="pct"/>
            <w:hideMark/>
          </w:tcPr>
          <w:p w14:paraId="05AB9B1F" w14:textId="77777777" w:rsidR="00E55ADA" w:rsidRPr="007A3223" w:rsidRDefault="00E55ADA" w:rsidP="008E0B5C">
            <w:pPr>
              <w:pStyle w:val="TableCenter"/>
              <w:widowControl w:val="0"/>
              <w:spacing w:before="60"/>
              <w:rPr>
                <w:rFonts w:ascii="Times" w:hAnsi="Times"/>
                <w:b/>
                <w:sz w:val="22"/>
                <w:szCs w:val="22"/>
              </w:rPr>
            </w:pPr>
            <w:r w:rsidRPr="007A3223">
              <w:rPr>
                <w:rFonts w:ascii="Times" w:hAnsi="Times"/>
                <w:b/>
                <w:sz w:val="22"/>
                <w:szCs w:val="22"/>
              </w:rPr>
              <w:t>Grade 4</w:t>
            </w:r>
          </w:p>
        </w:tc>
        <w:tc>
          <w:tcPr>
            <w:tcW w:w="1269" w:type="pct"/>
            <w:hideMark/>
          </w:tcPr>
          <w:p w14:paraId="236A9B60" w14:textId="77777777" w:rsidR="00E55ADA" w:rsidRPr="007A3223" w:rsidRDefault="00E55ADA" w:rsidP="000919D4">
            <w:pPr>
              <w:pStyle w:val="TableLeft"/>
              <w:keepNext/>
              <w:widowControl w:val="0"/>
              <w:spacing w:before="60"/>
              <w:rPr>
                <w:rFonts w:ascii="Times" w:hAnsi="Times"/>
                <w:sz w:val="22"/>
                <w:szCs w:val="22"/>
              </w:rPr>
            </w:pPr>
            <w:r w:rsidRPr="007A3223">
              <w:rPr>
                <w:rFonts w:ascii="Times" w:hAnsi="Times"/>
                <w:sz w:val="22"/>
                <w:szCs w:val="22"/>
              </w:rPr>
              <w:t xml:space="preserve">Permanently discontinue Study regimen </w:t>
            </w:r>
          </w:p>
        </w:tc>
        <w:tc>
          <w:tcPr>
            <w:tcW w:w="3158" w:type="pct"/>
            <w:vMerge/>
            <w:hideMark/>
          </w:tcPr>
          <w:p w14:paraId="4BD784AC" w14:textId="77777777" w:rsidR="00E55ADA" w:rsidRPr="007A3223" w:rsidRDefault="00E55ADA" w:rsidP="000919D4">
            <w:pPr>
              <w:pStyle w:val="ListBulletSmall"/>
              <w:keepNext/>
              <w:widowControl w:val="0"/>
              <w:spacing w:before="60"/>
              <w:rPr>
                <w:rFonts w:ascii="Times" w:hAnsi="Times"/>
                <w:sz w:val="22"/>
                <w:szCs w:val="22"/>
              </w:rPr>
            </w:pPr>
          </w:p>
        </w:tc>
      </w:tr>
    </w:tbl>
    <w:p w14:paraId="56E578D6" w14:textId="77777777" w:rsidR="00E91D43" w:rsidRPr="007A3223" w:rsidRDefault="00E91D43"/>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67"/>
        <w:gridCol w:w="6077"/>
      </w:tblGrid>
      <w:tr w:rsidR="0063688C" w:rsidRPr="007A3223" w14:paraId="4FD4EB6A" w14:textId="77777777" w:rsidTr="005A475F">
        <w:trPr>
          <w:cantSplit/>
          <w:trHeight w:val="345"/>
          <w:tblHeader/>
        </w:trPr>
        <w:tc>
          <w:tcPr>
            <w:tcW w:w="5000" w:type="pct"/>
            <w:gridSpan w:val="2"/>
          </w:tcPr>
          <w:p w14:paraId="3C597B1D" w14:textId="37C7A9F7" w:rsidR="0063688C" w:rsidRPr="007A3223" w:rsidRDefault="00800A5E" w:rsidP="00403449">
            <w:pPr>
              <w:pStyle w:val="Caption"/>
              <w:rPr>
                <w:rFonts w:ascii="Times" w:hAnsi="Times"/>
                <w:sz w:val="22"/>
                <w:szCs w:val="22"/>
              </w:rPr>
            </w:pPr>
            <w:bookmarkStart w:id="207" w:name="_Ref450557806"/>
            <w:bookmarkStart w:id="208" w:name="_Toc82444457"/>
            <w:r w:rsidRPr="007A3223">
              <w:lastRenderedPageBreak/>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23</w:t>
            </w:r>
            <w:r w:rsidR="00F82420" w:rsidRPr="007A3223">
              <w:rPr>
                <w:noProof/>
              </w:rPr>
              <w:fldChar w:fldCharType="end"/>
            </w:r>
            <w:bookmarkEnd w:id="207"/>
            <w:r w:rsidR="0063688C" w:rsidRPr="007A3223">
              <w:rPr>
                <w:rFonts w:ascii="Times" w:hAnsi="Times"/>
                <w:b w:val="0"/>
                <w:sz w:val="22"/>
                <w:szCs w:val="22"/>
              </w:rPr>
              <w:t xml:space="preserve">. Immune mediated </w:t>
            </w:r>
            <w:r w:rsidR="00115727" w:rsidRPr="007A3223">
              <w:rPr>
                <w:rFonts w:ascii="Times" w:hAnsi="Times"/>
                <w:b w:val="0"/>
                <w:sz w:val="22"/>
                <w:szCs w:val="22"/>
              </w:rPr>
              <w:t>Neurotoxicity (except Myasthenia Gravis and Guilla</w:t>
            </w:r>
            <w:r w:rsidR="00115727" w:rsidRPr="00F33908">
              <w:rPr>
                <w:rFonts w:ascii="Times" w:hAnsi="Times"/>
                <w:b w:val="0"/>
                <w:sz w:val="22"/>
                <w:szCs w:val="22"/>
              </w:rPr>
              <w:t>in-</w:t>
            </w:r>
            <w:r w:rsidR="00115727" w:rsidRPr="007A3223">
              <w:rPr>
                <w:rFonts w:ascii="Times" w:hAnsi="Times"/>
                <w:b w:val="0"/>
                <w:sz w:val="22"/>
                <w:szCs w:val="22"/>
              </w:rPr>
              <w:t>Barré)</w:t>
            </w:r>
            <w:bookmarkEnd w:id="208"/>
          </w:p>
        </w:tc>
      </w:tr>
      <w:tr w:rsidR="0063688C" w:rsidRPr="007A3223" w14:paraId="317A9DA6" w14:textId="77777777" w:rsidTr="004C4037">
        <w:trPr>
          <w:cantSplit/>
          <w:trHeight w:val="320"/>
          <w:tblHeader/>
        </w:trPr>
        <w:tc>
          <w:tcPr>
            <w:tcW w:w="1748" w:type="pct"/>
            <w:shd w:val="clear" w:color="auto" w:fill="BFBFBF" w:themeFill="background1" w:themeFillShade="BF"/>
          </w:tcPr>
          <w:p w14:paraId="36582038" w14:textId="77777777" w:rsidR="0063688C" w:rsidRPr="007A3223" w:rsidRDefault="0063688C" w:rsidP="000919D4">
            <w:pPr>
              <w:pStyle w:val="ListBulletSmall"/>
              <w:keepNext/>
              <w:widowControl w:val="0"/>
              <w:spacing w:before="60"/>
              <w:ind w:hanging="270"/>
              <w:rPr>
                <w:rFonts w:ascii="Times" w:hAnsi="Times"/>
                <w:b/>
                <w:sz w:val="22"/>
                <w:szCs w:val="22"/>
              </w:rPr>
            </w:pPr>
            <w:r w:rsidRPr="007A3223">
              <w:rPr>
                <w:rFonts w:ascii="Times" w:hAnsi="Times"/>
                <w:b/>
                <w:sz w:val="22"/>
                <w:szCs w:val="22"/>
              </w:rPr>
              <w:t>Dose Modifications</w:t>
            </w:r>
          </w:p>
        </w:tc>
        <w:tc>
          <w:tcPr>
            <w:tcW w:w="3252" w:type="pct"/>
            <w:shd w:val="clear" w:color="auto" w:fill="BFBFBF" w:themeFill="background1" w:themeFillShade="BF"/>
          </w:tcPr>
          <w:p w14:paraId="6DD8CE98" w14:textId="77777777" w:rsidR="0063688C" w:rsidRPr="007A3223" w:rsidRDefault="0063688C" w:rsidP="000919D4">
            <w:pPr>
              <w:pStyle w:val="ListBulletSmall"/>
              <w:keepNext/>
              <w:widowControl w:val="0"/>
              <w:spacing w:before="60"/>
              <w:ind w:left="720"/>
              <w:rPr>
                <w:rFonts w:ascii="Times" w:hAnsi="Times"/>
                <w:b/>
                <w:sz w:val="22"/>
                <w:szCs w:val="22"/>
              </w:rPr>
            </w:pPr>
            <w:r w:rsidRPr="007A3223">
              <w:rPr>
                <w:rFonts w:ascii="Times" w:hAnsi="Times"/>
                <w:b/>
                <w:sz w:val="22"/>
                <w:szCs w:val="22"/>
              </w:rPr>
              <w:t>Toxicity Management</w:t>
            </w:r>
          </w:p>
        </w:tc>
      </w:tr>
      <w:tr w:rsidR="0063688C" w:rsidRPr="007A3223" w14:paraId="7BDAEE24" w14:textId="77777777" w:rsidTr="004C4037">
        <w:trPr>
          <w:cantSplit/>
          <w:trHeight w:val="148"/>
        </w:trPr>
        <w:tc>
          <w:tcPr>
            <w:tcW w:w="1748" w:type="pct"/>
          </w:tcPr>
          <w:p w14:paraId="47FEA9AB" w14:textId="77777777" w:rsidR="0063688C" w:rsidRPr="007A3223" w:rsidRDefault="0063688C" w:rsidP="000919D4">
            <w:pPr>
              <w:pStyle w:val="TableLeft"/>
              <w:keepNext/>
              <w:widowControl w:val="0"/>
              <w:spacing w:before="60"/>
              <w:rPr>
                <w:rFonts w:ascii="Times" w:hAnsi="Times"/>
                <w:sz w:val="22"/>
                <w:szCs w:val="22"/>
              </w:rPr>
            </w:pPr>
            <w:r w:rsidRPr="007A3223">
              <w:rPr>
                <w:rFonts w:ascii="Times" w:hAnsi="Times"/>
                <w:sz w:val="22"/>
                <w:szCs w:val="22"/>
              </w:rPr>
              <w:t>Any Grade</w:t>
            </w:r>
          </w:p>
        </w:tc>
        <w:tc>
          <w:tcPr>
            <w:tcW w:w="3252" w:type="pct"/>
          </w:tcPr>
          <w:p w14:paraId="0FBFE016" w14:textId="77777777" w:rsidR="0063688C" w:rsidRPr="007A3223" w:rsidRDefault="0063688C" w:rsidP="005A475F">
            <w:pPr>
              <w:pStyle w:val="ListBulletSmall"/>
              <w:keepNext/>
              <w:widowControl w:val="0"/>
              <w:tabs>
                <w:tab w:val="clear" w:pos="360"/>
                <w:tab w:val="left" w:pos="162"/>
              </w:tabs>
              <w:spacing w:after="0"/>
              <w:ind w:left="0" w:firstLine="0"/>
              <w:jc w:val="both"/>
              <w:rPr>
                <w:rFonts w:ascii="Times" w:hAnsi="Times"/>
                <w:sz w:val="22"/>
                <w:szCs w:val="22"/>
              </w:rPr>
            </w:pPr>
            <w:r w:rsidRPr="007A3223">
              <w:rPr>
                <w:rFonts w:ascii="Times" w:hAnsi="Times"/>
                <w:sz w:val="22"/>
                <w:szCs w:val="22"/>
              </w:rPr>
              <w:t xml:space="preserve">-  Patients should be evaluated to rule out any alternative etiology (e.g., disease progression, infections, metabolic syndromes and medications, etc.) </w:t>
            </w:r>
          </w:p>
          <w:p w14:paraId="4F047319" w14:textId="77777777" w:rsidR="0063688C" w:rsidRPr="007A3223" w:rsidRDefault="0063688C" w:rsidP="005A475F">
            <w:pPr>
              <w:pStyle w:val="ListBulletSmall"/>
              <w:keepNext/>
              <w:widowControl w:val="0"/>
              <w:tabs>
                <w:tab w:val="clear" w:pos="360"/>
                <w:tab w:val="left" w:pos="162"/>
              </w:tabs>
              <w:spacing w:after="0"/>
              <w:ind w:left="0" w:firstLine="0"/>
              <w:rPr>
                <w:rFonts w:ascii="Times" w:hAnsi="Times"/>
                <w:sz w:val="22"/>
                <w:szCs w:val="22"/>
              </w:rPr>
            </w:pPr>
            <w:r w:rsidRPr="007A3223">
              <w:rPr>
                <w:rFonts w:ascii="Times" w:hAnsi="Times"/>
                <w:sz w:val="22"/>
                <w:szCs w:val="22"/>
              </w:rPr>
              <w:t>-  Monitor patient for general symptoms (headache, nausea, vertigo, behavior change, or weakness)</w:t>
            </w:r>
          </w:p>
          <w:p w14:paraId="78C06E61" w14:textId="77777777" w:rsidR="0063688C" w:rsidRPr="007A3223" w:rsidRDefault="0063688C" w:rsidP="005A475F">
            <w:pPr>
              <w:pStyle w:val="ListBulletSmall"/>
              <w:keepNext/>
              <w:widowControl w:val="0"/>
              <w:tabs>
                <w:tab w:val="clear" w:pos="360"/>
                <w:tab w:val="left" w:pos="162"/>
              </w:tabs>
              <w:spacing w:after="0"/>
              <w:ind w:left="0" w:firstLine="0"/>
              <w:rPr>
                <w:rFonts w:ascii="Times" w:hAnsi="Times"/>
                <w:sz w:val="22"/>
                <w:szCs w:val="22"/>
              </w:rPr>
            </w:pPr>
            <w:r w:rsidRPr="007A3223">
              <w:rPr>
                <w:rFonts w:ascii="Times" w:hAnsi="Times"/>
                <w:sz w:val="22"/>
                <w:szCs w:val="22"/>
              </w:rPr>
              <w:t>-  Consider appropriate diagnostic testing (e.g., electromyogram and nerve conduction investigations)</w:t>
            </w:r>
          </w:p>
          <w:p w14:paraId="09577973" w14:textId="77777777" w:rsidR="0063688C" w:rsidRPr="007A3223" w:rsidRDefault="0063688C" w:rsidP="005A475F">
            <w:pPr>
              <w:pStyle w:val="ListBulletSmall"/>
              <w:keepNext/>
              <w:widowControl w:val="0"/>
              <w:tabs>
                <w:tab w:val="clear" w:pos="360"/>
                <w:tab w:val="left" w:pos="162"/>
              </w:tabs>
              <w:spacing w:after="0"/>
              <w:ind w:left="0" w:firstLine="0"/>
              <w:rPr>
                <w:rFonts w:ascii="Times" w:hAnsi="Times"/>
                <w:sz w:val="22"/>
                <w:szCs w:val="22"/>
              </w:rPr>
            </w:pPr>
            <w:r w:rsidRPr="007A3223">
              <w:rPr>
                <w:rFonts w:ascii="Times" w:hAnsi="Times"/>
                <w:sz w:val="22"/>
                <w:szCs w:val="22"/>
              </w:rPr>
              <w:t xml:space="preserve">-  Consider neurological consult </w:t>
            </w:r>
          </w:p>
        </w:tc>
      </w:tr>
      <w:tr w:rsidR="0063688C" w:rsidRPr="007A3223" w14:paraId="24B89361" w14:textId="77777777" w:rsidTr="004C4037">
        <w:trPr>
          <w:cantSplit/>
          <w:trHeight w:val="148"/>
        </w:trPr>
        <w:tc>
          <w:tcPr>
            <w:tcW w:w="1748" w:type="pct"/>
          </w:tcPr>
          <w:p w14:paraId="18EED238" w14:textId="77777777" w:rsidR="0063688C" w:rsidRPr="007A3223" w:rsidRDefault="0063688C" w:rsidP="000919D4">
            <w:pPr>
              <w:pStyle w:val="TableLeft"/>
              <w:keepNext/>
              <w:widowControl w:val="0"/>
              <w:spacing w:before="60"/>
              <w:rPr>
                <w:rFonts w:ascii="Times" w:hAnsi="Times"/>
                <w:b/>
                <w:sz w:val="22"/>
                <w:szCs w:val="22"/>
              </w:rPr>
            </w:pPr>
            <w:r w:rsidRPr="007A3223">
              <w:rPr>
                <w:rFonts w:ascii="Times" w:hAnsi="Times"/>
                <w:b/>
                <w:sz w:val="22"/>
                <w:szCs w:val="22"/>
              </w:rPr>
              <w:t>Grade 1</w:t>
            </w:r>
          </w:p>
        </w:tc>
        <w:tc>
          <w:tcPr>
            <w:tcW w:w="3252" w:type="pct"/>
          </w:tcPr>
          <w:p w14:paraId="1D035AA1" w14:textId="77777777" w:rsidR="0063688C" w:rsidRPr="007A3223" w:rsidRDefault="0063688C" w:rsidP="000919D4">
            <w:pPr>
              <w:pStyle w:val="ListBulletSmall"/>
              <w:keepNext/>
              <w:widowControl w:val="0"/>
              <w:tabs>
                <w:tab w:val="clear" w:pos="360"/>
              </w:tabs>
              <w:spacing w:before="60"/>
              <w:rPr>
                <w:rFonts w:ascii="Times" w:hAnsi="Times"/>
                <w:sz w:val="22"/>
                <w:szCs w:val="22"/>
              </w:rPr>
            </w:pPr>
            <w:r w:rsidRPr="007A3223">
              <w:rPr>
                <w:rFonts w:ascii="Times" w:hAnsi="Times"/>
                <w:sz w:val="22"/>
                <w:szCs w:val="22"/>
              </w:rPr>
              <w:t>No dose modifications</w:t>
            </w:r>
          </w:p>
        </w:tc>
      </w:tr>
      <w:tr w:rsidR="0063688C" w:rsidRPr="007A3223" w14:paraId="180AEE3F" w14:textId="77777777" w:rsidTr="004C4037">
        <w:trPr>
          <w:cantSplit/>
          <w:trHeight w:val="148"/>
        </w:trPr>
        <w:tc>
          <w:tcPr>
            <w:tcW w:w="1748" w:type="pct"/>
          </w:tcPr>
          <w:p w14:paraId="57FAAF40" w14:textId="77777777" w:rsidR="0063688C" w:rsidRPr="007A3223" w:rsidRDefault="0063688C" w:rsidP="000919D4">
            <w:pPr>
              <w:pStyle w:val="TableLeft"/>
              <w:keepNext/>
              <w:widowControl w:val="0"/>
              <w:spacing w:before="60"/>
              <w:rPr>
                <w:rFonts w:ascii="Times" w:hAnsi="Times"/>
                <w:b/>
                <w:sz w:val="22"/>
                <w:szCs w:val="22"/>
              </w:rPr>
            </w:pPr>
            <w:r w:rsidRPr="007A3223">
              <w:rPr>
                <w:rFonts w:ascii="Times" w:hAnsi="Times"/>
                <w:b/>
                <w:sz w:val="22"/>
                <w:szCs w:val="22"/>
              </w:rPr>
              <w:t>Grade 2</w:t>
            </w:r>
          </w:p>
          <w:p w14:paraId="4722213C" w14:textId="77777777" w:rsidR="0063688C" w:rsidRPr="007A3223" w:rsidRDefault="0063688C" w:rsidP="000919D4">
            <w:pPr>
              <w:pStyle w:val="TableLeft"/>
              <w:keepNext/>
              <w:widowControl w:val="0"/>
              <w:spacing w:before="60"/>
              <w:rPr>
                <w:rFonts w:ascii="Times" w:hAnsi="Times"/>
                <w:sz w:val="22"/>
                <w:szCs w:val="22"/>
              </w:rPr>
            </w:pPr>
            <w:r w:rsidRPr="007A3223">
              <w:rPr>
                <w:rFonts w:ascii="Times" w:hAnsi="Times"/>
                <w:sz w:val="22"/>
                <w:szCs w:val="22"/>
              </w:rPr>
              <w:t xml:space="preserve">For acute motor neuropathies or neurotoxicity, hold Study regimen dose until resolution to ≤ </w:t>
            </w:r>
            <w:r w:rsidR="00E83184" w:rsidRPr="007A3223">
              <w:rPr>
                <w:rFonts w:ascii="Times" w:hAnsi="Times"/>
                <w:sz w:val="22"/>
                <w:szCs w:val="22"/>
              </w:rPr>
              <w:t>g</w:t>
            </w:r>
            <w:r w:rsidRPr="007A3223">
              <w:rPr>
                <w:rFonts w:ascii="Times" w:hAnsi="Times"/>
                <w:sz w:val="22"/>
                <w:szCs w:val="22"/>
              </w:rPr>
              <w:t>rade 1</w:t>
            </w:r>
          </w:p>
          <w:p w14:paraId="0361E5B9" w14:textId="77777777" w:rsidR="0063688C" w:rsidRPr="007A3223" w:rsidRDefault="0063688C" w:rsidP="000919D4">
            <w:pPr>
              <w:pStyle w:val="TableLeft"/>
              <w:keepNext/>
              <w:widowControl w:val="0"/>
              <w:spacing w:before="60"/>
              <w:rPr>
                <w:rFonts w:ascii="Times" w:hAnsi="Times"/>
                <w:sz w:val="22"/>
                <w:szCs w:val="22"/>
              </w:rPr>
            </w:pPr>
            <w:r w:rsidRPr="007A3223">
              <w:rPr>
                <w:rFonts w:ascii="Times" w:hAnsi="Times"/>
                <w:sz w:val="22"/>
                <w:szCs w:val="22"/>
              </w:rPr>
              <w:t xml:space="preserve">For sensory neuropathy/neuropathic pain, consider holding Study regimen dose until resolution to ≤ </w:t>
            </w:r>
            <w:r w:rsidR="00E83184" w:rsidRPr="007A3223">
              <w:rPr>
                <w:rFonts w:ascii="Times" w:hAnsi="Times"/>
                <w:sz w:val="22"/>
                <w:szCs w:val="22"/>
              </w:rPr>
              <w:t>g</w:t>
            </w:r>
            <w:r w:rsidRPr="007A3223">
              <w:rPr>
                <w:rFonts w:ascii="Times" w:hAnsi="Times"/>
                <w:sz w:val="22"/>
                <w:szCs w:val="22"/>
              </w:rPr>
              <w:t>rade 1.</w:t>
            </w:r>
          </w:p>
          <w:p w14:paraId="5DB6A566" w14:textId="77777777" w:rsidR="0063688C" w:rsidRPr="007A3223" w:rsidRDefault="0063688C" w:rsidP="000919D4">
            <w:pPr>
              <w:pStyle w:val="TableLeft"/>
              <w:keepNext/>
              <w:widowControl w:val="0"/>
              <w:spacing w:before="60"/>
              <w:rPr>
                <w:rFonts w:ascii="Times" w:hAnsi="Times"/>
                <w:sz w:val="22"/>
                <w:szCs w:val="22"/>
              </w:rPr>
            </w:pPr>
            <w:r w:rsidRPr="007A3223">
              <w:rPr>
                <w:rFonts w:ascii="Times" w:hAnsi="Times"/>
                <w:sz w:val="22"/>
                <w:szCs w:val="22"/>
              </w:rPr>
              <w:t xml:space="preserve">•If worsens then treat as </w:t>
            </w:r>
            <w:r w:rsidR="00E83184" w:rsidRPr="007A3223">
              <w:rPr>
                <w:rFonts w:ascii="Times" w:hAnsi="Times"/>
                <w:sz w:val="22"/>
                <w:szCs w:val="22"/>
              </w:rPr>
              <w:t xml:space="preserve">grade </w:t>
            </w:r>
            <w:r w:rsidRPr="007A3223">
              <w:rPr>
                <w:rFonts w:ascii="Times" w:hAnsi="Times"/>
                <w:sz w:val="22"/>
                <w:szCs w:val="22"/>
              </w:rPr>
              <w:t xml:space="preserve">3 or </w:t>
            </w:r>
            <w:r w:rsidR="00E83184" w:rsidRPr="007A3223">
              <w:rPr>
                <w:rFonts w:ascii="Times" w:hAnsi="Times"/>
                <w:sz w:val="22"/>
                <w:szCs w:val="22"/>
              </w:rPr>
              <w:t xml:space="preserve">grade </w:t>
            </w:r>
            <w:r w:rsidRPr="007A3223">
              <w:rPr>
                <w:rFonts w:ascii="Times" w:hAnsi="Times"/>
                <w:sz w:val="22"/>
                <w:szCs w:val="22"/>
              </w:rPr>
              <w:t>4</w:t>
            </w:r>
          </w:p>
          <w:p w14:paraId="42F426ED" w14:textId="77777777" w:rsidR="0063688C" w:rsidRPr="007A3223" w:rsidRDefault="0063688C" w:rsidP="000919D4">
            <w:pPr>
              <w:pStyle w:val="TableLeft"/>
              <w:keepNext/>
              <w:widowControl w:val="0"/>
              <w:spacing w:before="60"/>
              <w:rPr>
                <w:rFonts w:ascii="Times" w:hAnsi="Times"/>
                <w:sz w:val="22"/>
                <w:szCs w:val="22"/>
              </w:rPr>
            </w:pPr>
            <w:r w:rsidRPr="007A3223">
              <w:rPr>
                <w:rFonts w:ascii="Times" w:hAnsi="Times"/>
                <w:sz w:val="22"/>
                <w:szCs w:val="22"/>
              </w:rPr>
              <w:t>•If improves to baseline then treat at next scheduled treatment date</w:t>
            </w:r>
          </w:p>
        </w:tc>
        <w:tc>
          <w:tcPr>
            <w:tcW w:w="3252" w:type="pct"/>
          </w:tcPr>
          <w:p w14:paraId="2B862904" w14:textId="77777777" w:rsidR="0063688C" w:rsidRPr="007A3223" w:rsidRDefault="0063688C"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xml:space="preserve">- </w:t>
            </w:r>
            <w:r w:rsidR="002C0F5C" w:rsidRPr="007A3223">
              <w:rPr>
                <w:rFonts w:ascii="Times" w:hAnsi="Times"/>
                <w:sz w:val="22"/>
                <w:szCs w:val="22"/>
              </w:rPr>
              <w:t xml:space="preserve"> </w:t>
            </w:r>
            <w:r w:rsidRPr="007A3223">
              <w:rPr>
                <w:rFonts w:ascii="Times" w:hAnsi="Times"/>
                <w:sz w:val="22"/>
                <w:szCs w:val="22"/>
              </w:rPr>
              <w:t xml:space="preserve">Neurology Consult </w:t>
            </w:r>
          </w:p>
          <w:p w14:paraId="54E04CE7" w14:textId="77777777" w:rsidR="0063688C" w:rsidRPr="007A3223" w:rsidRDefault="0063688C"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Sensory neuropathy/neuropathic pain may be managed by appropriate medications (e.g., gabapentin, duloxetine, etc.)</w:t>
            </w:r>
          </w:p>
          <w:p w14:paraId="3BF31A93" w14:textId="77777777" w:rsidR="0063688C" w:rsidRPr="007A3223" w:rsidRDefault="0063688C"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xml:space="preserve">-  </w:t>
            </w:r>
            <w:r w:rsidR="002C0F5C" w:rsidRPr="007A3223">
              <w:rPr>
                <w:rFonts w:ascii="Times" w:hAnsi="Times"/>
                <w:sz w:val="22"/>
                <w:szCs w:val="22"/>
              </w:rPr>
              <w:t xml:space="preserve">Promptly start </w:t>
            </w:r>
            <w:r w:rsidRPr="007A3223">
              <w:rPr>
                <w:rFonts w:ascii="Times" w:hAnsi="Times"/>
                <w:sz w:val="22"/>
                <w:szCs w:val="22"/>
              </w:rPr>
              <w:t xml:space="preserve">systemic steroids prednisone 1-2mg/kg/day or IV equivalent </w:t>
            </w:r>
          </w:p>
          <w:p w14:paraId="784F5F60" w14:textId="77777777" w:rsidR="0063688C" w:rsidRPr="007A3223" w:rsidRDefault="0063688C" w:rsidP="002C0F5C">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If no improvement within 3-5 days,</w:t>
            </w:r>
            <w:r w:rsidR="002C0F5C" w:rsidRPr="007A3223">
              <w:t xml:space="preserve"> </w:t>
            </w:r>
            <w:r w:rsidR="002C0F5C" w:rsidRPr="007A3223">
              <w:rPr>
                <w:rFonts w:ascii="Times" w:hAnsi="Times"/>
                <w:sz w:val="22"/>
                <w:szCs w:val="22"/>
              </w:rPr>
              <w:t>despite 1-2mg/kg/day prednisone or IV equivalent consider</w:t>
            </w:r>
            <w:r w:rsidRPr="007A3223">
              <w:rPr>
                <w:rFonts w:ascii="Times" w:hAnsi="Times"/>
                <w:sz w:val="22"/>
                <w:szCs w:val="22"/>
              </w:rPr>
              <w:t xml:space="preserve"> additional workup and </w:t>
            </w:r>
            <w:r w:rsidR="002C0F5C" w:rsidRPr="007A3223">
              <w:rPr>
                <w:rFonts w:ascii="Times" w:hAnsi="Times"/>
                <w:sz w:val="22"/>
                <w:szCs w:val="22"/>
              </w:rPr>
              <w:t xml:space="preserve">promptly treat </w:t>
            </w:r>
            <w:r w:rsidRPr="007A3223">
              <w:rPr>
                <w:rFonts w:ascii="Times" w:hAnsi="Times"/>
                <w:sz w:val="22"/>
                <w:szCs w:val="22"/>
              </w:rPr>
              <w:t xml:space="preserve">with additional immunosuppressive therapy (e.g. </w:t>
            </w:r>
            <w:r w:rsidR="00115727" w:rsidRPr="007A3223">
              <w:rPr>
                <w:rFonts w:ascii="Times" w:hAnsi="Times"/>
                <w:sz w:val="22"/>
                <w:szCs w:val="22"/>
              </w:rPr>
              <w:t>IV IgG</w:t>
            </w:r>
            <w:r w:rsidRPr="007A3223">
              <w:rPr>
                <w:rFonts w:ascii="Times" w:hAnsi="Times"/>
                <w:sz w:val="22"/>
                <w:szCs w:val="22"/>
              </w:rPr>
              <w:t xml:space="preserve">) </w:t>
            </w:r>
          </w:p>
        </w:tc>
      </w:tr>
      <w:tr w:rsidR="009710A2" w:rsidRPr="007A3223" w14:paraId="2345CF34" w14:textId="77777777" w:rsidTr="004C4037">
        <w:trPr>
          <w:cantSplit/>
          <w:trHeight w:val="2478"/>
        </w:trPr>
        <w:tc>
          <w:tcPr>
            <w:tcW w:w="1748" w:type="pct"/>
          </w:tcPr>
          <w:p w14:paraId="7662B0D7" w14:textId="77777777" w:rsidR="009710A2" w:rsidRPr="007A3223" w:rsidRDefault="009710A2" w:rsidP="000919D4">
            <w:pPr>
              <w:pStyle w:val="TableLeft"/>
              <w:keepNext/>
              <w:widowControl w:val="0"/>
              <w:spacing w:before="60"/>
              <w:rPr>
                <w:rFonts w:ascii="Times" w:hAnsi="Times"/>
                <w:b/>
                <w:sz w:val="22"/>
                <w:szCs w:val="22"/>
              </w:rPr>
            </w:pPr>
            <w:r w:rsidRPr="007A3223">
              <w:rPr>
                <w:rFonts w:ascii="Times" w:hAnsi="Times"/>
                <w:b/>
                <w:sz w:val="22"/>
                <w:szCs w:val="22"/>
              </w:rPr>
              <w:t>Grade 3</w:t>
            </w:r>
          </w:p>
          <w:p w14:paraId="43270CA9" w14:textId="77777777" w:rsidR="009710A2" w:rsidRPr="007A3223" w:rsidRDefault="009710A2" w:rsidP="000919D4">
            <w:pPr>
              <w:pStyle w:val="TableLeft"/>
              <w:keepNext/>
              <w:widowControl w:val="0"/>
              <w:spacing w:before="60"/>
              <w:rPr>
                <w:rFonts w:ascii="Times" w:hAnsi="Times"/>
                <w:sz w:val="22"/>
                <w:szCs w:val="22"/>
              </w:rPr>
            </w:pPr>
          </w:p>
          <w:p w14:paraId="4C1D803E" w14:textId="77777777" w:rsidR="009710A2" w:rsidRPr="007A3223" w:rsidRDefault="009710A2" w:rsidP="000919D4">
            <w:pPr>
              <w:pStyle w:val="TableLeft"/>
              <w:keepNext/>
              <w:widowControl w:val="0"/>
              <w:spacing w:before="60"/>
              <w:rPr>
                <w:rFonts w:ascii="Times" w:hAnsi="Times"/>
                <w:sz w:val="22"/>
                <w:szCs w:val="22"/>
              </w:rPr>
            </w:pPr>
            <w:r w:rsidRPr="007A3223">
              <w:rPr>
                <w:rFonts w:ascii="Times" w:hAnsi="Times"/>
                <w:sz w:val="22"/>
                <w:szCs w:val="22"/>
              </w:rPr>
              <w:t xml:space="preserve">Hold Study regimen dose until resolution to ≤ </w:t>
            </w:r>
            <w:r w:rsidR="00E83184" w:rsidRPr="007A3223">
              <w:rPr>
                <w:rFonts w:ascii="Times" w:hAnsi="Times"/>
                <w:sz w:val="22"/>
                <w:szCs w:val="22"/>
              </w:rPr>
              <w:t>g</w:t>
            </w:r>
            <w:r w:rsidRPr="007A3223">
              <w:rPr>
                <w:rFonts w:ascii="Times" w:hAnsi="Times"/>
                <w:sz w:val="22"/>
                <w:szCs w:val="22"/>
              </w:rPr>
              <w:t>rade 1</w:t>
            </w:r>
          </w:p>
          <w:p w14:paraId="22CDA3FD" w14:textId="77777777" w:rsidR="009710A2" w:rsidRPr="007A3223" w:rsidRDefault="009710A2" w:rsidP="000919D4">
            <w:pPr>
              <w:pStyle w:val="TableLeft"/>
              <w:keepNext/>
              <w:widowControl w:val="0"/>
              <w:spacing w:before="60"/>
              <w:rPr>
                <w:rFonts w:ascii="Times" w:hAnsi="Times"/>
                <w:sz w:val="22"/>
                <w:szCs w:val="22"/>
              </w:rPr>
            </w:pPr>
            <w:r w:rsidRPr="007A3223">
              <w:rPr>
                <w:rFonts w:ascii="Times" w:hAnsi="Times"/>
                <w:sz w:val="22"/>
                <w:szCs w:val="22"/>
              </w:rPr>
              <w:t xml:space="preserve">Permanently discontinue Study regimen if </w:t>
            </w:r>
            <w:r w:rsidR="00E83184" w:rsidRPr="007A3223">
              <w:rPr>
                <w:rFonts w:ascii="Times" w:hAnsi="Times"/>
                <w:sz w:val="22"/>
                <w:szCs w:val="22"/>
              </w:rPr>
              <w:t>g</w:t>
            </w:r>
            <w:r w:rsidRPr="007A3223">
              <w:rPr>
                <w:rFonts w:ascii="Times" w:hAnsi="Times"/>
                <w:sz w:val="22"/>
                <w:szCs w:val="22"/>
              </w:rPr>
              <w:t xml:space="preserve">rade 3 irAE does not resolve to ≤ </w:t>
            </w:r>
            <w:r w:rsidR="00E83184" w:rsidRPr="007A3223">
              <w:rPr>
                <w:rFonts w:ascii="Times" w:hAnsi="Times"/>
                <w:sz w:val="22"/>
                <w:szCs w:val="22"/>
              </w:rPr>
              <w:t>g</w:t>
            </w:r>
            <w:r w:rsidRPr="007A3223">
              <w:rPr>
                <w:rFonts w:ascii="Times" w:hAnsi="Times"/>
                <w:sz w:val="22"/>
                <w:szCs w:val="22"/>
              </w:rPr>
              <w:t>rade 1 within 30 days.</w:t>
            </w:r>
          </w:p>
        </w:tc>
        <w:tc>
          <w:tcPr>
            <w:tcW w:w="3252" w:type="pct"/>
            <w:vMerge w:val="restart"/>
          </w:tcPr>
          <w:p w14:paraId="4618F61B" w14:textId="77777777" w:rsidR="007C4E54" w:rsidRPr="007A3223" w:rsidRDefault="007C4E54"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For Grade 3 or 4:</w:t>
            </w:r>
          </w:p>
          <w:p w14:paraId="46A63171" w14:textId="77777777" w:rsidR="009710A2" w:rsidRPr="007A3223" w:rsidRDefault="009710A2"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Consult Neurolog</w:t>
            </w:r>
            <w:r w:rsidR="00D461A7" w:rsidRPr="007A3223">
              <w:rPr>
                <w:rFonts w:ascii="Times" w:hAnsi="Times"/>
                <w:sz w:val="22"/>
                <w:szCs w:val="22"/>
              </w:rPr>
              <w:t>ist</w:t>
            </w:r>
          </w:p>
          <w:p w14:paraId="70C38866" w14:textId="77777777" w:rsidR="009710A2" w:rsidRPr="007A3223" w:rsidRDefault="009710A2" w:rsidP="000919D4">
            <w:pPr>
              <w:pStyle w:val="ListBulletSmall"/>
              <w:keepNext/>
              <w:widowControl w:val="0"/>
              <w:tabs>
                <w:tab w:val="clear" w:pos="360"/>
              </w:tabs>
              <w:spacing w:before="60"/>
              <w:rPr>
                <w:rFonts w:ascii="Times" w:hAnsi="Times"/>
                <w:sz w:val="22"/>
                <w:szCs w:val="22"/>
              </w:rPr>
            </w:pPr>
            <w:r w:rsidRPr="007A3223">
              <w:rPr>
                <w:rFonts w:ascii="Times" w:hAnsi="Times"/>
                <w:sz w:val="22"/>
                <w:szCs w:val="22"/>
              </w:rPr>
              <w:t>-  Consider hospitalization</w:t>
            </w:r>
          </w:p>
          <w:p w14:paraId="1854B4C8" w14:textId="77777777" w:rsidR="009710A2" w:rsidRPr="007A3223" w:rsidRDefault="009710A2"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xml:space="preserve">-  </w:t>
            </w:r>
            <w:r w:rsidR="009361D5" w:rsidRPr="007A3223">
              <w:rPr>
                <w:rFonts w:ascii="Times" w:hAnsi="Times"/>
                <w:sz w:val="22"/>
                <w:szCs w:val="22"/>
              </w:rPr>
              <w:t xml:space="preserve">Promptly initiate </w:t>
            </w:r>
            <w:r w:rsidRPr="007A3223">
              <w:rPr>
                <w:rFonts w:ascii="Times" w:hAnsi="Times"/>
                <w:sz w:val="22"/>
                <w:szCs w:val="22"/>
              </w:rPr>
              <w:t>empiric IV corticosteroids (e.g., methylprednisolone or IV equivalent) at 1 to 2 mg/kg/day</w:t>
            </w:r>
          </w:p>
          <w:p w14:paraId="04A81CB9" w14:textId="77777777" w:rsidR="009710A2" w:rsidRPr="007A3223" w:rsidRDefault="009710A2"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xml:space="preserve">-  If no improvement within 3-5 days after IV steroids, </w:t>
            </w:r>
            <w:r w:rsidR="009361D5" w:rsidRPr="007A3223">
              <w:rPr>
                <w:rFonts w:ascii="Times" w:hAnsi="Times"/>
                <w:sz w:val="22"/>
                <w:szCs w:val="22"/>
              </w:rPr>
              <w:t xml:space="preserve">consider </w:t>
            </w:r>
            <w:r w:rsidRPr="007A3223">
              <w:rPr>
                <w:rFonts w:ascii="Times" w:hAnsi="Times"/>
                <w:sz w:val="22"/>
                <w:szCs w:val="22"/>
              </w:rPr>
              <w:t xml:space="preserve">additional workup and treatment with additional immunosuppresants (e.g. IV IGg) </w:t>
            </w:r>
          </w:p>
          <w:p w14:paraId="4062A44C" w14:textId="77777777" w:rsidR="009710A2" w:rsidRPr="007A3223" w:rsidRDefault="009710A2" w:rsidP="000919D4">
            <w:pPr>
              <w:pStyle w:val="ListBulletSmall"/>
              <w:keepNext/>
              <w:widowControl w:val="0"/>
              <w:tabs>
                <w:tab w:val="clear" w:pos="360"/>
              </w:tabs>
              <w:spacing w:before="60"/>
              <w:ind w:left="0" w:firstLine="0"/>
              <w:rPr>
                <w:rFonts w:ascii="Times" w:hAnsi="Times"/>
                <w:sz w:val="22"/>
                <w:szCs w:val="22"/>
              </w:rPr>
            </w:pPr>
            <w:r w:rsidRPr="007A3223">
              <w:rPr>
                <w:rFonts w:ascii="Times" w:hAnsi="Times"/>
                <w:sz w:val="22"/>
                <w:szCs w:val="22"/>
              </w:rPr>
              <w:t>-  Once stable, gradually taper steroids over ≥ 4 weeks</w:t>
            </w:r>
          </w:p>
        </w:tc>
      </w:tr>
      <w:tr w:rsidR="009710A2" w:rsidRPr="007A3223" w14:paraId="6CA05583" w14:textId="77777777" w:rsidTr="004C4037">
        <w:trPr>
          <w:cantSplit/>
          <w:trHeight w:val="280"/>
        </w:trPr>
        <w:tc>
          <w:tcPr>
            <w:tcW w:w="1748" w:type="pct"/>
          </w:tcPr>
          <w:p w14:paraId="482ABE54" w14:textId="77777777" w:rsidR="009710A2" w:rsidRPr="007A3223" w:rsidRDefault="009710A2" w:rsidP="000919D4">
            <w:pPr>
              <w:pStyle w:val="TableLeft"/>
              <w:keepNext/>
              <w:widowControl w:val="0"/>
              <w:spacing w:before="60"/>
              <w:rPr>
                <w:rFonts w:ascii="Times" w:hAnsi="Times"/>
                <w:b/>
                <w:sz w:val="22"/>
                <w:szCs w:val="22"/>
              </w:rPr>
            </w:pPr>
            <w:r w:rsidRPr="007A3223">
              <w:rPr>
                <w:rFonts w:ascii="Times" w:hAnsi="Times"/>
                <w:b/>
                <w:sz w:val="22"/>
                <w:szCs w:val="22"/>
              </w:rPr>
              <w:t>Grade 4</w:t>
            </w:r>
          </w:p>
          <w:p w14:paraId="2AD47E73" w14:textId="77777777" w:rsidR="009710A2" w:rsidRPr="007A3223" w:rsidRDefault="009710A2" w:rsidP="000919D4">
            <w:pPr>
              <w:pStyle w:val="TableLeft"/>
              <w:keepNext/>
              <w:widowControl w:val="0"/>
              <w:spacing w:before="60"/>
              <w:rPr>
                <w:rFonts w:ascii="Times" w:hAnsi="Times"/>
                <w:sz w:val="22"/>
                <w:szCs w:val="22"/>
              </w:rPr>
            </w:pPr>
            <w:r w:rsidRPr="007A3223">
              <w:rPr>
                <w:rFonts w:ascii="Times" w:hAnsi="Times"/>
                <w:sz w:val="22"/>
                <w:szCs w:val="22"/>
              </w:rPr>
              <w:t>Permanently discontinue Study regimen</w:t>
            </w:r>
          </w:p>
        </w:tc>
        <w:tc>
          <w:tcPr>
            <w:tcW w:w="3252" w:type="pct"/>
            <w:vMerge/>
          </w:tcPr>
          <w:p w14:paraId="3503C4C4" w14:textId="77777777" w:rsidR="009710A2" w:rsidRPr="007A3223" w:rsidRDefault="009710A2" w:rsidP="000919D4">
            <w:pPr>
              <w:pStyle w:val="ListBulletSmall"/>
              <w:keepNext/>
              <w:widowControl w:val="0"/>
              <w:spacing w:before="60"/>
              <w:ind w:left="0"/>
              <w:rPr>
                <w:rFonts w:ascii="Times" w:hAnsi="Times"/>
                <w:sz w:val="22"/>
                <w:szCs w:val="22"/>
              </w:rPr>
            </w:pPr>
          </w:p>
        </w:tc>
      </w:tr>
    </w:tbl>
    <w:p w14:paraId="5DFD7946" w14:textId="77777777" w:rsidR="008E0B5C" w:rsidRPr="007A3223" w:rsidRDefault="008E0B5C"/>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95"/>
        <w:gridCol w:w="1932"/>
        <w:gridCol w:w="6517"/>
      </w:tblGrid>
      <w:tr w:rsidR="00903981" w:rsidRPr="007A3223" w14:paraId="22F69526" w14:textId="77777777" w:rsidTr="008E0B5C">
        <w:trPr>
          <w:cantSplit/>
          <w:trHeight w:val="611"/>
          <w:tblHeader/>
        </w:trPr>
        <w:tc>
          <w:tcPr>
            <w:tcW w:w="5000" w:type="pct"/>
            <w:gridSpan w:val="3"/>
          </w:tcPr>
          <w:p w14:paraId="602267D7" w14:textId="4F65A7F6" w:rsidR="00903981" w:rsidRPr="00F33908" w:rsidRDefault="00800A5E" w:rsidP="00403449">
            <w:pPr>
              <w:pStyle w:val="Caption"/>
              <w:rPr>
                <w:rFonts w:ascii="Times" w:hAnsi="Times"/>
                <w:sz w:val="22"/>
              </w:rPr>
            </w:pPr>
            <w:bookmarkStart w:id="209" w:name="_Ref408929116"/>
            <w:bookmarkStart w:id="210" w:name="_Toc82444458"/>
            <w:r w:rsidRPr="007A3223">
              <w:lastRenderedPageBreak/>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24</w:t>
            </w:r>
            <w:r w:rsidR="00F82420" w:rsidRPr="007A3223">
              <w:rPr>
                <w:noProof/>
              </w:rPr>
              <w:fldChar w:fldCharType="end"/>
            </w:r>
            <w:bookmarkEnd w:id="209"/>
            <w:r w:rsidR="00CE3333" w:rsidRPr="007A3223">
              <w:rPr>
                <w:rFonts w:ascii="Times" w:hAnsi="Times"/>
                <w:b w:val="0"/>
                <w:sz w:val="22"/>
              </w:rPr>
              <w:t>. Immune-mediated peripheral neuromotor syndromes, such as Guillain-Barre and Myasthenia Gravis</w:t>
            </w:r>
            <w:bookmarkEnd w:id="210"/>
          </w:p>
        </w:tc>
      </w:tr>
      <w:tr w:rsidR="00676D97" w:rsidRPr="007A3223" w14:paraId="1359EDD3" w14:textId="77777777" w:rsidTr="002D1740">
        <w:trPr>
          <w:cantSplit/>
          <w:trHeight w:val="301"/>
          <w:tblHeader/>
        </w:trPr>
        <w:tc>
          <w:tcPr>
            <w:tcW w:w="1513" w:type="pct"/>
            <w:gridSpan w:val="2"/>
            <w:shd w:val="clear" w:color="auto" w:fill="BFBFBF" w:themeFill="background1" w:themeFillShade="BF"/>
          </w:tcPr>
          <w:p w14:paraId="68C497D0" w14:textId="77777777" w:rsidR="000966FE" w:rsidRPr="007A3223" w:rsidRDefault="000966FE" w:rsidP="000919D4">
            <w:pPr>
              <w:pStyle w:val="ListBulletSmall"/>
              <w:keepNext/>
              <w:widowControl w:val="0"/>
              <w:spacing w:before="60"/>
              <w:ind w:left="720"/>
              <w:rPr>
                <w:rFonts w:ascii="Times" w:hAnsi="Times"/>
                <w:b/>
                <w:sz w:val="22"/>
                <w:szCs w:val="22"/>
              </w:rPr>
            </w:pPr>
            <w:r w:rsidRPr="007A3223">
              <w:rPr>
                <w:rFonts w:ascii="Times" w:hAnsi="Times"/>
                <w:b/>
                <w:sz w:val="22"/>
                <w:szCs w:val="22"/>
              </w:rPr>
              <w:t>Dose Modifications</w:t>
            </w:r>
          </w:p>
        </w:tc>
        <w:tc>
          <w:tcPr>
            <w:tcW w:w="3487" w:type="pct"/>
            <w:shd w:val="clear" w:color="auto" w:fill="BFBFBF" w:themeFill="background1" w:themeFillShade="BF"/>
          </w:tcPr>
          <w:p w14:paraId="5900EB91" w14:textId="77777777" w:rsidR="000966FE" w:rsidRPr="007A3223" w:rsidRDefault="000966FE" w:rsidP="000919D4">
            <w:pPr>
              <w:pStyle w:val="ListBulletSmall"/>
              <w:keepNext/>
              <w:widowControl w:val="0"/>
              <w:spacing w:before="60"/>
              <w:ind w:left="720"/>
              <w:rPr>
                <w:rFonts w:ascii="Times" w:hAnsi="Times"/>
                <w:b/>
                <w:sz w:val="22"/>
                <w:szCs w:val="22"/>
              </w:rPr>
            </w:pPr>
            <w:r w:rsidRPr="007A3223">
              <w:rPr>
                <w:rFonts w:ascii="Times" w:hAnsi="Times"/>
                <w:b/>
                <w:sz w:val="22"/>
                <w:szCs w:val="22"/>
              </w:rPr>
              <w:t>Toxicity Management</w:t>
            </w:r>
          </w:p>
        </w:tc>
      </w:tr>
      <w:tr w:rsidR="006E20E9" w:rsidRPr="007A3223" w14:paraId="4074BE7E" w14:textId="77777777" w:rsidTr="002D1740">
        <w:trPr>
          <w:cantSplit/>
          <w:trHeight w:val="5925"/>
        </w:trPr>
        <w:tc>
          <w:tcPr>
            <w:tcW w:w="1513" w:type="pct"/>
            <w:gridSpan w:val="2"/>
          </w:tcPr>
          <w:p w14:paraId="7C056A73" w14:textId="77777777" w:rsidR="004C4037" w:rsidRPr="007A3223" w:rsidRDefault="004C4037" w:rsidP="000919D4">
            <w:pPr>
              <w:pStyle w:val="TableLeft"/>
              <w:keepNext/>
              <w:widowControl w:val="0"/>
              <w:spacing w:before="60"/>
              <w:rPr>
                <w:rFonts w:ascii="Times" w:hAnsi="Times"/>
                <w:sz w:val="22"/>
                <w:szCs w:val="22"/>
              </w:rPr>
            </w:pPr>
            <w:r w:rsidRPr="007A3223">
              <w:rPr>
                <w:rFonts w:ascii="Times" w:hAnsi="Times"/>
                <w:sz w:val="22"/>
                <w:szCs w:val="22"/>
              </w:rPr>
              <w:t>Any Grade</w:t>
            </w:r>
          </w:p>
        </w:tc>
        <w:tc>
          <w:tcPr>
            <w:tcW w:w="3487" w:type="pct"/>
          </w:tcPr>
          <w:p w14:paraId="76D1C3D2" w14:textId="77777777" w:rsidR="004C4037" w:rsidRPr="007A3223" w:rsidRDefault="004C4037" w:rsidP="007C4E54">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The prompt diagnosis of immune-mediated peripheral neuromotor syndromes is important, since certain patients may unpredictably experience acute decompensations, which can result in substantial morbidity or in the worst case, death. Special care should be taken for certain sentinel symptoms which may predict a more severe outcome, such as prominent dysphagia, rapidly progressive weakness, and signs of respiratory insufficiency or autonomic instability</w:t>
            </w:r>
          </w:p>
          <w:p w14:paraId="68524DD7" w14:textId="77777777" w:rsidR="004C4037" w:rsidRPr="007A3223" w:rsidRDefault="004C4037" w:rsidP="007C4E54">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Patients should be evaluated to rule out any alternative etiology (e.g., disease progression, infections, metabolic syndromes and medications, etc.). It should be noted that the diagnosis of immune-mediated peripheral neuromotor syndromes can be particularly challenging in patients with underlying cancer, due to the multiple potential confounding effects of cancer (and its treatments) throughout the neuraxis. Given the importance of prompt and accurate diagnosis, it is essential to have a low threshold to obtain a neurological consult</w:t>
            </w:r>
          </w:p>
          <w:p w14:paraId="3881295E" w14:textId="77777777" w:rsidR="004C4037" w:rsidRPr="007A3223" w:rsidRDefault="004C4037" w:rsidP="007C4E54">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Neurophysiologic diagnostic testing (e.g., electromyogram and nerve conduction investigations, and “repetitive stimulation” if myasthenia is suspected) are routinely indicated upon suspicion of such conditions and may be best facilitated by means of a neurology consultation </w:t>
            </w:r>
          </w:p>
          <w:p w14:paraId="4E1CC314" w14:textId="77777777" w:rsidR="004C4037" w:rsidRPr="007A3223" w:rsidRDefault="004C4037" w:rsidP="007C4E54">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Important to consider that the use of steroids as the primary treatment of Guillain-Barre is not typically considered effective. Patients requiring treatment should be considered for plasmapheresis (or </w:t>
            </w:r>
            <w:r w:rsidR="00115727" w:rsidRPr="007A3223">
              <w:rPr>
                <w:rFonts w:ascii="Times" w:hAnsi="Times"/>
                <w:sz w:val="22"/>
                <w:szCs w:val="22"/>
              </w:rPr>
              <w:t>IV IgG</w:t>
            </w:r>
            <w:r w:rsidRPr="007A3223">
              <w:rPr>
                <w:rFonts w:ascii="Times" w:hAnsi="Times"/>
                <w:sz w:val="22"/>
                <w:szCs w:val="22"/>
              </w:rPr>
              <w:t>, as an alternative)</w:t>
            </w:r>
          </w:p>
        </w:tc>
      </w:tr>
      <w:tr w:rsidR="00676D97" w:rsidRPr="007A3223" w14:paraId="14C3000A" w14:textId="77777777" w:rsidTr="002D1740">
        <w:trPr>
          <w:cantSplit/>
          <w:trHeight w:val="148"/>
        </w:trPr>
        <w:tc>
          <w:tcPr>
            <w:tcW w:w="479" w:type="pct"/>
            <w:hideMark/>
          </w:tcPr>
          <w:p w14:paraId="59BCB4A6" w14:textId="77777777" w:rsidR="008E0B5C" w:rsidRPr="007A3223" w:rsidRDefault="008E0B5C" w:rsidP="008E0B5C">
            <w:pPr>
              <w:pStyle w:val="TableCenter"/>
              <w:widowControl w:val="0"/>
              <w:spacing w:before="60"/>
              <w:rPr>
                <w:rFonts w:ascii="Times" w:hAnsi="Times"/>
                <w:sz w:val="22"/>
                <w:szCs w:val="22"/>
              </w:rPr>
            </w:pPr>
            <w:r w:rsidRPr="007A3223">
              <w:rPr>
                <w:rFonts w:ascii="Times" w:hAnsi="Times"/>
                <w:b/>
                <w:sz w:val="22"/>
                <w:szCs w:val="22"/>
              </w:rPr>
              <w:t>Grade 1</w:t>
            </w:r>
          </w:p>
        </w:tc>
        <w:tc>
          <w:tcPr>
            <w:tcW w:w="1034" w:type="pct"/>
            <w:hideMark/>
          </w:tcPr>
          <w:p w14:paraId="376B2C15" w14:textId="77777777" w:rsidR="008E0B5C" w:rsidRPr="007A3223" w:rsidRDefault="008E0B5C" w:rsidP="000919D4">
            <w:pPr>
              <w:pStyle w:val="TableLeft"/>
              <w:keepNext/>
              <w:widowControl w:val="0"/>
              <w:spacing w:before="60"/>
              <w:rPr>
                <w:rFonts w:ascii="Times" w:hAnsi="Times"/>
                <w:sz w:val="22"/>
                <w:szCs w:val="22"/>
              </w:rPr>
            </w:pPr>
            <w:r w:rsidRPr="007A3223">
              <w:rPr>
                <w:rFonts w:ascii="Times" w:hAnsi="Times"/>
                <w:sz w:val="22"/>
                <w:szCs w:val="22"/>
              </w:rPr>
              <w:t>No dose modification</w:t>
            </w:r>
          </w:p>
        </w:tc>
        <w:tc>
          <w:tcPr>
            <w:tcW w:w="3487" w:type="pct"/>
            <w:hideMark/>
          </w:tcPr>
          <w:p w14:paraId="2586EB10" w14:textId="77777777" w:rsidR="008E0B5C" w:rsidRPr="007A3223" w:rsidRDefault="008E0B5C" w:rsidP="007C4E54">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Care should be taken to monitor patients for sentinel symptoms of a potential decompensation as described above</w:t>
            </w:r>
          </w:p>
          <w:p w14:paraId="43F47897" w14:textId="77777777" w:rsidR="008E0B5C" w:rsidRPr="007A3223" w:rsidRDefault="008E0B5C" w:rsidP="009361D5">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xml:space="preserve">-  </w:t>
            </w:r>
            <w:r w:rsidR="009361D5" w:rsidRPr="007A3223">
              <w:rPr>
                <w:rFonts w:ascii="Times" w:hAnsi="Times"/>
                <w:sz w:val="22"/>
                <w:szCs w:val="22"/>
              </w:rPr>
              <w:t xml:space="preserve">Obtain </w:t>
            </w:r>
            <w:r w:rsidRPr="007A3223">
              <w:rPr>
                <w:rFonts w:ascii="Times" w:hAnsi="Times"/>
                <w:sz w:val="22"/>
                <w:szCs w:val="22"/>
              </w:rPr>
              <w:t>a neurology consult unless the symptoms are very minor and stable</w:t>
            </w:r>
          </w:p>
        </w:tc>
      </w:tr>
      <w:tr w:rsidR="007C4E54" w:rsidRPr="007A3223" w14:paraId="3B7E8FBF" w14:textId="77777777" w:rsidTr="002D1740">
        <w:trPr>
          <w:cantSplit/>
          <w:trHeight w:val="6159"/>
        </w:trPr>
        <w:tc>
          <w:tcPr>
            <w:tcW w:w="479" w:type="pct"/>
            <w:hideMark/>
          </w:tcPr>
          <w:p w14:paraId="17E5488A" w14:textId="77777777" w:rsidR="008E0B5C" w:rsidRPr="007A3223" w:rsidRDefault="008E0B5C" w:rsidP="008E0B5C">
            <w:pPr>
              <w:pStyle w:val="TableCenter"/>
              <w:widowControl w:val="0"/>
              <w:spacing w:before="60"/>
              <w:rPr>
                <w:rFonts w:ascii="Times" w:hAnsi="Times"/>
                <w:sz w:val="22"/>
                <w:szCs w:val="22"/>
              </w:rPr>
            </w:pPr>
            <w:r w:rsidRPr="007A3223">
              <w:rPr>
                <w:rFonts w:ascii="Times" w:hAnsi="Times"/>
                <w:b/>
                <w:sz w:val="22"/>
                <w:szCs w:val="22"/>
              </w:rPr>
              <w:lastRenderedPageBreak/>
              <w:t>Grade 2</w:t>
            </w:r>
          </w:p>
        </w:tc>
        <w:tc>
          <w:tcPr>
            <w:tcW w:w="1034" w:type="pct"/>
            <w:hideMark/>
          </w:tcPr>
          <w:p w14:paraId="521CA5DB" w14:textId="77777777" w:rsidR="008E0B5C" w:rsidRPr="007A3223" w:rsidRDefault="008E0B5C" w:rsidP="000919D4">
            <w:pPr>
              <w:pStyle w:val="ListBulletSmall"/>
              <w:keepNext/>
              <w:widowControl w:val="0"/>
              <w:tabs>
                <w:tab w:val="num" w:pos="180"/>
                <w:tab w:val="left" w:pos="1530"/>
              </w:tabs>
              <w:spacing w:before="60"/>
              <w:ind w:left="0" w:firstLine="0"/>
              <w:rPr>
                <w:rFonts w:ascii="Times" w:hAnsi="Times"/>
                <w:sz w:val="22"/>
                <w:szCs w:val="22"/>
              </w:rPr>
            </w:pPr>
            <w:r w:rsidRPr="007A3223">
              <w:rPr>
                <w:rFonts w:ascii="Times" w:hAnsi="Times"/>
                <w:sz w:val="22"/>
                <w:szCs w:val="22"/>
              </w:rPr>
              <w:t xml:space="preserve">For immune-mediated peripheral neuromotor syndromes such as, Guillain-Barre, and Myasthenia Gravis-like neurotoxicity, hold Study regimen dose until resolution to ≤ </w:t>
            </w:r>
            <w:r w:rsidR="00E07AFF" w:rsidRPr="007A3223">
              <w:rPr>
                <w:rFonts w:ascii="Times" w:hAnsi="Times"/>
                <w:sz w:val="22"/>
                <w:szCs w:val="22"/>
              </w:rPr>
              <w:t>g</w:t>
            </w:r>
            <w:r w:rsidRPr="007A3223">
              <w:rPr>
                <w:rFonts w:ascii="Times" w:hAnsi="Times"/>
                <w:sz w:val="22"/>
                <w:szCs w:val="22"/>
              </w:rPr>
              <w:t>rade 1</w:t>
            </w:r>
            <w:r w:rsidR="00E07AFF" w:rsidRPr="007A3223">
              <w:rPr>
                <w:rFonts w:ascii="Times" w:hAnsi="Times"/>
                <w:sz w:val="22"/>
                <w:szCs w:val="22"/>
              </w:rPr>
              <w:t>.</w:t>
            </w:r>
          </w:p>
          <w:p w14:paraId="3013A697" w14:textId="77777777" w:rsidR="008E0B5C" w:rsidRPr="007A3223" w:rsidRDefault="008E0B5C" w:rsidP="000919D4">
            <w:pPr>
              <w:pStyle w:val="ListBulletSmall"/>
              <w:keepNext/>
              <w:widowControl w:val="0"/>
              <w:tabs>
                <w:tab w:val="num" w:pos="180"/>
                <w:tab w:val="left" w:pos="1530"/>
              </w:tabs>
              <w:spacing w:before="60"/>
              <w:ind w:left="0" w:firstLine="0"/>
              <w:rPr>
                <w:rFonts w:ascii="Times" w:hAnsi="Times"/>
                <w:sz w:val="22"/>
                <w:szCs w:val="22"/>
              </w:rPr>
            </w:pPr>
            <w:r w:rsidRPr="007A3223">
              <w:rPr>
                <w:rFonts w:ascii="Times" w:hAnsi="Times"/>
                <w:sz w:val="22"/>
                <w:szCs w:val="22"/>
              </w:rPr>
              <w:t xml:space="preserve">Permanently discontinue </w:t>
            </w:r>
            <w:r w:rsidR="00E07AFF" w:rsidRPr="007A3223">
              <w:rPr>
                <w:rFonts w:ascii="Times" w:hAnsi="Times"/>
                <w:sz w:val="22"/>
                <w:szCs w:val="22"/>
              </w:rPr>
              <w:t>s</w:t>
            </w:r>
            <w:r w:rsidRPr="007A3223">
              <w:rPr>
                <w:rFonts w:ascii="Times" w:hAnsi="Times"/>
                <w:sz w:val="22"/>
                <w:szCs w:val="22"/>
              </w:rPr>
              <w:t xml:space="preserve">tudy regimen if does not resolve to ≤ </w:t>
            </w:r>
            <w:r w:rsidR="00E07AFF" w:rsidRPr="007A3223">
              <w:rPr>
                <w:rFonts w:ascii="Times" w:hAnsi="Times"/>
                <w:sz w:val="22"/>
                <w:szCs w:val="22"/>
              </w:rPr>
              <w:t>g</w:t>
            </w:r>
            <w:r w:rsidRPr="007A3223">
              <w:rPr>
                <w:rFonts w:ascii="Times" w:hAnsi="Times"/>
                <w:sz w:val="22"/>
                <w:szCs w:val="22"/>
              </w:rPr>
              <w:t xml:space="preserve">rade 1 within </w:t>
            </w:r>
            <w:r w:rsidR="00E07AFF" w:rsidRPr="007A3223">
              <w:rPr>
                <w:rFonts w:ascii="Times" w:hAnsi="Times"/>
                <w:sz w:val="22"/>
                <w:szCs w:val="22"/>
              </w:rPr>
              <w:t>14</w:t>
            </w:r>
            <w:r w:rsidRPr="007A3223">
              <w:rPr>
                <w:rFonts w:ascii="Times" w:hAnsi="Times"/>
                <w:sz w:val="22"/>
                <w:szCs w:val="22"/>
              </w:rPr>
              <w:t xml:space="preserve"> days or if there are signs of respiratory insufficiency or autonomic instability</w:t>
            </w:r>
            <w:r w:rsidR="00E07AFF" w:rsidRPr="007A3223">
              <w:rPr>
                <w:rFonts w:ascii="Times" w:hAnsi="Times"/>
                <w:sz w:val="22"/>
                <w:szCs w:val="22"/>
              </w:rPr>
              <w:t>.</w:t>
            </w:r>
          </w:p>
          <w:p w14:paraId="7CEAB523" w14:textId="77777777" w:rsidR="008E0B5C" w:rsidRPr="007A3223" w:rsidRDefault="008E0B5C" w:rsidP="000919D4">
            <w:pPr>
              <w:pStyle w:val="ListBulletSmall"/>
              <w:keepNext/>
              <w:widowControl w:val="0"/>
              <w:tabs>
                <w:tab w:val="num" w:pos="252"/>
              </w:tabs>
              <w:spacing w:before="60"/>
              <w:ind w:left="252" w:hanging="252"/>
              <w:rPr>
                <w:rFonts w:ascii="Times" w:hAnsi="Times"/>
                <w:sz w:val="22"/>
                <w:szCs w:val="22"/>
              </w:rPr>
            </w:pPr>
          </w:p>
        </w:tc>
        <w:tc>
          <w:tcPr>
            <w:tcW w:w="3487" w:type="pct"/>
            <w:hideMark/>
          </w:tcPr>
          <w:p w14:paraId="5333E817" w14:textId="77777777" w:rsidR="008E0B5C" w:rsidRPr="007A3223" w:rsidRDefault="008E0B5C" w:rsidP="007C4E54">
            <w:pPr>
              <w:pStyle w:val="ListBulletSmall"/>
              <w:keepNext/>
              <w:widowControl w:val="0"/>
              <w:spacing w:after="0"/>
              <w:rPr>
                <w:rFonts w:ascii="Times" w:hAnsi="Times"/>
                <w:sz w:val="22"/>
                <w:szCs w:val="22"/>
              </w:rPr>
            </w:pPr>
            <w:r w:rsidRPr="007A3223">
              <w:rPr>
                <w:rFonts w:ascii="Times" w:hAnsi="Times"/>
                <w:sz w:val="22"/>
                <w:szCs w:val="22"/>
              </w:rPr>
              <w:t xml:space="preserve">Grade 2: Moderate </w:t>
            </w:r>
          </w:p>
          <w:p w14:paraId="095B953F" w14:textId="77777777" w:rsidR="008E0B5C" w:rsidRPr="007A3223" w:rsidRDefault="008E0B5C" w:rsidP="006E20E9">
            <w:pPr>
              <w:pStyle w:val="ListBulletSmall"/>
              <w:keepNext/>
              <w:widowControl w:val="0"/>
              <w:tabs>
                <w:tab w:val="clear" w:pos="360"/>
              </w:tabs>
              <w:spacing w:after="0"/>
              <w:ind w:left="0" w:firstLine="0"/>
              <w:rPr>
                <w:rFonts w:ascii="Times" w:hAnsi="Times"/>
                <w:sz w:val="22"/>
                <w:szCs w:val="22"/>
              </w:rPr>
            </w:pPr>
            <w:r w:rsidRPr="007A3223">
              <w:rPr>
                <w:rFonts w:ascii="Times" w:hAnsi="Times"/>
                <w:sz w:val="22"/>
                <w:szCs w:val="22"/>
              </w:rPr>
              <w:t>-  Care should be taken to monitor patients for sentinel symptoms of a potential decompensation as described above</w:t>
            </w:r>
          </w:p>
          <w:p w14:paraId="19795207"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xml:space="preserve">-  Obtain a Neurology Consult </w:t>
            </w:r>
          </w:p>
          <w:p w14:paraId="5E4C9C99"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Sensory neuropathy/neuropathic pain may be managed by appropriate medications (e.g., gabapentin, duloxetine, etc.)</w:t>
            </w:r>
          </w:p>
          <w:p w14:paraId="3C20936A" w14:textId="77777777" w:rsidR="008E0B5C" w:rsidRPr="007A3223" w:rsidRDefault="008E0B5C" w:rsidP="006E20E9">
            <w:pPr>
              <w:pStyle w:val="ListBulletSmall2"/>
              <w:keepNext/>
              <w:widowControl w:val="0"/>
              <w:spacing w:after="0"/>
              <w:ind w:left="720"/>
              <w:rPr>
                <w:rFonts w:ascii="Times" w:hAnsi="Times"/>
                <w:i/>
                <w:sz w:val="22"/>
                <w:szCs w:val="22"/>
              </w:rPr>
            </w:pPr>
            <w:r w:rsidRPr="007A3223">
              <w:rPr>
                <w:rFonts w:ascii="Times" w:hAnsi="Times"/>
                <w:i/>
                <w:sz w:val="22"/>
                <w:szCs w:val="22"/>
              </w:rPr>
              <w:t>MYASTHENIA GRAVIS</w:t>
            </w:r>
          </w:p>
          <w:p w14:paraId="48C430AF"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Steroids may be successfully used to treat Myasthenia Gravis. Important to consider that steroid therapy (especially with high doses) may result in transient worsening of myasthenia and should typically be administered in a monitored setting under supervision of a consulting neurologist.</w:t>
            </w:r>
          </w:p>
          <w:p w14:paraId="298C87FC"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xml:space="preserve">-  Patients unable to tolerate steroids may be candidates for treatment with plasmapheresis or </w:t>
            </w:r>
            <w:r w:rsidR="00115727" w:rsidRPr="007A3223">
              <w:rPr>
                <w:rFonts w:ascii="Times" w:hAnsi="Times"/>
                <w:sz w:val="22"/>
                <w:szCs w:val="22"/>
              </w:rPr>
              <w:t>IV</w:t>
            </w:r>
            <w:r w:rsidR="006E20E9" w:rsidRPr="007A3223">
              <w:rPr>
                <w:rFonts w:ascii="Times" w:hAnsi="Times"/>
                <w:sz w:val="22"/>
                <w:szCs w:val="22"/>
              </w:rPr>
              <w:t xml:space="preserve"> </w:t>
            </w:r>
            <w:r w:rsidR="00115727" w:rsidRPr="007A3223">
              <w:rPr>
                <w:rFonts w:ascii="Times" w:hAnsi="Times"/>
                <w:sz w:val="22"/>
                <w:szCs w:val="22"/>
              </w:rPr>
              <w:t>IgG</w:t>
            </w:r>
            <w:r w:rsidRPr="007A3223">
              <w:rPr>
                <w:rFonts w:ascii="Times" w:hAnsi="Times"/>
                <w:sz w:val="22"/>
                <w:szCs w:val="22"/>
              </w:rPr>
              <w:t>. Such decisions are best made in consultation with a neurologist, taking into account the unique needs of each patient.</w:t>
            </w:r>
          </w:p>
          <w:p w14:paraId="0F49A34B"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If Myasthenia Gravis-like neurotoxicity present, consider starting acetylcholine esterase (AChE) inhibitor therapy in addition to steroids. Such therapy, if successful, can also serve to reinforce the diagnosis.</w:t>
            </w:r>
          </w:p>
          <w:p w14:paraId="170A386F" w14:textId="77777777" w:rsidR="008E0B5C" w:rsidRPr="007A3223" w:rsidRDefault="008E0B5C" w:rsidP="006E20E9">
            <w:pPr>
              <w:pStyle w:val="ListBulletSmall2"/>
              <w:keepNext/>
              <w:widowControl w:val="0"/>
              <w:spacing w:after="0"/>
              <w:ind w:left="720"/>
              <w:rPr>
                <w:rFonts w:ascii="Times" w:hAnsi="Times"/>
                <w:i/>
                <w:sz w:val="22"/>
                <w:szCs w:val="22"/>
              </w:rPr>
            </w:pPr>
            <w:r w:rsidRPr="007A3223">
              <w:rPr>
                <w:rFonts w:ascii="Times" w:hAnsi="Times"/>
                <w:i/>
                <w:sz w:val="22"/>
                <w:szCs w:val="22"/>
              </w:rPr>
              <w:t xml:space="preserve">GUILLAIN-BARRE: </w:t>
            </w:r>
          </w:p>
          <w:p w14:paraId="7E23B909"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xml:space="preserve">-  Important to consider here that the use of steroids as the primary treatment of Guillain-Barre is not typically considered effective. Patients requiring treatment should be considered for </w:t>
            </w:r>
            <w:r w:rsidR="00115727" w:rsidRPr="007A3223">
              <w:rPr>
                <w:rFonts w:ascii="Times" w:hAnsi="Times"/>
                <w:sz w:val="22"/>
                <w:szCs w:val="22"/>
              </w:rPr>
              <w:t>plasmapheresis</w:t>
            </w:r>
            <w:r w:rsidRPr="007A3223">
              <w:rPr>
                <w:rFonts w:ascii="Times" w:hAnsi="Times"/>
                <w:sz w:val="22"/>
                <w:szCs w:val="22"/>
              </w:rPr>
              <w:t xml:space="preserve"> (or </w:t>
            </w:r>
            <w:r w:rsidR="00115727" w:rsidRPr="007A3223">
              <w:rPr>
                <w:rFonts w:ascii="Times" w:hAnsi="Times"/>
                <w:sz w:val="22"/>
                <w:szCs w:val="22"/>
              </w:rPr>
              <w:t>IV IgG</w:t>
            </w:r>
            <w:r w:rsidRPr="007A3223">
              <w:rPr>
                <w:rFonts w:ascii="Times" w:hAnsi="Times"/>
                <w:sz w:val="22"/>
                <w:szCs w:val="22"/>
              </w:rPr>
              <w:t>, as an alternative).</w:t>
            </w:r>
          </w:p>
        </w:tc>
      </w:tr>
      <w:tr w:rsidR="00676D97" w:rsidRPr="007A3223" w14:paraId="64B65CD9" w14:textId="77777777" w:rsidTr="002D1740">
        <w:trPr>
          <w:cantSplit/>
          <w:trHeight w:val="148"/>
        </w:trPr>
        <w:tc>
          <w:tcPr>
            <w:tcW w:w="479" w:type="pct"/>
            <w:hideMark/>
          </w:tcPr>
          <w:p w14:paraId="015D676F" w14:textId="77777777" w:rsidR="008E0B5C" w:rsidRPr="007A3223" w:rsidRDefault="008E0B5C" w:rsidP="008E0B5C">
            <w:pPr>
              <w:pStyle w:val="TableCenter"/>
              <w:widowControl w:val="0"/>
              <w:spacing w:before="60"/>
              <w:rPr>
                <w:rFonts w:ascii="Times" w:hAnsi="Times"/>
                <w:sz w:val="22"/>
                <w:szCs w:val="22"/>
              </w:rPr>
            </w:pPr>
            <w:r w:rsidRPr="007A3223">
              <w:rPr>
                <w:rFonts w:ascii="Times" w:hAnsi="Times"/>
                <w:b/>
                <w:sz w:val="22"/>
                <w:szCs w:val="22"/>
              </w:rPr>
              <w:t>Grade 3</w:t>
            </w:r>
          </w:p>
        </w:tc>
        <w:tc>
          <w:tcPr>
            <w:tcW w:w="1034" w:type="pct"/>
            <w:hideMark/>
          </w:tcPr>
          <w:p w14:paraId="7755C704" w14:textId="77777777" w:rsidR="008E0B5C" w:rsidRPr="007A3223" w:rsidRDefault="008E0B5C"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Hold Study regimen dose until resolution to ≤ </w:t>
            </w:r>
            <w:r w:rsidR="00E07AFF" w:rsidRPr="007A3223">
              <w:rPr>
                <w:rFonts w:ascii="Times" w:hAnsi="Times"/>
                <w:sz w:val="22"/>
                <w:szCs w:val="22"/>
              </w:rPr>
              <w:t>g</w:t>
            </w:r>
            <w:r w:rsidRPr="007A3223">
              <w:rPr>
                <w:rFonts w:ascii="Times" w:hAnsi="Times"/>
                <w:sz w:val="22"/>
                <w:szCs w:val="22"/>
              </w:rPr>
              <w:t>rade 1</w:t>
            </w:r>
          </w:p>
          <w:p w14:paraId="30C0DF6A" w14:textId="77777777" w:rsidR="008E0B5C" w:rsidRPr="007A3223" w:rsidRDefault="008E0B5C" w:rsidP="000919D4">
            <w:pPr>
              <w:pStyle w:val="ListBulletSmall"/>
              <w:keepNext/>
              <w:widowControl w:val="0"/>
              <w:tabs>
                <w:tab w:val="num" w:pos="0"/>
              </w:tabs>
              <w:spacing w:before="60"/>
              <w:ind w:left="0" w:firstLine="0"/>
              <w:rPr>
                <w:rFonts w:ascii="Times" w:hAnsi="Times"/>
                <w:sz w:val="22"/>
                <w:szCs w:val="22"/>
              </w:rPr>
            </w:pPr>
            <w:r w:rsidRPr="007A3223">
              <w:rPr>
                <w:rFonts w:ascii="Times" w:hAnsi="Times"/>
                <w:sz w:val="22"/>
                <w:szCs w:val="22"/>
              </w:rPr>
              <w:t xml:space="preserve">Permanently discontinue Study regimen if Grade 3 irAE does not resolve to ≤ </w:t>
            </w:r>
            <w:r w:rsidR="00E07AFF" w:rsidRPr="007A3223">
              <w:rPr>
                <w:rFonts w:ascii="Times" w:hAnsi="Times"/>
                <w:sz w:val="22"/>
                <w:szCs w:val="22"/>
              </w:rPr>
              <w:t>g</w:t>
            </w:r>
            <w:r w:rsidRPr="007A3223">
              <w:rPr>
                <w:rFonts w:ascii="Times" w:hAnsi="Times"/>
                <w:sz w:val="22"/>
                <w:szCs w:val="22"/>
              </w:rPr>
              <w:t xml:space="preserve">rade 1 within </w:t>
            </w:r>
            <w:r w:rsidR="00E07AFF" w:rsidRPr="007A3223">
              <w:rPr>
                <w:rFonts w:ascii="Times" w:hAnsi="Times"/>
                <w:sz w:val="22"/>
                <w:szCs w:val="22"/>
              </w:rPr>
              <w:t>14</w:t>
            </w:r>
            <w:r w:rsidRPr="007A3223">
              <w:rPr>
                <w:rFonts w:ascii="Times" w:hAnsi="Times"/>
                <w:sz w:val="22"/>
                <w:szCs w:val="22"/>
              </w:rPr>
              <w:t xml:space="preserve"> days or if there are signs of respiratory insufficiency or autonomic instability</w:t>
            </w:r>
          </w:p>
        </w:tc>
        <w:tc>
          <w:tcPr>
            <w:tcW w:w="3487" w:type="pct"/>
            <w:vMerge w:val="restart"/>
            <w:hideMark/>
          </w:tcPr>
          <w:p w14:paraId="7247A75E" w14:textId="77777777" w:rsidR="008E0B5C" w:rsidRPr="007A3223" w:rsidRDefault="008E0B5C" w:rsidP="006E20E9">
            <w:pPr>
              <w:pStyle w:val="ListBulletSmall"/>
              <w:keepNext/>
              <w:widowControl w:val="0"/>
              <w:spacing w:after="0"/>
              <w:rPr>
                <w:rFonts w:ascii="Times" w:hAnsi="Times"/>
                <w:sz w:val="22"/>
                <w:szCs w:val="22"/>
              </w:rPr>
            </w:pPr>
            <w:r w:rsidRPr="007A3223">
              <w:rPr>
                <w:rFonts w:ascii="Times" w:hAnsi="Times"/>
                <w:sz w:val="22"/>
                <w:szCs w:val="22"/>
              </w:rPr>
              <w:t xml:space="preserve">For severe or life threatening (Grade 3 or 4) events: </w:t>
            </w:r>
          </w:p>
          <w:p w14:paraId="41ECB463"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Consider hospitalization</w:t>
            </w:r>
          </w:p>
          <w:p w14:paraId="30D121E4"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Monitor symptoms and obtain neurological consult</w:t>
            </w:r>
          </w:p>
          <w:p w14:paraId="620DFF31" w14:textId="77777777" w:rsidR="008E0B5C" w:rsidRPr="007A3223" w:rsidRDefault="008E0B5C" w:rsidP="006E20E9">
            <w:pPr>
              <w:pStyle w:val="ListBulletSmall2"/>
              <w:keepNext/>
              <w:widowControl w:val="0"/>
              <w:spacing w:after="0"/>
              <w:ind w:left="720"/>
              <w:rPr>
                <w:rFonts w:ascii="Times" w:hAnsi="Times"/>
                <w:i/>
                <w:sz w:val="22"/>
                <w:szCs w:val="22"/>
              </w:rPr>
            </w:pPr>
            <w:r w:rsidRPr="007A3223">
              <w:rPr>
                <w:rFonts w:ascii="Times" w:hAnsi="Times"/>
                <w:i/>
                <w:sz w:val="22"/>
                <w:szCs w:val="22"/>
              </w:rPr>
              <w:t>MYASTHENIA GRAVIS</w:t>
            </w:r>
          </w:p>
          <w:p w14:paraId="4E03F30F"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Steroids may be successfully used to treat Myasthenia Gravis.  It should typically be administered in a monitored setting under supervision of a consulting neurologist.</w:t>
            </w:r>
          </w:p>
          <w:p w14:paraId="089074BF"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xml:space="preserve">-  Patients unable to tolerate steroids may be candidates for treatment with </w:t>
            </w:r>
            <w:r w:rsidR="00115727" w:rsidRPr="007A3223">
              <w:rPr>
                <w:rFonts w:ascii="Times" w:hAnsi="Times"/>
                <w:sz w:val="22"/>
                <w:szCs w:val="22"/>
              </w:rPr>
              <w:t>plasmapheresis</w:t>
            </w:r>
            <w:r w:rsidRPr="007A3223">
              <w:rPr>
                <w:rFonts w:ascii="Times" w:hAnsi="Times"/>
                <w:sz w:val="22"/>
                <w:szCs w:val="22"/>
              </w:rPr>
              <w:t xml:space="preserve"> or.</w:t>
            </w:r>
          </w:p>
          <w:p w14:paraId="28DB8540" w14:textId="77777777" w:rsidR="008E0B5C" w:rsidRPr="007A3223" w:rsidRDefault="008E0B5C" w:rsidP="006E20E9">
            <w:pPr>
              <w:pStyle w:val="ListBulletSmall2"/>
              <w:keepNext/>
              <w:widowControl w:val="0"/>
              <w:spacing w:after="0"/>
              <w:rPr>
                <w:rFonts w:ascii="Times" w:hAnsi="Times"/>
                <w:sz w:val="22"/>
                <w:szCs w:val="22"/>
              </w:rPr>
            </w:pPr>
            <w:r w:rsidRPr="007A3223">
              <w:rPr>
                <w:rFonts w:ascii="Times" w:hAnsi="Times"/>
                <w:sz w:val="22"/>
                <w:szCs w:val="22"/>
              </w:rPr>
              <w:t xml:space="preserve">-  If Myasthenia Gravis-like neurotoxicity present, consider starting acetylcholine esterase (AChE) inhibitor therapy in addition to steroids. </w:t>
            </w:r>
            <w:r w:rsidRPr="007A3223">
              <w:rPr>
                <w:rFonts w:ascii="Times" w:hAnsi="Times"/>
                <w:sz w:val="22"/>
                <w:szCs w:val="22"/>
              </w:rPr>
              <w:lastRenderedPageBreak/>
              <w:t>Such therapy, if successful, can also serve to reinforce the diagnosis.</w:t>
            </w:r>
          </w:p>
          <w:p w14:paraId="0893B521" w14:textId="77777777" w:rsidR="008E0B5C" w:rsidRPr="007A3223" w:rsidRDefault="008E0B5C" w:rsidP="006E20E9">
            <w:pPr>
              <w:pStyle w:val="ListBulletSmall2"/>
              <w:keepNext/>
              <w:widowControl w:val="0"/>
              <w:spacing w:after="0"/>
              <w:ind w:left="720"/>
              <w:rPr>
                <w:rFonts w:ascii="Times" w:hAnsi="Times"/>
                <w:sz w:val="22"/>
                <w:szCs w:val="22"/>
              </w:rPr>
            </w:pPr>
            <w:r w:rsidRPr="007A3223">
              <w:rPr>
                <w:rFonts w:ascii="Times" w:hAnsi="Times"/>
                <w:i/>
                <w:sz w:val="22"/>
                <w:szCs w:val="22"/>
              </w:rPr>
              <w:t>GUILLAIN-BARRE</w:t>
            </w:r>
            <w:r w:rsidRPr="007A3223">
              <w:rPr>
                <w:rFonts w:ascii="Times" w:hAnsi="Times"/>
                <w:sz w:val="22"/>
                <w:szCs w:val="22"/>
              </w:rPr>
              <w:t xml:space="preserve">: </w:t>
            </w:r>
          </w:p>
          <w:p w14:paraId="25987467" w14:textId="77777777" w:rsidR="008E0B5C" w:rsidRPr="007A3223" w:rsidRDefault="008E0B5C" w:rsidP="006E20E9">
            <w:pPr>
              <w:pStyle w:val="ListBulletSmall2"/>
              <w:keepNext/>
              <w:widowControl w:val="0"/>
              <w:spacing w:after="0"/>
            </w:pPr>
            <w:r w:rsidRPr="007A3223">
              <w:rPr>
                <w:rFonts w:ascii="Times" w:hAnsi="Times"/>
                <w:sz w:val="22"/>
                <w:szCs w:val="22"/>
              </w:rPr>
              <w:t xml:space="preserve">-  Important to consider here that the use of steroids as the primary treatment of Guillain-Barre is not typically considered effective. Patients requiring treatment should be considered for </w:t>
            </w:r>
            <w:r w:rsidR="00115727" w:rsidRPr="007A3223">
              <w:rPr>
                <w:rFonts w:ascii="Times" w:hAnsi="Times"/>
                <w:sz w:val="22"/>
                <w:szCs w:val="22"/>
              </w:rPr>
              <w:t>plasmapheresis</w:t>
            </w:r>
            <w:r w:rsidRPr="007A3223">
              <w:rPr>
                <w:rFonts w:ascii="Times" w:hAnsi="Times"/>
                <w:sz w:val="22"/>
                <w:szCs w:val="22"/>
              </w:rPr>
              <w:t xml:space="preserve"> (or, as an alternative).</w:t>
            </w:r>
          </w:p>
        </w:tc>
      </w:tr>
      <w:tr w:rsidR="00676D97" w:rsidRPr="007A3223" w14:paraId="0CE0D1C6" w14:textId="77777777" w:rsidTr="002D1740">
        <w:trPr>
          <w:cantSplit/>
          <w:trHeight w:val="1020"/>
        </w:trPr>
        <w:tc>
          <w:tcPr>
            <w:tcW w:w="479" w:type="pct"/>
            <w:hideMark/>
          </w:tcPr>
          <w:p w14:paraId="4314CAF9" w14:textId="77777777" w:rsidR="008E0B5C" w:rsidRPr="007A3223" w:rsidRDefault="008E0B5C" w:rsidP="008E0B5C">
            <w:pPr>
              <w:pStyle w:val="TableCenter"/>
              <w:widowControl w:val="0"/>
              <w:spacing w:before="60"/>
              <w:rPr>
                <w:rFonts w:ascii="Times" w:hAnsi="Times"/>
                <w:sz w:val="22"/>
                <w:szCs w:val="22"/>
              </w:rPr>
            </w:pPr>
            <w:r w:rsidRPr="007A3223">
              <w:rPr>
                <w:rFonts w:ascii="Times" w:hAnsi="Times"/>
                <w:b/>
                <w:sz w:val="22"/>
                <w:szCs w:val="22"/>
              </w:rPr>
              <w:lastRenderedPageBreak/>
              <w:t>Grade 4</w:t>
            </w:r>
          </w:p>
        </w:tc>
        <w:tc>
          <w:tcPr>
            <w:tcW w:w="1034" w:type="pct"/>
            <w:hideMark/>
          </w:tcPr>
          <w:p w14:paraId="0FBB79A4" w14:textId="77777777" w:rsidR="008E0B5C" w:rsidRPr="007A3223" w:rsidRDefault="008E0B5C" w:rsidP="000919D4">
            <w:pPr>
              <w:pStyle w:val="TableLeft"/>
              <w:keepNext/>
              <w:widowControl w:val="0"/>
              <w:spacing w:before="60"/>
              <w:rPr>
                <w:rFonts w:ascii="Times" w:hAnsi="Times"/>
                <w:sz w:val="22"/>
                <w:szCs w:val="22"/>
              </w:rPr>
            </w:pPr>
            <w:r w:rsidRPr="007A3223">
              <w:rPr>
                <w:rFonts w:ascii="Times" w:hAnsi="Times"/>
                <w:sz w:val="22"/>
                <w:szCs w:val="22"/>
              </w:rPr>
              <w:t xml:space="preserve">Permanently discontinue Study regimen </w:t>
            </w:r>
          </w:p>
        </w:tc>
        <w:tc>
          <w:tcPr>
            <w:tcW w:w="3487" w:type="pct"/>
            <w:vMerge/>
            <w:vAlign w:val="center"/>
            <w:hideMark/>
          </w:tcPr>
          <w:p w14:paraId="2636517C" w14:textId="77777777" w:rsidR="008E0B5C" w:rsidRPr="007A3223" w:rsidRDefault="008E0B5C" w:rsidP="000919D4">
            <w:pPr>
              <w:keepNext/>
              <w:widowControl w:val="0"/>
              <w:spacing w:after="0"/>
              <w:rPr>
                <w:rFonts w:ascii="Times" w:hAnsi="Times" w:cs="Arial"/>
                <w:bCs/>
                <w:kern w:val="32"/>
                <w:sz w:val="22"/>
              </w:rPr>
            </w:pPr>
          </w:p>
        </w:tc>
      </w:tr>
    </w:tbl>
    <w:p w14:paraId="27DC5699" w14:textId="77777777" w:rsidR="006618AA" w:rsidRPr="007A3223" w:rsidRDefault="006618AA" w:rsidP="00B31035">
      <w:pPr>
        <w:spacing w:after="0"/>
        <w:rPr>
          <w:szCs w:val="24"/>
        </w:rPr>
      </w:pPr>
    </w:p>
    <w:p w14:paraId="4AF2F1DD" w14:textId="2FA91EED" w:rsidR="00B31035" w:rsidRPr="007A3223" w:rsidRDefault="00B31035" w:rsidP="00A928C5">
      <w:pPr>
        <w:pStyle w:val="Heading4"/>
        <w:rPr>
          <w:noProof w:val="0"/>
        </w:rPr>
      </w:pPr>
      <w:r w:rsidRPr="007A3223">
        <w:rPr>
          <w:noProof w:val="0"/>
        </w:rPr>
        <w:t xml:space="preserve">Management of new or worsening Pulmonary Symptoms with </w:t>
      </w:r>
      <w:r w:rsidR="00890F1D" w:rsidRPr="007A3223">
        <w:rPr>
          <w:noProof w:val="0"/>
        </w:rPr>
        <w:t xml:space="preserve">olaparib and/or </w:t>
      </w:r>
      <w:r w:rsidR="00B94A14">
        <w:rPr>
          <w:noProof w:val="0"/>
          <w:lang w:val="en-US"/>
        </w:rPr>
        <w:t>Durvalumab</w:t>
      </w:r>
      <w:r w:rsidRPr="007A3223">
        <w:rPr>
          <w:noProof w:val="0"/>
        </w:rPr>
        <w:t xml:space="preserve"> </w:t>
      </w:r>
    </w:p>
    <w:p w14:paraId="653593A9" w14:textId="77777777" w:rsidR="00B31035" w:rsidRPr="007A3223" w:rsidRDefault="00B31035" w:rsidP="00B31035">
      <w:pPr>
        <w:spacing w:after="0"/>
      </w:pPr>
    </w:p>
    <w:p w14:paraId="536E9535" w14:textId="06142AEA" w:rsidR="00B31035" w:rsidRPr="007A3223" w:rsidRDefault="00B31035" w:rsidP="00B31035">
      <w:pPr>
        <w:widowControl w:val="0"/>
        <w:autoSpaceDE w:val="0"/>
        <w:autoSpaceDN w:val="0"/>
        <w:adjustRightInd w:val="0"/>
        <w:spacing w:after="0"/>
        <w:rPr>
          <w:szCs w:val="24"/>
        </w:rPr>
      </w:pPr>
      <w:r w:rsidRPr="007A3223">
        <w:rPr>
          <w:szCs w:val="24"/>
        </w:rPr>
        <w:t xml:space="preserve">Pneumonitis has been seen with </w:t>
      </w:r>
      <w:r w:rsidR="002E3696" w:rsidRPr="007A3223">
        <w:rPr>
          <w:szCs w:val="24"/>
        </w:rPr>
        <w:t>olaparib in less than 1% of patients</w:t>
      </w:r>
      <w:r w:rsidR="00626DF3" w:rsidRPr="007A3223">
        <w:rPr>
          <w:szCs w:val="24"/>
        </w:rPr>
        <w:t xml:space="preserve"> treated</w:t>
      </w:r>
      <w:r w:rsidRPr="007A3223">
        <w:rPr>
          <w:szCs w:val="24"/>
        </w:rPr>
        <w:t xml:space="preserve">, and is a potential effect of </w:t>
      </w:r>
      <w:r w:rsidR="00B94A14">
        <w:rPr>
          <w:szCs w:val="24"/>
        </w:rPr>
        <w:t>Durvalumab</w:t>
      </w:r>
      <w:r w:rsidRPr="007A3223">
        <w:rPr>
          <w:szCs w:val="24"/>
        </w:rPr>
        <w:t xml:space="preserve">. If new or worsening pulmonary symptoms </w:t>
      </w:r>
      <w:r w:rsidR="007E7E6A" w:rsidRPr="007A3223">
        <w:rPr>
          <w:szCs w:val="24"/>
        </w:rPr>
        <w:t xml:space="preserve">such as shortness of breath </w:t>
      </w:r>
      <w:r w:rsidRPr="007A3223">
        <w:rPr>
          <w:szCs w:val="24"/>
        </w:rPr>
        <w:t>develop, or pulmonary abnormalities on radiological study, an interruption in study dosing is recommended</w:t>
      </w:r>
      <w:r w:rsidR="00CD5296" w:rsidRPr="007A3223">
        <w:rPr>
          <w:szCs w:val="24"/>
        </w:rPr>
        <w:t xml:space="preserve">, </w:t>
      </w:r>
      <w:r w:rsidRPr="007A3223">
        <w:rPr>
          <w:szCs w:val="24"/>
        </w:rPr>
        <w:t>and diagnostic workup (including CT scan) should be performed, to exc</w:t>
      </w:r>
      <w:r w:rsidR="00971616" w:rsidRPr="007A3223">
        <w:rPr>
          <w:szCs w:val="24"/>
        </w:rPr>
        <w:t>lude pneumonitis</w:t>
      </w:r>
      <w:r w:rsidR="00890F1D" w:rsidRPr="007A3223">
        <w:rPr>
          <w:b/>
          <w:szCs w:val="24"/>
        </w:rPr>
        <w:t xml:space="preserve"> (see</w:t>
      </w:r>
      <w:r w:rsidR="00890F1D" w:rsidRPr="007A3223">
        <w:rPr>
          <w:b/>
          <w:color w:val="0000FF"/>
          <w:szCs w:val="24"/>
        </w:rPr>
        <w:t xml:space="preserve"> </w:t>
      </w:r>
      <w:r w:rsidR="002457B0" w:rsidRPr="007A3223">
        <w:rPr>
          <w:b/>
          <w:color w:val="0000FF"/>
          <w:szCs w:val="24"/>
        </w:rPr>
        <w:fldChar w:fldCharType="begin"/>
      </w:r>
      <w:r w:rsidR="00952626" w:rsidRPr="007A3223">
        <w:rPr>
          <w:b/>
          <w:color w:val="0000FF"/>
          <w:szCs w:val="24"/>
        </w:rPr>
        <w:instrText xml:space="preserve"> REF _Ref408927786 \h </w:instrText>
      </w:r>
      <w:r w:rsidR="00800A5E" w:rsidRPr="007A3223">
        <w:rPr>
          <w:b/>
          <w:color w:val="0000FF"/>
          <w:szCs w:val="24"/>
        </w:rPr>
        <w:instrText xml:space="preserve"> \* MERGEFORMAT </w:instrText>
      </w:r>
      <w:r w:rsidR="002457B0" w:rsidRPr="007A3223">
        <w:rPr>
          <w:b/>
          <w:color w:val="0000FF"/>
          <w:szCs w:val="24"/>
        </w:rPr>
      </w:r>
      <w:r w:rsidR="002457B0" w:rsidRPr="007A3223">
        <w:rPr>
          <w:b/>
          <w:color w:val="0000FF"/>
          <w:szCs w:val="24"/>
        </w:rPr>
        <w:fldChar w:fldCharType="separate"/>
      </w:r>
      <w:r w:rsidR="00E47ACA" w:rsidRPr="00E47ACA">
        <w:rPr>
          <w:b/>
          <w:color w:val="0000FF"/>
        </w:rPr>
        <w:t xml:space="preserve">Table </w:t>
      </w:r>
      <w:r w:rsidR="00E47ACA" w:rsidRPr="00E47ACA">
        <w:rPr>
          <w:b/>
          <w:noProof/>
          <w:color w:val="0000FF"/>
        </w:rPr>
        <w:t>18</w:t>
      </w:r>
      <w:r w:rsidR="002457B0" w:rsidRPr="007A3223">
        <w:rPr>
          <w:b/>
          <w:color w:val="0000FF"/>
          <w:szCs w:val="24"/>
        </w:rPr>
        <w:fldChar w:fldCharType="end"/>
      </w:r>
      <w:r w:rsidR="00890F1D" w:rsidRPr="007A3223">
        <w:rPr>
          <w:b/>
          <w:szCs w:val="24"/>
        </w:rPr>
        <w:t>. Pneumonitis/Interstitial Lung Disease (ILD)</w:t>
      </w:r>
      <w:r w:rsidR="00971616" w:rsidRPr="007A3223">
        <w:rPr>
          <w:szCs w:val="24"/>
        </w:rPr>
        <w:t xml:space="preserve">. </w:t>
      </w:r>
      <w:r w:rsidRPr="00F33908">
        <w:rPr>
          <w:szCs w:val="24"/>
        </w:rPr>
        <w:t xml:space="preserve">Following investigation, if no abnormalities are seen and/or prior abnormalities resolve, then </w:t>
      </w:r>
      <w:r w:rsidR="00890F1D" w:rsidRPr="007A3223">
        <w:rPr>
          <w:szCs w:val="24"/>
        </w:rPr>
        <w:t>olaparib</w:t>
      </w:r>
      <w:r w:rsidRPr="007A3223">
        <w:rPr>
          <w:szCs w:val="24"/>
        </w:rPr>
        <w:t xml:space="preserve"> may be restarted as deemed appropriate by</w:t>
      </w:r>
      <w:r w:rsidR="00676D97" w:rsidRPr="007A3223">
        <w:rPr>
          <w:szCs w:val="24"/>
        </w:rPr>
        <w:t xml:space="preserve"> the</w:t>
      </w:r>
      <w:r w:rsidRPr="007A3223">
        <w:rPr>
          <w:szCs w:val="24"/>
        </w:rPr>
        <w:t xml:space="preserve"> PI.</w:t>
      </w:r>
    </w:p>
    <w:p w14:paraId="545EF1C9" w14:textId="77777777" w:rsidR="008923D2" w:rsidRPr="007A3223" w:rsidRDefault="008923D2" w:rsidP="008923D2">
      <w:pPr>
        <w:spacing w:after="0"/>
        <w:rPr>
          <w:szCs w:val="24"/>
        </w:rPr>
      </w:pPr>
    </w:p>
    <w:p w14:paraId="596E9C90" w14:textId="4EBF0B0E" w:rsidR="008923D2" w:rsidRPr="007A3223" w:rsidRDefault="008923D2" w:rsidP="00A928C5">
      <w:pPr>
        <w:pStyle w:val="Heading4"/>
        <w:rPr>
          <w:noProof w:val="0"/>
        </w:rPr>
      </w:pPr>
      <w:r w:rsidRPr="007A3223">
        <w:rPr>
          <w:noProof w:val="0"/>
        </w:rPr>
        <w:t xml:space="preserve">Management of Drug Overdose with </w:t>
      </w:r>
      <w:r w:rsidR="00B94A14">
        <w:rPr>
          <w:noProof w:val="0"/>
          <w:lang w:val="en-US"/>
        </w:rPr>
        <w:t>Durvalumab</w:t>
      </w:r>
      <w:r w:rsidRPr="007A3223">
        <w:rPr>
          <w:noProof w:val="0"/>
        </w:rPr>
        <w:t>, Olaparib, or Cediranib</w:t>
      </w:r>
    </w:p>
    <w:p w14:paraId="03791369" w14:textId="77777777" w:rsidR="008923D2" w:rsidRPr="007A3223" w:rsidRDefault="008923D2" w:rsidP="008923D2">
      <w:pPr>
        <w:spacing w:after="0"/>
        <w:rPr>
          <w:szCs w:val="24"/>
        </w:rPr>
      </w:pPr>
    </w:p>
    <w:p w14:paraId="56EA677A" w14:textId="3AE56B90" w:rsidR="008923D2" w:rsidRPr="007A3223" w:rsidRDefault="008923D2" w:rsidP="00FB66BA">
      <w:pPr>
        <w:pStyle w:val="ListParagraph"/>
        <w:numPr>
          <w:ilvl w:val="0"/>
          <w:numId w:val="31"/>
        </w:numPr>
        <w:ind w:left="360"/>
      </w:pPr>
      <w:r w:rsidRPr="007A3223">
        <w:t xml:space="preserve">There is no data on overdose with </w:t>
      </w:r>
      <w:r w:rsidR="00B94A14">
        <w:rPr>
          <w:lang w:val="en-US"/>
        </w:rPr>
        <w:t>Durvalumab</w:t>
      </w:r>
      <w:r w:rsidRPr="007A3223">
        <w:t xml:space="preserve"> or olaparib.</w:t>
      </w:r>
      <w:r w:rsidR="003D2F3F" w:rsidRPr="007A3223">
        <w:t xml:space="preserve"> In the event of overdose, appropriate supportive management should be instigated.</w:t>
      </w:r>
    </w:p>
    <w:p w14:paraId="7990A655" w14:textId="77777777" w:rsidR="008923D2" w:rsidRPr="007A3223" w:rsidRDefault="008923D2" w:rsidP="00FB66BA">
      <w:pPr>
        <w:pStyle w:val="ListParagraph"/>
        <w:numPr>
          <w:ilvl w:val="0"/>
          <w:numId w:val="31"/>
        </w:numPr>
        <w:ind w:left="360"/>
      </w:pPr>
      <w:r w:rsidRPr="007A3223">
        <w:t xml:space="preserve">There is limited clinical experience with overdose of cediranib. In the event of overdose, appropriate supportive management should be instigated.  There is no known antidote for cediranib.  </w:t>
      </w:r>
    </w:p>
    <w:p w14:paraId="3D4A041D" w14:textId="77777777" w:rsidR="008923D2" w:rsidRPr="007A3223" w:rsidRDefault="008923D2" w:rsidP="008923D2">
      <w:pPr>
        <w:pStyle w:val="ListParagraph"/>
      </w:pPr>
    </w:p>
    <w:p w14:paraId="5B8CA27A" w14:textId="07B7CF72" w:rsidR="001363DF" w:rsidRPr="007A3223" w:rsidRDefault="001363DF" w:rsidP="00A928C5">
      <w:pPr>
        <w:pStyle w:val="Heading4"/>
        <w:rPr>
          <w:noProof w:val="0"/>
        </w:rPr>
      </w:pPr>
      <w:r w:rsidRPr="007A3223">
        <w:rPr>
          <w:noProof w:val="0"/>
        </w:rPr>
        <w:t xml:space="preserve">Management of </w:t>
      </w:r>
      <w:r w:rsidR="00B94A14">
        <w:rPr>
          <w:noProof w:val="0"/>
          <w:lang w:val="en-US"/>
        </w:rPr>
        <w:t>Durvalumab</w:t>
      </w:r>
      <w:r w:rsidR="008923D2" w:rsidRPr="007A3223">
        <w:rPr>
          <w:noProof w:val="0"/>
        </w:rPr>
        <w:t xml:space="preserve">, Olaparib, or Cediranib for </w:t>
      </w:r>
      <w:r w:rsidRPr="007A3223">
        <w:rPr>
          <w:noProof w:val="0"/>
        </w:rPr>
        <w:t xml:space="preserve">Surgery/Procedure </w:t>
      </w:r>
    </w:p>
    <w:p w14:paraId="3D420946" w14:textId="77777777" w:rsidR="001363DF" w:rsidRPr="007A3223" w:rsidRDefault="001363DF" w:rsidP="001363DF">
      <w:pPr>
        <w:spacing w:after="0"/>
      </w:pPr>
    </w:p>
    <w:p w14:paraId="296A8BF0" w14:textId="319DF718" w:rsidR="001363DF" w:rsidRPr="007A3223" w:rsidRDefault="001363DF" w:rsidP="00FB66BA">
      <w:pPr>
        <w:pStyle w:val="ListParagraph"/>
        <w:numPr>
          <w:ilvl w:val="0"/>
          <w:numId w:val="30"/>
        </w:numPr>
        <w:ind w:left="360"/>
      </w:pPr>
      <w:r w:rsidRPr="007A3223">
        <w:t xml:space="preserve">At this time there is no recommendation for holding </w:t>
      </w:r>
      <w:r w:rsidR="00B94A14">
        <w:rPr>
          <w:lang w:val="en-US"/>
        </w:rPr>
        <w:t>Durvalumab</w:t>
      </w:r>
      <w:r w:rsidRPr="007A3223">
        <w:t xml:space="preserve"> in the event of surgery; decision to defer or hold treatment in the event of surgery</w:t>
      </w:r>
      <w:r w:rsidR="00A02E77" w:rsidRPr="007A3223">
        <w:t xml:space="preserve"> is</w:t>
      </w:r>
      <w:r w:rsidRPr="007A3223">
        <w:t xml:space="preserve"> per discretion of </w:t>
      </w:r>
      <w:r w:rsidR="00A02E77" w:rsidRPr="007A3223">
        <w:t xml:space="preserve">the </w:t>
      </w:r>
      <w:r w:rsidRPr="007A3223">
        <w:t xml:space="preserve">PI. </w:t>
      </w:r>
    </w:p>
    <w:p w14:paraId="778730EE" w14:textId="77777777" w:rsidR="001363DF" w:rsidRPr="007A3223" w:rsidRDefault="001363DF" w:rsidP="00FB66BA">
      <w:pPr>
        <w:pStyle w:val="ListParagraph"/>
        <w:numPr>
          <w:ilvl w:val="0"/>
          <w:numId w:val="30"/>
        </w:numPr>
        <w:ind w:left="360"/>
      </w:pPr>
      <w:r w:rsidRPr="007A3223">
        <w:t>Olaparib should be stopped at least 3 days prior to planned surgery. After surgery, olaparib may be restarted when the wound has healed. For biopsies, olaparib may be continued.</w:t>
      </w:r>
    </w:p>
    <w:p w14:paraId="186D03E3" w14:textId="77777777" w:rsidR="001363DF" w:rsidRPr="007A3223" w:rsidRDefault="001363DF" w:rsidP="00FB66BA">
      <w:pPr>
        <w:pStyle w:val="ListParagraph"/>
        <w:numPr>
          <w:ilvl w:val="0"/>
          <w:numId w:val="30"/>
        </w:numPr>
        <w:ind w:left="360"/>
      </w:pPr>
      <w:r w:rsidRPr="007A3223">
        <w:t>Cediranib has the potential to affect wound healing. Cediranib should be stopped two weeks prior to elective surgery and restarted when the wound has healed. In the event of emergency surgery, cediranib should be stopped and appropriate precautions should be taken to minimize potential risks of bleeding and thrombosis associated with this class of agents.</w:t>
      </w:r>
    </w:p>
    <w:p w14:paraId="293AE4D2" w14:textId="77777777" w:rsidR="001363DF" w:rsidRPr="007A3223" w:rsidRDefault="001363DF" w:rsidP="00FB66BA">
      <w:pPr>
        <w:pStyle w:val="ListParagraph"/>
        <w:numPr>
          <w:ilvl w:val="0"/>
          <w:numId w:val="30"/>
        </w:numPr>
        <w:ind w:left="360"/>
      </w:pPr>
      <w:r w:rsidRPr="007A3223">
        <w:lastRenderedPageBreak/>
        <w:t>Cediranib and olaparib should be discontinued for a minimum of 3 days before administration of a therapeutic or palliative radiation treatment. Study treatments should be restarted within 4 weeks</w:t>
      </w:r>
      <w:r w:rsidR="00676D97" w:rsidRPr="007A3223">
        <w:t xml:space="preserve"> after completion of radiation treatment</w:t>
      </w:r>
      <w:r w:rsidRPr="007A3223">
        <w:t xml:space="preserve"> as long as bone marrow toxicity has recovered.</w:t>
      </w:r>
    </w:p>
    <w:p w14:paraId="188BB970" w14:textId="77777777" w:rsidR="000D51B4" w:rsidRPr="007A3223" w:rsidRDefault="000D51B4" w:rsidP="000C1D10">
      <w:pPr>
        <w:pStyle w:val="Heading3"/>
      </w:pPr>
      <w:r w:rsidRPr="007A3223">
        <w:t>Gastrointestinal  disorders</w:t>
      </w:r>
    </w:p>
    <w:p w14:paraId="4355BA61" w14:textId="141D33C8" w:rsidR="000D51B4" w:rsidRPr="007A3223" w:rsidRDefault="000D51B4" w:rsidP="000D51B4">
      <w:pPr>
        <w:spacing w:after="0"/>
      </w:pPr>
      <w:r w:rsidRPr="007A3223">
        <w:t xml:space="preserve">Guidelines on management of diarrhea and colitis in patients receiving </w:t>
      </w:r>
      <w:r w:rsidR="00B94A14">
        <w:t>Durvalumab</w:t>
      </w:r>
      <w:r w:rsidRPr="007A3223">
        <w:t xml:space="preserve"> are provided in </w:t>
      </w:r>
      <w:r w:rsidRPr="007A3223">
        <w:rPr>
          <w:b/>
          <w:color w:val="0000FF"/>
        </w:rPr>
        <w:fldChar w:fldCharType="begin"/>
      </w:r>
      <w:r w:rsidRPr="007A3223">
        <w:rPr>
          <w:b/>
          <w:color w:val="0000FF"/>
        </w:rPr>
        <w:instrText xml:space="preserve"> REF _Ref450557719 \h  \* MERGEFORMAT </w:instrText>
      </w:r>
      <w:r w:rsidRPr="007A3223">
        <w:rPr>
          <w:b/>
          <w:color w:val="0000FF"/>
        </w:rPr>
      </w:r>
      <w:r w:rsidRPr="007A3223">
        <w:rPr>
          <w:b/>
          <w:color w:val="0000FF"/>
        </w:rPr>
        <w:fldChar w:fldCharType="separate"/>
      </w:r>
      <w:r w:rsidR="00E47ACA" w:rsidRPr="00E47ACA">
        <w:rPr>
          <w:b/>
          <w:color w:val="0000FF"/>
        </w:rPr>
        <w:t xml:space="preserve">Table </w:t>
      </w:r>
      <w:r w:rsidR="00E47ACA" w:rsidRPr="00E47ACA">
        <w:rPr>
          <w:b/>
          <w:noProof/>
          <w:color w:val="0000FF"/>
        </w:rPr>
        <w:t>19</w:t>
      </w:r>
      <w:r w:rsidRPr="007A3223">
        <w:rPr>
          <w:b/>
          <w:color w:val="0000FF"/>
        </w:rPr>
        <w:fldChar w:fldCharType="end"/>
      </w:r>
      <w:r w:rsidRPr="007A3223">
        <w:t>.</w:t>
      </w:r>
    </w:p>
    <w:p w14:paraId="4ADBFA06" w14:textId="77777777" w:rsidR="000D51B4" w:rsidRPr="00F33908" w:rsidRDefault="000D51B4" w:rsidP="000C1D10">
      <w:pPr>
        <w:pStyle w:val="Heading3"/>
      </w:pPr>
      <w:r w:rsidRPr="00F33908">
        <w:t>Endocrine disorders</w:t>
      </w:r>
    </w:p>
    <w:p w14:paraId="74138966" w14:textId="7C4D0811" w:rsidR="000D51B4" w:rsidRPr="007A3223" w:rsidRDefault="000D51B4" w:rsidP="000D51B4">
      <w:pPr>
        <w:spacing w:after="0"/>
      </w:pPr>
      <w:r w:rsidRPr="007A3223">
        <w:t xml:space="preserve">Immune-mediated endocrinopathies include hypophysitis, adrenal insufficiency, and hyper- and hypothyroidism. Guidelines for the management of patients with immune-mediated endocrine events are provided in </w:t>
      </w:r>
      <w:r w:rsidRPr="007A3223">
        <w:rPr>
          <w:color w:val="0000FF"/>
        </w:rPr>
        <w:fldChar w:fldCharType="begin"/>
      </w:r>
      <w:r w:rsidRPr="007A3223">
        <w:rPr>
          <w:color w:val="0000FF"/>
        </w:rPr>
        <w:instrText xml:space="preserve"> REF _Ref450557737 \h </w:instrText>
      </w:r>
      <w:r w:rsidR="007A3223">
        <w:rPr>
          <w:color w:val="0000FF"/>
        </w:rPr>
        <w:instrText xml:space="preserve"> \* MERGEFORMAT </w:instrText>
      </w:r>
      <w:r w:rsidRPr="007A3223">
        <w:rPr>
          <w:color w:val="0000FF"/>
        </w:rPr>
      </w:r>
      <w:r w:rsidRPr="007A3223">
        <w:rPr>
          <w:color w:val="0000FF"/>
        </w:rPr>
        <w:fldChar w:fldCharType="separate"/>
      </w:r>
      <w:r w:rsidR="00E47ACA" w:rsidRPr="00E47ACA">
        <w:rPr>
          <w:b/>
          <w:color w:val="0000FF"/>
        </w:rPr>
        <w:t xml:space="preserve">Table </w:t>
      </w:r>
      <w:r w:rsidR="00E47ACA" w:rsidRPr="00E47ACA">
        <w:rPr>
          <w:b/>
          <w:noProof/>
          <w:color w:val="0000FF"/>
        </w:rPr>
        <w:t>22</w:t>
      </w:r>
      <w:r w:rsidRPr="007A3223">
        <w:rPr>
          <w:color w:val="0000FF"/>
        </w:rPr>
        <w:fldChar w:fldCharType="end"/>
      </w:r>
      <w:r w:rsidRPr="007A3223">
        <w:t>.</w:t>
      </w:r>
    </w:p>
    <w:p w14:paraId="2C8B0A5D" w14:textId="77777777" w:rsidR="000D51B4" w:rsidRPr="00F33908" w:rsidRDefault="000D51B4" w:rsidP="000C1D10">
      <w:pPr>
        <w:pStyle w:val="Heading3"/>
      </w:pPr>
      <w:r w:rsidRPr="00F33908">
        <w:t>Pancreatic disorders</w:t>
      </w:r>
    </w:p>
    <w:p w14:paraId="6D195272" w14:textId="1B42D4F1" w:rsidR="000D51B4" w:rsidRPr="007A3223" w:rsidRDefault="000D51B4" w:rsidP="000D51B4">
      <w:pPr>
        <w:spacing w:after="0"/>
      </w:pPr>
      <w:r w:rsidRPr="007A3223">
        <w:t xml:space="preserve">Immune-mediated pancreatitis includes autoimmune pancreatitis, and lipase and amylase elevation. Guidelines for the management of patients with immune-mediated pancreatic disorders are provided in </w:t>
      </w:r>
      <w:r w:rsidRPr="007A3223">
        <w:rPr>
          <w:b/>
          <w:color w:val="0000FF"/>
        </w:rPr>
        <w:fldChar w:fldCharType="begin"/>
      </w:r>
      <w:r w:rsidRPr="007A3223">
        <w:rPr>
          <w:b/>
          <w:color w:val="0000FF"/>
        </w:rPr>
        <w:instrText xml:space="preserve"> REF _Ref450557791 \h  \* MERGEFORMAT </w:instrText>
      </w:r>
      <w:r w:rsidRPr="007A3223">
        <w:rPr>
          <w:b/>
          <w:color w:val="0000FF"/>
        </w:rPr>
      </w:r>
      <w:r w:rsidRPr="007A3223">
        <w:rPr>
          <w:b/>
          <w:color w:val="0000FF"/>
        </w:rPr>
        <w:fldChar w:fldCharType="separate"/>
      </w:r>
      <w:r w:rsidR="00E47ACA" w:rsidRPr="00E47ACA">
        <w:rPr>
          <w:b/>
          <w:color w:val="0000FF"/>
        </w:rPr>
        <w:t xml:space="preserve">Table </w:t>
      </w:r>
      <w:r w:rsidR="00E47ACA" w:rsidRPr="00E47ACA">
        <w:rPr>
          <w:b/>
          <w:noProof/>
          <w:color w:val="0000FF"/>
        </w:rPr>
        <w:t>17</w:t>
      </w:r>
      <w:r w:rsidRPr="007A3223">
        <w:rPr>
          <w:b/>
          <w:color w:val="0000FF"/>
        </w:rPr>
        <w:fldChar w:fldCharType="end"/>
      </w:r>
      <w:r w:rsidRPr="007A3223">
        <w:t>.</w:t>
      </w:r>
    </w:p>
    <w:p w14:paraId="7F7CD63F" w14:textId="77777777" w:rsidR="000D51B4" w:rsidRPr="00F33908" w:rsidRDefault="000D51B4" w:rsidP="000C1D10">
      <w:pPr>
        <w:pStyle w:val="Heading3"/>
      </w:pPr>
      <w:r w:rsidRPr="00F33908">
        <w:t>Neurotoxicity</w:t>
      </w:r>
    </w:p>
    <w:p w14:paraId="73343262" w14:textId="5E2F8BD1" w:rsidR="000D51B4" w:rsidRPr="007A3223" w:rsidRDefault="000D51B4" w:rsidP="000D51B4">
      <w:pPr>
        <w:spacing w:after="0"/>
      </w:pPr>
      <w:r w:rsidRPr="007A3223">
        <w:t xml:space="preserve">Immune-mediated nervous system events include encephalitis, peripheral motor and sensory neuropathies, Guillain-Barré, and myasthenia gravis. Guidelines for the management of patients with immune-mediated neurotoxic events are provided in </w:t>
      </w:r>
      <w:r w:rsidRPr="007A3223">
        <w:rPr>
          <w:b/>
          <w:color w:val="0000FF"/>
        </w:rPr>
        <w:fldChar w:fldCharType="begin"/>
      </w:r>
      <w:r w:rsidRPr="007A3223">
        <w:rPr>
          <w:b/>
          <w:color w:val="0000FF"/>
        </w:rPr>
        <w:instrText xml:space="preserve"> REF _Ref450557806 \h  \* MERGEFORMAT </w:instrText>
      </w:r>
      <w:r w:rsidRPr="007A3223">
        <w:rPr>
          <w:b/>
          <w:color w:val="0000FF"/>
        </w:rPr>
      </w:r>
      <w:r w:rsidRPr="007A3223">
        <w:rPr>
          <w:b/>
          <w:color w:val="0000FF"/>
        </w:rPr>
        <w:fldChar w:fldCharType="separate"/>
      </w:r>
      <w:r w:rsidR="00E47ACA" w:rsidRPr="00E47ACA">
        <w:rPr>
          <w:b/>
          <w:color w:val="0000FF"/>
        </w:rPr>
        <w:t xml:space="preserve">Table </w:t>
      </w:r>
      <w:r w:rsidR="00E47ACA" w:rsidRPr="00E47ACA">
        <w:rPr>
          <w:b/>
          <w:noProof/>
          <w:color w:val="0000FF"/>
        </w:rPr>
        <w:t>23</w:t>
      </w:r>
      <w:r w:rsidRPr="007A3223">
        <w:rPr>
          <w:b/>
          <w:color w:val="0000FF"/>
        </w:rPr>
        <w:fldChar w:fldCharType="end"/>
      </w:r>
      <w:r w:rsidRPr="007A3223">
        <w:t>.</w:t>
      </w:r>
    </w:p>
    <w:p w14:paraId="347DD16A" w14:textId="77777777" w:rsidR="000D51B4" w:rsidRPr="00F33908" w:rsidRDefault="000D51B4" w:rsidP="000D51B4">
      <w:pPr>
        <w:rPr>
          <w:u w:val="single"/>
        </w:rPr>
      </w:pPr>
    </w:p>
    <w:p w14:paraId="59D79411" w14:textId="77777777" w:rsidR="000D51B4" w:rsidRPr="007A3223" w:rsidRDefault="000D51B4" w:rsidP="000C1D10">
      <w:pPr>
        <w:pStyle w:val="Heading3"/>
      </w:pPr>
      <w:r w:rsidRPr="007A3223">
        <w:t>Nephritis</w:t>
      </w:r>
    </w:p>
    <w:p w14:paraId="3E5831BC" w14:textId="77777777" w:rsidR="000D51B4" w:rsidRPr="007A3223" w:rsidRDefault="000D51B4" w:rsidP="000D51B4">
      <w:pPr>
        <w:spacing w:after="0"/>
      </w:pPr>
      <w:r w:rsidRPr="007A3223">
        <w:t>Consult with Nephrologist.  Monitor for signs and symptoms that may be related to changes in renal function (e.g. routine urinalysis, elevated serum BUN and creatinine, decreased creatinine clearance, electrolyte imbalance, decrease in urine output, proteinuria, etc)</w:t>
      </w:r>
    </w:p>
    <w:p w14:paraId="5878BFCE" w14:textId="77777777" w:rsidR="000D51B4" w:rsidRPr="007A3223" w:rsidRDefault="000D51B4" w:rsidP="000D51B4">
      <w:pPr>
        <w:spacing w:after="0"/>
      </w:pPr>
      <w:r w:rsidRPr="007A3223">
        <w:t>Patients should be thoroughly evaluated to rule out any alternative etiology (e.g., disease progression, infections etc.)</w:t>
      </w:r>
    </w:p>
    <w:p w14:paraId="2B6318C1" w14:textId="08B2AA2E" w:rsidR="000D51B4" w:rsidRPr="007A3223" w:rsidRDefault="000D51B4" w:rsidP="000D51B4">
      <w:pPr>
        <w:spacing w:after="0"/>
      </w:pPr>
      <w:r w:rsidRPr="007A3223">
        <w:t xml:space="preserve">Steroids should be considered in the absence of clear alternative etiology even for low-grade events (grade 2), in order to prevent potential progression to higher grade event. Guidelines for the management of patients with immune-mediated neurotoxic events are provided in </w:t>
      </w:r>
      <w:r w:rsidRPr="007A3223">
        <w:rPr>
          <w:b/>
          <w:color w:val="0000FF"/>
        </w:rPr>
        <w:fldChar w:fldCharType="begin"/>
      </w:r>
      <w:r w:rsidRPr="007A3223">
        <w:rPr>
          <w:b/>
          <w:color w:val="0000FF"/>
        </w:rPr>
        <w:instrText xml:space="preserve"> REF _Ref450557791 \h  \* MERGEFORMAT </w:instrText>
      </w:r>
      <w:r w:rsidRPr="007A3223">
        <w:rPr>
          <w:b/>
          <w:color w:val="0000FF"/>
        </w:rPr>
      </w:r>
      <w:r w:rsidRPr="007A3223">
        <w:rPr>
          <w:b/>
          <w:color w:val="0000FF"/>
        </w:rPr>
        <w:fldChar w:fldCharType="separate"/>
      </w:r>
      <w:r w:rsidR="00E47ACA" w:rsidRPr="00E47ACA">
        <w:rPr>
          <w:b/>
          <w:color w:val="0000FF"/>
        </w:rPr>
        <w:t xml:space="preserve">Table </w:t>
      </w:r>
      <w:r w:rsidR="00E47ACA" w:rsidRPr="00E47ACA">
        <w:rPr>
          <w:b/>
          <w:noProof/>
          <w:color w:val="0000FF"/>
        </w:rPr>
        <w:t>17</w:t>
      </w:r>
      <w:r w:rsidRPr="007A3223">
        <w:rPr>
          <w:b/>
          <w:color w:val="0000FF"/>
        </w:rPr>
        <w:fldChar w:fldCharType="end"/>
      </w:r>
      <w:r w:rsidRPr="007A3223">
        <w:t>.</w:t>
      </w:r>
    </w:p>
    <w:p w14:paraId="53691F75" w14:textId="77777777" w:rsidR="001E598B" w:rsidRPr="00F33908" w:rsidRDefault="001E598B">
      <w:pPr>
        <w:spacing w:after="0"/>
        <w:rPr>
          <w:szCs w:val="24"/>
          <w:lang w:val="x-none" w:eastAsia="x-none"/>
        </w:rPr>
      </w:pPr>
      <w:r w:rsidRPr="00F33908">
        <w:br w:type="page"/>
      </w:r>
    </w:p>
    <w:p w14:paraId="02E8BD2D" w14:textId="77777777" w:rsidR="00BF025E" w:rsidRPr="007A3223" w:rsidRDefault="00BF025E" w:rsidP="00EA25D7">
      <w:pPr>
        <w:pStyle w:val="ListParagraph"/>
        <w:ind w:left="360"/>
      </w:pPr>
    </w:p>
    <w:p w14:paraId="35AE0984" w14:textId="77777777" w:rsidR="000F136B" w:rsidRPr="007A3223" w:rsidRDefault="00586EB7" w:rsidP="00ED703B">
      <w:pPr>
        <w:pStyle w:val="Heading2"/>
      </w:pPr>
      <w:bookmarkStart w:id="211" w:name="_Ref408917671"/>
      <w:bookmarkStart w:id="212" w:name="_Toc82444359"/>
      <w:r w:rsidRPr="007A3223">
        <w:t>Study Calendar</w:t>
      </w:r>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348"/>
        <w:gridCol w:w="1057"/>
        <w:gridCol w:w="774"/>
        <w:gridCol w:w="737"/>
        <w:gridCol w:w="997"/>
        <w:gridCol w:w="1917"/>
      </w:tblGrid>
      <w:tr w:rsidR="0034502F" w:rsidRPr="007A3223" w14:paraId="27EB536F" w14:textId="77777777" w:rsidTr="000232A0">
        <w:trPr>
          <w:tblHeader/>
        </w:trPr>
        <w:tc>
          <w:tcPr>
            <w:tcW w:w="1348" w:type="pct"/>
            <w:vMerge w:val="restart"/>
            <w:tcBorders>
              <w:bottom w:val="double" w:sz="4" w:space="0" w:color="auto"/>
            </w:tcBorders>
            <w:shd w:val="pct10" w:color="auto" w:fill="auto"/>
            <w:vAlign w:val="bottom"/>
          </w:tcPr>
          <w:p w14:paraId="70AFE033" w14:textId="77777777" w:rsidR="00AD2FB2" w:rsidRPr="007A3223" w:rsidRDefault="00AD2FB2" w:rsidP="00211937">
            <w:pPr>
              <w:spacing w:after="0"/>
              <w:jc w:val="center"/>
              <w:rPr>
                <w:b/>
                <w:sz w:val="22"/>
              </w:rPr>
            </w:pPr>
            <w:r w:rsidRPr="007A3223">
              <w:rPr>
                <w:b/>
                <w:sz w:val="22"/>
              </w:rPr>
              <w:t>Procedure</w:t>
            </w:r>
          </w:p>
        </w:tc>
        <w:tc>
          <w:tcPr>
            <w:tcW w:w="721" w:type="pct"/>
            <w:vMerge w:val="restart"/>
            <w:tcBorders>
              <w:bottom w:val="double" w:sz="4" w:space="0" w:color="auto"/>
            </w:tcBorders>
            <w:shd w:val="pct10" w:color="auto" w:fill="auto"/>
            <w:vAlign w:val="bottom"/>
          </w:tcPr>
          <w:p w14:paraId="2638EDCE" w14:textId="77777777" w:rsidR="00AD2FB2" w:rsidRPr="007A3223" w:rsidRDefault="00AD2FB2" w:rsidP="00211937">
            <w:pPr>
              <w:spacing w:after="0"/>
              <w:jc w:val="center"/>
              <w:rPr>
                <w:b/>
                <w:sz w:val="20"/>
                <w:szCs w:val="20"/>
              </w:rPr>
            </w:pPr>
            <w:r w:rsidRPr="007A3223">
              <w:rPr>
                <w:b/>
                <w:sz w:val="20"/>
                <w:szCs w:val="20"/>
              </w:rPr>
              <w:t>Screening</w:t>
            </w:r>
          </w:p>
          <w:p w14:paraId="7107B340" w14:textId="77777777" w:rsidR="00AD2FB2" w:rsidRPr="007A3223" w:rsidRDefault="00AD2FB2" w:rsidP="00211937">
            <w:pPr>
              <w:spacing w:after="0"/>
              <w:jc w:val="center"/>
              <w:rPr>
                <w:b/>
                <w:sz w:val="22"/>
              </w:rPr>
            </w:pPr>
          </w:p>
        </w:tc>
        <w:tc>
          <w:tcPr>
            <w:tcW w:w="979" w:type="pct"/>
            <w:gridSpan w:val="2"/>
            <w:tcBorders>
              <w:bottom w:val="single" w:sz="4" w:space="0" w:color="auto"/>
            </w:tcBorders>
            <w:shd w:val="pct10" w:color="auto" w:fill="auto"/>
            <w:vAlign w:val="bottom"/>
          </w:tcPr>
          <w:p w14:paraId="4F74A006" w14:textId="77777777" w:rsidR="00AD2FB2" w:rsidRPr="007A3223" w:rsidRDefault="00AD2FB2" w:rsidP="00211937">
            <w:pPr>
              <w:spacing w:after="0"/>
              <w:jc w:val="center"/>
              <w:rPr>
                <w:b/>
                <w:sz w:val="22"/>
              </w:rPr>
            </w:pPr>
            <w:r w:rsidRPr="007A3223">
              <w:rPr>
                <w:b/>
                <w:sz w:val="22"/>
              </w:rPr>
              <w:t>Cycle 1</w:t>
            </w:r>
          </w:p>
        </w:tc>
        <w:tc>
          <w:tcPr>
            <w:tcW w:w="927" w:type="pct"/>
            <w:gridSpan w:val="2"/>
            <w:tcBorders>
              <w:bottom w:val="single" w:sz="4" w:space="0" w:color="auto"/>
            </w:tcBorders>
            <w:shd w:val="pct10" w:color="auto" w:fill="auto"/>
            <w:vAlign w:val="bottom"/>
          </w:tcPr>
          <w:p w14:paraId="482BF719" w14:textId="77777777" w:rsidR="00AD2FB2" w:rsidRPr="007A3223" w:rsidRDefault="00AD2FB2" w:rsidP="00211937">
            <w:pPr>
              <w:spacing w:after="0"/>
              <w:jc w:val="center"/>
              <w:rPr>
                <w:b/>
                <w:sz w:val="22"/>
              </w:rPr>
            </w:pPr>
            <w:r w:rsidRPr="007A3223">
              <w:rPr>
                <w:b/>
                <w:sz w:val="22"/>
              </w:rPr>
              <w:t xml:space="preserve">Cycles 2 </w:t>
            </w:r>
            <w:r w:rsidR="00F3043A" w:rsidRPr="007A3223">
              <w:rPr>
                <w:b/>
                <w:sz w:val="22"/>
              </w:rPr>
              <w:t>and beyond</w:t>
            </w:r>
          </w:p>
        </w:tc>
        <w:tc>
          <w:tcPr>
            <w:tcW w:w="1025" w:type="pct"/>
            <w:tcBorders>
              <w:bottom w:val="double" w:sz="4" w:space="0" w:color="auto"/>
            </w:tcBorders>
            <w:shd w:val="pct10" w:color="auto" w:fill="auto"/>
          </w:tcPr>
          <w:p w14:paraId="59B349A8" w14:textId="77777777" w:rsidR="00AD2FB2" w:rsidRPr="007A3223" w:rsidRDefault="00AD2FB2" w:rsidP="00982624">
            <w:pPr>
              <w:spacing w:after="0"/>
              <w:rPr>
                <w:rStyle w:val="Style10ptBold1"/>
                <w:i/>
                <w:sz w:val="22"/>
              </w:rPr>
            </w:pPr>
          </w:p>
          <w:p w14:paraId="4E1D8820" w14:textId="77777777" w:rsidR="00AD2FB2" w:rsidRPr="007A3223" w:rsidRDefault="00AD2FB2" w:rsidP="00211937">
            <w:pPr>
              <w:spacing w:after="0"/>
              <w:jc w:val="center"/>
              <w:rPr>
                <w:rStyle w:val="Style10ptBold1"/>
                <w:i/>
                <w:sz w:val="22"/>
              </w:rPr>
            </w:pPr>
            <w:r w:rsidRPr="007A3223">
              <w:rPr>
                <w:rStyle w:val="Style10ptBold1"/>
                <w:i/>
                <w:sz w:val="22"/>
              </w:rPr>
              <w:t>Post Therapy Follow-up</w:t>
            </w:r>
            <w:r w:rsidRPr="007A3223">
              <w:rPr>
                <w:rStyle w:val="Style10ptBold1"/>
                <w:i/>
                <w:sz w:val="22"/>
                <w:vertAlign w:val="superscript"/>
              </w:rPr>
              <w:t>11</w:t>
            </w:r>
          </w:p>
          <w:p w14:paraId="5DFC0226" w14:textId="77777777" w:rsidR="00AD2FB2" w:rsidRPr="007A3223" w:rsidRDefault="00AD2FB2" w:rsidP="00211937">
            <w:pPr>
              <w:spacing w:after="0"/>
              <w:jc w:val="center"/>
              <w:rPr>
                <w:b/>
                <w:i/>
                <w:sz w:val="22"/>
              </w:rPr>
            </w:pPr>
          </w:p>
        </w:tc>
      </w:tr>
      <w:tr w:rsidR="0034502F" w:rsidRPr="007A3223" w14:paraId="7F9E52A4" w14:textId="77777777" w:rsidTr="000232A0">
        <w:trPr>
          <w:tblHeader/>
        </w:trPr>
        <w:tc>
          <w:tcPr>
            <w:tcW w:w="1348" w:type="pct"/>
            <w:vMerge/>
            <w:tcBorders>
              <w:top w:val="single" w:sz="4" w:space="0" w:color="auto"/>
              <w:bottom w:val="double" w:sz="4" w:space="0" w:color="auto"/>
            </w:tcBorders>
            <w:vAlign w:val="bottom"/>
          </w:tcPr>
          <w:p w14:paraId="09EC84D2" w14:textId="77777777" w:rsidR="00982624" w:rsidRPr="007A3223" w:rsidRDefault="00982624" w:rsidP="00211937">
            <w:pPr>
              <w:spacing w:after="0"/>
              <w:rPr>
                <w:b/>
                <w:sz w:val="22"/>
              </w:rPr>
            </w:pPr>
          </w:p>
        </w:tc>
        <w:tc>
          <w:tcPr>
            <w:tcW w:w="721" w:type="pct"/>
            <w:vMerge/>
            <w:tcBorders>
              <w:top w:val="single" w:sz="4" w:space="0" w:color="auto"/>
              <w:bottom w:val="double" w:sz="4" w:space="0" w:color="auto"/>
            </w:tcBorders>
            <w:vAlign w:val="bottom"/>
          </w:tcPr>
          <w:p w14:paraId="51B0284E" w14:textId="77777777" w:rsidR="00982624" w:rsidRPr="007A3223" w:rsidRDefault="00982624" w:rsidP="00211937">
            <w:pPr>
              <w:spacing w:after="0"/>
              <w:rPr>
                <w:b/>
                <w:sz w:val="22"/>
              </w:rPr>
            </w:pPr>
          </w:p>
        </w:tc>
        <w:tc>
          <w:tcPr>
            <w:tcW w:w="565" w:type="pct"/>
            <w:tcBorders>
              <w:top w:val="single" w:sz="4" w:space="0" w:color="auto"/>
              <w:bottom w:val="double" w:sz="4" w:space="0" w:color="auto"/>
            </w:tcBorders>
            <w:shd w:val="pct5" w:color="auto" w:fill="auto"/>
            <w:vAlign w:val="bottom"/>
          </w:tcPr>
          <w:p w14:paraId="6E072521" w14:textId="77777777" w:rsidR="00982624" w:rsidRPr="007A3223" w:rsidRDefault="00982624" w:rsidP="00211937">
            <w:pPr>
              <w:spacing w:after="0"/>
              <w:jc w:val="center"/>
              <w:rPr>
                <w:b/>
                <w:sz w:val="20"/>
                <w:szCs w:val="20"/>
              </w:rPr>
            </w:pPr>
            <w:r w:rsidRPr="007A3223">
              <w:rPr>
                <w:b/>
                <w:sz w:val="20"/>
                <w:szCs w:val="20"/>
              </w:rPr>
              <w:t>Baseline/</w:t>
            </w:r>
          </w:p>
          <w:p w14:paraId="2328594D" w14:textId="77777777" w:rsidR="00982624" w:rsidRPr="007A3223" w:rsidRDefault="00982624" w:rsidP="00211937">
            <w:pPr>
              <w:spacing w:after="0"/>
              <w:jc w:val="center"/>
              <w:rPr>
                <w:b/>
                <w:sz w:val="22"/>
              </w:rPr>
            </w:pPr>
            <w:r w:rsidRPr="007A3223">
              <w:rPr>
                <w:b/>
                <w:sz w:val="22"/>
              </w:rPr>
              <w:t>Day 1</w:t>
            </w:r>
          </w:p>
        </w:tc>
        <w:tc>
          <w:tcPr>
            <w:tcW w:w="414" w:type="pct"/>
            <w:tcBorders>
              <w:top w:val="single" w:sz="4" w:space="0" w:color="auto"/>
              <w:bottom w:val="double" w:sz="4" w:space="0" w:color="auto"/>
            </w:tcBorders>
            <w:shd w:val="pct5" w:color="auto" w:fill="auto"/>
            <w:vAlign w:val="bottom"/>
          </w:tcPr>
          <w:p w14:paraId="5DF6B19E" w14:textId="77777777" w:rsidR="00982624" w:rsidRPr="007A3223" w:rsidRDefault="00982624" w:rsidP="00211937">
            <w:pPr>
              <w:spacing w:after="0"/>
              <w:jc w:val="center"/>
              <w:rPr>
                <w:b/>
                <w:sz w:val="22"/>
              </w:rPr>
            </w:pPr>
          </w:p>
          <w:p w14:paraId="5C08E1A6" w14:textId="77777777" w:rsidR="00982624" w:rsidRPr="007A3223" w:rsidRDefault="00982624" w:rsidP="00211937">
            <w:pPr>
              <w:spacing w:after="0"/>
              <w:jc w:val="center"/>
              <w:rPr>
                <w:b/>
                <w:sz w:val="22"/>
              </w:rPr>
            </w:pPr>
            <w:r w:rsidRPr="007A3223">
              <w:rPr>
                <w:b/>
                <w:sz w:val="22"/>
              </w:rPr>
              <w:t>Day</w:t>
            </w:r>
          </w:p>
          <w:p w14:paraId="5BC582AE" w14:textId="77777777" w:rsidR="00982624" w:rsidRPr="007A3223" w:rsidRDefault="00982624" w:rsidP="00211937">
            <w:pPr>
              <w:spacing w:after="0"/>
              <w:jc w:val="center"/>
              <w:rPr>
                <w:b/>
                <w:sz w:val="22"/>
              </w:rPr>
            </w:pPr>
            <w:r w:rsidRPr="007A3223">
              <w:rPr>
                <w:b/>
                <w:sz w:val="22"/>
              </w:rPr>
              <w:t>15</w:t>
            </w:r>
          </w:p>
        </w:tc>
        <w:tc>
          <w:tcPr>
            <w:tcW w:w="394" w:type="pct"/>
            <w:tcBorders>
              <w:top w:val="single" w:sz="4" w:space="0" w:color="auto"/>
              <w:bottom w:val="double" w:sz="4" w:space="0" w:color="auto"/>
            </w:tcBorders>
            <w:shd w:val="pct5" w:color="auto" w:fill="auto"/>
            <w:vAlign w:val="bottom"/>
          </w:tcPr>
          <w:p w14:paraId="43334432" w14:textId="77777777" w:rsidR="00982624" w:rsidRPr="007A3223" w:rsidRDefault="00982624" w:rsidP="00211937">
            <w:pPr>
              <w:spacing w:after="0"/>
              <w:jc w:val="center"/>
              <w:rPr>
                <w:b/>
                <w:sz w:val="22"/>
              </w:rPr>
            </w:pPr>
            <w:r w:rsidRPr="007A3223">
              <w:rPr>
                <w:b/>
                <w:sz w:val="22"/>
              </w:rPr>
              <w:t xml:space="preserve">Day </w:t>
            </w:r>
          </w:p>
          <w:p w14:paraId="20CC1D17" w14:textId="77777777" w:rsidR="00982624" w:rsidRPr="007A3223" w:rsidRDefault="00982624" w:rsidP="00211937">
            <w:pPr>
              <w:spacing w:after="0"/>
              <w:jc w:val="center"/>
              <w:rPr>
                <w:b/>
                <w:sz w:val="22"/>
              </w:rPr>
            </w:pPr>
            <w:r w:rsidRPr="007A3223">
              <w:rPr>
                <w:b/>
                <w:sz w:val="22"/>
              </w:rPr>
              <w:t>1</w:t>
            </w:r>
          </w:p>
        </w:tc>
        <w:tc>
          <w:tcPr>
            <w:tcW w:w="533" w:type="pct"/>
            <w:tcBorders>
              <w:top w:val="single" w:sz="4" w:space="0" w:color="auto"/>
              <w:bottom w:val="double" w:sz="4" w:space="0" w:color="auto"/>
            </w:tcBorders>
            <w:shd w:val="pct5" w:color="auto" w:fill="auto"/>
            <w:vAlign w:val="bottom"/>
          </w:tcPr>
          <w:p w14:paraId="5184B68C" w14:textId="77777777" w:rsidR="00982624" w:rsidRPr="007A3223" w:rsidRDefault="00982624" w:rsidP="00211937">
            <w:pPr>
              <w:spacing w:after="0"/>
              <w:jc w:val="center"/>
              <w:rPr>
                <w:b/>
                <w:sz w:val="22"/>
              </w:rPr>
            </w:pPr>
            <w:r w:rsidRPr="007A3223">
              <w:rPr>
                <w:b/>
                <w:sz w:val="22"/>
              </w:rPr>
              <w:t xml:space="preserve">Day </w:t>
            </w:r>
          </w:p>
          <w:p w14:paraId="6B5C05BA" w14:textId="77777777" w:rsidR="00982624" w:rsidRPr="007A3223" w:rsidRDefault="00982624" w:rsidP="00211937">
            <w:pPr>
              <w:spacing w:after="0"/>
              <w:jc w:val="center"/>
              <w:rPr>
                <w:b/>
                <w:sz w:val="22"/>
              </w:rPr>
            </w:pPr>
            <w:r w:rsidRPr="007A3223">
              <w:rPr>
                <w:b/>
                <w:sz w:val="22"/>
              </w:rPr>
              <w:t>15</w:t>
            </w:r>
          </w:p>
        </w:tc>
        <w:tc>
          <w:tcPr>
            <w:tcW w:w="1025" w:type="pct"/>
            <w:tcBorders>
              <w:top w:val="double" w:sz="4" w:space="0" w:color="auto"/>
              <w:bottom w:val="double" w:sz="4" w:space="0" w:color="auto"/>
            </w:tcBorders>
          </w:tcPr>
          <w:p w14:paraId="4454ADDA" w14:textId="77777777" w:rsidR="00982624" w:rsidRPr="007A3223" w:rsidRDefault="00982624" w:rsidP="00211937">
            <w:pPr>
              <w:spacing w:after="0"/>
              <w:rPr>
                <w:b/>
                <w:i/>
                <w:sz w:val="22"/>
              </w:rPr>
            </w:pPr>
          </w:p>
        </w:tc>
      </w:tr>
      <w:tr w:rsidR="0034502F" w:rsidRPr="007A3223" w14:paraId="5F83D207" w14:textId="77777777" w:rsidTr="000232A0">
        <w:tc>
          <w:tcPr>
            <w:tcW w:w="1348" w:type="pct"/>
          </w:tcPr>
          <w:p w14:paraId="77D56499" w14:textId="77777777" w:rsidR="00982624" w:rsidRPr="007A3223" w:rsidRDefault="00982624" w:rsidP="006F5336">
            <w:pPr>
              <w:spacing w:after="0"/>
              <w:rPr>
                <w:sz w:val="22"/>
              </w:rPr>
            </w:pPr>
            <w:r w:rsidRPr="007A3223">
              <w:rPr>
                <w:sz w:val="22"/>
              </w:rPr>
              <w:t>History and PE</w:t>
            </w:r>
          </w:p>
        </w:tc>
        <w:tc>
          <w:tcPr>
            <w:tcW w:w="721" w:type="pct"/>
            <w:vAlign w:val="center"/>
          </w:tcPr>
          <w:p w14:paraId="508127B5" w14:textId="77777777" w:rsidR="00982624" w:rsidRPr="007A3223" w:rsidRDefault="00982624" w:rsidP="00211937">
            <w:pPr>
              <w:spacing w:after="0"/>
              <w:jc w:val="center"/>
              <w:rPr>
                <w:sz w:val="22"/>
              </w:rPr>
            </w:pPr>
            <w:r w:rsidRPr="007A3223">
              <w:rPr>
                <w:sz w:val="22"/>
              </w:rPr>
              <w:t>X</w:t>
            </w:r>
          </w:p>
        </w:tc>
        <w:tc>
          <w:tcPr>
            <w:tcW w:w="565" w:type="pct"/>
            <w:vAlign w:val="center"/>
          </w:tcPr>
          <w:p w14:paraId="05DD3AC7"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vAlign w:val="center"/>
          </w:tcPr>
          <w:p w14:paraId="1324869D" w14:textId="77777777" w:rsidR="00982624" w:rsidRPr="007A3223" w:rsidRDefault="00982624" w:rsidP="00211937">
            <w:pPr>
              <w:spacing w:after="0"/>
              <w:jc w:val="center"/>
              <w:rPr>
                <w:sz w:val="22"/>
              </w:rPr>
            </w:pPr>
          </w:p>
        </w:tc>
        <w:tc>
          <w:tcPr>
            <w:tcW w:w="394" w:type="pct"/>
            <w:vAlign w:val="center"/>
          </w:tcPr>
          <w:p w14:paraId="7B4CEFDA" w14:textId="152BDC25" w:rsidR="00982624" w:rsidRPr="007A3223" w:rsidRDefault="00982624" w:rsidP="00211937">
            <w:pPr>
              <w:spacing w:after="0"/>
              <w:jc w:val="center"/>
              <w:rPr>
                <w:sz w:val="22"/>
              </w:rPr>
            </w:pPr>
            <w:r w:rsidRPr="007A3223">
              <w:rPr>
                <w:sz w:val="22"/>
              </w:rPr>
              <w:t>X</w:t>
            </w:r>
            <w:r w:rsidR="005622D8" w:rsidRPr="007A3223">
              <w:rPr>
                <w:sz w:val="22"/>
                <w:vertAlign w:val="superscript"/>
              </w:rPr>
              <w:t>1</w:t>
            </w:r>
          </w:p>
        </w:tc>
        <w:tc>
          <w:tcPr>
            <w:tcW w:w="533" w:type="pct"/>
            <w:vAlign w:val="center"/>
          </w:tcPr>
          <w:p w14:paraId="519A6E96" w14:textId="77777777" w:rsidR="00982624" w:rsidRPr="007A3223" w:rsidRDefault="00982624" w:rsidP="00211937">
            <w:pPr>
              <w:spacing w:after="0"/>
              <w:jc w:val="center"/>
              <w:rPr>
                <w:sz w:val="22"/>
              </w:rPr>
            </w:pPr>
          </w:p>
        </w:tc>
        <w:tc>
          <w:tcPr>
            <w:tcW w:w="1025" w:type="pct"/>
          </w:tcPr>
          <w:p w14:paraId="2C915C04" w14:textId="77777777" w:rsidR="00982624" w:rsidRPr="007A3223" w:rsidRDefault="00982624" w:rsidP="00211937">
            <w:pPr>
              <w:spacing w:after="0"/>
              <w:jc w:val="center"/>
              <w:rPr>
                <w:i/>
                <w:sz w:val="22"/>
              </w:rPr>
            </w:pPr>
          </w:p>
        </w:tc>
      </w:tr>
      <w:tr w:rsidR="0034502F" w:rsidRPr="007A3223" w14:paraId="1E0C2301" w14:textId="77777777" w:rsidTr="000232A0">
        <w:tc>
          <w:tcPr>
            <w:tcW w:w="1348" w:type="pct"/>
          </w:tcPr>
          <w:p w14:paraId="5F1D48CF" w14:textId="77777777" w:rsidR="00982624" w:rsidRPr="007A3223" w:rsidRDefault="00982624" w:rsidP="00211937">
            <w:pPr>
              <w:spacing w:after="0"/>
              <w:rPr>
                <w:sz w:val="22"/>
              </w:rPr>
            </w:pPr>
            <w:r w:rsidRPr="007A3223">
              <w:rPr>
                <w:sz w:val="22"/>
              </w:rPr>
              <w:t>Height</w:t>
            </w:r>
          </w:p>
        </w:tc>
        <w:tc>
          <w:tcPr>
            <w:tcW w:w="721" w:type="pct"/>
            <w:vAlign w:val="center"/>
          </w:tcPr>
          <w:p w14:paraId="017F071E" w14:textId="77777777" w:rsidR="00982624" w:rsidRPr="007A3223" w:rsidRDefault="00982624" w:rsidP="00211937">
            <w:pPr>
              <w:spacing w:after="0"/>
              <w:jc w:val="center"/>
              <w:rPr>
                <w:sz w:val="22"/>
              </w:rPr>
            </w:pPr>
            <w:r w:rsidRPr="007A3223">
              <w:rPr>
                <w:sz w:val="22"/>
              </w:rPr>
              <w:t>X</w:t>
            </w:r>
          </w:p>
        </w:tc>
        <w:tc>
          <w:tcPr>
            <w:tcW w:w="565" w:type="pct"/>
            <w:vAlign w:val="center"/>
          </w:tcPr>
          <w:p w14:paraId="0140BC2E"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vAlign w:val="center"/>
          </w:tcPr>
          <w:p w14:paraId="2B7FDF9E" w14:textId="77777777" w:rsidR="00982624" w:rsidRPr="007A3223" w:rsidRDefault="00982624" w:rsidP="00211937">
            <w:pPr>
              <w:spacing w:after="0"/>
              <w:jc w:val="center"/>
              <w:rPr>
                <w:sz w:val="22"/>
              </w:rPr>
            </w:pPr>
          </w:p>
        </w:tc>
        <w:tc>
          <w:tcPr>
            <w:tcW w:w="394" w:type="pct"/>
            <w:vAlign w:val="center"/>
          </w:tcPr>
          <w:p w14:paraId="63B28A7F" w14:textId="77777777" w:rsidR="00982624" w:rsidRPr="007A3223" w:rsidRDefault="00982624" w:rsidP="00211937">
            <w:pPr>
              <w:spacing w:after="0"/>
              <w:jc w:val="center"/>
              <w:rPr>
                <w:sz w:val="22"/>
              </w:rPr>
            </w:pPr>
          </w:p>
        </w:tc>
        <w:tc>
          <w:tcPr>
            <w:tcW w:w="533" w:type="pct"/>
            <w:vAlign w:val="center"/>
          </w:tcPr>
          <w:p w14:paraId="53781060" w14:textId="77777777" w:rsidR="00982624" w:rsidRPr="007A3223" w:rsidRDefault="00982624" w:rsidP="00211937">
            <w:pPr>
              <w:spacing w:after="0"/>
              <w:jc w:val="center"/>
              <w:rPr>
                <w:sz w:val="22"/>
              </w:rPr>
            </w:pPr>
          </w:p>
        </w:tc>
        <w:tc>
          <w:tcPr>
            <w:tcW w:w="1025" w:type="pct"/>
          </w:tcPr>
          <w:p w14:paraId="40191A20" w14:textId="77777777" w:rsidR="00982624" w:rsidRPr="007A3223" w:rsidRDefault="00982624" w:rsidP="00211937">
            <w:pPr>
              <w:spacing w:after="0"/>
              <w:jc w:val="center"/>
              <w:rPr>
                <w:b/>
                <w:i/>
                <w:sz w:val="22"/>
              </w:rPr>
            </w:pPr>
          </w:p>
        </w:tc>
      </w:tr>
      <w:tr w:rsidR="0034502F" w:rsidRPr="007A3223" w14:paraId="40B32B48" w14:textId="77777777" w:rsidTr="000232A0">
        <w:tc>
          <w:tcPr>
            <w:tcW w:w="1348" w:type="pct"/>
          </w:tcPr>
          <w:p w14:paraId="52A7ADFC" w14:textId="77777777" w:rsidR="00982624" w:rsidRPr="007A3223" w:rsidRDefault="00982624" w:rsidP="00614A50">
            <w:pPr>
              <w:spacing w:after="0"/>
              <w:rPr>
                <w:sz w:val="22"/>
              </w:rPr>
            </w:pPr>
            <w:r w:rsidRPr="007A3223">
              <w:rPr>
                <w:sz w:val="22"/>
              </w:rPr>
              <w:t>Weight</w:t>
            </w:r>
            <w:r w:rsidRPr="007A3223">
              <w:rPr>
                <w:sz w:val="22"/>
                <w:vertAlign w:val="superscript"/>
              </w:rPr>
              <w:t>2</w:t>
            </w:r>
          </w:p>
        </w:tc>
        <w:tc>
          <w:tcPr>
            <w:tcW w:w="721" w:type="pct"/>
            <w:vAlign w:val="center"/>
          </w:tcPr>
          <w:p w14:paraId="05CA8779" w14:textId="77777777" w:rsidR="00982624" w:rsidRPr="007A3223" w:rsidRDefault="00982624" w:rsidP="00211937">
            <w:pPr>
              <w:spacing w:after="0"/>
              <w:jc w:val="center"/>
              <w:rPr>
                <w:sz w:val="22"/>
              </w:rPr>
            </w:pPr>
            <w:r w:rsidRPr="007A3223">
              <w:rPr>
                <w:sz w:val="22"/>
              </w:rPr>
              <w:t>X</w:t>
            </w:r>
          </w:p>
        </w:tc>
        <w:tc>
          <w:tcPr>
            <w:tcW w:w="565" w:type="pct"/>
            <w:vAlign w:val="center"/>
          </w:tcPr>
          <w:p w14:paraId="45BBE826" w14:textId="77777777" w:rsidR="00982624" w:rsidRPr="007A3223" w:rsidRDefault="00982624" w:rsidP="00211937">
            <w:pPr>
              <w:spacing w:after="0"/>
              <w:jc w:val="center"/>
              <w:rPr>
                <w:sz w:val="22"/>
              </w:rPr>
            </w:pPr>
            <w:r w:rsidRPr="007A3223">
              <w:rPr>
                <w:sz w:val="22"/>
              </w:rPr>
              <w:t>X</w:t>
            </w:r>
          </w:p>
        </w:tc>
        <w:tc>
          <w:tcPr>
            <w:tcW w:w="414" w:type="pct"/>
            <w:vAlign w:val="center"/>
          </w:tcPr>
          <w:p w14:paraId="54C5E6AD" w14:textId="77777777" w:rsidR="00982624" w:rsidRPr="007A3223" w:rsidRDefault="00982624" w:rsidP="00211937">
            <w:pPr>
              <w:spacing w:after="0"/>
              <w:jc w:val="center"/>
              <w:rPr>
                <w:sz w:val="22"/>
              </w:rPr>
            </w:pPr>
            <w:r w:rsidRPr="007A3223">
              <w:rPr>
                <w:sz w:val="22"/>
              </w:rPr>
              <w:t>X</w:t>
            </w:r>
            <w:r w:rsidRPr="007A3223">
              <w:rPr>
                <w:sz w:val="22"/>
                <w:vertAlign w:val="superscript"/>
              </w:rPr>
              <w:t>2</w:t>
            </w:r>
          </w:p>
        </w:tc>
        <w:tc>
          <w:tcPr>
            <w:tcW w:w="394" w:type="pct"/>
            <w:vAlign w:val="center"/>
          </w:tcPr>
          <w:p w14:paraId="472F51C4" w14:textId="77777777" w:rsidR="00982624" w:rsidRPr="007A3223" w:rsidRDefault="00982624" w:rsidP="00211937">
            <w:pPr>
              <w:spacing w:after="0"/>
              <w:jc w:val="center"/>
              <w:rPr>
                <w:sz w:val="22"/>
              </w:rPr>
            </w:pPr>
            <w:r w:rsidRPr="007A3223">
              <w:rPr>
                <w:sz w:val="22"/>
              </w:rPr>
              <w:t>X</w:t>
            </w:r>
          </w:p>
        </w:tc>
        <w:tc>
          <w:tcPr>
            <w:tcW w:w="533" w:type="pct"/>
            <w:vAlign w:val="center"/>
          </w:tcPr>
          <w:p w14:paraId="7D609AA6" w14:textId="77777777" w:rsidR="00982624" w:rsidRPr="007A3223" w:rsidRDefault="00982624" w:rsidP="00211937">
            <w:pPr>
              <w:spacing w:after="0"/>
              <w:jc w:val="center"/>
              <w:rPr>
                <w:sz w:val="22"/>
              </w:rPr>
            </w:pPr>
            <w:r w:rsidRPr="007A3223">
              <w:rPr>
                <w:sz w:val="22"/>
              </w:rPr>
              <w:t>X</w:t>
            </w:r>
            <w:r w:rsidRPr="007A3223">
              <w:rPr>
                <w:sz w:val="22"/>
                <w:vertAlign w:val="superscript"/>
              </w:rPr>
              <w:t>2</w:t>
            </w:r>
          </w:p>
        </w:tc>
        <w:tc>
          <w:tcPr>
            <w:tcW w:w="1025" w:type="pct"/>
          </w:tcPr>
          <w:p w14:paraId="7E19D952" w14:textId="77777777" w:rsidR="00982624" w:rsidRPr="007A3223" w:rsidRDefault="00982624" w:rsidP="00211937">
            <w:pPr>
              <w:spacing w:after="0"/>
              <w:jc w:val="center"/>
              <w:rPr>
                <w:b/>
                <w:i/>
                <w:sz w:val="22"/>
              </w:rPr>
            </w:pPr>
          </w:p>
        </w:tc>
      </w:tr>
      <w:tr w:rsidR="0034502F" w:rsidRPr="007A3223" w14:paraId="55DD7AAB" w14:textId="77777777" w:rsidTr="000232A0">
        <w:tc>
          <w:tcPr>
            <w:tcW w:w="1348" w:type="pct"/>
          </w:tcPr>
          <w:p w14:paraId="349032D0" w14:textId="77777777" w:rsidR="00982624" w:rsidRPr="007A3223" w:rsidRDefault="00982624" w:rsidP="00211937">
            <w:pPr>
              <w:spacing w:after="0"/>
              <w:rPr>
                <w:sz w:val="22"/>
              </w:rPr>
            </w:pPr>
            <w:r w:rsidRPr="007A3223">
              <w:rPr>
                <w:sz w:val="22"/>
              </w:rPr>
              <w:t>Vital signs</w:t>
            </w:r>
            <w:r w:rsidRPr="007A3223">
              <w:rPr>
                <w:sz w:val="22"/>
                <w:vertAlign w:val="superscript"/>
              </w:rPr>
              <w:t>3</w:t>
            </w:r>
            <w:r w:rsidRPr="007A3223">
              <w:rPr>
                <w:sz w:val="22"/>
              </w:rPr>
              <w:t>: Temp, BP, pulse</w:t>
            </w:r>
          </w:p>
        </w:tc>
        <w:tc>
          <w:tcPr>
            <w:tcW w:w="721" w:type="pct"/>
            <w:vAlign w:val="center"/>
          </w:tcPr>
          <w:p w14:paraId="1AFA1E3F" w14:textId="77777777" w:rsidR="00982624" w:rsidRPr="007A3223" w:rsidRDefault="00982624" w:rsidP="00211937">
            <w:pPr>
              <w:spacing w:after="0"/>
              <w:jc w:val="center"/>
              <w:rPr>
                <w:sz w:val="22"/>
              </w:rPr>
            </w:pPr>
            <w:r w:rsidRPr="007A3223">
              <w:rPr>
                <w:sz w:val="22"/>
              </w:rPr>
              <w:t>X</w:t>
            </w:r>
          </w:p>
        </w:tc>
        <w:tc>
          <w:tcPr>
            <w:tcW w:w="565" w:type="pct"/>
            <w:vAlign w:val="center"/>
          </w:tcPr>
          <w:p w14:paraId="086711B6" w14:textId="77777777" w:rsidR="00982624" w:rsidRPr="007A3223" w:rsidRDefault="00982624" w:rsidP="00211937">
            <w:pPr>
              <w:spacing w:after="0"/>
              <w:jc w:val="center"/>
              <w:rPr>
                <w:sz w:val="22"/>
              </w:rPr>
            </w:pPr>
            <w:r w:rsidRPr="007A3223">
              <w:rPr>
                <w:sz w:val="22"/>
              </w:rPr>
              <w:t>X</w:t>
            </w:r>
          </w:p>
        </w:tc>
        <w:tc>
          <w:tcPr>
            <w:tcW w:w="414" w:type="pct"/>
            <w:vAlign w:val="center"/>
          </w:tcPr>
          <w:p w14:paraId="751F16C8" w14:textId="77777777" w:rsidR="00982624" w:rsidRPr="007A3223" w:rsidRDefault="00982624" w:rsidP="00211937">
            <w:pPr>
              <w:spacing w:after="0"/>
              <w:jc w:val="center"/>
              <w:rPr>
                <w:sz w:val="22"/>
              </w:rPr>
            </w:pPr>
            <w:r w:rsidRPr="007A3223">
              <w:rPr>
                <w:sz w:val="22"/>
              </w:rPr>
              <w:t>X*</w:t>
            </w:r>
          </w:p>
          <w:p w14:paraId="44B9E22E" w14:textId="77777777" w:rsidR="00982624" w:rsidRPr="007A3223" w:rsidRDefault="00982624" w:rsidP="00211937">
            <w:pPr>
              <w:spacing w:after="0"/>
              <w:jc w:val="center"/>
              <w:rPr>
                <w:sz w:val="22"/>
              </w:rPr>
            </w:pPr>
          </w:p>
        </w:tc>
        <w:tc>
          <w:tcPr>
            <w:tcW w:w="394" w:type="pct"/>
            <w:vAlign w:val="center"/>
          </w:tcPr>
          <w:p w14:paraId="2A26CB5D" w14:textId="77777777" w:rsidR="00982624" w:rsidRPr="007A3223" w:rsidRDefault="00982624" w:rsidP="00211937">
            <w:pPr>
              <w:spacing w:after="0"/>
              <w:jc w:val="center"/>
              <w:rPr>
                <w:sz w:val="22"/>
              </w:rPr>
            </w:pPr>
            <w:r w:rsidRPr="007A3223">
              <w:rPr>
                <w:sz w:val="22"/>
              </w:rPr>
              <w:t>X</w:t>
            </w:r>
          </w:p>
        </w:tc>
        <w:tc>
          <w:tcPr>
            <w:tcW w:w="533" w:type="pct"/>
            <w:vAlign w:val="center"/>
          </w:tcPr>
          <w:p w14:paraId="2D5481A8" w14:textId="77777777" w:rsidR="00982624" w:rsidRPr="007A3223" w:rsidRDefault="00982624" w:rsidP="00211937">
            <w:pPr>
              <w:spacing w:after="0"/>
              <w:jc w:val="center"/>
              <w:rPr>
                <w:sz w:val="22"/>
              </w:rPr>
            </w:pPr>
            <w:r w:rsidRPr="007A3223">
              <w:rPr>
                <w:sz w:val="22"/>
              </w:rPr>
              <w:t>X</w:t>
            </w:r>
            <w:r w:rsidRPr="007A3223">
              <w:rPr>
                <w:sz w:val="22"/>
                <w:vertAlign w:val="superscript"/>
              </w:rPr>
              <w:t>3</w:t>
            </w:r>
          </w:p>
        </w:tc>
        <w:tc>
          <w:tcPr>
            <w:tcW w:w="1025" w:type="pct"/>
          </w:tcPr>
          <w:p w14:paraId="1DFEDFD4" w14:textId="77777777" w:rsidR="00982624" w:rsidRPr="007A3223" w:rsidRDefault="00982624" w:rsidP="00211937">
            <w:pPr>
              <w:spacing w:after="0"/>
              <w:jc w:val="center"/>
              <w:rPr>
                <w:b/>
                <w:i/>
                <w:sz w:val="22"/>
              </w:rPr>
            </w:pPr>
          </w:p>
        </w:tc>
      </w:tr>
      <w:tr w:rsidR="0034502F" w:rsidRPr="007A3223" w14:paraId="7357DEE3" w14:textId="77777777" w:rsidTr="000232A0">
        <w:tc>
          <w:tcPr>
            <w:tcW w:w="1348" w:type="pct"/>
          </w:tcPr>
          <w:p w14:paraId="2CB7C3DF" w14:textId="77777777" w:rsidR="00982624" w:rsidRPr="007A3223" w:rsidRDefault="00982624" w:rsidP="00211937">
            <w:pPr>
              <w:spacing w:after="0"/>
              <w:rPr>
                <w:sz w:val="22"/>
              </w:rPr>
            </w:pPr>
            <w:r w:rsidRPr="007A3223">
              <w:rPr>
                <w:sz w:val="22"/>
              </w:rPr>
              <w:t>Performance Score</w:t>
            </w:r>
            <w:r w:rsidRPr="007A3223">
              <w:rPr>
                <w:sz w:val="22"/>
                <w:vertAlign w:val="superscript"/>
              </w:rPr>
              <w:t>1</w:t>
            </w:r>
          </w:p>
        </w:tc>
        <w:tc>
          <w:tcPr>
            <w:tcW w:w="721" w:type="pct"/>
            <w:vAlign w:val="center"/>
          </w:tcPr>
          <w:p w14:paraId="20E1FC02" w14:textId="77777777" w:rsidR="00982624" w:rsidRPr="007A3223" w:rsidRDefault="00982624" w:rsidP="00211937">
            <w:pPr>
              <w:spacing w:after="0"/>
              <w:jc w:val="center"/>
              <w:rPr>
                <w:sz w:val="22"/>
              </w:rPr>
            </w:pPr>
            <w:r w:rsidRPr="007A3223">
              <w:rPr>
                <w:sz w:val="22"/>
              </w:rPr>
              <w:t>X</w:t>
            </w:r>
          </w:p>
        </w:tc>
        <w:tc>
          <w:tcPr>
            <w:tcW w:w="565" w:type="pct"/>
            <w:vAlign w:val="center"/>
          </w:tcPr>
          <w:p w14:paraId="188DA2D5"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vAlign w:val="center"/>
          </w:tcPr>
          <w:p w14:paraId="0CAC9182" w14:textId="77777777" w:rsidR="00982624" w:rsidRPr="007A3223" w:rsidRDefault="00982624" w:rsidP="00211937">
            <w:pPr>
              <w:spacing w:after="0"/>
              <w:jc w:val="center"/>
              <w:rPr>
                <w:sz w:val="22"/>
              </w:rPr>
            </w:pPr>
          </w:p>
        </w:tc>
        <w:tc>
          <w:tcPr>
            <w:tcW w:w="394" w:type="pct"/>
            <w:vAlign w:val="center"/>
          </w:tcPr>
          <w:p w14:paraId="5356F0AE" w14:textId="429E90A0" w:rsidR="00982624" w:rsidRPr="007A3223" w:rsidRDefault="00982624" w:rsidP="00211937">
            <w:pPr>
              <w:spacing w:after="0"/>
              <w:jc w:val="center"/>
              <w:rPr>
                <w:sz w:val="22"/>
              </w:rPr>
            </w:pPr>
            <w:r w:rsidRPr="007A3223">
              <w:rPr>
                <w:sz w:val="22"/>
              </w:rPr>
              <w:t>X</w:t>
            </w:r>
            <w:r w:rsidR="00434582" w:rsidRPr="007A3223">
              <w:rPr>
                <w:sz w:val="22"/>
                <w:vertAlign w:val="superscript"/>
              </w:rPr>
              <w:t>1</w:t>
            </w:r>
          </w:p>
        </w:tc>
        <w:tc>
          <w:tcPr>
            <w:tcW w:w="533" w:type="pct"/>
            <w:vAlign w:val="center"/>
          </w:tcPr>
          <w:p w14:paraId="495C35DA" w14:textId="77777777" w:rsidR="00982624" w:rsidRPr="007A3223" w:rsidRDefault="00982624" w:rsidP="00211937">
            <w:pPr>
              <w:spacing w:after="0"/>
              <w:jc w:val="center"/>
              <w:rPr>
                <w:sz w:val="22"/>
              </w:rPr>
            </w:pPr>
          </w:p>
        </w:tc>
        <w:tc>
          <w:tcPr>
            <w:tcW w:w="1025" w:type="pct"/>
          </w:tcPr>
          <w:p w14:paraId="718AC296" w14:textId="77777777" w:rsidR="00982624" w:rsidRPr="007A3223" w:rsidRDefault="00982624" w:rsidP="00211937">
            <w:pPr>
              <w:spacing w:after="0"/>
              <w:jc w:val="center"/>
              <w:rPr>
                <w:b/>
                <w:i/>
                <w:sz w:val="22"/>
              </w:rPr>
            </w:pPr>
          </w:p>
        </w:tc>
      </w:tr>
      <w:tr w:rsidR="0034502F" w:rsidRPr="007A3223" w14:paraId="1832414E" w14:textId="77777777" w:rsidTr="000232A0">
        <w:tc>
          <w:tcPr>
            <w:tcW w:w="1348" w:type="pct"/>
          </w:tcPr>
          <w:p w14:paraId="0D0EA7F9" w14:textId="77777777" w:rsidR="00982624" w:rsidRPr="007A3223" w:rsidRDefault="00982624" w:rsidP="00211937">
            <w:pPr>
              <w:spacing w:after="0"/>
              <w:rPr>
                <w:sz w:val="22"/>
              </w:rPr>
            </w:pPr>
            <w:r w:rsidRPr="007A3223">
              <w:rPr>
                <w:sz w:val="22"/>
              </w:rPr>
              <w:t>Disease confirmation by CT scans</w:t>
            </w:r>
          </w:p>
        </w:tc>
        <w:tc>
          <w:tcPr>
            <w:tcW w:w="721" w:type="pct"/>
          </w:tcPr>
          <w:p w14:paraId="064EB887" w14:textId="77777777" w:rsidR="00982624" w:rsidRPr="007A3223" w:rsidRDefault="00982624" w:rsidP="00211937">
            <w:pPr>
              <w:spacing w:after="0"/>
              <w:jc w:val="center"/>
              <w:rPr>
                <w:sz w:val="22"/>
              </w:rPr>
            </w:pPr>
            <w:r w:rsidRPr="007A3223">
              <w:rPr>
                <w:sz w:val="22"/>
              </w:rPr>
              <w:t>X</w:t>
            </w:r>
          </w:p>
        </w:tc>
        <w:tc>
          <w:tcPr>
            <w:tcW w:w="565" w:type="pct"/>
          </w:tcPr>
          <w:p w14:paraId="1509C7F2" w14:textId="77777777" w:rsidR="00982624" w:rsidRPr="007A3223" w:rsidRDefault="00982624" w:rsidP="00211937">
            <w:pPr>
              <w:spacing w:after="0"/>
              <w:jc w:val="center"/>
              <w:rPr>
                <w:sz w:val="22"/>
              </w:rPr>
            </w:pPr>
          </w:p>
        </w:tc>
        <w:tc>
          <w:tcPr>
            <w:tcW w:w="414" w:type="pct"/>
            <w:vAlign w:val="center"/>
          </w:tcPr>
          <w:p w14:paraId="33484B88" w14:textId="77777777" w:rsidR="00982624" w:rsidRPr="007A3223" w:rsidRDefault="00982624" w:rsidP="00211937">
            <w:pPr>
              <w:spacing w:after="0"/>
              <w:jc w:val="center"/>
              <w:rPr>
                <w:sz w:val="22"/>
              </w:rPr>
            </w:pPr>
          </w:p>
        </w:tc>
        <w:tc>
          <w:tcPr>
            <w:tcW w:w="394" w:type="pct"/>
            <w:vAlign w:val="center"/>
          </w:tcPr>
          <w:p w14:paraId="77867838" w14:textId="77777777" w:rsidR="00982624" w:rsidRPr="007A3223" w:rsidRDefault="00982624" w:rsidP="00211937">
            <w:pPr>
              <w:spacing w:after="0"/>
              <w:jc w:val="center"/>
              <w:rPr>
                <w:sz w:val="22"/>
              </w:rPr>
            </w:pPr>
          </w:p>
        </w:tc>
        <w:tc>
          <w:tcPr>
            <w:tcW w:w="533" w:type="pct"/>
            <w:vAlign w:val="center"/>
          </w:tcPr>
          <w:p w14:paraId="7CBEF80C" w14:textId="77777777" w:rsidR="00982624" w:rsidRPr="007A3223" w:rsidRDefault="00982624" w:rsidP="00211937">
            <w:pPr>
              <w:spacing w:after="0"/>
              <w:jc w:val="center"/>
              <w:rPr>
                <w:sz w:val="22"/>
              </w:rPr>
            </w:pPr>
          </w:p>
        </w:tc>
        <w:tc>
          <w:tcPr>
            <w:tcW w:w="1025" w:type="pct"/>
          </w:tcPr>
          <w:p w14:paraId="453EE05E" w14:textId="77777777" w:rsidR="00982624" w:rsidRPr="007A3223" w:rsidRDefault="00982624" w:rsidP="00211937">
            <w:pPr>
              <w:spacing w:after="0"/>
              <w:jc w:val="center"/>
              <w:rPr>
                <w:b/>
                <w:i/>
                <w:sz w:val="22"/>
              </w:rPr>
            </w:pPr>
          </w:p>
        </w:tc>
      </w:tr>
      <w:tr w:rsidR="0034502F" w:rsidRPr="007A3223" w14:paraId="64019A29" w14:textId="77777777" w:rsidTr="000232A0">
        <w:tc>
          <w:tcPr>
            <w:tcW w:w="1348" w:type="pct"/>
          </w:tcPr>
          <w:p w14:paraId="5B0007EE" w14:textId="77777777" w:rsidR="00982624" w:rsidRPr="007A3223" w:rsidRDefault="00982624" w:rsidP="00211937">
            <w:pPr>
              <w:spacing w:after="0"/>
              <w:rPr>
                <w:sz w:val="22"/>
              </w:rPr>
            </w:pPr>
            <w:r w:rsidRPr="007A3223">
              <w:rPr>
                <w:sz w:val="22"/>
              </w:rPr>
              <w:t>Screening labs</w:t>
            </w:r>
            <w:r w:rsidRPr="007A3223">
              <w:rPr>
                <w:sz w:val="22"/>
                <w:vertAlign w:val="superscript"/>
              </w:rPr>
              <w:t>4</w:t>
            </w:r>
          </w:p>
        </w:tc>
        <w:tc>
          <w:tcPr>
            <w:tcW w:w="721" w:type="pct"/>
            <w:vAlign w:val="center"/>
          </w:tcPr>
          <w:p w14:paraId="2B3D10F3" w14:textId="77777777" w:rsidR="00982624" w:rsidRPr="007A3223" w:rsidRDefault="00982624" w:rsidP="00211937">
            <w:pPr>
              <w:spacing w:after="0"/>
              <w:jc w:val="center"/>
              <w:rPr>
                <w:sz w:val="22"/>
              </w:rPr>
            </w:pPr>
            <w:r w:rsidRPr="007A3223">
              <w:rPr>
                <w:sz w:val="22"/>
              </w:rPr>
              <w:t>X</w:t>
            </w:r>
          </w:p>
        </w:tc>
        <w:tc>
          <w:tcPr>
            <w:tcW w:w="565" w:type="pct"/>
            <w:vAlign w:val="center"/>
          </w:tcPr>
          <w:p w14:paraId="60C00BCC" w14:textId="77777777" w:rsidR="00982624" w:rsidRPr="007A3223" w:rsidRDefault="00982624" w:rsidP="00211937">
            <w:pPr>
              <w:spacing w:after="0"/>
              <w:jc w:val="center"/>
              <w:rPr>
                <w:sz w:val="22"/>
              </w:rPr>
            </w:pPr>
          </w:p>
        </w:tc>
        <w:tc>
          <w:tcPr>
            <w:tcW w:w="414" w:type="pct"/>
            <w:vAlign w:val="center"/>
          </w:tcPr>
          <w:p w14:paraId="429182ED" w14:textId="77777777" w:rsidR="00982624" w:rsidRPr="007A3223" w:rsidRDefault="00982624" w:rsidP="00211937">
            <w:pPr>
              <w:spacing w:after="0"/>
              <w:jc w:val="center"/>
              <w:rPr>
                <w:sz w:val="22"/>
              </w:rPr>
            </w:pPr>
          </w:p>
        </w:tc>
        <w:tc>
          <w:tcPr>
            <w:tcW w:w="394" w:type="pct"/>
            <w:vAlign w:val="center"/>
          </w:tcPr>
          <w:p w14:paraId="63589490" w14:textId="77777777" w:rsidR="00982624" w:rsidRPr="007A3223" w:rsidRDefault="00982624" w:rsidP="00211937">
            <w:pPr>
              <w:spacing w:after="0"/>
              <w:jc w:val="center"/>
              <w:rPr>
                <w:sz w:val="22"/>
              </w:rPr>
            </w:pPr>
          </w:p>
        </w:tc>
        <w:tc>
          <w:tcPr>
            <w:tcW w:w="533" w:type="pct"/>
            <w:vAlign w:val="center"/>
          </w:tcPr>
          <w:p w14:paraId="584849AE" w14:textId="77777777" w:rsidR="00982624" w:rsidRPr="007A3223" w:rsidRDefault="00982624" w:rsidP="00211937">
            <w:pPr>
              <w:spacing w:after="0"/>
              <w:jc w:val="center"/>
              <w:rPr>
                <w:sz w:val="22"/>
              </w:rPr>
            </w:pPr>
          </w:p>
        </w:tc>
        <w:tc>
          <w:tcPr>
            <w:tcW w:w="1025" w:type="pct"/>
          </w:tcPr>
          <w:p w14:paraId="683F6B3B" w14:textId="77777777" w:rsidR="00982624" w:rsidRPr="007A3223" w:rsidRDefault="00982624" w:rsidP="00211937">
            <w:pPr>
              <w:spacing w:after="0"/>
              <w:jc w:val="center"/>
              <w:rPr>
                <w:i/>
                <w:sz w:val="22"/>
              </w:rPr>
            </w:pPr>
          </w:p>
        </w:tc>
      </w:tr>
      <w:tr w:rsidR="0034502F" w:rsidRPr="007A3223" w14:paraId="6B62C59B" w14:textId="77777777" w:rsidTr="000232A0">
        <w:trPr>
          <w:trHeight w:val="827"/>
        </w:trPr>
        <w:tc>
          <w:tcPr>
            <w:tcW w:w="1348" w:type="pct"/>
          </w:tcPr>
          <w:p w14:paraId="2C840E08" w14:textId="77777777" w:rsidR="00982624" w:rsidRPr="007A3223" w:rsidRDefault="00982624" w:rsidP="00211937">
            <w:pPr>
              <w:spacing w:after="0"/>
              <w:rPr>
                <w:sz w:val="22"/>
              </w:rPr>
            </w:pPr>
            <w:r w:rsidRPr="007A3223">
              <w:rPr>
                <w:sz w:val="22"/>
              </w:rPr>
              <w:t xml:space="preserve">Documentation of gBRCAm status if known </w:t>
            </w:r>
          </w:p>
          <w:p w14:paraId="611B1B67" w14:textId="77777777" w:rsidR="00982624" w:rsidRPr="007A3223" w:rsidRDefault="00982624" w:rsidP="00211937">
            <w:pPr>
              <w:spacing w:after="0"/>
              <w:rPr>
                <w:sz w:val="22"/>
              </w:rPr>
            </w:pPr>
            <w:r w:rsidRPr="007A3223">
              <w:rPr>
                <w:sz w:val="22"/>
              </w:rPr>
              <w:t>(For TNBC; gBRCAm status will be required)</w:t>
            </w:r>
          </w:p>
        </w:tc>
        <w:tc>
          <w:tcPr>
            <w:tcW w:w="721" w:type="pct"/>
            <w:vAlign w:val="center"/>
          </w:tcPr>
          <w:p w14:paraId="67F717BB" w14:textId="77777777" w:rsidR="00982624" w:rsidRPr="007A3223" w:rsidRDefault="00982624" w:rsidP="00211937">
            <w:pPr>
              <w:spacing w:after="0"/>
              <w:jc w:val="center"/>
              <w:rPr>
                <w:sz w:val="22"/>
              </w:rPr>
            </w:pPr>
            <w:r w:rsidRPr="007A3223">
              <w:rPr>
                <w:sz w:val="22"/>
              </w:rPr>
              <w:t>X</w:t>
            </w:r>
          </w:p>
        </w:tc>
        <w:tc>
          <w:tcPr>
            <w:tcW w:w="565" w:type="pct"/>
            <w:vAlign w:val="center"/>
          </w:tcPr>
          <w:p w14:paraId="0D564E8F" w14:textId="77777777" w:rsidR="00982624" w:rsidRPr="007A3223" w:rsidRDefault="00982624" w:rsidP="00211937">
            <w:pPr>
              <w:spacing w:after="0"/>
              <w:jc w:val="center"/>
              <w:rPr>
                <w:sz w:val="22"/>
              </w:rPr>
            </w:pPr>
          </w:p>
        </w:tc>
        <w:tc>
          <w:tcPr>
            <w:tcW w:w="414" w:type="pct"/>
            <w:vAlign w:val="center"/>
          </w:tcPr>
          <w:p w14:paraId="43106D76" w14:textId="77777777" w:rsidR="00982624" w:rsidRPr="007A3223" w:rsidRDefault="00982624" w:rsidP="00211937">
            <w:pPr>
              <w:spacing w:after="0"/>
              <w:jc w:val="center"/>
              <w:rPr>
                <w:sz w:val="22"/>
              </w:rPr>
            </w:pPr>
          </w:p>
        </w:tc>
        <w:tc>
          <w:tcPr>
            <w:tcW w:w="394" w:type="pct"/>
            <w:vAlign w:val="center"/>
          </w:tcPr>
          <w:p w14:paraId="68441378" w14:textId="77777777" w:rsidR="00982624" w:rsidRPr="007A3223" w:rsidRDefault="00982624" w:rsidP="00211937">
            <w:pPr>
              <w:spacing w:after="0"/>
              <w:jc w:val="center"/>
              <w:rPr>
                <w:sz w:val="22"/>
              </w:rPr>
            </w:pPr>
          </w:p>
        </w:tc>
        <w:tc>
          <w:tcPr>
            <w:tcW w:w="533" w:type="pct"/>
            <w:vAlign w:val="center"/>
          </w:tcPr>
          <w:p w14:paraId="16ABC700" w14:textId="77777777" w:rsidR="00982624" w:rsidRPr="007A3223" w:rsidRDefault="00982624" w:rsidP="00211937">
            <w:pPr>
              <w:spacing w:after="0"/>
              <w:jc w:val="center"/>
              <w:rPr>
                <w:sz w:val="22"/>
              </w:rPr>
            </w:pPr>
          </w:p>
        </w:tc>
        <w:tc>
          <w:tcPr>
            <w:tcW w:w="1025" w:type="pct"/>
          </w:tcPr>
          <w:p w14:paraId="56FE0DC3" w14:textId="77777777" w:rsidR="00982624" w:rsidRPr="007A3223" w:rsidRDefault="00982624" w:rsidP="00211937">
            <w:pPr>
              <w:spacing w:after="0"/>
              <w:jc w:val="center"/>
              <w:rPr>
                <w:i/>
                <w:sz w:val="22"/>
              </w:rPr>
            </w:pPr>
          </w:p>
        </w:tc>
      </w:tr>
      <w:tr w:rsidR="00CF79AB" w:rsidRPr="007A3223" w14:paraId="743D7F8C" w14:textId="77777777" w:rsidTr="000232A0">
        <w:trPr>
          <w:trHeight w:val="448"/>
        </w:trPr>
        <w:tc>
          <w:tcPr>
            <w:tcW w:w="1348" w:type="pct"/>
          </w:tcPr>
          <w:p w14:paraId="093F8D3D" w14:textId="4676121E" w:rsidR="00CF79AB" w:rsidRPr="007A3223" w:rsidRDefault="002637C9" w:rsidP="00211937">
            <w:pPr>
              <w:spacing w:after="0"/>
              <w:rPr>
                <w:sz w:val="22"/>
              </w:rPr>
            </w:pPr>
            <w:r w:rsidRPr="007A3223">
              <w:rPr>
                <w:rFonts w:eastAsia="Calibri"/>
                <w:i/>
                <w:szCs w:val="24"/>
              </w:rPr>
              <w:t>NIH Advance</w:t>
            </w:r>
            <w:r w:rsidR="00CF79AB" w:rsidRPr="007A3223">
              <w:rPr>
                <w:rFonts w:eastAsia="Calibri"/>
                <w:i/>
                <w:szCs w:val="24"/>
              </w:rPr>
              <w:t xml:space="preserve"> Directives Form</w:t>
            </w:r>
            <w:r w:rsidR="00CF79AB" w:rsidRPr="007A3223">
              <w:rPr>
                <w:rFonts w:eastAsia="Calibri"/>
                <w:i/>
                <w:szCs w:val="24"/>
                <w:vertAlign w:val="superscript"/>
              </w:rPr>
              <w:t>12</w:t>
            </w:r>
          </w:p>
        </w:tc>
        <w:tc>
          <w:tcPr>
            <w:tcW w:w="721" w:type="pct"/>
            <w:vAlign w:val="center"/>
          </w:tcPr>
          <w:p w14:paraId="661A23BE" w14:textId="0D8211D0" w:rsidR="00CF79AB" w:rsidRPr="007A3223" w:rsidRDefault="0004723B" w:rsidP="00211937">
            <w:pPr>
              <w:spacing w:after="0"/>
              <w:jc w:val="center"/>
              <w:rPr>
                <w:sz w:val="22"/>
              </w:rPr>
            </w:pPr>
            <w:r w:rsidRPr="007A3223">
              <w:rPr>
                <w:sz w:val="22"/>
              </w:rPr>
              <w:t>X</w:t>
            </w:r>
          </w:p>
        </w:tc>
        <w:tc>
          <w:tcPr>
            <w:tcW w:w="565" w:type="pct"/>
            <w:vAlign w:val="center"/>
          </w:tcPr>
          <w:p w14:paraId="13DA0DE9" w14:textId="77777777" w:rsidR="00CF79AB" w:rsidRPr="007A3223" w:rsidRDefault="00CF79AB" w:rsidP="00211937">
            <w:pPr>
              <w:spacing w:after="0"/>
              <w:jc w:val="center"/>
              <w:rPr>
                <w:sz w:val="22"/>
              </w:rPr>
            </w:pPr>
          </w:p>
        </w:tc>
        <w:tc>
          <w:tcPr>
            <w:tcW w:w="414" w:type="pct"/>
            <w:vAlign w:val="center"/>
          </w:tcPr>
          <w:p w14:paraId="2F546DFA" w14:textId="77777777" w:rsidR="00CF79AB" w:rsidRPr="007A3223" w:rsidRDefault="00CF79AB" w:rsidP="00211937">
            <w:pPr>
              <w:spacing w:after="0"/>
              <w:jc w:val="center"/>
              <w:rPr>
                <w:sz w:val="22"/>
              </w:rPr>
            </w:pPr>
          </w:p>
        </w:tc>
        <w:tc>
          <w:tcPr>
            <w:tcW w:w="394" w:type="pct"/>
            <w:vAlign w:val="center"/>
          </w:tcPr>
          <w:p w14:paraId="550BCA7D" w14:textId="77777777" w:rsidR="00CF79AB" w:rsidRPr="007A3223" w:rsidRDefault="00CF79AB" w:rsidP="00211937">
            <w:pPr>
              <w:spacing w:after="0"/>
              <w:jc w:val="center"/>
              <w:rPr>
                <w:sz w:val="22"/>
              </w:rPr>
            </w:pPr>
          </w:p>
        </w:tc>
        <w:tc>
          <w:tcPr>
            <w:tcW w:w="533" w:type="pct"/>
            <w:vAlign w:val="center"/>
          </w:tcPr>
          <w:p w14:paraId="4063FFDE" w14:textId="77777777" w:rsidR="00CF79AB" w:rsidRPr="007A3223" w:rsidRDefault="00CF79AB" w:rsidP="00211937">
            <w:pPr>
              <w:spacing w:after="0"/>
              <w:jc w:val="center"/>
              <w:rPr>
                <w:sz w:val="22"/>
              </w:rPr>
            </w:pPr>
          </w:p>
        </w:tc>
        <w:tc>
          <w:tcPr>
            <w:tcW w:w="1025" w:type="pct"/>
          </w:tcPr>
          <w:p w14:paraId="575BB50C" w14:textId="77777777" w:rsidR="00CF79AB" w:rsidRPr="007A3223" w:rsidRDefault="00CF79AB" w:rsidP="00211937">
            <w:pPr>
              <w:spacing w:after="0"/>
              <w:jc w:val="center"/>
              <w:rPr>
                <w:i/>
                <w:sz w:val="22"/>
              </w:rPr>
            </w:pPr>
          </w:p>
        </w:tc>
      </w:tr>
      <w:tr w:rsidR="0034502F" w:rsidRPr="007A3223" w14:paraId="1BBB3E07" w14:textId="77777777" w:rsidTr="000232A0">
        <w:trPr>
          <w:trHeight w:val="448"/>
        </w:trPr>
        <w:tc>
          <w:tcPr>
            <w:tcW w:w="1348" w:type="pct"/>
          </w:tcPr>
          <w:p w14:paraId="4743CE5C" w14:textId="77777777" w:rsidR="00982624" w:rsidRPr="007A3223" w:rsidRDefault="00982624" w:rsidP="00211937">
            <w:pPr>
              <w:spacing w:after="0"/>
              <w:rPr>
                <w:sz w:val="22"/>
              </w:rPr>
            </w:pPr>
            <w:r w:rsidRPr="007A3223">
              <w:rPr>
                <w:sz w:val="22"/>
              </w:rPr>
              <w:t>Protocol Labs</w:t>
            </w:r>
            <w:r w:rsidRPr="007A3223">
              <w:rPr>
                <w:sz w:val="22"/>
                <w:vertAlign w:val="superscript"/>
              </w:rPr>
              <w:t>5</w:t>
            </w:r>
          </w:p>
        </w:tc>
        <w:tc>
          <w:tcPr>
            <w:tcW w:w="721" w:type="pct"/>
            <w:vAlign w:val="center"/>
          </w:tcPr>
          <w:p w14:paraId="0F506D6D" w14:textId="77777777" w:rsidR="00982624" w:rsidRPr="007A3223" w:rsidRDefault="00982624" w:rsidP="00211937">
            <w:pPr>
              <w:spacing w:after="0"/>
              <w:jc w:val="center"/>
              <w:rPr>
                <w:sz w:val="22"/>
              </w:rPr>
            </w:pPr>
          </w:p>
        </w:tc>
        <w:tc>
          <w:tcPr>
            <w:tcW w:w="565" w:type="pct"/>
            <w:vAlign w:val="center"/>
          </w:tcPr>
          <w:p w14:paraId="1B82A573"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vAlign w:val="center"/>
          </w:tcPr>
          <w:p w14:paraId="7E11DEC0" w14:textId="77777777" w:rsidR="00982624" w:rsidRPr="007A3223" w:rsidRDefault="00982624" w:rsidP="00211937">
            <w:pPr>
              <w:spacing w:after="0"/>
              <w:jc w:val="center"/>
              <w:rPr>
                <w:sz w:val="22"/>
              </w:rPr>
            </w:pPr>
            <w:r w:rsidRPr="007A3223">
              <w:rPr>
                <w:sz w:val="22"/>
              </w:rPr>
              <w:t>X*</w:t>
            </w:r>
          </w:p>
          <w:p w14:paraId="0E9B71E0" w14:textId="77777777" w:rsidR="00982624" w:rsidRPr="007A3223" w:rsidRDefault="00982624" w:rsidP="00211937">
            <w:pPr>
              <w:spacing w:after="0"/>
              <w:jc w:val="center"/>
              <w:rPr>
                <w:sz w:val="22"/>
              </w:rPr>
            </w:pPr>
          </w:p>
        </w:tc>
        <w:tc>
          <w:tcPr>
            <w:tcW w:w="394" w:type="pct"/>
            <w:vAlign w:val="center"/>
          </w:tcPr>
          <w:p w14:paraId="7C6C573E" w14:textId="24261BAA" w:rsidR="00982624" w:rsidRPr="007A3223" w:rsidRDefault="00982624" w:rsidP="00211937">
            <w:pPr>
              <w:spacing w:after="0"/>
              <w:jc w:val="center"/>
              <w:rPr>
                <w:sz w:val="22"/>
              </w:rPr>
            </w:pPr>
            <w:r w:rsidRPr="007A3223">
              <w:rPr>
                <w:sz w:val="22"/>
              </w:rPr>
              <w:t>X</w:t>
            </w:r>
            <w:r w:rsidR="005622D8" w:rsidRPr="007A3223">
              <w:rPr>
                <w:sz w:val="22"/>
                <w:vertAlign w:val="superscript"/>
              </w:rPr>
              <w:t>1</w:t>
            </w:r>
          </w:p>
        </w:tc>
        <w:tc>
          <w:tcPr>
            <w:tcW w:w="533" w:type="pct"/>
            <w:vAlign w:val="center"/>
          </w:tcPr>
          <w:p w14:paraId="635BE08E" w14:textId="77777777" w:rsidR="00982624" w:rsidRPr="007A3223" w:rsidRDefault="00982624" w:rsidP="00211937">
            <w:pPr>
              <w:spacing w:after="0"/>
              <w:jc w:val="center"/>
              <w:rPr>
                <w:sz w:val="22"/>
              </w:rPr>
            </w:pPr>
          </w:p>
        </w:tc>
        <w:tc>
          <w:tcPr>
            <w:tcW w:w="1025" w:type="pct"/>
          </w:tcPr>
          <w:p w14:paraId="56C28B50" w14:textId="77777777" w:rsidR="00982624" w:rsidRPr="007A3223" w:rsidRDefault="00982624" w:rsidP="00211937">
            <w:pPr>
              <w:spacing w:after="0"/>
              <w:jc w:val="center"/>
              <w:rPr>
                <w:i/>
                <w:sz w:val="22"/>
              </w:rPr>
            </w:pPr>
          </w:p>
          <w:p w14:paraId="00677334" w14:textId="77777777" w:rsidR="00982624" w:rsidRPr="007A3223" w:rsidRDefault="00982624" w:rsidP="00211937">
            <w:pPr>
              <w:spacing w:after="0"/>
              <w:jc w:val="center"/>
              <w:rPr>
                <w:i/>
                <w:sz w:val="22"/>
              </w:rPr>
            </w:pPr>
          </w:p>
        </w:tc>
      </w:tr>
      <w:tr w:rsidR="0034502F" w:rsidRPr="007A3223" w14:paraId="63DE1959" w14:textId="77777777" w:rsidTr="000232A0">
        <w:trPr>
          <w:trHeight w:val="304"/>
        </w:trPr>
        <w:tc>
          <w:tcPr>
            <w:tcW w:w="1348" w:type="pct"/>
          </w:tcPr>
          <w:p w14:paraId="7947457E" w14:textId="77777777" w:rsidR="00982624" w:rsidRPr="007A3223" w:rsidRDefault="00982624" w:rsidP="00211937">
            <w:pPr>
              <w:rPr>
                <w:sz w:val="22"/>
              </w:rPr>
            </w:pPr>
            <w:r w:rsidRPr="007A3223">
              <w:rPr>
                <w:sz w:val="22"/>
              </w:rPr>
              <w:t>Pharmacokinetics (Phase I only)</w:t>
            </w:r>
          </w:p>
        </w:tc>
        <w:tc>
          <w:tcPr>
            <w:tcW w:w="721" w:type="pct"/>
          </w:tcPr>
          <w:p w14:paraId="3E41EEC8" w14:textId="77777777" w:rsidR="00982624" w:rsidRPr="007A3223" w:rsidRDefault="00982624" w:rsidP="00211937">
            <w:pPr>
              <w:spacing w:after="0"/>
              <w:jc w:val="center"/>
              <w:rPr>
                <w:sz w:val="22"/>
              </w:rPr>
            </w:pPr>
          </w:p>
        </w:tc>
        <w:tc>
          <w:tcPr>
            <w:tcW w:w="565" w:type="pct"/>
          </w:tcPr>
          <w:p w14:paraId="027239D0" w14:textId="77777777" w:rsidR="00982624" w:rsidRPr="007A3223" w:rsidRDefault="00982624" w:rsidP="00211937">
            <w:pPr>
              <w:jc w:val="center"/>
              <w:rPr>
                <w:sz w:val="22"/>
              </w:rPr>
            </w:pPr>
            <w:r w:rsidRPr="007A3223">
              <w:rPr>
                <w:sz w:val="22"/>
              </w:rPr>
              <w:t>X</w:t>
            </w:r>
          </w:p>
        </w:tc>
        <w:tc>
          <w:tcPr>
            <w:tcW w:w="414" w:type="pct"/>
          </w:tcPr>
          <w:p w14:paraId="73209B27" w14:textId="77777777" w:rsidR="00982624" w:rsidRPr="007A3223" w:rsidRDefault="00982624" w:rsidP="00211937">
            <w:pPr>
              <w:jc w:val="center"/>
              <w:rPr>
                <w:sz w:val="22"/>
              </w:rPr>
            </w:pPr>
            <w:r w:rsidRPr="007A3223">
              <w:rPr>
                <w:sz w:val="22"/>
                <w:lang w:eastAsia="ko-KR"/>
              </w:rPr>
              <w:t>X*</w:t>
            </w:r>
          </w:p>
        </w:tc>
        <w:tc>
          <w:tcPr>
            <w:tcW w:w="394" w:type="pct"/>
          </w:tcPr>
          <w:p w14:paraId="44ED2905" w14:textId="77777777" w:rsidR="00982624" w:rsidRPr="007A3223" w:rsidRDefault="001700D4" w:rsidP="00211937">
            <w:pPr>
              <w:jc w:val="center"/>
              <w:rPr>
                <w:sz w:val="22"/>
              </w:rPr>
            </w:pPr>
            <w:r w:rsidRPr="007A3223">
              <w:rPr>
                <w:sz w:val="22"/>
              </w:rPr>
              <w:t>X*</w:t>
            </w:r>
          </w:p>
        </w:tc>
        <w:tc>
          <w:tcPr>
            <w:tcW w:w="533" w:type="pct"/>
          </w:tcPr>
          <w:p w14:paraId="594B8D57" w14:textId="77777777" w:rsidR="00982624" w:rsidRPr="007A3223" w:rsidRDefault="00982624" w:rsidP="00211937">
            <w:pPr>
              <w:spacing w:after="0"/>
              <w:jc w:val="center"/>
              <w:rPr>
                <w:sz w:val="22"/>
              </w:rPr>
            </w:pPr>
          </w:p>
        </w:tc>
        <w:tc>
          <w:tcPr>
            <w:tcW w:w="1025" w:type="pct"/>
          </w:tcPr>
          <w:p w14:paraId="427A2B5B" w14:textId="77777777" w:rsidR="00982624" w:rsidRPr="007A3223" w:rsidRDefault="00982624" w:rsidP="00211937">
            <w:pPr>
              <w:jc w:val="center"/>
              <w:rPr>
                <w:i/>
                <w:sz w:val="22"/>
              </w:rPr>
            </w:pPr>
          </w:p>
        </w:tc>
      </w:tr>
      <w:tr w:rsidR="0034502F" w:rsidRPr="007A3223" w14:paraId="64535BD1" w14:textId="77777777" w:rsidTr="000232A0">
        <w:tc>
          <w:tcPr>
            <w:tcW w:w="1348" w:type="pct"/>
          </w:tcPr>
          <w:p w14:paraId="5A7F5C9F" w14:textId="77777777" w:rsidR="00982624" w:rsidRPr="007A3223" w:rsidRDefault="00982624" w:rsidP="00211937">
            <w:pPr>
              <w:spacing w:after="0"/>
              <w:rPr>
                <w:sz w:val="22"/>
              </w:rPr>
            </w:pPr>
            <w:r w:rsidRPr="007A3223">
              <w:rPr>
                <w:sz w:val="22"/>
              </w:rPr>
              <w:t>Tumor Biopsies and archival tumor tissues</w:t>
            </w:r>
            <w:r w:rsidRPr="007A3223">
              <w:rPr>
                <w:sz w:val="22"/>
                <w:vertAlign w:val="superscript"/>
              </w:rPr>
              <w:t>6</w:t>
            </w:r>
          </w:p>
        </w:tc>
        <w:tc>
          <w:tcPr>
            <w:tcW w:w="721" w:type="pct"/>
          </w:tcPr>
          <w:p w14:paraId="6311322D" w14:textId="77777777" w:rsidR="00982624" w:rsidRPr="007A3223" w:rsidRDefault="00982624" w:rsidP="00211937">
            <w:pPr>
              <w:spacing w:after="0"/>
              <w:jc w:val="center"/>
              <w:rPr>
                <w:sz w:val="22"/>
              </w:rPr>
            </w:pPr>
            <w:r w:rsidRPr="007A3223">
              <w:rPr>
                <w:sz w:val="22"/>
              </w:rPr>
              <w:t>X</w:t>
            </w:r>
            <w:r w:rsidRPr="007A3223">
              <w:rPr>
                <w:sz w:val="22"/>
                <w:vertAlign w:val="superscript"/>
              </w:rPr>
              <w:t>5</w:t>
            </w:r>
          </w:p>
        </w:tc>
        <w:tc>
          <w:tcPr>
            <w:tcW w:w="565" w:type="pct"/>
          </w:tcPr>
          <w:p w14:paraId="25BED033"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tcPr>
          <w:p w14:paraId="244604ED" w14:textId="1FE0D16A" w:rsidR="00982624" w:rsidRPr="007A3223" w:rsidRDefault="00982624" w:rsidP="00A015D0">
            <w:pPr>
              <w:spacing w:after="0"/>
              <w:jc w:val="center"/>
              <w:rPr>
                <w:sz w:val="22"/>
              </w:rPr>
            </w:pPr>
            <w:r w:rsidRPr="007A3223">
              <w:rPr>
                <w:sz w:val="22"/>
              </w:rPr>
              <w:t xml:space="preserve">X </w:t>
            </w:r>
            <w:r w:rsidR="005622D8" w:rsidRPr="007A3223">
              <w:rPr>
                <w:sz w:val="22"/>
                <w:vertAlign w:val="superscript"/>
              </w:rPr>
              <w:t>1</w:t>
            </w:r>
            <w:r w:rsidR="005622D8" w:rsidRPr="007A3223">
              <w:rPr>
                <w:sz w:val="22"/>
              </w:rPr>
              <w:t xml:space="preserve"> </w:t>
            </w:r>
            <w:r w:rsidRPr="007A3223">
              <w:rPr>
                <w:sz w:val="22"/>
              </w:rPr>
              <w:t>(optional)</w:t>
            </w:r>
          </w:p>
        </w:tc>
        <w:tc>
          <w:tcPr>
            <w:tcW w:w="394" w:type="pct"/>
          </w:tcPr>
          <w:p w14:paraId="2D37CE1E" w14:textId="77777777" w:rsidR="00982624" w:rsidRPr="007A3223" w:rsidRDefault="00982624" w:rsidP="00211937">
            <w:pPr>
              <w:spacing w:after="0"/>
              <w:jc w:val="center"/>
              <w:rPr>
                <w:sz w:val="22"/>
              </w:rPr>
            </w:pPr>
          </w:p>
        </w:tc>
        <w:tc>
          <w:tcPr>
            <w:tcW w:w="533" w:type="pct"/>
          </w:tcPr>
          <w:p w14:paraId="50EB1C74" w14:textId="77777777" w:rsidR="00982624" w:rsidRPr="007A3223" w:rsidRDefault="00982624" w:rsidP="00211937">
            <w:pPr>
              <w:spacing w:after="0"/>
              <w:jc w:val="center"/>
              <w:rPr>
                <w:sz w:val="22"/>
              </w:rPr>
            </w:pPr>
          </w:p>
        </w:tc>
        <w:tc>
          <w:tcPr>
            <w:tcW w:w="1025" w:type="pct"/>
          </w:tcPr>
          <w:p w14:paraId="66AF79E3" w14:textId="77777777" w:rsidR="00982624" w:rsidRPr="007A3223" w:rsidRDefault="00982624" w:rsidP="00211937">
            <w:pPr>
              <w:spacing w:after="0"/>
              <w:jc w:val="center"/>
              <w:rPr>
                <w:sz w:val="22"/>
              </w:rPr>
            </w:pPr>
            <w:r w:rsidRPr="007A3223">
              <w:rPr>
                <w:sz w:val="22"/>
              </w:rPr>
              <w:t xml:space="preserve">X </w:t>
            </w:r>
          </w:p>
          <w:p w14:paraId="74E3DAF2" w14:textId="77777777" w:rsidR="00982624" w:rsidRPr="007A3223" w:rsidRDefault="00982624" w:rsidP="00211937">
            <w:pPr>
              <w:spacing w:after="0"/>
              <w:jc w:val="center"/>
              <w:rPr>
                <w:i/>
                <w:sz w:val="22"/>
              </w:rPr>
            </w:pPr>
            <w:r w:rsidRPr="007A3223">
              <w:rPr>
                <w:sz w:val="22"/>
              </w:rPr>
              <w:t>(optional at progression)</w:t>
            </w:r>
            <w:r w:rsidRPr="007A3223">
              <w:rPr>
                <w:i/>
                <w:sz w:val="22"/>
              </w:rPr>
              <w:t xml:space="preserve"> </w:t>
            </w:r>
          </w:p>
        </w:tc>
      </w:tr>
      <w:tr w:rsidR="0034502F" w:rsidRPr="007A3223" w14:paraId="268587D5" w14:textId="77777777" w:rsidTr="000232A0">
        <w:tc>
          <w:tcPr>
            <w:tcW w:w="1348" w:type="pct"/>
          </w:tcPr>
          <w:p w14:paraId="6CF63BF6" w14:textId="6DF8992C" w:rsidR="00982624" w:rsidRPr="007A3223" w:rsidRDefault="00982624" w:rsidP="00211937">
            <w:pPr>
              <w:spacing w:after="0"/>
              <w:rPr>
                <w:sz w:val="22"/>
              </w:rPr>
            </w:pPr>
            <w:r w:rsidRPr="007A3223">
              <w:rPr>
                <w:sz w:val="22"/>
              </w:rPr>
              <w:t>Correlative Research Studies (whole blood or plasma)</w:t>
            </w:r>
            <w:r w:rsidR="006A5AFE" w:rsidRPr="007A3223">
              <w:rPr>
                <w:sz w:val="22"/>
              </w:rPr>
              <w:t xml:space="preserve"> in selected cohor</w:t>
            </w:r>
            <w:r w:rsidR="00262DCF" w:rsidRPr="007A3223">
              <w:rPr>
                <w:sz w:val="22"/>
              </w:rPr>
              <w:t>t</w:t>
            </w:r>
            <w:r w:rsidR="006A5AFE" w:rsidRPr="007A3223">
              <w:rPr>
                <w:sz w:val="22"/>
              </w:rPr>
              <w:t xml:space="preserve">s (section </w:t>
            </w:r>
            <w:r w:rsidR="006A5AFE" w:rsidRPr="00FA6B1E">
              <w:rPr>
                <w:rStyle w:val="crossreferenceChar"/>
              </w:rPr>
              <w:fldChar w:fldCharType="begin"/>
            </w:r>
            <w:r w:rsidR="006A5AFE" w:rsidRPr="00FA6B1E">
              <w:rPr>
                <w:rStyle w:val="crossreferenceChar"/>
              </w:rPr>
              <w:instrText xml:space="preserve"> REF _Ref39047904 \r \h  \* MERGEFORMAT </w:instrText>
            </w:r>
            <w:r w:rsidR="006A5AFE" w:rsidRPr="00FA6B1E">
              <w:rPr>
                <w:rStyle w:val="crossreferenceChar"/>
              </w:rPr>
            </w:r>
            <w:r w:rsidR="006A5AFE" w:rsidRPr="00FA6B1E">
              <w:rPr>
                <w:rStyle w:val="crossreferenceChar"/>
              </w:rPr>
              <w:fldChar w:fldCharType="separate"/>
            </w:r>
            <w:r w:rsidR="00E47ACA">
              <w:rPr>
                <w:rStyle w:val="crossreferenceChar"/>
              </w:rPr>
              <w:t>5.4</w:t>
            </w:r>
            <w:r w:rsidR="006A5AFE" w:rsidRPr="00FA6B1E">
              <w:rPr>
                <w:rStyle w:val="crossreferenceChar"/>
              </w:rPr>
              <w:fldChar w:fldCharType="end"/>
            </w:r>
            <w:r w:rsidR="006A5AFE" w:rsidRPr="007A3223">
              <w:rPr>
                <w:sz w:val="22"/>
              </w:rPr>
              <w:t>)</w:t>
            </w:r>
          </w:p>
        </w:tc>
        <w:tc>
          <w:tcPr>
            <w:tcW w:w="721" w:type="pct"/>
          </w:tcPr>
          <w:p w14:paraId="3D6740CE" w14:textId="77777777" w:rsidR="00982624" w:rsidRPr="00F33908" w:rsidRDefault="00982624" w:rsidP="00211937">
            <w:pPr>
              <w:spacing w:after="0"/>
              <w:jc w:val="center"/>
              <w:rPr>
                <w:sz w:val="22"/>
              </w:rPr>
            </w:pPr>
          </w:p>
        </w:tc>
        <w:tc>
          <w:tcPr>
            <w:tcW w:w="565" w:type="pct"/>
          </w:tcPr>
          <w:p w14:paraId="3D2E032A" w14:textId="77777777" w:rsidR="00982624" w:rsidRPr="007A3223" w:rsidRDefault="00982624" w:rsidP="00211937">
            <w:pPr>
              <w:spacing w:after="0"/>
              <w:jc w:val="center"/>
              <w:rPr>
                <w:sz w:val="22"/>
              </w:rPr>
            </w:pPr>
            <w:r w:rsidRPr="007A3223">
              <w:rPr>
                <w:sz w:val="22"/>
              </w:rPr>
              <w:t>X</w:t>
            </w:r>
            <w:r w:rsidRPr="007A3223">
              <w:rPr>
                <w:sz w:val="22"/>
                <w:vertAlign w:val="superscript"/>
              </w:rPr>
              <w:t>1</w:t>
            </w:r>
          </w:p>
        </w:tc>
        <w:tc>
          <w:tcPr>
            <w:tcW w:w="414" w:type="pct"/>
          </w:tcPr>
          <w:p w14:paraId="293C446A" w14:textId="77777777" w:rsidR="00982624" w:rsidRPr="007A3223" w:rsidRDefault="00982624" w:rsidP="00211937">
            <w:pPr>
              <w:spacing w:after="0"/>
              <w:jc w:val="center"/>
              <w:rPr>
                <w:sz w:val="22"/>
              </w:rPr>
            </w:pPr>
            <w:r w:rsidRPr="007A3223">
              <w:rPr>
                <w:sz w:val="22"/>
                <w:lang w:eastAsia="ko-KR"/>
              </w:rPr>
              <w:t>X</w:t>
            </w:r>
            <w:r w:rsidRPr="007A3223">
              <w:rPr>
                <w:sz w:val="22"/>
              </w:rPr>
              <w:t xml:space="preserve"> </w:t>
            </w:r>
          </w:p>
          <w:p w14:paraId="08196E67" w14:textId="77777777" w:rsidR="00982624" w:rsidRPr="007A3223" w:rsidRDefault="00982624" w:rsidP="00211937">
            <w:pPr>
              <w:spacing w:after="0"/>
              <w:jc w:val="center"/>
              <w:rPr>
                <w:sz w:val="22"/>
                <w:lang w:eastAsia="ko-KR"/>
              </w:rPr>
            </w:pPr>
          </w:p>
        </w:tc>
        <w:tc>
          <w:tcPr>
            <w:tcW w:w="394" w:type="pct"/>
          </w:tcPr>
          <w:p w14:paraId="52AD1B5E" w14:textId="458BBE83" w:rsidR="00982624" w:rsidRPr="007A3223" w:rsidRDefault="00982624" w:rsidP="00211937">
            <w:pPr>
              <w:spacing w:after="0"/>
              <w:jc w:val="center"/>
              <w:rPr>
                <w:sz w:val="22"/>
                <w:lang w:eastAsia="ko-KR"/>
              </w:rPr>
            </w:pPr>
            <w:r w:rsidRPr="007A3223">
              <w:rPr>
                <w:sz w:val="22"/>
                <w:lang w:eastAsia="ko-KR"/>
              </w:rPr>
              <w:t xml:space="preserve">X </w:t>
            </w:r>
            <w:r w:rsidR="005622D8" w:rsidRPr="007A3223">
              <w:rPr>
                <w:sz w:val="22"/>
                <w:vertAlign w:val="superscript"/>
              </w:rPr>
              <w:t>1</w:t>
            </w:r>
            <w:r w:rsidR="005622D8" w:rsidRPr="007A3223">
              <w:rPr>
                <w:sz w:val="22"/>
                <w:lang w:eastAsia="ko-KR"/>
              </w:rPr>
              <w:t xml:space="preserve"> </w:t>
            </w:r>
            <w:r w:rsidRPr="007A3223">
              <w:rPr>
                <w:sz w:val="22"/>
                <w:lang w:eastAsia="ko-KR"/>
              </w:rPr>
              <w:t>(C3D1) only</w:t>
            </w:r>
          </w:p>
        </w:tc>
        <w:tc>
          <w:tcPr>
            <w:tcW w:w="533" w:type="pct"/>
          </w:tcPr>
          <w:p w14:paraId="55FFB698" w14:textId="77777777" w:rsidR="00982624" w:rsidRPr="007A3223" w:rsidRDefault="00982624" w:rsidP="00211937">
            <w:pPr>
              <w:spacing w:after="0"/>
              <w:jc w:val="center"/>
              <w:rPr>
                <w:sz w:val="22"/>
              </w:rPr>
            </w:pPr>
          </w:p>
        </w:tc>
        <w:tc>
          <w:tcPr>
            <w:tcW w:w="1025" w:type="pct"/>
          </w:tcPr>
          <w:p w14:paraId="4E0CD011" w14:textId="77777777" w:rsidR="00314CC5" w:rsidRPr="007A3223" w:rsidRDefault="00314CC5" w:rsidP="00314CC5">
            <w:pPr>
              <w:spacing w:after="0"/>
              <w:jc w:val="center"/>
              <w:rPr>
                <w:sz w:val="22"/>
              </w:rPr>
            </w:pPr>
            <w:r w:rsidRPr="007A3223">
              <w:rPr>
                <w:sz w:val="22"/>
              </w:rPr>
              <w:t xml:space="preserve">X </w:t>
            </w:r>
          </w:p>
          <w:p w14:paraId="5C96F6C3" w14:textId="77777777" w:rsidR="00982624" w:rsidRPr="007A3223" w:rsidRDefault="00314CC5" w:rsidP="00314CC5">
            <w:pPr>
              <w:spacing w:after="0"/>
              <w:jc w:val="center"/>
              <w:rPr>
                <w:i/>
                <w:sz w:val="22"/>
              </w:rPr>
            </w:pPr>
            <w:r w:rsidRPr="007A3223">
              <w:rPr>
                <w:sz w:val="22"/>
              </w:rPr>
              <w:t>(at progression)</w:t>
            </w:r>
          </w:p>
        </w:tc>
      </w:tr>
      <w:tr w:rsidR="0034502F" w:rsidRPr="007A3223" w14:paraId="3DFF8C2F" w14:textId="77777777" w:rsidTr="000232A0">
        <w:tc>
          <w:tcPr>
            <w:tcW w:w="1348" w:type="pct"/>
          </w:tcPr>
          <w:p w14:paraId="6BB8CCEB" w14:textId="4486B5BC" w:rsidR="00982624" w:rsidRPr="00585A7F" w:rsidRDefault="00982624" w:rsidP="00382667">
            <w:pPr>
              <w:spacing w:after="0"/>
              <w:rPr>
                <w:sz w:val="22"/>
              </w:rPr>
            </w:pPr>
            <w:r w:rsidRPr="007A3223">
              <w:rPr>
                <w:sz w:val="22"/>
              </w:rPr>
              <w:lastRenderedPageBreak/>
              <w:t xml:space="preserve">Other Specific Assessments (such as EKG/ECHO </w:t>
            </w:r>
            <w:r w:rsidRPr="007A3223">
              <w:rPr>
                <w:sz w:val="22"/>
                <w:vertAlign w:val="superscript"/>
              </w:rPr>
              <w:t>7</w:t>
            </w:r>
            <w:r w:rsidRPr="00F33908">
              <w:rPr>
                <w:sz w:val="22"/>
              </w:rPr>
              <w:t>)</w:t>
            </w:r>
          </w:p>
        </w:tc>
        <w:tc>
          <w:tcPr>
            <w:tcW w:w="721" w:type="pct"/>
          </w:tcPr>
          <w:p w14:paraId="2B9A4BB5" w14:textId="77777777" w:rsidR="00982624" w:rsidRPr="00585A7F" w:rsidRDefault="00982624" w:rsidP="00211937">
            <w:pPr>
              <w:spacing w:after="0"/>
              <w:jc w:val="center"/>
              <w:rPr>
                <w:sz w:val="22"/>
              </w:rPr>
            </w:pPr>
            <w:r w:rsidRPr="007A3223">
              <w:rPr>
                <w:sz w:val="22"/>
              </w:rPr>
              <w:t>X</w:t>
            </w:r>
          </w:p>
        </w:tc>
        <w:tc>
          <w:tcPr>
            <w:tcW w:w="565" w:type="pct"/>
          </w:tcPr>
          <w:p w14:paraId="59572DCD" w14:textId="77777777" w:rsidR="00982624" w:rsidRPr="00585A7F" w:rsidRDefault="00982624" w:rsidP="00211937">
            <w:pPr>
              <w:spacing w:after="0"/>
              <w:jc w:val="center"/>
              <w:rPr>
                <w:sz w:val="22"/>
              </w:rPr>
            </w:pPr>
            <w:r w:rsidRPr="007A3223">
              <w:rPr>
                <w:sz w:val="22"/>
              </w:rPr>
              <w:t>X</w:t>
            </w:r>
          </w:p>
        </w:tc>
        <w:tc>
          <w:tcPr>
            <w:tcW w:w="414" w:type="pct"/>
          </w:tcPr>
          <w:p w14:paraId="00850385" w14:textId="77777777" w:rsidR="00982624" w:rsidRPr="00585A7F" w:rsidRDefault="00982624" w:rsidP="00211937">
            <w:pPr>
              <w:spacing w:after="0"/>
              <w:jc w:val="center"/>
              <w:rPr>
                <w:sz w:val="22"/>
              </w:rPr>
            </w:pPr>
          </w:p>
        </w:tc>
        <w:tc>
          <w:tcPr>
            <w:tcW w:w="394" w:type="pct"/>
          </w:tcPr>
          <w:p w14:paraId="09E4A3F7" w14:textId="4C35432B" w:rsidR="00982624" w:rsidRPr="00F33908" w:rsidRDefault="00982624" w:rsidP="00BF0EC2">
            <w:pPr>
              <w:spacing w:after="0"/>
              <w:jc w:val="center"/>
              <w:rPr>
                <w:sz w:val="22"/>
              </w:rPr>
            </w:pPr>
            <w:r w:rsidRPr="007A3223">
              <w:rPr>
                <w:sz w:val="22"/>
              </w:rPr>
              <w:t>X</w:t>
            </w:r>
            <w:r w:rsidR="005622D8" w:rsidRPr="007A3223">
              <w:rPr>
                <w:sz w:val="22"/>
                <w:vertAlign w:val="superscript"/>
              </w:rPr>
              <w:t>1</w:t>
            </w:r>
          </w:p>
          <w:p w14:paraId="2372F960" w14:textId="77777777" w:rsidR="00982624" w:rsidRPr="00585A7F" w:rsidRDefault="00982624" w:rsidP="00C12B72">
            <w:pPr>
              <w:spacing w:after="0"/>
              <w:jc w:val="center"/>
              <w:rPr>
                <w:sz w:val="22"/>
              </w:rPr>
            </w:pPr>
          </w:p>
        </w:tc>
        <w:tc>
          <w:tcPr>
            <w:tcW w:w="533" w:type="pct"/>
          </w:tcPr>
          <w:p w14:paraId="0CD59129" w14:textId="77777777" w:rsidR="00982624" w:rsidRPr="00585A7F" w:rsidRDefault="00982624" w:rsidP="00211937">
            <w:pPr>
              <w:spacing w:after="0"/>
              <w:jc w:val="center"/>
              <w:rPr>
                <w:sz w:val="22"/>
              </w:rPr>
            </w:pPr>
          </w:p>
        </w:tc>
        <w:tc>
          <w:tcPr>
            <w:tcW w:w="1025" w:type="pct"/>
          </w:tcPr>
          <w:p w14:paraId="782E9357" w14:textId="77777777" w:rsidR="00982624" w:rsidRPr="007A3223" w:rsidRDefault="00982624" w:rsidP="00BF0EC2">
            <w:pPr>
              <w:spacing w:after="0"/>
              <w:jc w:val="center"/>
              <w:rPr>
                <w:sz w:val="22"/>
              </w:rPr>
            </w:pPr>
            <w:r w:rsidRPr="007A3223">
              <w:rPr>
                <w:sz w:val="22"/>
              </w:rPr>
              <w:t>X</w:t>
            </w:r>
          </w:p>
          <w:p w14:paraId="2DD77711" w14:textId="77777777" w:rsidR="00982624" w:rsidRPr="00585A7F" w:rsidRDefault="00982624" w:rsidP="00BF0EC2">
            <w:pPr>
              <w:spacing w:after="0"/>
              <w:jc w:val="center"/>
              <w:rPr>
                <w:i/>
                <w:sz w:val="22"/>
              </w:rPr>
            </w:pPr>
            <w:r w:rsidRPr="00F33908">
              <w:rPr>
                <w:sz w:val="22"/>
              </w:rPr>
              <w:t>(at the end of treatment)</w:t>
            </w:r>
          </w:p>
        </w:tc>
      </w:tr>
      <w:tr w:rsidR="0034502F" w:rsidRPr="007A3223" w14:paraId="1D2CDC25" w14:textId="77777777" w:rsidTr="000232A0">
        <w:tc>
          <w:tcPr>
            <w:tcW w:w="1348" w:type="pct"/>
          </w:tcPr>
          <w:p w14:paraId="0FB1CC15" w14:textId="77777777" w:rsidR="00982624" w:rsidRPr="007A3223" w:rsidRDefault="00982624" w:rsidP="00211937">
            <w:pPr>
              <w:spacing w:after="0"/>
              <w:rPr>
                <w:sz w:val="22"/>
              </w:rPr>
            </w:pPr>
            <w:r w:rsidRPr="007A3223">
              <w:rPr>
                <w:sz w:val="22"/>
              </w:rPr>
              <w:t>Response Evaluation</w:t>
            </w:r>
          </w:p>
          <w:p w14:paraId="32EEEF69" w14:textId="77777777" w:rsidR="00982624" w:rsidRPr="007A3223" w:rsidRDefault="00982624" w:rsidP="00211937">
            <w:pPr>
              <w:spacing w:after="0"/>
              <w:rPr>
                <w:sz w:val="22"/>
              </w:rPr>
            </w:pPr>
            <w:r w:rsidRPr="007A3223">
              <w:rPr>
                <w:sz w:val="22"/>
              </w:rPr>
              <w:t>(CT Scan or other as appropriate)</w:t>
            </w:r>
          </w:p>
        </w:tc>
        <w:tc>
          <w:tcPr>
            <w:tcW w:w="721" w:type="pct"/>
          </w:tcPr>
          <w:p w14:paraId="13636850" w14:textId="77777777" w:rsidR="00982624" w:rsidRPr="007A3223" w:rsidRDefault="00982624" w:rsidP="00211937">
            <w:pPr>
              <w:spacing w:after="0"/>
              <w:jc w:val="center"/>
              <w:rPr>
                <w:sz w:val="22"/>
              </w:rPr>
            </w:pPr>
          </w:p>
        </w:tc>
        <w:tc>
          <w:tcPr>
            <w:tcW w:w="565" w:type="pct"/>
          </w:tcPr>
          <w:p w14:paraId="67A57E61" w14:textId="77777777" w:rsidR="00982624" w:rsidRPr="007A3223" w:rsidRDefault="00982624" w:rsidP="00211937">
            <w:pPr>
              <w:spacing w:after="0"/>
              <w:jc w:val="center"/>
              <w:rPr>
                <w:sz w:val="22"/>
              </w:rPr>
            </w:pPr>
            <w:r w:rsidRPr="007A3223">
              <w:rPr>
                <w:sz w:val="22"/>
              </w:rPr>
              <w:t>X</w:t>
            </w:r>
            <w:r w:rsidRPr="007A3223">
              <w:rPr>
                <w:sz w:val="22"/>
                <w:vertAlign w:val="superscript"/>
              </w:rPr>
              <w:t>8</w:t>
            </w:r>
          </w:p>
        </w:tc>
        <w:tc>
          <w:tcPr>
            <w:tcW w:w="414" w:type="pct"/>
          </w:tcPr>
          <w:p w14:paraId="52EE4DB7" w14:textId="77777777" w:rsidR="00982624" w:rsidRPr="007A3223" w:rsidRDefault="00982624" w:rsidP="00211937">
            <w:pPr>
              <w:spacing w:after="0"/>
              <w:jc w:val="center"/>
              <w:rPr>
                <w:sz w:val="22"/>
              </w:rPr>
            </w:pPr>
          </w:p>
        </w:tc>
        <w:tc>
          <w:tcPr>
            <w:tcW w:w="927" w:type="pct"/>
            <w:gridSpan w:val="2"/>
          </w:tcPr>
          <w:p w14:paraId="1B2856B3" w14:textId="77777777" w:rsidR="00982624" w:rsidRPr="007A3223" w:rsidRDefault="00982624" w:rsidP="00211937">
            <w:pPr>
              <w:spacing w:after="0"/>
              <w:rPr>
                <w:sz w:val="22"/>
              </w:rPr>
            </w:pPr>
            <w:r w:rsidRPr="007A3223">
              <w:rPr>
                <w:sz w:val="22"/>
              </w:rPr>
              <w:t>Prior to each odd numbered cycle</w:t>
            </w:r>
            <w:r w:rsidRPr="007A3223">
              <w:rPr>
                <w:sz w:val="22"/>
                <w:vertAlign w:val="superscript"/>
              </w:rPr>
              <w:t>9</w:t>
            </w:r>
          </w:p>
        </w:tc>
        <w:tc>
          <w:tcPr>
            <w:tcW w:w="1025" w:type="pct"/>
          </w:tcPr>
          <w:p w14:paraId="7592D61C" w14:textId="77777777" w:rsidR="00982624" w:rsidRPr="007A3223" w:rsidRDefault="00982624" w:rsidP="00211937">
            <w:pPr>
              <w:spacing w:after="0"/>
              <w:jc w:val="center"/>
              <w:rPr>
                <w:i/>
                <w:sz w:val="22"/>
              </w:rPr>
            </w:pPr>
          </w:p>
        </w:tc>
      </w:tr>
      <w:tr w:rsidR="0034502F" w:rsidRPr="007A3223" w14:paraId="7C94404E" w14:textId="77777777" w:rsidTr="000232A0">
        <w:tc>
          <w:tcPr>
            <w:tcW w:w="1348" w:type="pct"/>
          </w:tcPr>
          <w:p w14:paraId="5D06478A" w14:textId="77777777" w:rsidR="00982624" w:rsidRPr="007A3223" w:rsidRDefault="00982624" w:rsidP="00211937">
            <w:pPr>
              <w:spacing w:after="0"/>
              <w:rPr>
                <w:sz w:val="22"/>
              </w:rPr>
            </w:pPr>
            <w:r w:rsidRPr="007A3223">
              <w:rPr>
                <w:sz w:val="22"/>
              </w:rPr>
              <w:t>Adverse Events</w:t>
            </w:r>
          </w:p>
        </w:tc>
        <w:tc>
          <w:tcPr>
            <w:tcW w:w="721" w:type="pct"/>
          </w:tcPr>
          <w:p w14:paraId="54F359A4" w14:textId="77777777" w:rsidR="00982624" w:rsidRPr="007A3223" w:rsidRDefault="00982624" w:rsidP="00211937">
            <w:pPr>
              <w:spacing w:after="0"/>
              <w:jc w:val="center"/>
              <w:rPr>
                <w:i/>
                <w:sz w:val="22"/>
              </w:rPr>
            </w:pPr>
          </w:p>
        </w:tc>
        <w:tc>
          <w:tcPr>
            <w:tcW w:w="565" w:type="pct"/>
          </w:tcPr>
          <w:p w14:paraId="16C2C09F" w14:textId="77777777" w:rsidR="00982624" w:rsidRPr="007A3223" w:rsidRDefault="00982624" w:rsidP="00211937">
            <w:pPr>
              <w:spacing w:after="0"/>
              <w:jc w:val="center"/>
              <w:rPr>
                <w:sz w:val="22"/>
              </w:rPr>
            </w:pPr>
            <w:r w:rsidRPr="007A3223">
              <w:rPr>
                <w:sz w:val="22"/>
              </w:rPr>
              <w:t>X</w:t>
            </w:r>
          </w:p>
        </w:tc>
        <w:tc>
          <w:tcPr>
            <w:tcW w:w="414" w:type="pct"/>
          </w:tcPr>
          <w:p w14:paraId="486457A6" w14:textId="77777777" w:rsidR="00982624" w:rsidRPr="007A3223" w:rsidRDefault="002B7953" w:rsidP="00211937">
            <w:pPr>
              <w:spacing w:after="0"/>
              <w:jc w:val="center"/>
              <w:rPr>
                <w:i/>
                <w:sz w:val="22"/>
              </w:rPr>
            </w:pPr>
            <w:r w:rsidRPr="007A3223">
              <w:rPr>
                <w:noProof/>
                <w:sz w:val="22"/>
                <w:lang w:eastAsia="ko-KR"/>
              </w:rPr>
              <mc:AlternateContent>
                <mc:Choice Requires="wps">
                  <w:drawing>
                    <wp:anchor distT="0" distB="0" distL="114300" distR="114300" simplePos="0" relativeHeight="251693056" behindDoc="0" locked="0" layoutInCell="1" allowOverlap="1" wp14:anchorId="5EC016E0" wp14:editId="0A3A7E0C">
                      <wp:simplePos x="0" y="0"/>
                      <wp:positionH relativeFrom="column">
                        <wp:posOffset>-30480</wp:posOffset>
                      </wp:positionH>
                      <wp:positionV relativeFrom="paragraph">
                        <wp:posOffset>105410</wp:posOffset>
                      </wp:positionV>
                      <wp:extent cx="1447800" cy="0"/>
                      <wp:effectExtent l="0" t="76200" r="50800" b="1016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7EFE682" id="Line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8.3pt" to="111.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">
                      <v:stroke endarrow="block"/>
                    </v:line>
                  </w:pict>
                </mc:Fallback>
              </mc:AlternateContent>
            </w:r>
          </w:p>
        </w:tc>
        <w:tc>
          <w:tcPr>
            <w:tcW w:w="394" w:type="pct"/>
          </w:tcPr>
          <w:p w14:paraId="4C834482" w14:textId="77777777" w:rsidR="00982624" w:rsidRPr="00F33908" w:rsidRDefault="00982624" w:rsidP="00211937">
            <w:pPr>
              <w:spacing w:after="0"/>
              <w:jc w:val="center"/>
              <w:rPr>
                <w:i/>
                <w:sz w:val="22"/>
              </w:rPr>
            </w:pPr>
          </w:p>
        </w:tc>
        <w:tc>
          <w:tcPr>
            <w:tcW w:w="533" w:type="pct"/>
          </w:tcPr>
          <w:p w14:paraId="62E81AD2" w14:textId="77777777" w:rsidR="00982624" w:rsidRPr="007A3223" w:rsidRDefault="00982624" w:rsidP="00211937">
            <w:pPr>
              <w:spacing w:after="0"/>
              <w:jc w:val="center"/>
              <w:rPr>
                <w:i/>
                <w:sz w:val="22"/>
              </w:rPr>
            </w:pPr>
          </w:p>
        </w:tc>
        <w:tc>
          <w:tcPr>
            <w:tcW w:w="1025" w:type="pct"/>
          </w:tcPr>
          <w:p w14:paraId="7D59E432" w14:textId="77777777" w:rsidR="00982624" w:rsidRPr="007A3223" w:rsidRDefault="00982624" w:rsidP="00211937">
            <w:pPr>
              <w:spacing w:after="0"/>
              <w:jc w:val="center"/>
              <w:rPr>
                <w:sz w:val="22"/>
              </w:rPr>
            </w:pPr>
            <w:r w:rsidRPr="007A3223">
              <w:rPr>
                <w:sz w:val="22"/>
              </w:rPr>
              <w:t>X</w:t>
            </w:r>
            <w:r w:rsidRPr="007A3223">
              <w:rPr>
                <w:sz w:val="22"/>
                <w:vertAlign w:val="superscript"/>
              </w:rPr>
              <w:t>10</w:t>
            </w:r>
          </w:p>
        </w:tc>
      </w:tr>
      <w:tr w:rsidR="0034502F" w:rsidRPr="007A3223" w14:paraId="133FA645" w14:textId="77777777" w:rsidTr="000232A0">
        <w:tc>
          <w:tcPr>
            <w:tcW w:w="1348" w:type="pct"/>
          </w:tcPr>
          <w:p w14:paraId="5E73F123" w14:textId="77777777" w:rsidR="002B7953" w:rsidRPr="007A3223" w:rsidRDefault="002B7953" w:rsidP="00211937">
            <w:pPr>
              <w:spacing w:after="0"/>
              <w:rPr>
                <w:sz w:val="22"/>
              </w:rPr>
            </w:pPr>
            <w:r w:rsidRPr="007A3223">
              <w:rPr>
                <w:sz w:val="22"/>
              </w:rPr>
              <w:t>Concomitant Medications</w:t>
            </w:r>
          </w:p>
        </w:tc>
        <w:tc>
          <w:tcPr>
            <w:tcW w:w="721" w:type="pct"/>
          </w:tcPr>
          <w:p w14:paraId="20F6AED9" w14:textId="77777777" w:rsidR="002B7953" w:rsidRPr="007A3223" w:rsidRDefault="002B7953" w:rsidP="00211937">
            <w:pPr>
              <w:spacing w:after="0"/>
              <w:jc w:val="center"/>
              <w:rPr>
                <w:i/>
                <w:sz w:val="22"/>
              </w:rPr>
            </w:pPr>
          </w:p>
        </w:tc>
        <w:tc>
          <w:tcPr>
            <w:tcW w:w="565" w:type="pct"/>
          </w:tcPr>
          <w:p w14:paraId="329E7A39" w14:textId="77777777" w:rsidR="002B7953" w:rsidRPr="007A3223" w:rsidRDefault="002B7953" w:rsidP="00211937">
            <w:pPr>
              <w:spacing w:after="0"/>
              <w:jc w:val="center"/>
              <w:rPr>
                <w:sz w:val="22"/>
              </w:rPr>
            </w:pPr>
            <w:r w:rsidRPr="007A3223">
              <w:rPr>
                <w:sz w:val="22"/>
              </w:rPr>
              <w:t>X</w:t>
            </w:r>
            <w:r w:rsidRPr="007A3223">
              <w:rPr>
                <w:sz w:val="22"/>
                <w:vertAlign w:val="superscript"/>
              </w:rPr>
              <w:t>1</w:t>
            </w:r>
          </w:p>
        </w:tc>
        <w:tc>
          <w:tcPr>
            <w:tcW w:w="414" w:type="pct"/>
          </w:tcPr>
          <w:p w14:paraId="04C3A9D0" w14:textId="77777777" w:rsidR="002B7953" w:rsidRPr="007A3223" w:rsidRDefault="0034502F" w:rsidP="00211937">
            <w:pPr>
              <w:spacing w:after="0"/>
              <w:jc w:val="center"/>
              <w:rPr>
                <w:i/>
                <w:sz w:val="22"/>
              </w:rPr>
            </w:pPr>
            <w:r w:rsidRPr="007A3223">
              <w:rPr>
                <w:noProof/>
                <w:sz w:val="22"/>
                <w:lang w:eastAsia="ko-KR"/>
              </w:rPr>
              <mc:AlternateContent>
                <mc:Choice Requires="wps">
                  <w:drawing>
                    <wp:anchor distT="0" distB="0" distL="114300" distR="114300" simplePos="0" relativeHeight="251695104" behindDoc="0" locked="0" layoutInCell="1" allowOverlap="1" wp14:anchorId="010250B4" wp14:editId="50DEC1A9">
                      <wp:simplePos x="0" y="0"/>
                      <wp:positionH relativeFrom="column">
                        <wp:posOffset>-31115</wp:posOffset>
                      </wp:positionH>
                      <wp:positionV relativeFrom="paragraph">
                        <wp:posOffset>99060</wp:posOffset>
                      </wp:positionV>
                      <wp:extent cx="1447800" cy="5716"/>
                      <wp:effectExtent l="0" t="76200" r="50800" b="9588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5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63FF780" id="Line 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7.8pt" to="111.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">
                      <v:stroke endarrow="block"/>
                    </v:line>
                  </w:pict>
                </mc:Fallback>
              </mc:AlternateContent>
            </w:r>
          </w:p>
        </w:tc>
        <w:tc>
          <w:tcPr>
            <w:tcW w:w="394" w:type="pct"/>
          </w:tcPr>
          <w:p w14:paraId="61564084" w14:textId="77777777" w:rsidR="002B7953" w:rsidRPr="00F33908" w:rsidRDefault="002B7953" w:rsidP="00211937">
            <w:pPr>
              <w:spacing w:after="0"/>
              <w:jc w:val="center"/>
              <w:rPr>
                <w:i/>
                <w:sz w:val="22"/>
              </w:rPr>
            </w:pPr>
          </w:p>
        </w:tc>
        <w:tc>
          <w:tcPr>
            <w:tcW w:w="533" w:type="pct"/>
          </w:tcPr>
          <w:p w14:paraId="44F5EB62" w14:textId="77777777" w:rsidR="002B7953" w:rsidRPr="007A3223" w:rsidRDefault="002B7953" w:rsidP="00211937">
            <w:pPr>
              <w:spacing w:after="0"/>
              <w:jc w:val="center"/>
              <w:rPr>
                <w:i/>
                <w:sz w:val="22"/>
              </w:rPr>
            </w:pPr>
          </w:p>
        </w:tc>
        <w:tc>
          <w:tcPr>
            <w:tcW w:w="1025" w:type="pct"/>
          </w:tcPr>
          <w:p w14:paraId="2953E9DE" w14:textId="77777777" w:rsidR="002B7953" w:rsidRPr="007A3223" w:rsidRDefault="002B7953" w:rsidP="00211937">
            <w:pPr>
              <w:spacing w:after="0"/>
              <w:jc w:val="center"/>
              <w:rPr>
                <w:i/>
                <w:sz w:val="22"/>
              </w:rPr>
            </w:pPr>
          </w:p>
        </w:tc>
      </w:tr>
    </w:tbl>
    <w:p w14:paraId="0BDA5686" w14:textId="34E53A14" w:rsidR="00211937" w:rsidRPr="007A3223" w:rsidRDefault="00211937" w:rsidP="00676D97">
      <w:pPr>
        <w:pStyle w:val="EndnoteText"/>
        <w:spacing w:after="0"/>
        <w:rPr>
          <w:sz w:val="22"/>
          <w:szCs w:val="22"/>
          <w:lang w:val="en-US"/>
        </w:rPr>
      </w:pPr>
      <w:r w:rsidRPr="007A3223">
        <w:rPr>
          <w:b/>
          <w:sz w:val="22"/>
          <w:szCs w:val="22"/>
        </w:rPr>
        <w:t>1</w:t>
      </w:r>
      <w:r w:rsidRPr="007A3223">
        <w:rPr>
          <w:sz w:val="22"/>
          <w:szCs w:val="22"/>
        </w:rPr>
        <w:t xml:space="preserve"> </w:t>
      </w:r>
      <w:r w:rsidR="006F5336" w:rsidRPr="007A3223">
        <w:rPr>
          <w:sz w:val="22"/>
          <w:szCs w:val="22"/>
        </w:rPr>
        <w:t>Baseline/cycle 1 day 1</w:t>
      </w:r>
      <w:r w:rsidR="00626138" w:rsidRPr="007A3223">
        <w:rPr>
          <w:sz w:val="22"/>
          <w:szCs w:val="22"/>
        </w:rPr>
        <w:t xml:space="preserve">, day 1 of subsequent cycles </w:t>
      </w:r>
      <w:r w:rsidR="006F5336" w:rsidRPr="007A3223">
        <w:rPr>
          <w:sz w:val="22"/>
          <w:szCs w:val="22"/>
        </w:rPr>
        <w:t xml:space="preserve">of </w:t>
      </w:r>
      <w:r w:rsidR="001D7FCD" w:rsidRPr="007A3223">
        <w:rPr>
          <w:sz w:val="22"/>
          <w:szCs w:val="22"/>
          <w:lang w:val="en-US"/>
        </w:rPr>
        <w:t>H&amp;PE</w:t>
      </w:r>
      <w:r w:rsidR="00896129" w:rsidRPr="007A3223">
        <w:rPr>
          <w:sz w:val="22"/>
          <w:szCs w:val="22"/>
          <w:lang w:val="en-US"/>
        </w:rPr>
        <w:t xml:space="preserve">, </w:t>
      </w:r>
      <w:r w:rsidR="00CE22A7" w:rsidRPr="007A3223">
        <w:rPr>
          <w:sz w:val="22"/>
          <w:szCs w:val="22"/>
          <w:lang w:val="en-US"/>
        </w:rPr>
        <w:t xml:space="preserve">height, </w:t>
      </w:r>
      <w:r w:rsidR="00896129" w:rsidRPr="007A3223">
        <w:rPr>
          <w:sz w:val="22"/>
          <w:szCs w:val="22"/>
          <w:lang w:val="en-US"/>
        </w:rPr>
        <w:t xml:space="preserve">performance score, </w:t>
      </w:r>
      <w:r w:rsidR="001D7FCD" w:rsidRPr="007A3223">
        <w:rPr>
          <w:sz w:val="22"/>
          <w:szCs w:val="22"/>
          <w:lang w:val="en-US"/>
        </w:rPr>
        <w:t xml:space="preserve">protocol labs, tumor biopsies, correlative research studies, other specific assessments or concomitant medications review </w:t>
      </w:r>
      <w:r w:rsidR="006F5336" w:rsidRPr="007A3223">
        <w:rPr>
          <w:sz w:val="22"/>
          <w:szCs w:val="22"/>
        </w:rPr>
        <w:t xml:space="preserve">could be performed within 2 days before the infusion of </w:t>
      </w:r>
      <w:r w:rsidR="00B94A14">
        <w:rPr>
          <w:sz w:val="22"/>
          <w:szCs w:val="22"/>
          <w:lang w:val="en-US"/>
        </w:rPr>
        <w:t>Durvalumab</w:t>
      </w:r>
      <w:r w:rsidR="006F5336" w:rsidRPr="007A3223">
        <w:rPr>
          <w:sz w:val="22"/>
          <w:szCs w:val="22"/>
        </w:rPr>
        <w:t>.</w:t>
      </w:r>
      <w:r w:rsidR="00C12B72" w:rsidRPr="007A3223">
        <w:rPr>
          <w:sz w:val="22"/>
          <w:szCs w:val="22"/>
        </w:rPr>
        <w:t xml:space="preserve"> </w:t>
      </w:r>
      <w:r w:rsidR="002033F2" w:rsidRPr="007A3223" w:rsidDel="009F176A">
        <w:rPr>
          <w:sz w:val="22"/>
          <w:szCs w:val="22"/>
          <w:lang w:val="en-US"/>
        </w:rPr>
        <w:t xml:space="preserve">For NSCLC patients, </w:t>
      </w:r>
      <w:r w:rsidR="00AA589C" w:rsidRPr="007A3223" w:rsidDel="009F176A">
        <w:rPr>
          <w:sz w:val="22"/>
          <w:szCs w:val="22"/>
          <w:lang w:val="en-US"/>
        </w:rPr>
        <w:t>pre-treatment biopsy</w:t>
      </w:r>
      <w:r w:rsidR="002033F2" w:rsidRPr="007A3223" w:rsidDel="009F176A">
        <w:rPr>
          <w:sz w:val="22"/>
          <w:szCs w:val="22"/>
          <w:lang w:val="en-US"/>
        </w:rPr>
        <w:t xml:space="preserve"> could be performed within 28 days before the infusion of </w:t>
      </w:r>
      <w:r w:rsidR="00B94A14">
        <w:rPr>
          <w:sz w:val="22"/>
          <w:szCs w:val="22"/>
          <w:lang w:val="en-US"/>
        </w:rPr>
        <w:t>Durvalumab</w:t>
      </w:r>
      <w:r w:rsidR="002033F2" w:rsidRPr="007A3223" w:rsidDel="009F176A">
        <w:rPr>
          <w:sz w:val="22"/>
          <w:szCs w:val="22"/>
          <w:lang w:val="en-US"/>
        </w:rPr>
        <w:t>.</w:t>
      </w:r>
    </w:p>
    <w:p w14:paraId="523601A9" w14:textId="05F91BC2" w:rsidR="00614A50" w:rsidRPr="007A3223" w:rsidRDefault="00211937" w:rsidP="00676D97">
      <w:pPr>
        <w:spacing w:after="0" w:line="200" w:lineRule="atLeast"/>
        <w:rPr>
          <w:sz w:val="22"/>
        </w:rPr>
      </w:pPr>
      <w:r w:rsidRPr="007A3223">
        <w:rPr>
          <w:b/>
          <w:sz w:val="22"/>
        </w:rPr>
        <w:t>2</w:t>
      </w:r>
      <w:r w:rsidRPr="007A3223">
        <w:rPr>
          <w:sz w:val="22"/>
        </w:rPr>
        <w:t xml:space="preserve"> </w:t>
      </w:r>
      <w:r w:rsidR="00614A50" w:rsidRPr="007A3223">
        <w:rPr>
          <w:sz w:val="22"/>
        </w:rPr>
        <w:t xml:space="preserve">Subject will have their body weight measured on the day of infusion OR </w:t>
      </w:r>
      <w:r w:rsidR="00896D67" w:rsidRPr="007A3223">
        <w:rPr>
          <w:sz w:val="22"/>
        </w:rPr>
        <w:t>within</w:t>
      </w:r>
      <w:r w:rsidR="00614A50" w:rsidRPr="007A3223">
        <w:rPr>
          <w:sz w:val="22"/>
        </w:rPr>
        <w:t xml:space="preserve"> </w:t>
      </w:r>
      <w:r w:rsidR="00896D67" w:rsidRPr="007A3223">
        <w:rPr>
          <w:sz w:val="22"/>
        </w:rPr>
        <w:t xml:space="preserve">2 </w:t>
      </w:r>
      <w:r w:rsidR="00614A50" w:rsidRPr="007A3223">
        <w:rPr>
          <w:sz w:val="22"/>
        </w:rPr>
        <w:t xml:space="preserve">days before the infusion of </w:t>
      </w:r>
      <w:r w:rsidR="00AE6FF0">
        <w:rPr>
          <w:sz w:val="22"/>
        </w:rPr>
        <w:t>Durvalumab</w:t>
      </w:r>
      <w:r w:rsidR="00614A50" w:rsidRPr="007A3223">
        <w:rPr>
          <w:sz w:val="22"/>
        </w:rPr>
        <w:t>.</w:t>
      </w:r>
      <w:r w:rsidR="00896D67" w:rsidRPr="007A3223">
        <w:rPr>
          <w:sz w:val="22"/>
        </w:rPr>
        <w:t xml:space="preserve"> Subjects on the monthly </w:t>
      </w:r>
      <w:r w:rsidR="00AE6FF0">
        <w:rPr>
          <w:sz w:val="22"/>
        </w:rPr>
        <w:t>Durvalumab</w:t>
      </w:r>
      <w:r w:rsidR="00896D67" w:rsidRPr="007A3223">
        <w:rPr>
          <w:sz w:val="22"/>
        </w:rPr>
        <w:t xml:space="preserve"> schedule will have their body weight measured monthly on the day of infusion (approximately, every 4 weeks) OR within 2 days before the infusion of </w:t>
      </w:r>
      <w:r w:rsidR="00AE6FF0">
        <w:rPr>
          <w:sz w:val="22"/>
        </w:rPr>
        <w:t>Durvalumab</w:t>
      </w:r>
      <w:r w:rsidR="00896D67" w:rsidRPr="007A3223">
        <w:rPr>
          <w:sz w:val="22"/>
        </w:rPr>
        <w:t xml:space="preserve">. </w:t>
      </w:r>
      <w:r w:rsidR="00CC2D90" w:rsidRPr="007A3223">
        <w:rPr>
          <w:sz w:val="22"/>
        </w:rPr>
        <w:t>Effective with Amendment E (version date 03/1</w:t>
      </w:r>
      <w:r w:rsidR="00930E27" w:rsidRPr="007A3223">
        <w:rPr>
          <w:sz w:val="22"/>
        </w:rPr>
        <w:t>7</w:t>
      </w:r>
      <w:r w:rsidR="00CC2D90" w:rsidRPr="007A3223">
        <w:rPr>
          <w:sz w:val="22"/>
        </w:rPr>
        <w:t xml:space="preserve">/2016), the patients on Phase I study </w:t>
      </w:r>
      <w:r w:rsidR="00AE6FF0">
        <w:rPr>
          <w:sz w:val="22"/>
        </w:rPr>
        <w:t>Durvalumab</w:t>
      </w:r>
      <w:r w:rsidR="00CC2D90" w:rsidRPr="007A3223">
        <w:rPr>
          <w:sz w:val="22"/>
        </w:rPr>
        <w:t xml:space="preserve"> every 2 weeks schedule dose levels may change </w:t>
      </w:r>
      <w:r w:rsidR="00AE6FF0">
        <w:rPr>
          <w:sz w:val="22"/>
        </w:rPr>
        <w:t>Durvalumab</w:t>
      </w:r>
      <w:r w:rsidR="00CC2D90" w:rsidRPr="007A3223">
        <w:rPr>
          <w:sz w:val="22"/>
        </w:rPr>
        <w:t xml:space="preserve"> schedule to every 4 weeks (a fixed dose 1500mg) if they have clinical benefit (CR/PR/SD) more than 1 year.</w:t>
      </w:r>
    </w:p>
    <w:p w14:paraId="7CEA85F6" w14:textId="6B12C6F5" w:rsidR="00104FB8" w:rsidRPr="007A3223" w:rsidRDefault="00614A50" w:rsidP="00994712">
      <w:pPr>
        <w:pStyle w:val="EndnoteText"/>
        <w:spacing w:after="0"/>
        <w:rPr>
          <w:sz w:val="22"/>
        </w:rPr>
      </w:pPr>
      <w:r w:rsidRPr="007A3223">
        <w:rPr>
          <w:b/>
          <w:sz w:val="22"/>
        </w:rPr>
        <w:t>3</w:t>
      </w:r>
      <w:r w:rsidRPr="007A3223">
        <w:rPr>
          <w:sz w:val="22"/>
        </w:rPr>
        <w:t xml:space="preserve"> </w:t>
      </w:r>
      <w:r w:rsidR="003B159E" w:rsidRPr="007A3223">
        <w:rPr>
          <w:sz w:val="22"/>
        </w:rPr>
        <w:t xml:space="preserve">Vital signs will be done every 2 weeks for subjects on every 2 weeks </w:t>
      </w:r>
      <w:r w:rsidR="00AE6FF0">
        <w:rPr>
          <w:sz w:val="22"/>
          <w:lang w:val="en-US"/>
        </w:rPr>
        <w:t>Durvalumab</w:t>
      </w:r>
      <w:r w:rsidR="003B159E" w:rsidRPr="007A3223">
        <w:rPr>
          <w:sz w:val="22"/>
        </w:rPr>
        <w:t xml:space="preserve"> schedule and will be done every 4 weeks for those on monthly </w:t>
      </w:r>
      <w:r w:rsidR="00AE6FF0">
        <w:rPr>
          <w:sz w:val="22"/>
          <w:lang w:val="en-US"/>
        </w:rPr>
        <w:t>Durvalumab</w:t>
      </w:r>
      <w:r w:rsidR="003B159E" w:rsidRPr="007A3223">
        <w:rPr>
          <w:sz w:val="22"/>
        </w:rPr>
        <w:t xml:space="preserve"> schedule except cycle 1 day 15. </w:t>
      </w:r>
    </w:p>
    <w:p w14:paraId="4C2218D7" w14:textId="4A679300" w:rsidR="00104FB8" w:rsidRPr="007A3223" w:rsidRDefault="00B5253C" w:rsidP="00994712">
      <w:pPr>
        <w:pStyle w:val="EndnoteText"/>
        <w:spacing w:after="0"/>
        <w:rPr>
          <w:sz w:val="22"/>
        </w:rPr>
      </w:pPr>
      <w:r w:rsidRPr="007A3223">
        <w:rPr>
          <w:sz w:val="22"/>
        </w:rPr>
        <w:t>For the first infusion only: s</w:t>
      </w:r>
      <w:r w:rsidR="00211937" w:rsidRPr="007A3223">
        <w:rPr>
          <w:sz w:val="22"/>
        </w:rPr>
        <w:t xml:space="preserve">ubjects will have their BP and pulse measured before, during and after the infusion of </w:t>
      </w:r>
      <w:r w:rsidR="007069B2">
        <w:rPr>
          <w:sz w:val="22"/>
          <w:lang w:val="en-US"/>
        </w:rPr>
        <w:t>Durvalumab</w:t>
      </w:r>
      <w:r w:rsidR="00211937" w:rsidRPr="007A3223">
        <w:rPr>
          <w:sz w:val="22"/>
        </w:rPr>
        <w:t xml:space="preserve"> at the following times (based on a 60-minute infusion): At the beginning of the infusion (at 0 minutes)</w:t>
      </w:r>
      <w:r w:rsidR="007610B3" w:rsidRPr="007A3223">
        <w:rPr>
          <w:sz w:val="22"/>
        </w:rPr>
        <w:t xml:space="preserve"> or within </w:t>
      </w:r>
      <w:r w:rsidR="009F147C" w:rsidRPr="007A3223">
        <w:rPr>
          <w:sz w:val="22"/>
        </w:rPr>
        <w:t xml:space="preserve">60 </w:t>
      </w:r>
      <w:r w:rsidR="007610B3" w:rsidRPr="007A3223">
        <w:rPr>
          <w:sz w:val="22"/>
        </w:rPr>
        <w:t xml:space="preserve">minutes prior to </w:t>
      </w:r>
      <w:r w:rsidR="00CB635C" w:rsidRPr="007A3223">
        <w:rPr>
          <w:sz w:val="22"/>
        </w:rPr>
        <w:t xml:space="preserve">the beginning of the </w:t>
      </w:r>
      <w:r w:rsidR="007610B3" w:rsidRPr="007A3223">
        <w:rPr>
          <w:sz w:val="22"/>
        </w:rPr>
        <w:t>infusion</w:t>
      </w:r>
      <w:r w:rsidR="009C1AA0" w:rsidRPr="007A3223">
        <w:rPr>
          <w:sz w:val="22"/>
        </w:rPr>
        <w:t xml:space="preserve">, </w:t>
      </w:r>
      <w:r w:rsidR="003D2F3F" w:rsidRPr="007A3223">
        <w:rPr>
          <w:sz w:val="22"/>
        </w:rPr>
        <w:t>and at the end of the infusion (at 60 minutes ±</w:t>
      </w:r>
      <w:r w:rsidR="00C12B72" w:rsidRPr="007A3223">
        <w:rPr>
          <w:sz w:val="22"/>
        </w:rPr>
        <w:t xml:space="preserve"> 10</w:t>
      </w:r>
      <w:r w:rsidR="003D2F3F" w:rsidRPr="007A3223">
        <w:rPr>
          <w:sz w:val="22"/>
        </w:rPr>
        <w:t xml:space="preserve"> minutes). </w:t>
      </w:r>
    </w:p>
    <w:p w14:paraId="531FCE4A" w14:textId="45907302" w:rsidR="00104FB8" w:rsidRPr="007A3223" w:rsidRDefault="003D2F3F" w:rsidP="00994712">
      <w:pPr>
        <w:pStyle w:val="EndnoteText"/>
        <w:spacing w:after="0"/>
        <w:rPr>
          <w:sz w:val="22"/>
        </w:rPr>
      </w:pPr>
      <w:r w:rsidRPr="007A3223">
        <w:rPr>
          <w:sz w:val="22"/>
        </w:rPr>
        <w:t>In addition, in the 1 hour observation period post-infusion: 60 minutes after the infusion (</w:t>
      </w:r>
      <w:r w:rsidR="00224536" w:rsidRPr="007A3223">
        <w:rPr>
          <w:sz w:val="22"/>
        </w:rPr>
        <w:t>i.e.</w:t>
      </w:r>
      <w:r w:rsidRPr="007A3223">
        <w:rPr>
          <w:sz w:val="22"/>
        </w:rPr>
        <w:t>, 120 minutes from the start of the infusion) (±</w:t>
      </w:r>
      <w:r w:rsidR="00C12B72" w:rsidRPr="007A3223">
        <w:rPr>
          <w:sz w:val="22"/>
        </w:rPr>
        <w:t xml:space="preserve"> </w:t>
      </w:r>
      <w:r w:rsidR="00EF29B2" w:rsidRPr="007A3223">
        <w:rPr>
          <w:sz w:val="22"/>
        </w:rPr>
        <w:t>3</w:t>
      </w:r>
      <w:r w:rsidR="00C12B72" w:rsidRPr="007A3223">
        <w:rPr>
          <w:sz w:val="22"/>
        </w:rPr>
        <w:t>0</w:t>
      </w:r>
      <w:r w:rsidRPr="007A3223">
        <w:rPr>
          <w:sz w:val="22"/>
        </w:rPr>
        <w:t xml:space="preserve"> minutes)</w:t>
      </w:r>
      <w:r w:rsidR="00C4528D" w:rsidRPr="007A3223">
        <w:rPr>
          <w:sz w:val="22"/>
        </w:rPr>
        <w:t>.</w:t>
      </w:r>
      <w:r w:rsidR="003B159E" w:rsidRPr="007A3223">
        <w:rPr>
          <w:sz w:val="22"/>
        </w:rPr>
        <w:t xml:space="preserve"> </w:t>
      </w:r>
    </w:p>
    <w:p w14:paraId="0639D317" w14:textId="027F335B" w:rsidR="00211937" w:rsidRPr="007A3223" w:rsidRDefault="003B159E" w:rsidP="00994712">
      <w:pPr>
        <w:pStyle w:val="EndnoteText"/>
        <w:spacing w:after="0"/>
        <w:rPr>
          <w:sz w:val="22"/>
        </w:rPr>
      </w:pPr>
      <w:r w:rsidRPr="007A3223">
        <w:rPr>
          <w:sz w:val="22"/>
        </w:rPr>
        <w:t xml:space="preserve">For subsequent infusions: subjects will have their BP and pulse measured before and after the infusion of </w:t>
      </w:r>
      <w:r w:rsidR="007069B2">
        <w:rPr>
          <w:sz w:val="22"/>
          <w:lang w:val="en-US"/>
        </w:rPr>
        <w:t>Durvalumab</w:t>
      </w:r>
      <w:r w:rsidRPr="007A3223">
        <w:rPr>
          <w:sz w:val="22"/>
        </w:rPr>
        <w:t xml:space="preserve"> at the following times (based on a 60-minute infusion): At the beginning of the infusion (at 0 minutes) or within </w:t>
      </w:r>
      <w:r w:rsidR="00BE1A90" w:rsidRPr="007A3223">
        <w:rPr>
          <w:sz w:val="22"/>
        </w:rPr>
        <w:t>60</w:t>
      </w:r>
      <w:r w:rsidRPr="007A3223">
        <w:rPr>
          <w:sz w:val="22"/>
        </w:rPr>
        <w:t xml:space="preserve"> minutes prior to the beginning of the infusion, and at the end of the infusion (at 60 minutes ± 10 minutes).</w:t>
      </w:r>
      <w:r w:rsidR="003D2F3F" w:rsidRPr="007A3223">
        <w:rPr>
          <w:sz w:val="22"/>
        </w:rPr>
        <w:t xml:space="preserve"> </w:t>
      </w:r>
      <w:r w:rsidR="00C4528D" w:rsidRPr="007A3223">
        <w:rPr>
          <w:sz w:val="22"/>
          <w:szCs w:val="22"/>
        </w:rPr>
        <w:t xml:space="preserve">If the infusion takes longer than 60 minutes, then blood pressure and pulse measurements should follow the principles described here, or more frequently if clinically indicated. </w:t>
      </w:r>
    </w:p>
    <w:p w14:paraId="7363C38A" w14:textId="00DE2A4F" w:rsidR="00211937" w:rsidRPr="00F33908" w:rsidRDefault="00614A50" w:rsidP="00676D97">
      <w:pPr>
        <w:pStyle w:val="EndnoteText"/>
        <w:spacing w:after="0"/>
        <w:rPr>
          <w:sz w:val="22"/>
          <w:szCs w:val="22"/>
        </w:rPr>
      </w:pPr>
      <w:r w:rsidRPr="007A3223">
        <w:rPr>
          <w:b/>
          <w:sz w:val="22"/>
          <w:szCs w:val="22"/>
        </w:rPr>
        <w:t>4</w:t>
      </w:r>
      <w:r w:rsidR="00211937" w:rsidRPr="007A3223">
        <w:rPr>
          <w:sz w:val="22"/>
          <w:szCs w:val="22"/>
        </w:rPr>
        <w:t xml:space="preserve"> Screening labs: CBC with differential, AST/ALT, total bilirubin, serum creatinine, </w:t>
      </w:r>
      <w:r w:rsidR="00F911B2" w:rsidRPr="007A3223">
        <w:rPr>
          <w:sz w:val="22"/>
          <w:szCs w:val="22"/>
        </w:rPr>
        <w:t xml:space="preserve">PT/PTT, </w:t>
      </w:r>
      <w:r w:rsidR="00211937" w:rsidRPr="007A3223">
        <w:rPr>
          <w:sz w:val="22"/>
          <w:szCs w:val="22"/>
        </w:rPr>
        <w:t>spot UPCR</w:t>
      </w:r>
      <w:r w:rsidR="00F911B2" w:rsidRPr="007A3223">
        <w:rPr>
          <w:sz w:val="22"/>
          <w:szCs w:val="22"/>
        </w:rPr>
        <w:t xml:space="preserve"> (for </w:t>
      </w:r>
      <w:r w:rsidR="007069B2">
        <w:rPr>
          <w:sz w:val="22"/>
          <w:szCs w:val="22"/>
          <w:lang w:val="en-US"/>
        </w:rPr>
        <w:t>Durvalumab</w:t>
      </w:r>
      <w:r w:rsidR="00F911B2" w:rsidRPr="007A3223">
        <w:rPr>
          <w:sz w:val="22"/>
          <w:szCs w:val="22"/>
        </w:rPr>
        <w:t>+C</w:t>
      </w:r>
      <w:r w:rsidR="00E622E6" w:rsidRPr="007A3223">
        <w:rPr>
          <w:sz w:val="22"/>
          <w:szCs w:val="22"/>
        </w:rPr>
        <w:t>, C+</w:t>
      </w:r>
      <w:r w:rsidR="007069B2">
        <w:rPr>
          <w:sz w:val="22"/>
          <w:szCs w:val="22"/>
          <w:lang w:val="en-US"/>
        </w:rPr>
        <w:t>Durvalumab</w:t>
      </w:r>
      <w:r w:rsidR="00E622E6" w:rsidRPr="007A3223">
        <w:rPr>
          <w:sz w:val="22"/>
          <w:szCs w:val="22"/>
        </w:rPr>
        <w:t xml:space="preserve"> and </w:t>
      </w:r>
      <w:r w:rsidR="007069B2">
        <w:rPr>
          <w:sz w:val="22"/>
          <w:szCs w:val="22"/>
          <w:lang w:val="en-US"/>
        </w:rPr>
        <w:t>Durvalumab</w:t>
      </w:r>
      <w:r w:rsidR="00E622E6" w:rsidRPr="007A3223">
        <w:rPr>
          <w:sz w:val="22"/>
          <w:szCs w:val="22"/>
        </w:rPr>
        <w:t xml:space="preserve">+O+C </w:t>
      </w:r>
      <w:r w:rsidR="00F911B2" w:rsidRPr="007A3223">
        <w:rPr>
          <w:sz w:val="22"/>
          <w:szCs w:val="22"/>
        </w:rPr>
        <w:t>only)</w:t>
      </w:r>
      <w:r w:rsidR="00211937" w:rsidRPr="007A3223">
        <w:rPr>
          <w:sz w:val="22"/>
          <w:szCs w:val="22"/>
        </w:rPr>
        <w:t xml:space="preserve">, urine or serum HCG, anti HIV, anti </w:t>
      </w:r>
      <w:r w:rsidR="00211937" w:rsidRPr="007A3223">
        <w:rPr>
          <w:sz w:val="22"/>
          <w:szCs w:val="22"/>
        </w:rPr>
        <w:lastRenderedPageBreak/>
        <w:t xml:space="preserve">HCV, Hepatitis B surface antigen, and anti-CMV IgG/M. </w:t>
      </w:r>
      <w:r w:rsidR="00A014B9" w:rsidRPr="007A3223">
        <w:rPr>
          <w:sz w:val="22"/>
          <w:szCs w:val="22"/>
        </w:rPr>
        <w:t xml:space="preserve">CA125 for ovarian cancer only. </w:t>
      </w:r>
      <w:r w:rsidR="00C554A7" w:rsidRPr="007A3223">
        <w:rPr>
          <w:sz w:val="22"/>
          <w:szCs w:val="22"/>
        </w:rPr>
        <w:t>Please see Section</w:t>
      </w:r>
      <w:r w:rsidR="00042AE3" w:rsidRPr="007A3223">
        <w:rPr>
          <w:sz w:val="22"/>
          <w:szCs w:val="22"/>
          <w:lang w:val="en-US"/>
        </w:rPr>
        <w:t>s</w:t>
      </w:r>
      <w:r w:rsidR="00C554A7" w:rsidRPr="007A3223">
        <w:rPr>
          <w:sz w:val="22"/>
          <w:szCs w:val="22"/>
        </w:rPr>
        <w:t xml:space="preserve"> </w:t>
      </w:r>
      <w:r w:rsidR="00042AE3" w:rsidRPr="007A3223">
        <w:rPr>
          <w:b/>
          <w:color w:val="0000FF"/>
          <w:sz w:val="22"/>
          <w:szCs w:val="22"/>
        </w:rPr>
        <w:fldChar w:fldCharType="begin"/>
      </w:r>
      <w:r w:rsidR="00042AE3" w:rsidRPr="007A3223">
        <w:rPr>
          <w:b/>
          <w:color w:val="0000FF"/>
          <w:sz w:val="22"/>
          <w:szCs w:val="22"/>
        </w:rPr>
        <w:instrText xml:space="preserve"> REF _Ref444875828 \r \h  \* MERGEFORMAT </w:instrText>
      </w:r>
      <w:r w:rsidR="00042AE3" w:rsidRPr="007A3223">
        <w:rPr>
          <w:b/>
          <w:color w:val="0000FF"/>
          <w:sz w:val="22"/>
          <w:szCs w:val="22"/>
        </w:rPr>
      </w:r>
      <w:r w:rsidR="00042AE3" w:rsidRPr="007A3223">
        <w:rPr>
          <w:b/>
          <w:color w:val="0000FF"/>
          <w:sz w:val="22"/>
          <w:szCs w:val="22"/>
        </w:rPr>
        <w:fldChar w:fldCharType="separate"/>
      </w:r>
      <w:r w:rsidR="00E47ACA">
        <w:rPr>
          <w:b/>
          <w:color w:val="0000FF"/>
          <w:sz w:val="22"/>
          <w:szCs w:val="22"/>
        </w:rPr>
        <w:t>2.7.2.1</w:t>
      </w:r>
      <w:r w:rsidR="00042AE3" w:rsidRPr="007A3223">
        <w:rPr>
          <w:b/>
          <w:color w:val="0000FF"/>
          <w:sz w:val="22"/>
          <w:szCs w:val="22"/>
        </w:rPr>
        <w:fldChar w:fldCharType="end"/>
      </w:r>
      <w:r w:rsidR="00C554A7" w:rsidRPr="007A3223">
        <w:rPr>
          <w:sz w:val="22"/>
          <w:szCs w:val="22"/>
        </w:rPr>
        <w:t xml:space="preserve"> and </w:t>
      </w:r>
      <w:r w:rsidR="00042AE3" w:rsidRPr="007A3223">
        <w:rPr>
          <w:b/>
          <w:color w:val="0000FF"/>
          <w:sz w:val="22"/>
          <w:szCs w:val="22"/>
        </w:rPr>
        <w:fldChar w:fldCharType="begin"/>
      </w:r>
      <w:r w:rsidR="00042AE3" w:rsidRPr="007A3223">
        <w:rPr>
          <w:b/>
          <w:color w:val="0000FF"/>
          <w:sz w:val="22"/>
          <w:szCs w:val="22"/>
        </w:rPr>
        <w:instrText xml:space="preserve"> REF _Ref444875839 \r \h  \* MERGEFORMAT </w:instrText>
      </w:r>
      <w:r w:rsidR="00042AE3" w:rsidRPr="007A3223">
        <w:rPr>
          <w:b/>
          <w:color w:val="0000FF"/>
          <w:sz w:val="22"/>
          <w:szCs w:val="22"/>
        </w:rPr>
      </w:r>
      <w:r w:rsidR="00042AE3" w:rsidRPr="007A3223">
        <w:rPr>
          <w:b/>
          <w:color w:val="0000FF"/>
          <w:sz w:val="22"/>
          <w:szCs w:val="22"/>
        </w:rPr>
        <w:fldChar w:fldCharType="separate"/>
      </w:r>
      <w:r w:rsidR="00E47ACA">
        <w:rPr>
          <w:b/>
          <w:color w:val="0000FF"/>
          <w:sz w:val="22"/>
          <w:szCs w:val="22"/>
        </w:rPr>
        <w:t>2.7.2.2</w:t>
      </w:r>
      <w:r w:rsidR="00042AE3" w:rsidRPr="007A3223">
        <w:rPr>
          <w:b/>
          <w:color w:val="0000FF"/>
          <w:sz w:val="22"/>
          <w:szCs w:val="22"/>
        </w:rPr>
        <w:fldChar w:fldCharType="end"/>
      </w:r>
      <w:r w:rsidR="00C554A7" w:rsidRPr="007A3223">
        <w:rPr>
          <w:sz w:val="22"/>
          <w:szCs w:val="22"/>
        </w:rPr>
        <w:t xml:space="preserve"> for mCRPC and SCLC cohorts.</w:t>
      </w:r>
    </w:p>
    <w:p w14:paraId="14A66375" w14:textId="5F0A9D12" w:rsidR="00927FBA" w:rsidRPr="007A3223" w:rsidRDefault="00614A50" w:rsidP="00676D97">
      <w:pPr>
        <w:pStyle w:val="EndnoteText"/>
        <w:spacing w:after="0"/>
        <w:rPr>
          <w:sz w:val="22"/>
          <w:szCs w:val="22"/>
        </w:rPr>
      </w:pPr>
      <w:r w:rsidRPr="007A3223">
        <w:rPr>
          <w:b/>
          <w:sz w:val="22"/>
        </w:rPr>
        <w:t>5</w:t>
      </w:r>
      <w:r w:rsidR="00211937" w:rsidRPr="007A3223">
        <w:rPr>
          <w:sz w:val="22"/>
          <w:szCs w:val="22"/>
        </w:rPr>
        <w:t xml:space="preserve"> Protocol labs: CBC with differential, Sodium, Potassium, Chloride, Bicarbonate, BUN, serum creatinine, glucose, albumin, calcium, </w:t>
      </w:r>
      <w:r w:rsidR="00A014B9" w:rsidRPr="007A3223">
        <w:rPr>
          <w:sz w:val="22"/>
          <w:szCs w:val="22"/>
        </w:rPr>
        <w:t xml:space="preserve">magnesium, </w:t>
      </w:r>
      <w:r w:rsidR="00211937" w:rsidRPr="007A3223">
        <w:rPr>
          <w:sz w:val="22"/>
          <w:szCs w:val="22"/>
        </w:rPr>
        <w:t xml:space="preserve">phosphorus, AST, ALT, alkaline phosphatase, total bilirubin, LDH, TSH, free T4, UPCR or urinalysis, TBNK lymphocyte subsets. </w:t>
      </w:r>
      <w:r w:rsidR="00A014B9" w:rsidRPr="007A3223">
        <w:rPr>
          <w:sz w:val="22"/>
          <w:szCs w:val="22"/>
        </w:rPr>
        <w:t xml:space="preserve">CA125 for ovarian cancer only. </w:t>
      </w:r>
      <w:r w:rsidR="00927FBA" w:rsidRPr="007A3223">
        <w:rPr>
          <w:sz w:val="22"/>
          <w:szCs w:val="22"/>
        </w:rPr>
        <w:t xml:space="preserve">CA125 will be collected on the day 1 of cycles but not on cycle 1 day 15. </w:t>
      </w:r>
    </w:p>
    <w:p w14:paraId="2F3956D2" w14:textId="77777777" w:rsidR="00211937" w:rsidRPr="007A3223" w:rsidRDefault="004643B7" w:rsidP="00676D97">
      <w:pPr>
        <w:pStyle w:val="EndnoteText"/>
        <w:spacing w:after="0"/>
        <w:rPr>
          <w:sz w:val="22"/>
          <w:szCs w:val="22"/>
        </w:rPr>
      </w:pPr>
      <w:r w:rsidRPr="007A3223">
        <w:rPr>
          <w:sz w:val="22"/>
          <w:szCs w:val="22"/>
        </w:rPr>
        <w:t xml:space="preserve">For mCRPC patients, changes in PSA and measurable lesions will be analyzed for efficacy according to the Prostate Cancer Clinical Trials Working Group 2 recommendations. PSA alone will not be utilized as a means to take a patient off-treatment. </w:t>
      </w:r>
    </w:p>
    <w:p w14:paraId="45C48A5C" w14:textId="1776724F" w:rsidR="00211937" w:rsidRPr="008854E2" w:rsidRDefault="00614A50" w:rsidP="00676D97">
      <w:pPr>
        <w:pStyle w:val="EndnoteText"/>
        <w:spacing w:after="0"/>
        <w:rPr>
          <w:sz w:val="22"/>
          <w:szCs w:val="22"/>
          <w:lang w:val="en-US"/>
        </w:rPr>
      </w:pPr>
      <w:r w:rsidRPr="007A3223">
        <w:rPr>
          <w:b/>
          <w:sz w:val="22"/>
          <w:szCs w:val="22"/>
        </w:rPr>
        <w:t>6</w:t>
      </w:r>
      <w:r w:rsidR="00211937" w:rsidRPr="007A3223">
        <w:rPr>
          <w:sz w:val="22"/>
          <w:szCs w:val="22"/>
        </w:rPr>
        <w:t xml:space="preserve"> Archival tissue samples will be requested from the primary surgery or the recent biopsies at entry</w:t>
      </w:r>
      <w:r w:rsidR="0054202E" w:rsidRPr="007A3223">
        <w:rPr>
          <w:sz w:val="22"/>
          <w:szCs w:val="22"/>
        </w:rPr>
        <w:t xml:space="preserve"> from all study participants</w:t>
      </w:r>
      <w:r w:rsidR="00211937" w:rsidRPr="007A3223">
        <w:rPr>
          <w:sz w:val="22"/>
          <w:szCs w:val="22"/>
        </w:rPr>
        <w:t xml:space="preserve">. </w:t>
      </w:r>
      <w:r w:rsidR="006A5AFE" w:rsidRPr="007A3223">
        <w:rPr>
          <w:sz w:val="22"/>
          <w:szCs w:val="22"/>
          <w:lang w:val="en-US"/>
        </w:rPr>
        <w:t xml:space="preserve"> Biopsies may be col</w:t>
      </w:r>
      <w:r w:rsidR="006A5AFE" w:rsidRPr="00F33908">
        <w:rPr>
          <w:sz w:val="22"/>
          <w:szCs w:val="22"/>
          <w:lang w:val="en-US"/>
        </w:rPr>
        <w:t xml:space="preserve">lected on study in </w:t>
      </w:r>
      <w:r w:rsidR="001E1276">
        <w:rPr>
          <w:sz w:val="22"/>
          <w:szCs w:val="22"/>
          <w:lang w:val="en-US"/>
        </w:rPr>
        <w:t>P</w:t>
      </w:r>
      <w:r w:rsidR="006A5AFE" w:rsidRPr="00F33908">
        <w:rPr>
          <w:sz w:val="22"/>
          <w:szCs w:val="22"/>
          <w:lang w:val="en-US"/>
        </w:rPr>
        <w:t xml:space="preserve">hase 2 participants per section </w:t>
      </w:r>
      <w:r w:rsidR="006A5AFE" w:rsidRPr="008854E2">
        <w:rPr>
          <w:rStyle w:val="crossreferenceChar"/>
          <w:sz w:val="24"/>
          <w:szCs w:val="24"/>
        </w:rPr>
        <w:fldChar w:fldCharType="begin"/>
      </w:r>
      <w:r w:rsidR="006A5AFE" w:rsidRPr="008854E2">
        <w:rPr>
          <w:rStyle w:val="crossreferenceChar"/>
          <w:sz w:val="24"/>
          <w:szCs w:val="24"/>
        </w:rPr>
        <w:instrText xml:space="preserve"> REF _Ref39047634 \r \h  \* MERGEFORMAT </w:instrText>
      </w:r>
      <w:r w:rsidR="006A5AFE" w:rsidRPr="008854E2">
        <w:rPr>
          <w:rStyle w:val="crossreferenceChar"/>
          <w:sz w:val="24"/>
          <w:szCs w:val="24"/>
        </w:rPr>
      </w:r>
      <w:r w:rsidR="006A5AFE" w:rsidRPr="008854E2">
        <w:rPr>
          <w:rStyle w:val="crossreferenceChar"/>
          <w:sz w:val="24"/>
          <w:szCs w:val="24"/>
        </w:rPr>
        <w:fldChar w:fldCharType="separate"/>
      </w:r>
      <w:r w:rsidR="00E47ACA">
        <w:rPr>
          <w:rStyle w:val="crossreferenceChar"/>
          <w:sz w:val="24"/>
          <w:szCs w:val="24"/>
        </w:rPr>
        <w:t>5.2</w:t>
      </w:r>
      <w:r w:rsidR="006A5AFE" w:rsidRPr="008854E2">
        <w:rPr>
          <w:rStyle w:val="crossreferenceChar"/>
          <w:sz w:val="24"/>
          <w:szCs w:val="24"/>
        </w:rPr>
        <w:fldChar w:fldCharType="end"/>
      </w:r>
      <w:r w:rsidR="006A5AFE" w:rsidRPr="007A3223">
        <w:rPr>
          <w:sz w:val="22"/>
          <w:szCs w:val="22"/>
          <w:lang w:val="en-US"/>
        </w:rPr>
        <w:t xml:space="preserve"> </w:t>
      </w:r>
    </w:p>
    <w:p w14:paraId="1FFCBD9F" w14:textId="5B775461" w:rsidR="00003FA0" w:rsidRPr="007A3223" w:rsidRDefault="00614A50" w:rsidP="00003FA0">
      <w:pPr>
        <w:pStyle w:val="EndnoteText"/>
        <w:spacing w:after="0"/>
        <w:rPr>
          <w:sz w:val="22"/>
          <w:szCs w:val="22"/>
        </w:rPr>
      </w:pPr>
      <w:r w:rsidRPr="007A3223">
        <w:rPr>
          <w:b/>
          <w:sz w:val="22"/>
          <w:szCs w:val="22"/>
        </w:rPr>
        <w:t>7</w:t>
      </w:r>
      <w:r w:rsidR="00211937" w:rsidRPr="007A3223">
        <w:rPr>
          <w:sz w:val="22"/>
          <w:szCs w:val="22"/>
        </w:rPr>
        <w:t xml:space="preserve"> </w:t>
      </w:r>
      <w:r w:rsidR="00003FA0" w:rsidRPr="00F33908">
        <w:rPr>
          <w:sz w:val="22"/>
          <w:szCs w:val="22"/>
        </w:rPr>
        <w:t xml:space="preserve">Effective with Amendment C, (version date 12/28/2015), </w:t>
      </w:r>
      <w:r w:rsidR="00AB167F" w:rsidRPr="00F33908">
        <w:rPr>
          <w:sz w:val="22"/>
          <w:szCs w:val="22"/>
        </w:rPr>
        <w:t xml:space="preserve">Electrocardiogram (EKG) is required for all patients at screening, </w:t>
      </w:r>
      <w:r w:rsidR="006D1C92" w:rsidRPr="007A3223">
        <w:rPr>
          <w:sz w:val="22"/>
          <w:szCs w:val="22"/>
        </w:rPr>
        <w:t xml:space="preserve">before and after </w:t>
      </w:r>
      <w:r w:rsidR="007069B2">
        <w:rPr>
          <w:sz w:val="22"/>
          <w:szCs w:val="22"/>
          <w:lang w:val="en-US"/>
        </w:rPr>
        <w:t>Durvalumab</w:t>
      </w:r>
      <w:r w:rsidR="006D1C92" w:rsidRPr="007A3223">
        <w:rPr>
          <w:sz w:val="22"/>
          <w:szCs w:val="22"/>
        </w:rPr>
        <w:t xml:space="preserve"> </w:t>
      </w:r>
      <w:r w:rsidR="00AB167F" w:rsidRPr="007A3223">
        <w:rPr>
          <w:sz w:val="22"/>
          <w:szCs w:val="22"/>
        </w:rPr>
        <w:t xml:space="preserve">on C1D1, </w:t>
      </w:r>
      <w:r w:rsidR="00467562" w:rsidRPr="007A3223">
        <w:rPr>
          <w:sz w:val="22"/>
          <w:szCs w:val="22"/>
        </w:rPr>
        <w:t xml:space="preserve">then before and after </w:t>
      </w:r>
      <w:r w:rsidR="007069B2">
        <w:rPr>
          <w:sz w:val="22"/>
          <w:szCs w:val="22"/>
          <w:lang w:val="en-US"/>
        </w:rPr>
        <w:t>Durvalumab</w:t>
      </w:r>
      <w:r w:rsidR="00467562" w:rsidRPr="007A3223">
        <w:rPr>
          <w:sz w:val="22"/>
          <w:szCs w:val="22"/>
        </w:rPr>
        <w:t xml:space="preserve"> </w:t>
      </w:r>
      <w:r w:rsidR="00C12B72" w:rsidRPr="007A3223">
        <w:rPr>
          <w:sz w:val="22"/>
          <w:szCs w:val="22"/>
        </w:rPr>
        <w:t xml:space="preserve">every </w:t>
      </w:r>
      <w:r w:rsidR="00BE1A90" w:rsidRPr="007A3223">
        <w:rPr>
          <w:sz w:val="22"/>
          <w:szCs w:val="22"/>
        </w:rPr>
        <w:t xml:space="preserve">4 </w:t>
      </w:r>
      <w:r w:rsidR="00C12B72" w:rsidRPr="007A3223">
        <w:rPr>
          <w:sz w:val="22"/>
          <w:szCs w:val="22"/>
        </w:rPr>
        <w:t>cycle</w:t>
      </w:r>
      <w:r w:rsidR="003841AA" w:rsidRPr="007A3223">
        <w:rPr>
          <w:sz w:val="22"/>
          <w:szCs w:val="22"/>
        </w:rPr>
        <w:t>s</w:t>
      </w:r>
      <w:r w:rsidR="00AB167F" w:rsidRPr="007A3223">
        <w:rPr>
          <w:sz w:val="22"/>
          <w:szCs w:val="22"/>
        </w:rPr>
        <w:t xml:space="preserve">, and at end of </w:t>
      </w:r>
      <w:r w:rsidR="003841AA" w:rsidRPr="007A3223">
        <w:rPr>
          <w:sz w:val="22"/>
          <w:szCs w:val="22"/>
        </w:rPr>
        <w:t xml:space="preserve">study </w:t>
      </w:r>
      <w:r w:rsidR="00AB167F" w:rsidRPr="007A3223">
        <w:rPr>
          <w:sz w:val="22"/>
          <w:szCs w:val="22"/>
        </w:rPr>
        <w:t xml:space="preserve">treatment, as clinically indicated based on </w:t>
      </w:r>
      <w:r w:rsidR="007069B2">
        <w:rPr>
          <w:sz w:val="22"/>
          <w:szCs w:val="22"/>
          <w:lang w:val="en-US"/>
        </w:rPr>
        <w:t>Durvalumab</w:t>
      </w:r>
      <w:r w:rsidR="00AB167F" w:rsidRPr="007A3223">
        <w:rPr>
          <w:sz w:val="22"/>
          <w:szCs w:val="22"/>
        </w:rPr>
        <w:t xml:space="preserve"> guidelines. </w:t>
      </w:r>
      <w:r w:rsidR="00003FA0" w:rsidRPr="007A3223">
        <w:rPr>
          <w:sz w:val="22"/>
          <w:szCs w:val="22"/>
        </w:rPr>
        <w:t xml:space="preserve">EKGs recorded during the screening period will be obtained in triplicate (with 2-5 minute lag time between each); EKGs recorded during the treatment phase will be single tracing. All 12-lead EKGs should be recorded while the subject is in the supine position. The same method of assessment should be used throughout the study. Twelve-lead EKGs will be obtained after the subject has been resting in a supine position for at least 5 minutes in each case. EKGs on study will be recorded within </w:t>
      </w:r>
      <w:r w:rsidR="00CC5810" w:rsidRPr="007A3223">
        <w:rPr>
          <w:sz w:val="22"/>
          <w:szCs w:val="22"/>
        </w:rPr>
        <w:t>0 to 3 hours</w:t>
      </w:r>
      <w:r w:rsidR="00003FA0" w:rsidRPr="007A3223">
        <w:rPr>
          <w:sz w:val="22"/>
          <w:szCs w:val="22"/>
        </w:rPr>
        <w:t xml:space="preserve"> prior to start of </w:t>
      </w:r>
      <w:r w:rsidR="007069B2">
        <w:rPr>
          <w:sz w:val="22"/>
          <w:szCs w:val="22"/>
          <w:lang w:val="en-US"/>
        </w:rPr>
        <w:t>Durvalumab</w:t>
      </w:r>
      <w:r w:rsidR="00003FA0" w:rsidRPr="007A3223">
        <w:rPr>
          <w:sz w:val="22"/>
          <w:szCs w:val="22"/>
        </w:rPr>
        <w:t xml:space="preserve"> infusion and at least one time point 0 to 3 hours after the infusion.</w:t>
      </w:r>
    </w:p>
    <w:p w14:paraId="221D9A85" w14:textId="49DB1AEF" w:rsidR="007E58A5" w:rsidRPr="007A3223" w:rsidRDefault="00AB167F" w:rsidP="007E58A5">
      <w:pPr>
        <w:rPr>
          <w:sz w:val="22"/>
        </w:rPr>
      </w:pPr>
      <w:r w:rsidRPr="007A3223">
        <w:rPr>
          <w:sz w:val="22"/>
        </w:rPr>
        <w:t>ECHO</w:t>
      </w:r>
      <w:r w:rsidR="00D47940" w:rsidRPr="007A3223">
        <w:rPr>
          <w:sz w:val="22"/>
        </w:rPr>
        <w:t xml:space="preserve"> or MUGA</w:t>
      </w:r>
      <w:r w:rsidRPr="007A3223">
        <w:rPr>
          <w:sz w:val="22"/>
        </w:rPr>
        <w:t xml:space="preserve"> is required at baseline and every </w:t>
      </w:r>
      <w:r w:rsidR="00D344BF" w:rsidRPr="007A3223">
        <w:rPr>
          <w:sz w:val="22"/>
        </w:rPr>
        <w:t>2</w:t>
      </w:r>
      <w:r w:rsidR="00C12B72" w:rsidRPr="007A3223">
        <w:rPr>
          <w:sz w:val="22"/>
        </w:rPr>
        <w:t xml:space="preserve"> cycle</w:t>
      </w:r>
      <w:r w:rsidR="00D344BF" w:rsidRPr="007A3223">
        <w:rPr>
          <w:sz w:val="22"/>
        </w:rPr>
        <w:t>s</w:t>
      </w:r>
      <w:r w:rsidRPr="007A3223">
        <w:rPr>
          <w:sz w:val="22"/>
        </w:rPr>
        <w:t xml:space="preserve"> while on study for the patients on </w:t>
      </w:r>
      <w:r w:rsidR="007069B2">
        <w:rPr>
          <w:sz w:val="22"/>
        </w:rPr>
        <w:t>Durvalumab</w:t>
      </w:r>
      <w:r w:rsidR="00382667" w:rsidRPr="007A3223">
        <w:rPr>
          <w:sz w:val="22"/>
        </w:rPr>
        <w:t>+</w:t>
      </w:r>
      <w:r w:rsidRPr="007A3223">
        <w:rPr>
          <w:sz w:val="22"/>
        </w:rPr>
        <w:t>C</w:t>
      </w:r>
      <w:r w:rsidR="00481064" w:rsidRPr="007A3223">
        <w:rPr>
          <w:sz w:val="22"/>
        </w:rPr>
        <w:t xml:space="preserve"> </w:t>
      </w:r>
      <w:r w:rsidR="00B61623" w:rsidRPr="007A3223">
        <w:rPr>
          <w:sz w:val="22"/>
        </w:rPr>
        <w:t xml:space="preserve">and </w:t>
      </w:r>
      <w:r w:rsidR="009B3E85">
        <w:rPr>
          <w:sz w:val="22"/>
        </w:rPr>
        <w:t>Durvalumab</w:t>
      </w:r>
      <w:r w:rsidR="00B61623" w:rsidRPr="007A3223">
        <w:rPr>
          <w:sz w:val="22"/>
        </w:rPr>
        <w:t xml:space="preserve">+O+C </w:t>
      </w:r>
      <w:r w:rsidRPr="007A3223">
        <w:rPr>
          <w:sz w:val="22"/>
        </w:rPr>
        <w:t>arm</w:t>
      </w:r>
      <w:r w:rsidR="00B61623" w:rsidRPr="007A3223">
        <w:rPr>
          <w:sz w:val="22"/>
        </w:rPr>
        <w:t>s</w:t>
      </w:r>
      <w:r w:rsidR="00F911B2" w:rsidRPr="007A3223">
        <w:rPr>
          <w:sz w:val="22"/>
        </w:rPr>
        <w:t xml:space="preserve">. </w:t>
      </w:r>
      <w:r w:rsidR="00A70E8E" w:rsidRPr="007A3223">
        <w:rPr>
          <w:sz w:val="22"/>
        </w:rPr>
        <w:t xml:space="preserve">Effective with Amendment S (version date </w:t>
      </w:r>
      <w:r w:rsidR="00D4389D" w:rsidRPr="007A3223">
        <w:rPr>
          <w:sz w:val="22"/>
        </w:rPr>
        <w:t>04</w:t>
      </w:r>
      <w:r w:rsidR="00A70E8E" w:rsidRPr="007A3223">
        <w:rPr>
          <w:sz w:val="22"/>
        </w:rPr>
        <w:t>/0</w:t>
      </w:r>
      <w:r w:rsidR="00D4389D" w:rsidRPr="007A3223">
        <w:rPr>
          <w:sz w:val="22"/>
        </w:rPr>
        <w:t>9</w:t>
      </w:r>
      <w:r w:rsidR="00A70E8E" w:rsidRPr="007A3223">
        <w:rPr>
          <w:sz w:val="22"/>
        </w:rPr>
        <w:t xml:space="preserve">/2020), </w:t>
      </w:r>
      <w:r w:rsidR="007E58A5" w:rsidRPr="007A3223">
        <w:rPr>
          <w:sz w:val="22"/>
        </w:rPr>
        <w:t>patients</w:t>
      </w:r>
      <w:r w:rsidR="00A70E8E" w:rsidRPr="007A3223">
        <w:rPr>
          <w:sz w:val="22"/>
        </w:rPr>
        <w:t xml:space="preserve"> on </w:t>
      </w:r>
      <w:r w:rsidR="00C150A8" w:rsidRPr="007A3223">
        <w:rPr>
          <w:sz w:val="22"/>
        </w:rPr>
        <w:t xml:space="preserve">the </w:t>
      </w:r>
      <w:r w:rsidR="009B3E85">
        <w:rPr>
          <w:sz w:val="22"/>
        </w:rPr>
        <w:t>Durvalumab</w:t>
      </w:r>
      <w:r w:rsidR="00A70E8E" w:rsidRPr="007A3223">
        <w:rPr>
          <w:sz w:val="22"/>
        </w:rPr>
        <w:t xml:space="preserve">+C and </w:t>
      </w:r>
      <w:r w:rsidR="009B3E85">
        <w:rPr>
          <w:sz w:val="22"/>
        </w:rPr>
        <w:t>Durvalumab</w:t>
      </w:r>
      <w:r w:rsidR="00A70E8E" w:rsidRPr="007A3223">
        <w:rPr>
          <w:sz w:val="22"/>
        </w:rPr>
        <w:t xml:space="preserve">+O+C arms </w:t>
      </w:r>
      <w:r w:rsidR="00A70E8E" w:rsidRPr="007A3223">
        <w:rPr>
          <w:sz w:val="22"/>
          <w:u w:val="single"/>
        </w:rPr>
        <w:t>&gt;</w:t>
      </w:r>
      <w:r w:rsidR="007E58A5" w:rsidRPr="007A3223">
        <w:rPr>
          <w:sz w:val="22"/>
        </w:rPr>
        <w:t xml:space="preserve"> 3</w:t>
      </w:r>
      <w:r w:rsidR="00A70E8E" w:rsidRPr="007A3223">
        <w:rPr>
          <w:sz w:val="22"/>
        </w:rPr>
        <w:t xml:space="preserve"> years may </w:t>
      </w:r>
      <w:r w:rsidR="007E58A5" w:rsidRPr="007A3223">
        <w:rPr>
          <w:sz w:val="22"/>
        </w:rPr>
        <w:t>have ECHO or MUGA</w:t>
      </w:r>
      <w:r w:rsidR="00A70E8E" w:rsidRPr="007A3223">
        <w:rPr>
          <w:sz w:val="22"/>
        </w:rPr>
        <w:t xml:space="preserve"> every 4 </w:t>
      </w:r>
      <w:r w:rsidR="004C1C4F">
        <w:rPr>
          <w:sz w:val="22"/>
        </w:rPr>
        <w:t>cycles</w:t>
      </w:r>
      <w:r w:rsidR="007E58A5" w:rsidRPr="007A3223">
        <w:rPr>
          <w:sz w:val="22"/>
        </w:rPr>
        <w:t xml:space="preserve"> (+/- 7 days).</w:t>
      </w:r>
    </w:p>
    <w:p w14:paraId="3E033A34" w14:textId="75A52EA5" w:rsidR="00AB167F" w:rsidRPr="007A3223" w:rsidRDefault="00F911B2" w:rsidP="00AB167F">
      <w:pPr>
        <w:pStyle w:val="EndnoteText"/>
        <w:spacing w:after="0"/>
        <w:rPr>
          <w:sz w:val="22"/>
          <w:szCs w:val="22"/>
          <w:lang w:val="en-US"/>
        </w:rPr>
      </w:pPr>
      <w:r w:rsidRPr="007A3223">
        <w:rPr>
          <w:sz w:val="22"/>
          <w:szCs w:val="22"/>
        </w:rPr>
        <w:t xml:space="preserve">For </w:t>
      </w:r>
      <w:r w:rsidR="009B3E85">
        <w:rPr>
          <w:sz w:val="22"/>
          <w:szCs w:val="22"/>
          <w:lang w:val="en-US"/>
        </w:rPr>
        <w:t>Durvalumab</w:t>
      </w:r>
      <w:r w:rsidRPr="007A3223">
        <w:rPr>
          <w:sz w:val="22"/>
          <w:szCs w:val="22"/>
        </w:rPr>
        <w:t>+O arm, ECHO</w:t>
      </w:r>
      <w:r w:rsidR="00B43D3F" w:rsidRPr="007A3223">
        <w:rPr>
          <w:sz w:val="22"/>
          <w:szCs w:val="22"/>
        </w:rPr>
        <w:t xml:space="preserve"> or MUGA</w:t>
      </w:r>
      <w:r w:rsidRPr="007A3223">
        <w:rPr>
          <w:sz w:val="22"/>
          <w:szCs w:val="22"/>
        </w:rPr>
        <w:t xml:space="preserve"> is required at baseline and every 4 cycles while on study for </w:t>
      </w:r>
      <w:r w:rsidR="00AB167F" w:rsidRPr="007A3223">
        <w:rPr>
          <w:sz w:val="22"/>
          <w:szCs w:val="22"/>
        </w:rPr>
        <w:t>those who have any of the following; 1) Prior treatment with anthracyclines; 2) Prior treatment with trastuzumab; 3) A New York Heart Association classification of II controlled with treatment ; 4) Prior central thoracic radiation therapy (RT), including RT to the heart; 5) History of myocardial infarction within the prior 12 months.</w:t>
      </w:r>
      <w:r w:rsidR="00FD22BE" w:rsidRPr="007A3223">
        <w:rPr>
          <w:sz w:val="22"/>
          <w:szCs w:val="22"/>
          <w:lang w:val="en-US"/>
        </w:rPr>
        <w:t xml:space="preserve"> </w:t>
      </w:r>
      <w:r w:rsidR="00591BD6" w:rsidRPr="007A3223">
        <w:rPr>
          <w:sz w:val="22"/>
          <w:szCs w:val="22"/>
        </w:rPr>
        <w:t>Baseline ECHO</w:t>
      </w:r>
      <w:r w:rsidR="00D6317D" w:rsidRPr="007A3223">
        <w:rPr>
          <w:sz w:val="22"/>
          <w:szCs w:val="22"/>
        </w:rPr>
        <w:t xml:space="preserve"> or MUGA</w:t>
      </w:r>
      <w:r w:rsidR="00591BD6" w:rsidRPr="007A3223">
        <w:rPr>
          <w:sz w:val="22"/>
          <w:szCs w:val="22"/>
        </w:rPr>
        <w:t xml:space="preserve"> can be obtained within </w:t>
      </w:r>
      <w:r w:rsidR="00D47940" w:rsidRPr="007A3223">
        <w:rPr>
          <w:sz w:val="22"/>
          <w:szCs w:val="22"/>
        </w:rPr>
        <w:t>10</w:t>
      </w:r>
      <w:r w:rsidR="00591BD6" w:rsidRPr="007A3223">
        <w:rPr>
          <w:sz w:val="22"/>
          <w:szCs w:val="22"/>
        </w:rPr>
        <w:t xml:space="preserve"> days before enrollment. Follow-up </w:t>
      </w:r>
      <w:r w:rsidR="00FD22BE" w:rsidRPr="007A3223">
        <w:rPr>
          <w:sz w:val="22"/>
          <w:szCs w:val="22"/>
          <w:lang w:val="en-US"/>
        </w:rPr>
        <w:t xml:space="preserve">ECHO </w:t>
      </w:r>
      <w:r w:rsidR="00D6317D" w:rsidRPr="007A3223">
        <w:rPr>
          <w:sz w:val="22"/>
          <w:szCs w:val="22"/>
          <w:lang w:val="en-US"/>
        </w:rPr>
        <w:t xml:space="preserve">or MUGA </w:t>
      </w:r>
      <w:r w:rsidR="00FD22BE" w:rsidRPr="007A3223">
        <w:rPr>
          <w:sz w:val="22"/>
          <w:szCs w:val="22"/>
          <w:lang w:val="en-US"/>
        </w:rPr>
        <w:t xml:space="preserve">may be done +/- </w:t>
      </w:r>
      <w:r w:rsidR="00662705" w:rsidRPr="007A3223">
        <w:rPr>
          <w:sz w:val="22"/>
          <w:szCs w:val="22"/>
          <w:lang w:val="en-US"/>
        </w:rPr>
        <w:t>7</w:t>
      </w:r>
      <w:r w:rsidR="00FD22BE" w:rsidRPr="007A3223">
        <w:rPr>
          <w:sz w:val="22"/>
          <w:szCs w:val="22"/>
          <w:lang w:val="en-US"/>
        </w:rPr>
        <w:t xml:space="preserve"> days due to holidays, inclement weather, conflicts, or similar reasons.</w:t>
      </w:r>
    </w:p>
    <w:p w14:paraId="1CDCB4A2" w14:textId="77777777" w:rsidR="00104FB8" w:rsidRPr="007A3223" w:rsidRDefault="00614A50" w:rsidP="00676D97">
      <w:pPr>
        <w:pStyle w:val="EndnoteText"/>
        <w:spacing w:after="0"/>
        <w:rPr>
          <w:sz w:val="22"/>
          <w:szCs w:val="22"/>
        </w:rPr>
      </w:pPr>
      <w:r w:rsidRPr="007A3223">
        <w:rPr>
          <w:b/>
          <w:sz w:val="22"/>
          <w:szCs w:val="22"/>
        </w:rPr>
        <w:t>8</w:t>
      </w:r>
      <w:r w:rsidR="00211937" w:rsidRPr="007A3223">
        <w:rPr>
          <w:sz w:val="22"/>
          <w:szCs w:val="22"/>
        </w:rPr>
        <w:t xml:space="preserve"> Obtained within </w:t>
      </w:r>
      <w:r w:rsidR="004117AB" w:rsidRPr="007A3223">
        <w:rPr>
          <w:sz w:val="22"/>
          <w:szCs w:val="22"/>
        </w:rPr>
        <w:t xml:space="preserve">30 </w:t>
      </w:r>
      <w:r w:rsidR="00676D97" w:rsidRPr="007A3223">
        <w:rPr>
          <w:sz w:val="22"/>
          <w:szCs w:val="22"/>
        </w:rPr>
        <w:t>days prior</w:t>
      </w:r>
      <w:r w:rsidR="00211937" w:rsidRPr="007A3223">
        <w:rPr>
          <w:sz w:val="22"/>
          <w:szCs w:val="22"/>
        </w:rPr>
        <w:t xml:space="preserve"> to initiation of therapy</w:t>
      </w:r>
      <w:r w:rsidR="00F957B5" w:rsidRPr="007A3223">
        <w:rPr>
          <w:sz w:val="22"/>
          <w:szCs w:val="22"/>
        </w:rPr>
        <w:t xml:space="preserve"> for mCRPC and 17 days prior to initiation of therapy for other tumor types</w:t>
      </w:r>
      <w:r w:rsidR="00211937" w:rsidRPr="007A3223">
        <w:rPr>
          <w:sz w:val="22"/>
          <w:szCs w:val="22"/>
        </w:rPr>
        <w:t>. If the screening scan has been obtained within this timeframe, it may be used for baseline purposes.</w:t>
      </w:r>
      <w:r w:rsidR="00C554A7" w:rsidRPr="007A3223">
        <w:rPr>
          <w:sz w:val="22"/>
          <w:szCs w:val="22"/>
        </w:rPr>
        <w:t xml:space="preserve"> </w:t>
      </w:r>
    </w:p>
    <w:p w14:paraId="5A0A793A" w14:textId="77777777" w:rsidR="00211937" w:rsidRPr="007A3223" w:rsidRDefault="00C554A7" w:rsidP="00676D97">
      <w:pPr>
        <w:pStyle w:val="EndnoteText"/>
        <w:spacing w:after="0"/>
        <w:rPr>
          <w:sz w:val="22"/>
          <w:szCs w:val="22"/>
        </w:rPr>
      </w:pPr>
      <w:r w:rsidRPr="007A3223">
        <w:rPr>
          <w:sz w:val="22"/>
          <w:szCs w:val="22"/>
        </w:rPr>
        <w:t xml:space="preserve">mCRPC patients with bone disease will have baseline CT scans and technetium-99 bone scan imaging within </w:t>
      </w:r>
      <w:r w:rsidR="002A22CC" w:rsidRPr="007A3223">
        <w:rPr>
          <w:sz w:val="22"/>
          <w:szCs w:val="22"/>
        </w:rPr>
        <w:t xml:space="preserve">30 </w:t>
      </w:r>
      <w:r w:rsidRPr="007A3223">
        <w:rPr>
          <w:sz w:val="22"/>
          <w:szCs w:val="22"/>
        </w:rPr>
        <w:t>days prior to initiation of therapy.</w:t>
      </w:r>
      <w:r w:rsidR="00050241" w:rsidRPr="007A3223">
        <w:rPr>
          <w:sz w:val="22"/>
          <w:szCs w:val="22"/>
        </w:rPr>
        <w:t xml:space="preserve"> </w:t>
      </w:r>
    </w:p>
    <w:p w14:paraId="266063D1" w14:textId="77777777" w:rsidR="00341AB9" w:rsidRDefault="00104FB8" w:rsidP="00676D97">
      <w:pPr>
        <w:pStyle w:val="EndnoteText"/>
        <w:spacing w:after="0"/>
        <w:rPr>
          <w:sz w:val="22"/>
          <w:szCs w:val="22"/>
        </w:rPr>
      </w:pPr>
      <w:r w:rsidRPr="007A3223">
        <w:rPr>
          <w:sz w:val="22"/>
          <w:szCs w:val="22"/>
        </w:rPr>
        <w:t>Restaging CT scans may be done +/- 7 days due to holidays, inclement weather, conflicts, or similar reasons.</w:t>
      </w:r>
    </w:p>
    <w:p w14:paraId="5ED97FC2" w14:textId="5AE21E31" w:rsidR="00104FB8" w:rsidRPr="00341AB9" w:rsidRDefault="00341AB9" w:rsidP="00676D97">
      <w:pPr>
        <w:pStyle w:val="EndnoteText"/>
        <w:spacing w:after="0"/>
        <w:rPr>
          <w:iCs/>
          <w:sz w:val="22"/>
          <w:lang w:val="en-US"/>
        </w:rPr>
      </w:pPr>
      <w:r w:rsidRPr="00341AB9">
        <w:rPr>
          <w:bCs/>
          <w:iCs/>
          <w:sz w:val="22"/>
          <w:lang w:val="en-US"/>
        </w:rPr>
        <w:t>MRI may be used as clinically indicated for patients who cannot tolerate CT contrast.</w:t>
      </w:r>
    </w:p>
    <w:p w14:paraId="59071F93" w14:textId="77777777" w:rsidR="00FF5432" w:rsidRPr="007A3223" w:rsidRDefault="00614A50" w:rsidP="00FF5432">
      <w:pPr>
        <w:pStyle w:val="EndnoteText"/>
        <w:spacing w:after="0"/>
        <w:rPr>
          <w:sz w:val="22"/>
          <w:szCs w:val="22"/>
        </w:rPr>
      </w:pPr>
      <w:r w:rsidRPr="007A3223">
        <w:rPr>
          <w:b/>
          <w:sz w:val="22"/>
          <w:szCs w:val="22"/>
        </w:rPr>
        <w:t>9</w:t>
      </w:r>
      <w:r w:rsidR="00211937" w:rsidRPr="007A3223">
        <w:rPr>
          <w:sz w:val="22"/>
          <w:szCs w:val="22"/>
        </w:rPr>
        <w:t xml:space="preserve"> </w:t>
      </w:r>
      <w:r w:rsidR="00FF5432" w:rsidRPr="007A3223">
        <w:rPr>
          <w:sz w:val="22"/>
          <w:szCs w:val="22"/>
        </w:rPr>
        <w:t xml:space="preserve">All patients will be evaluated at baseline and prior to each cycle by history and physical examination (H&amp;P). </w:t>
      </w:r>
    </w:p>
    <w:p w14:paraId="01532C0A" w14:textId="77777777" w:rsidR="00FF5432" w:rsidRPr="007A3223" w:rsidRDefault="004904C8" w:rsidP="00FF5432">
      <w:pPr>
        <w:pStyle w:val="EndnoteText"/>
        <w:spacing w:after="0"/>
        <w:rPr>
          <w:sz w:val="22"/>
          <w:szCs w:val="22"/>
        </w:rPr>
      </w:pPr>
      <w:r w:rsidRPr="007A3223">
        <w:rPr>
          <w:sz w:val="22"/>
          <w:szCs w:val="22"/>
        </w:rPr>
        <w:t>A</w:t>
      </w:r>
      <w:r w:rsidR="00FF5432" w:rsidRPr="007A3223">
        <w:rPr>
          <w:sz w:val="22"/>
          <w:szCs w:val="22"/>
        </w:rPr>
        <w:t>ll patients except mCRPC</w:t>
      </w:r>
      <w:r w:rsidRPr="007A3223">
        <w:rPr>
          <w:sz w:val="22"/>
          <w:szCs w:val="22"/>
        </w:rPr>
        <w:t xml:space="preserve"> </w:t>
      </w:r>
      <w:r w:rsidR="00FF5432" w:rsidRPr="007A3223">
        <w:rPr>
          <w:sz w:val="22"/>
          <w:szCs w:val="22"/>
        </w:rPr>
        <w:t xml:space="preserve">will be evaluated by imaging studies every eight weeks using RECISTv1.1 criteria (CT scan or other as appropriate). </w:t>
      </w:r>
    </w:p>
    <w:p w14:paraId="6ECD22BE" w14:textId="77777777" w:rsidR="00FF5432" w:rsidRPr="007A3223" w:rsidRDefault="00FF5432" w:rsidP="00FF5432">
      <w:pPr>
        <w:pStyle w:val="EndnoteText"/>
        <w:spacing w:after="0"/>
        <w:rPr>
          <w:sz w:val="22"/>
          <w:szCs w:val="22"/>
        </w:rPr>
      </w:pPr>
      <w:r w:rsidRPr="007A3223">
        <w:rPr>
          <w:sz w:val="22"/>
          <w:szCs w:val="22"/>
        </w:rPr>
        <w:lastRenderedPageBreak/>
        <w:t xml:space="preserve">mCRPC patients will be evaluated initially at 8 weeks by imaging studies (CT scan and technetium 99 bone scan97) and then every 12 weeks. </w:t>
      </w:r>
    </w:p>
    <w:p w14:paraId="0E8539E0" w14:textId="77777777" w:rsidR="003324BC" w:rsidRPr="007A3223" w:rsidRDefault="00211937" w:rsidP="003100C2">
      <w:r w:rsidRPr="007A3223">
        <w:rPr>
          <w:sz w:val="22"/>
        </w:rPr>
        <w:t xml:space="preserve">After PFS is determined in the phase II study, </w:t>
      </w:r>
      <w:r w:rsidR="004643B7" w:rsidRPr="007A3223">
        <w:rPr>
          <w:sz w:val="22"/>
        </w:rPr>
        <w:t xml:space="preserve">all </w:t>
      </w:r>
      <w:r w:rsidRPr="007A3223">
        <w:rPr>
          <w:sz w:val="22"/>
        </w:rPr>
        <w:t>patients who have responses a year longer than the median PFS may increase scanning interval to every 3 months at the PI’s discretion. Other patients in the phase I study will continue on the every odd cycle schedule.</w:t>
      </w:r>
      <w:r w:rsidR="00C94481" w:rsidRPr="007A3223">
        <w:rPr>
          <w:sz w:val="22"/>
        </w:rPr>
        <w:t xml:space="preserve"> Patients who became off- the treatment due to adverse events will be followed with CT scans until documented progression every two months (+/- 1 month).</w:t>
      </w:r>
      <w:r w:rsidR="00F546E6" w:rsidRPr="007A3223">
        <w:rPr>
          <w:sz w:val="22"/>
        </w:rPr>
        <w:t xml:space="preserve"> If the patient has a response (PR or CR), the response should be confirmed in </w:t>
      </w:r>
      <w:r w:rsidR="00450F04" w:rsidRPr="007A3223">
        <w:rPr>
          <w:rFonts w:hint="eastAsia"/>
          <w:sz w:val="22"/>
          <w:u w:val="single"/>
        </w:rPr>
        <w:t>≥</w:t>
      </w:r>
      <w:r w:rsidR="00F546E6" w:rsidRPr="007A3223">
        <w:rPr>
          <w:sz w:val="22"/>
        </w:rPr>
        <w:t xml:space="preserve"> 4 weeks.</w:t>
      </w:r>
      <w:r w:rsidR="003324BC" w:rsidRPr="007A3223">
        <w:t xml:space="preserve"> </w:t>
      </w:r>
    </w:p>
    <w:p w14:paraId="4EBACC2F" w14:textId="50F1F0B9" w:rsidR="00211937" w:rsidRPr="007A3223" w:rsidRDefault="003324BC" w:rsidP="003100C2">
      <w:pPr>
        <w:rPr>
          <w:sz w:val="22"/>
        </w:rPr>
      </w:pPr>
      <w:r w:rsidRPr="007A3223">
        <w:rPr>
          <w:sz w:val="22"/>
        </w:rPr>
        <w:t xml:space="preserve">Effective with Amendment O (version date 7/25/2018), the patients who achieve durable response (PR or CR) and </w:t>
      </w:r>
      <w:r w:rsidR="00F6405F" w:rsidRPr="007A3223">
        <w:rPr>
          <w:sz w:val="22"/>
        </w:rPr>
        <w:t>have been</w:t>
      </w:r>
      <w:r w:rsidR="00CB66AA" w:rsidRPr="007A3223">
        <w:rPr>
          <w:sz w:val="22"/>
        </w:rPr>
        <w:t xml:space="preserve"> </w:t>
      </w:r>
      <w:r w:rsidRPr="007A3223">
        <w:rPr>
          <w:sz w:val="22"/>
        </w:rPr>
        <w:t xml:space="preserve">on study </w:t>
      </w:r>
      <w:r w:rsidRPr="007A3223">
        <w:rPr>
          <w:sz w:val="22"/>
          <w:u w:val="single"/>
        </w:rPr>
        <w:t>&gt;</w:t>
      </w:r>
      <w:r w:rsidRPr="007A3223">
        <w:rPr>
          <w:sz w:val="22"/>
        </w:rPr>
        <w:t xml:space="preserve"> 3 years may have response evaluation by imaging every 3 months (+/- 7 days).</w:t>
      </w:r>
    </w:p>
    <w:p w14:paraId="6F380183" w14:textId="5CFB5864" w:rsidR="00C94481" w:rsidRPr="007A3223" w:rsidRDefault="00614A50" w:rsidP="00676D97">
      <w:pPr>
        <w:pStyle w:val="EndnoteText"/>
        <w:spacing w:after="0"/>
        <w:rPr>
          <w:sz w:val="22"/>
          <w:szCs w:val="22"/>
        </w:rPr>
      </w:pPr>
      <w:r w:rsidRPr="007A3223">
        <w:rPr>
          <w:b/>
          <w:sz w:val="22"/>
          <w:szCs w:val="22"/>
        </w:rPr>
        <w:t>10</w:t>
      </w:r>
      <w:r w:rsidR="00C94481" w:rsidRPr="007A3223">
        <w:rPr>
          <w:sz w:val="22"/>
          <w:szCs w:val="22"/>
        </w:rPr>
        <w:t xml:space="preserve"> AE data after off-treatment should be collected either by phone or by clinic visit monthly until subsequent anti-tumor intervention OR until 90 days post-the last dose of </w:t>
      </w:r>
      <w:r w:rsidR="009B3E85">
        <w:rPr>
          <w:sz w:val="22"/>
          <w:szCs w:val="22"/>
          <w:lang w:val="en-US"/>
        </w:rPr>
        <w:t>Durvalumab</w:t>
      </w:r>
      <w:r w:rsidR="00C94481" w:rsidRPr="007A3223">
        <w:rPr>
          <w:sz w:val="22"/>
          <w:szCs w:val="22"/>
        </w:rPr>
        <w:t xml:space="preserve"> OR until 30 days post-last dose of olaparib or cediranib</w:t>
      </w:r>
      <w:r w:rsidR="00650971" w:rsidRPr="007A3223">
        <w:rPr>
          <w:sz w:val="22"/>
          <w:szCs w:val="22"/>
          <w:lang w:val="en-US"/>
        </w:rPr>
        <w:t>, whichever occurs later</w:t>
      </w:r>
      <w:r w:rsidR="00C94481" w:rsidRPr="007A3223">
        <w:rPr>
          <w:sz w:val="22"/>
          <w:szCs w:val="22"/>
        </w:rPr>
        <w:t xml:space="preserve">. </w:t>
      </w:r>
    </w:p>
    <w:p w14:paraId="529EE1A5" w14:textId="1D44C8A8" w:rsidR="00A015D0" w:rsidRPr="007A3223" w:rsidRDefault="00A015D0" w:rsidP="00676D97">
      <w:pPr>
        <w:pStyle w:val="EndnoteText"/>
        <w:spacing w:after="0"/>
        <w:rPr>
          <w:sz w:val="22"/>
          <w:szCs w:val="22"/>
        </w:rPr>
      </w:pPr>
      <w:r w:rsidRPr="007A3223">
        <w:rPr>
          <w:sz w:val="22"/>
          <w:szCs w:val="22"/>
        </w:rPr>
        <w:t>* PK for dose level 3</w:t>
      </w:r>
      <w:r w:rsidR="0054202E" w:rsidRPr="007A3223">
        <w:rPr>
          <w:sz w:val="22"/>
          <w:szCs w:val="22"/>
        </w:rPr>
        <w:t xml:space="preserve"> of </w:t>
      </w:r>
      <w:r w:rsidR="000C7E30">
        <w:rPr>
          <w:sz w:val="22"/>
          <w:szCs w:val="22"/>
          <w:lang w:val="en-US"/>
        </w:rPr>
        <w:t>Durvalumab</w:t>
      </w:r>
      <w:r w:rsidR="0054202E" w:rsidRPr="007A3223">
        <w:rPr>
          <w:sz w:val="22"/>
          <w:szCs w:val="22"/>
        </w:rPr>
        <w:t>+O</w:t>
      </w:r>
      <w:r w:rsidR="00FE4C2C" w:rsidRPr="007A3223">
        <w:rPr>
          <w:sz w:val="22"/>
          <w:szCs w:val="22"/>
        </w:rPr>
        <w:t xml:space="preserve">, </w:t>
      </w:r>
      <w:r w:rsidR="0054202E" w:rsidRPr="007A3223">
        <w:rPr>
          <w:sz w:val="22"/>
          <w:szCs w:val="22"/>
        </w:rPr>
        <w:t xml:space="preserve">new dose levels of </w:t>
      </w:r>
      <w:r w:rsidR="000C7E30">
        <w:rPr>
          <w:sz w:val="22"/>
          <w:szCs w:val="22"/>
          <w:lang w:val="en-US"/>
        </w:rPr>
        <w:t>Durvalumab</w:t>
      </w:r>
      <w:r w:rsidR="0054202E" w:rsidRPr="007A3223">
        <w:rPr>
          <w:sz w:val="22"/>
          <w:szCs w:val="22"/>
        </w:rPr>
        <w:t>+C intermittent dose schedule</w:t>
      </w:r>
      <w:r w:rsidRPr="007A3223">
        <w:rPr>
          <w:sz w:val="22"/>
          <w:szCs w:val="22"/>
        </w:rPr>
        <w:t xml:space="preserve"> </w:t>
      </w:r>
      <w:r w:rsidR="00FE4C2C" w:rsidRPr="007A3223">
        <w:rPr>
          <w:sz w:val="22"/>
          <w:szCs w:val="22"/>
        </w:rPr>
        <w:t xml:space="preserve">and </w:t>
      </w:r>
      <w:r w:rsidR="000C7E30">
        <w:rPr>
          <w:sz w:val="22"/>
          <w:szCs w:val="22"/>
          <w:lang w:val="en-US"/>
        </w:rPr>
        <w:t>Durvalumab</w:t>
      </w:r>
      <w:r w:rsidR="00FE4C2C" w:rsidRPr="007A3223">
        <w:rPr>
          <w:sz w:val="22"/>
          <w:szCs w:val="22"/>
        </w:rPr>
        <w:t xml:space="preserve">+O+C </w:t>
      </w:r>
      <w:r w:rsidR="0054202E" w:rsidRPr="007A3223">
        <w:rPr>
          <w:sz w:val="22"/>
          <w:szCs w:val="22"/>
        </w:rPr>
        <w:t xml:space="preserve">arms </w:t>
      </w:r>
      <w:r w:rsidRPr="007A3223">
        <w:rPr>
          <w:sz w:val="22"/>
          <w:szCs w:val="22"/>
        </w:rPr>
        <w:t>(phase I study) will be collected on cycle 2 day 1</w:t>
      </w:r>
      <w:r w:rsidR="00423838" w:rsidRPr="007A3223">
        <w:rPr>
          <w:sz w:val="22"/>
          <w:szCs w:val="22"/>
        </w:rPr>
        <w:t xml:space="preserve"> given that </w:t>
      </w:r>
      <w:r w:rsidR="000C7E30">
        <w:rPr>
          <w:sz w:val="22"/>
          <w:szCs w:val="22"/>
          <w:lang w:val="en-US"/>
        </w:rPr>
        <w:t>Durvalumab</w:t>
      </w:r>
      <w:r w:rsidR="00423838" w:rsidRPr="007A3223">
        <w:rPr>
          <w:sz w:val="22"/>
          <w:szCs w:val="22"/>
        </w:rPr>
        <w:t xml:space="preserve"> is administered every 4 weeks. </w:t>
      </w:r>
    </w:p>
    <w:p w14:paraId="344355E0" w14:textId="156C2B21" w:rsidR="0054202E" w:rsidRPr="007A3223" w:rsidRDefault="0054202E" w:rsidP="00676D97">
      <w:pPr>
        <w:pStyle w:val="EndnoteText"/>
        <w:spacing w:after="0"/>
        <w:rPr>
          <w:sz w:val="22"/>
          <w:szCs w:val="22"/>
        </w:rPr>
      </w:pPr>
      <w:r w:rsidRPr="007A3223">
        <w:rPr>
          <w:sz w:val="22"/>
          <w:szCs w:val="22"/>
        </w:rPr>
        <w:t>* For</w:t>
      </w:r>
      <w:r w:rsidR="002558F9" w:rsidRPr="007A3223">
        <w:rPr>
          <w:sz w:val="22"/>
          <w:szCs w:val="22"/>
          <w:lang w:val="en-US"/>
        </w:rPr>
        <w:t xml:space="preserve"> </w:t>
      </w:r>
      <w:r w:rsidRPr="007A3223">
        <w:rPr>
          <w:sz w:val="22"/>
          <w:szCs w:val="22"/>
        </w:rPr>
        <w:t xml:space="preserve">Phase I </w:t>
      </w:r>
      <w:r w:rsidR="000C7E30">
        <w:rPr>
          <w:sz w:val="22"/>
          <w:szCs w:val="22"/>
          <w:lang w:val="en-US"/>
        </w:rPr>
        <w:t>Durvalumab</w:t>
      </w:r>
      <w:r w:rsidRPr="007A3223">
        <w:rPr>
          <w:sz w:val="22"/>
          <w:szCs w:val="22"/>
        </w:rPr>
        <w:t xml:space="preserve">+C intermittent dose schedule </w:t>
      </w:r>
      <w:r w:rsidR="00FE4C2C" w:rsidRPr="007A3223">
        <w:rPr>
          <w:sz w:val="22"/>
          <w:szCs w:val="22"/>
        </w:rPr>
        <w:t xml:space="preserve">and </w:t>
      </w:r>
      <w:r w:rsidR="000C7E30">
        <w:rPr>
          <w:sz w:val="22"/>
          <w:szCs w:val="22"/>
          <w:lang w:val="en-US"/>
        </w:rPr>
        <w:t>Durvalumab</w:t>
      </w:r>
      <w:r w:rsidR="00FE4C2C" w:rsidRPr="007A3223">
        <w:rPr>
          <w:sz w:val="22"/>
          <w:szCs w:val="22"/>
        </w:rPr>
        <w:t xml:space="preserve">+O+C </w:t>
      </w:r>
      <w:r w:rsidRPr="007A3223">
        <w:rPr>
          <w:sz w:val="22"/>
          <w:szCs w:val="22"/>
        </w:rPr>
        <w:t>arm will include blood collection for PD endpoints at pretreatment, on cy</w:t>
      </w:r>
      <w:r w:rsidR="00382667" w:rsidRPr="007A3223">
        <w:rPr>
          <w:sz w:val="22"/>
          <w:szCs w:val="22"/>
        </w:rPr>
        <w:t>cle 1 day 15, cycle 3 day 1 and</w:t>
      </w:r>
      <w:r w:rsidRPr="007A3223">
        <w:rPr>
          <w:sz w:val="22"/>
          <w:szCs w:val="22"/>
        </w:rPr>
        <w:t xml:space="preserve"> at progression. </w:t>
      </w:r>
      <w:r w:rsidR="00D11F75" w:rsidRPr="007A3223">
        <w:rPr>
          <w:sz w:val="22"/>
          <w:szCs w:val="22"/>
        </w:rPr>
        <w:t xml:space="preserve">The patients on </w:t>
      </w:r>
      <w:r w:rsidR="00FE4C2C" w:rsidRPr="007A3223">
        <w:rPr>
          <w:sz w:val="22"/>
          <w:szCs w:val="22"/>
        </w:rPr>
        <w:t>cediranib</w:t>
      </w:r>
      <w:r w:rsidR="00D11F75" w:rsidRPr="007A3223">
        <w:rPr>
          <w:sz w:val="22"/>
          <w:szCs w:val="22"/>
        </w:rPr>
        <w:t xml:space="preserve"> intermittent sche</w:t>
      </w:r>
      <w:r w:rsidR="006C3C82" w:rsidRPr="007A3223">
        <w:rPr>
          <w:sz w:val="22"/>
          <w:szCs w:val="22"/>
        </w:rPr>
        <w:t xml:space="preserve">dule (5 days on/2days off) may begin with 2-4 days on/2 days off during the first week </w:t>
      </w:r>
      <w:r w:rsidR="00CB0714" w:rsidRPr="007A3223">
        <w:rPr>
          <w:sz w:val="22"/>
          <w:szCs w:val="22"/>
        </w:rPr>
        <w:t xml:space="preserve">of the cycle </w:t>
      </w:r>
      <w:r w:rsidR="006C3C82" w:rsidRPr="007A3223">
        <w:rPr>
          <w:sz w:val="22"/>
          <w:szCs w:val="22"/>
        </w:rPr>
        <w:t xml:space="preserve"> to have weekdays (Monday through Friday) on/weekend (Saturday and Sunday) off schedule, subsequent administrations are</w:t>
      </w:r>
      <w:r w:rsidR="00D11F75" w:rsidRPr="007A3223">
        <w:rPr>
          <w:sz w:val="22"/>
          <w:szCs w:val="22"/>
        </w:rPr>
        <w:t xml:space="preserve"> then adjusted to maintain a </w:t>
      </w:r>
      <w:r w:rsidR="006C3C82" w:rsidRPr="007A3223">
        <w:rPr>
          <w:sz w:val="22"/>
          <w:szCs w:val="22"/>
        </w:rPr>
        <w:t>5 days on/2 days off</w:t>
      </w:r>
      <w:r w:rsidR="00D11F75" w:rsidRPr="007A3223">
        <w:rPr>
          <w:sz w:val="22"/>
          <w:szCs w:val="22"/>
        </w:rPr>
        <w:t xml:space="preserve">-interval.  </w:t>
      </w:r>
    </w:p>
    <w:p w14:paraId="16425189" w14:textId="71BF4FB3" w:rsidR="00211937" w:rsidRPr="007A3223" w:rsidRDefault="006F5336" w:rsidP="00211937">
      <w:pPr>
        <w:rPr>
          <w:sz w:val="22"/>
        </w:rPr>
      </w:pPr>
      <w:r w:rsidRPr="007A3223">
        <w:rPr>
          <w:b/>
          <w:sz w:val="22"/>
        </w:rPr>
        <w:t xml:space="preserve">11 </w:t>
      </w:r>
      <w:r w:rsidRPr="007A3223">
        <w:rPr>
          <w:sz w:val="22"/>
        </w:rPr>
        <w:t xml:space="preserve">Patients will remain on study and followed for adverse events after drug discontinuation for </w:t>
      </w:r>
      <w:r w:rsidR="009D0A93" w:rsidRPr="007A3223">
        <w:rPr>
          <w:sz w:val="22"/>
        </w:rPr>
        <w:t xml:space="preserve">a </w:t>
      </w:r>
      <w:r w:rsidRPr="007A3223">
        <w:rPr>
          <w:sz w:val="22"/>
        </w:rPr>
        <w:t>minimum of</w:t>
      </w:r>
      <w:r w:rsidRPr="007A3223">
        <w:rPr>
          <w:b/>
          <w:sz w:val="22"/>
        </w:rPr>
        <w:t xml:space="preserve"> 90 days </w:t>
      </w:r>
      <w:r w:rsidRPr="007A3223">
        <w:rPr>
          <w:sz w:val="22"/>
        </w:rPr>
        <w:t xml:space="preserve">post the final infusion of </w:t>
      </w:r>
      <w:r w:rsidR="000C7E30">
        <w:rPr>
          <w:sz w:val="22"/>
        </w:rPr>
        <w:t>Durvalumab</w:t>
      </w:r>
      <w:r w:rsidRPr="007A3223">
        <w:rPr>
          <w:sz w:val="22"/>
        </w:rPr>
        <w:t xml:space="preserve">, OR </w:t>
      </w:r>
      <w:r w:rsidRPr="007A3223">
        <w:rPr>
          <w:b/>
          <w:sz w:val="22"/>
        </w:rPr>
        <w:t>30 days</w:t>
      </w:r>
      <w:r w:rsidRPr="007A3223">
        <w:rPr>
          <w:sz w:val="22"/>
        </w:rPr>
        <w:t xml:space="preserve"> after the final dose of cediranib or olaparib</w:t>
      </w:r>
      <w:r w:rsidR="00650971" w:rsidRPr="007A3223">
        <w:rPr>
          <w:sz w:val="22"/>
        </w:rPr>
        <w:t>, whichever occurs later</w:t>
      </w:r>
      <w:r w:rsidRPr="007A3223">
        <w:rPr>
          <w:sz w:val="22"/>
        </w:rPr>
        <w:t>, OR until initiation of alternative cancer therapy</w:t>
      </w:r>
      <w:r w:rsidR="00E750A0" w:rsidRPr="007A3223">
        <w:rPr>
          <w:sz w:val="22"/>
        </w:rPr>
        <w:t>.</w:t>
      </w:r>
    </w:p>
    <w:p w14:paraId="3E099A57" w14:textId="04B167DE" w:rsidR="00B20463" w:rsidRPr="007A3223" w:rsidRDefault="00B20463" w:rsidP="00211937">
      <w:pPr>
        <w:rPr>
          <w:sz w:val="22"/>
        </w:rPr>
      </w:pPr>
      <w:r w:rsidRPr="007A3223">
        <w:rPr>
          <w:b/>
          <w:sz w:val="22"/>
        </w:rPr>
        <w:t>12</w:t>
      </w:r>
      <w:r w:rsidRPr="007A3223">
        <w:rPr>
          <w:rFonts w:eastAsia="Times New Roman"/>
          <w:color w:val="000000"/>
          <w:sz w:val="22"/>
        </w:rPr>
        <w:t xml:space="preserve"> As indicated in section </w:t>
      </w:r>
      <w:r w:rsidRPr="007A3223">
        <w:rPr>
          <w:rFonts w:eastAsia="Times New Roman"/>
          <w:color w:val="0000FF"/>
          <w:sz w:val="22"/>
          <w:u w:val="single"/>
        </w:rPr>
        <w:fldChar w:fldCharType="begin"/>
      </w:r>
      <w:r w:rsidRPr="007A3223">
        <w:rPr>
          <w:rFonts w:eastAsia="Times New Roman"/>
          <w:color w:val="0000FF"/>
          <w:sz w:val="22"/>
        </w:rPr>
        <w:instrText xml:space="preserve"> REF _Ref468091895 \r \h </w:instrText>
      </w:r>
      <w:r w:rsidRPr="007A3223">
        <w:rPr>
          <w:rFonts w:eastAsia="Times New Roman"/>
          <w:color w:val="0000FF"/>
          <w:sz w:val="22"/>
          <w:u w:val="single"/>
        </w:rPr>
        <w:instrText xml:space="preserve"> \* MERGEFORMAT </w:instrText>
      </w:r>
      <w:r w:rsidRPr="007A3223">
        <w:rPr>
          <w:rFonts w:eastAsia="Times New Roman"/>
          <w:color w:val="0000FF"/>
          <w:sz w:val="22"/>
          <w:u w:val="single"/>
        </w:rPr>
      </w:r>
      <w:r w:rsidRPr="007A3223">
        <w:rPr>
          <w:rFonts w:eastAsia="Times New Roman"/>
          <w:color w:val="0000FF"/>
          <w:sz w:val="22"/>
          <w:u w:val="single"/>
        </w:rPr>
        <w:fldChar w:fldCharType="separate"/>
      </w:r>
      <w:r w:rsidR="00E47ACA">
        <w:rPr>
          <w:rFonts w:eastAsia="Times New Roman"/>
          <w:color w:val="0000FF"/>
          <w:sz w:val="22"/>
        </w:rPr>
        <w:t>1.1</w:t>
      </w:r>
      <w:r w:rsidRPr="007A3223">
        <w:rPr>
          <w:rFonts w:eastAsia="Times New Roman"/>
          <w:color w:val="0000FF"/>
          <w:sz w:val="22"/>
          <w:u w:val="single"/>
        </w:rPr>
        <w:fldChar w:fldCharType="end"/>
      </w:r>
      <w:r w:rsidRPr="007A3223">
        <w:rPr>
          <w:rFonts w:eastAsia="Times New Roman"/>
          <w:color w:val="000000"/>
          <w:sz w:val="22"/>
        </w:rPr>
        <w:t>, all subjects ≥ age 18 will be offered the opportunity to complete an NI</w:t>
      </w:r>
      <w:r w:rsidR="002637C9" w:rsidRPr="007A3223">
        <w:rPr>
          <w:rFonts w:eastAsia="Times New Roman"/>
          <w:color w:val="000000"/>
          <w:sz w:val="22"/>
        </w:rPr>
        <w:t>H advance</w:t>
      </w:r>
      <w:r w:rsidRPr="00F33908">
        <w:rPr>
          <w:rFonts w:eastAsia="Times New Roman"/>
          <w:color w:val="000000"/>
          <w:sz w:val="22"/>
        </w:rPr>
        <w:t xml:space="preserve"> directives form.  This should be done preferably at baseline but can be done at any time during the study as long as the capacity to do so is retained.  The completion of th</w:t>
      </w:r>
      <w:r w:rsidRPr="007A3223">
        <w:rPr>
          <w:rFonts w:eastAsia="Times New Roman"/>
          <w:color w:val="000000"/>
          <w:sz w:val="22"/>
        </w:rPr>
        <w:t>e form is strongly recommended, but is not required.</w:t>
      </w:r>
    </w:p>
    <w:p w14:paraId="47B75D4B" w14:textId="77777777" w:rsidR="00211937" w:rsidRPr="007A3223" w:rsidRDefault="00211937" w:rsidP="00886D51"/>
    <w:p w14:paraId="0F851E16" w14:textId="5F2092BD" w:rsidR="00B4495C" w:rsidRDefault="00947CA0" w:rsidP="00ED703B">
      <w:pPr>
        <w:pStyle w:val="Heading2"/>
      </w:pPr>
      <w:bookmarkStart w:id="213" w:name="_Toc82444360"/>
      <w:r w:rsidRPr="00B4495C">
        <w:t>Cost and Compensation</w:t>
      </w:r>
      <w:bookmarkEnd w:id="213"/>
    </w:p>
    <w:p w14:paraId="2ED28BB1" w14:textId="77777777" w:rsidR="00B4495C" w:rsidRDefault="00B4495C" w:rsidP="00B4495C">
      <w:pPr>
        <w:pStyle w:val="Heading3"/>
      </w:pPr>
      <w:bookmarkStart w:id="214" w:name="_Toc61361779"/>
      <w:r>
        <w:t>Costs</w:t>
      </w:r>
      <w:bookmarkEnd w:id="214"/>
    </w:p>
    <w:p w14:paraId="5017F875" w14:textId="77777777" w:rsidR="00B4495C" w:rsidRDefault="00B4495C" w:rsidP="00B4495C">
      <w:pPr>
        <w:rPr>
          <w:iCs/>
          <w:szCs w:val="24"/>
        </w:rPr>
      </w:pPr>
      <w:r w:rsidRPr="004C04A6">
        <w:rPr>
          <w:rFonts w:eastAsia="Times New Roman"/>
          <w:szCs w:val="24"/>
        </w:rPr>
        <w:t>NIH does not bill health insurance companies or participants for any research or related clinical care that participants receive at the NIH Clinical Center.  If some tests and procedures performed outside the NIH Clinical Center, participants may have to pay for these costs if they are not covered by insurance company.  Medicines that are not part of the study treatment will not be provided or paid for by the NIH Clinical Center</w:t>
      </w:r>
      <w:r w:rsidRPr="004C04A6">
        <w:rPr>
          <w:iCs/>
          <w:szCs w:val="24"/>
        </w:rPr>
        <w:t xml:space="preserve">.    </w:t>
      </w:r>
    </w:p>
    <w:p w14:paraId="0DCD3937" w14:textId="77777777" w:rsidR="00676A1B" w:rsidRDefault="00676A1B" w:rsidP="00676A1B">
      <w:pPr>
        <w:pStyle w:val="Heading3"/>
      </w:pPr>
      <w:bookmarkStart w:id="215" w:name="_Toc61361780"/>
      <w:r>
        <w:t>Compensation</w:t>
      </w:r>
      <w:bookmarkEnd w:id="215"/>
    </w:p>
    <w:p w14:paraId="1117F037" w14:textId="5E80145B" w:rsidR="00B4495C" w:rsidRDefault="00B671F2" w:rsidP="00B4495C">
      <w:pPr>
        <w:rPr>
          <w:lang w:val="x-none" w:eastAsia="x-none"/>
        </w:rPr>
      </w:pPr>
      <w:r w:rsidRPr="00B671F2">
        <w:rPr>
          <w:lang w:val="x-none" w:eastAsia="x-none"/>
        </w:rPr>
        <w:t>Participants will not be compensated on this study.</w:t>
      </w:r>
    </w:p>
    <w:p w14:paraId="253F52F4" w14:textId="77777777" w:rsidR="001D69C1" w:rsidRDefault="001D69C1" w:rsidP="001D69C1">
      <w:pPr>
        <w:pStyle w:val="Heading3"/>
      </w:pPr>
      <w:bookmarkStart w:id="216" w:name="_Toc61361781"/>
      <w:r>
        <w:lastRenderedPageBreak/>
        <w:t>Reimbursement</w:t>
      </w:r>
      <w:bookmarkEnd w:id="216"/>
      <w:r>
        <w:t xml:space="preserve"> </w:t>
      </w:r>
    </w:p>
    <w:p w14:paraId="10882ED7" w14:textId="6F77D435" w:rsidR="001D69C1" w:rsidRDefault="001D69C1" w:rsidP="001D69C1">
      <w:pPr>
        <w:tabs>
          <w:tab w:val="left" w:pos="360"/>
        </w:tabs>
      </w:pPr>
      <w:r>
        <w:t>The NCI will cover the costs of some expenses associated with protocol participation.  Some of these costs may be paid directly by the NIH and some may be reimbursed to the participant/guardian as appropriat</w:t>
      </w:r>
      <w:r w:rsidRPr="00CF2046">
        <w:t xml:space="preserve">e.  </w:t>
      </w:r>
      <w:r w:rsidRPr="00092A09">
        <w:t>The amount and form of these payments are determined by the NCI Travel and Lodging Reimbursement Policy</w:t>
      </w:r>
      <w:r w:rsidRPr="00CF2046">
        <w:t>.</w:t>
      </w:r>
      <w:r>
        <w:t xml:space="preserve"> </w:t>
      </w:r>
    </w:p>
    <w:p w14:paraId="7299C398" w14:textId="77777777" w:rsidR="001D69C1" w:rsidRPr="00B4495C" w:rsidRDefault="001D69C1" w:rsidP="00B4495C">
      <w:pPr>
        <w:rPr>
          <w:lang w:val="x-none" w:eastAsia="x-none"/>
        </w:rPr>
      </w:pPr>
    </w:p>
    <w:p w14:paraId="6082EF12" w14:textId="09B568E0" w:rsidR="00586EB7" w:rsidRPr="007A3223" w:rsidRDefault="00586EB7" w:rsidP="00ED703B">
      <w:pPr>
        <w:pStyle w:val="Heading2"/>
      </w:pPr>
      <w:bookmarkStart w:id="217" w:name="_Toc82444361"/>
      <w:r w:rsidRPr="007A3223">
        <w:t>Criteria for Removal from Protocol Therapy and Off Study Criteria</w:t>
      </w:r>
      <w:bookmarkEnd w:id="217"/>
    </w:p>
    <w:p w14:paraId="3255C59A" w14:textId="53618781" w:rsidR="00791A01" w:rsidRPr="007A3223" w:rsidRDefault="00791A01" w:rsidP="00791A01">
      <w:pPr>
        <w:widowControl w:val="0"/>
        <w:tabs>
          <w:tab w:val="left" w:pos="360"/>
        </w:tabs>
        <w:autoSpaceDE w:val="0"/>
        <w:autoSpaceDN w:val="0"/>
        <w:adjustRightInd w:val="0"/>
        <w:spacing w:after="0"/>
      </w:pPr>
      <w:r w:rsidRPr="007A3223">
        <w:t xml:space="preserve">Prior to removal from study, effort must be made to have all subjects complete a safety visit approximately 90 days past the last infusion of </w:t>
      </w:r>
      <w:r w:rsidR="000C7E30">
        <w:t>Durvalumab</w:t>
      </w:r>
      <w:r w:rsidRPr="007A3223">
        <w:t>, or 30 days following the last dose of cediranib or olaparib, whichever is later.</w:t>
      </w:r>
    </w:p>
    <w:p w14:paraId="1A1A63CD" w14:textId="77777777" w:rsidR="00586EB7" w:rsidRPr="007A3223" w:rsidRDefault="00586EB7" w:rsidP="005538C5">
      <w:pPr>
        <w:pStyle w:val="Heading3"/>
      </w:pPr>
      <w:r w:rsidRPr="007A3223">
        <w:t>Criteria for removal from protocol therapy</w:t>
      </w:r>
    </w:p>
    <w:p w14:paraId="5EBE5C75" w14:textId="77777777" w:rsidR="00586EB7" w:rsidRPr="007A3223" w:rsidRDefault="00586EB7" w:rsidP="00586EB7">
      <w:pPr>
        <w:widowControl w:val="0"/>
        <w:tabs>
          <w:tab w:val="left" w:pos="360"/>
        </w:tabs>
        <w:autoSpaceDE w:val="0"/>
        <w:autoSpaceDN w:val="0"/>
        <w:adjustRightInd w:val="0"/>
        <w:spacing w:after="0"/>
      </w:pPr>
      <w:r w:rsidRPr="007A3223">
        <w:t>In the absence of treatment delays due to adverse events, treatment may continue until one of the following criteria applies:</w:t>
      </w:r>
    </w:p>
    <w:p w14:paraId="47EDE220" w14:textId="77777777" w:rsidR="00586EB7" w:rsidRPr="007A3223" w:rsidRDefault="00586EB7" w:rsidP="00FB66BA">
      <w:pPr>
        <w:pStyle w:val="ListParagraph"/>
        <w:widowControl w:val="0"/>
        <w:numPr>
          <w:ilvl w:val="0"/>
          <w:numId w:val="18"/>
        </w:numPr>
        <w:tabs>
          <w:tab w:val="left" w:pos="360"/>
        </w:tabs>
        <w:autoSpaceDE w:val="0"/>
        <w:autoSpaceDN w:val="0"/>
        <w:adjustRightInd w:val="0"/>
        <w:ind w:left="0" w:firstLine="0"/>
      </w:pPr>
      <w:r w:rsidRPr="007A3223">
        <w:t>Disease progression,</w:t>
      </w:r>
    </w:p>
    <w:p w14:paraId="0C08B581" w14:textId="77777777" w:rsidR="00586EB7" w:rsidRPr="007A3223" w:rsidRDefault="00586EB7" w:rsidP="00FB66BA">
      <w:pPr>
        <w:pStyle w:val="ListParagraph"/>
        <w:widowControl w:val="0"/>
        <w:numPr>
          <w:ilvl w:val="0"/>
          <w:numId w:val="18"/>
        </w:numPr>
        <w:tabs>
          <w:tab w:val="left" w:pos="360"/>
        </w:tabs>
        <w:autoSpaceDE w:val="0"/>
        <w:autoSpaceDN w:val="0"/>
        <w:adjustRightInd w:val="0"/>
        <w:ind w:left="0" w:firstLine="0"/>
      </w:pPr>
      <w:r w:rsidRPr="007A3223">
        <w:t>Intercurrent illness that prevents further administration of treatment,</w:t>
      </w:r>
    </w:p>
    <w:p w14:paraId="4527BB1A" w14:textId="77777777" w:rsidR="00586EB7" w:rsidRPr="007A3223" w:rsidRDefault="00586EB7" w:rsidP="00FB66BA">
      <w:pPr>
        <w:pStyle w:val="ListParagraph"/>
        <w:numPr>
          <w:ilvl w:val="0"/>
          <w:numId w:val="18"/>
        </w:numPr>
        <w:tabs>
          <w:tab w:val="left" w:pos="360"/>
        </w:tabs>
        <w:ind w:left="360"/>
      </w:pPr>
      <w:r w:rsidRPr="007A3223">
        <w:t>Unacceptable adverse event(s): Any severe (</w:t>
      </w:r>
      <w:r w:rsidR="007E15C8" w:rsidRPr="007A3223">
        <w:t>g</w:t>
      </w:r>
      <w:r w:rsidRPr="007A3223">
        <w:t xml:space="preserve">rade 3 or 4) toxicity that has not resolved to NCI/CTEP </w:t>
      </w:r>
      <w:r w:rsidR="00B67CB4" w:rsidRPr="007A3223">
        <w:t>g</w:t>
      </w:r>
      <w:r w:rsidRPr="007A3223">
        <w:t xml:space="preserve">rade 1 toxicity by three weeks or the best medical judgment of the </w:t>
      </w:r>
      <w:r w:rsidR="00626DF3" w:rsidRPr="007A3223">
        <w:t xml:space="preserve">PI </w:t>
      </w:r>
      <w:r w:rsidRPr="007A3223">
        <w:t>or one of the associate investigators will result in the cessation of therapy.</w:t>
      </w:r>
    </w:p>
    <w:p w14:paraId="07CC3F92" w14:textId="77777777" w:rsidR="00724ACD" w:rsidRPr="007A3223" w:rsidRDefault="00724ACD" w:rsidP="00FB66BA">
      <w:pPr>
        <w:pStyle w:val="ListParagraph"/>
        <w:numPr>
          <w:ilvl w:val="0"/>
          <w:numId w:val="18"/>
        </w:numPr>
        <w:tabs>
          <w:tab w:val="left" w:pos="360"/>
        </w:tabs>
        <w:ind w:left="360"/>
      </w:pPr>
      <w:r w:rsidRPr="007A3223">
        <w:t xml:space="preserve">Patient requests to be withdrawn from an active therapy. </w:t>
      </w:r>
    </w:p>
    <w:p w14:paraId="2041B8DA" w14:textId="12A5921C" w:rsidR="00586EB7" w:rsidRPr="007A3223" w:rsidRDefault="00586EB7" w:rsidP="00FB66BA">
      <w:pPr>
        <w:pStyle w:val="ListParagraph"/>
        <w:numPr>
          <w:ilvl w:val="0"/>
          <w:numId w:val="18"/>
        </w:numPr>
        <w:tabs>
          <w:tab w:val="left" w:pos="360"/>
        </w:tabs>
        <w:ind w:left="360"/>
      </w:pPr>
      <w:r w:rsidRPr="007A3223">
        <w:t>Patient withdraws consent. In this event, the reasons for withdrawal will be documented and the patient will be taken off study at that time.</w:t>
      </w:r>
    </w:p>
    <w:p w14:paraId="145D45F6" w14:textId="77777777" w:rsidR="00586EB7" w:rsidRPr="007A3223" w:rsidRDefault="00586EB7" w:rsidP="00FB66BA">
      <w:pPr>
        <w:pStyle w:val="ListParagraph"/>
        <w:widowControl w:val="0"/>
        <w:numPr>
          <w:ilvl w:val="0"/>
          <w:numId w:val="18"/>
        </w:numPr>
        <w:tabs>
          <w:tab w:val="left" w:pos="360"/>
        </w:tabs>
        <w:autoSpaceDE w:val="0"/>
        <w:autoSpaceDN w:val="0"/>
        <w:adjustRightInd w:val="0"/>
        <w:ind w:left="360"/>
      </w:pPr>
      <w:r w:rsidRPr="007A3223">
        <w:t>If patients are non-compliant with the protocol guidelines, they may be removed</w:t>
      </w:r>
    </w:p>
    <w:p w14:paraId="59519BC6" w14:textId="77777777" w:rsidR="00586EB7" w:rsidRPr="007A3223" w:rsidRDefault="00586EB7" w:rsidP="00586EB7">
      <w:pPr>
        <w:pStyle w:val="ListParagraph"/>
        <w:widowControl w:val="0"/>
        <w:tabs>
          <w:tab w:val="left" w:pos="360"/>
        </w:tabs>
        <w:autoSpaceDE w:val="0"/>
        <w:autoSpaceDN w:val="0"/>
        <w:adjustRightInd w:val="0"/>
        <w:ind w:left="360"/>
      </w:pPr>
      <w:r w:rsidRPr="007A3223">
        <w:t xml:space="preserve">from the study at the discretion of the </w:t>
      </w:r>
      <w:r w:rsidR="00561B91" w:rsidRPr="007A3223">
        <w:t>PI</w:t>
      </w:r>
      <w:r w:rsidRPr="007A3223">
        <w:t>.</w:t>
      </w:r>
    </w:p>
    <w:p w14:paraId="2AD1D79E" w14:textId="77777777" w:rsidR="006A7FD7" w:rsidRPr="007A3223" w:rsidRDefault="006A7FD7" w:rsidP="00FB66BA">
      <w:pPr>
        <w:pStyle w:val="ListParagraph"/>
        <w:widowControl w:val="0"/>
        <w:numPr>
          <w:ilvl w:val="0"/>
          <w:numId w:val="18"/>
        </w:numPr>
        <w:tabs>
          <w:tab w:val="left" w:pos="360"/>
        </w:tabs>
        <w:autoSpaceDE w:val="0"/>
        <w:autoSpaceDN w:val="0"/>
        <w:adjustRightInd w:val="0"/>
        <w:ind w:left="360"/>
      </w:pPr>
      <w:r w:rsidRPr="007A3223">
        <w:t>Positive pregnancy test</w:t>
      </w:r>
    </w:p>
    <w:p w14:paraId="4F499653" w14:textId="77777777" w:rsidR="007E15C8" w:rsidRPr="007A3223" w:rsidRDefault="007E15C8" w:rsidP="00586EB7">
      <w:pPr>
        <w:pStyle w:val="ListParagraph"/>
        <w:widowControl w:val="0"/>
        <w:tabs>
          <w:tab w:val="left" w:pos="360"/>
        </w:tabs>
        <w:autoSpaceDE w:val="0"/>
        <w:autoSpaceDN w:val="0"/>
        <w:adjustRightInd w:val="0"/>
        <w:ind w:left="360"/>
      </w:pPr>
    </w:p>
    <w:p w14:paraId="5518C465" w14:textId="77777777" w:rsidR="00586EB7" w:rsidRPr="007A3223" w:rsidRDefault="00586EB7" w:rsidP="00EC160E">
      <w:pPr>
        <w:pStyle w:val="Heading3"/>
      </w:pPr>
      <w:r w:rsidRPr="007A3223">
        <w:t>Follow-up</w:t>
      </w:r>
    </w:p>
    <w:p w14:paraId="32333327" w14:textId="5F9834E8" w:rsidR="002514E7" w:rsidRPr="007A3223" w:rsidRDefault="00586EB7" w:rsidP="002514E7">
      <w:pPr>
        <w:widowControl w:val="0"/>
        <w:autoSpaceDE w:val="0"/>
        <w:autoSpaceDN w:val="0"/>
        <w:adjustRightInd w:val="0"/>
        <w:spacing w:after="0"/>
        <w:ind w:firstLine="360"/>
        <w:rPr>
          <w:szCs w:val="24"/>
        </w:rPr>
      </w:pPr>
      <w:r w:rsidRPr="007A3223">
        <w:rPr>
          <w:szCs w:val="24"/>
        </w:rPr>
        <w:t xml:space="preserve">Patients will remain on study </w:t>
      </w:r>
      <w:r w:rsidR="00A72D04" w:rsidRPr="007A3223">
        <w:rPr>
          <w:szCs w:val="24"/>
        </w:rPr>
        <w:t>and</w:t>
      </w:r>
      <w:r w:rsidR="003D2F3F" w:rsidRPr="007A3223">
        <w:rPr>
          <w:szCs w:val="24"/>
        </w:rPr>
        <w:t xml:space="preserve"> be</w:t>
      </w:r>
      <w:r w:rsidR="00A72D04" w:rsidRPr="007A3223">
        <w:rPr>
          <w:szCs w:val="24"/>
        </w:rPr>
        <w:t xml:space="preserve"> followed for adverse events </w:t>
      </w:r>
      <w:r w:rsidRPr="007A3223">
        <w:rPr>
          <w:szCs w:val="24"/>
        </w:rPr>
        <w:t>after drug discontinuation for minimum of</w:t>
      </w:r>
      <w:r w:rsidRPr="007A3223">
        <w:rPr>
          <w:b/>
          <w:szCs w:val="24"/>
        </w:rPr>
        <w:t xml:space="preserve"> </w:t>
      </w:r>
      <w:r w:rsidR="00A72D04" w:rsidRPr="007A3223">
        <w:rPr>
          <w:b/>
          <w:szCs w:val="24"/>
        </w:rPr>
        <w:t xml:space="preserve">90 days </w:t>
      </w:r>
      <w:r w:rsidR="00A72D04" w:rsidRPr="007A3223">
        <w:rPr>
          <w:szCs w:val="24"/>
        </w:rPr>
        <w:t>post the final</w:t>
      </w:r>
      <w:r w:rsidR="00C34BDA" w:rsidRPr="007A3223">
        <w:rPr>
          <w:szCs w:val="24"/>
        </w:rPr>
        <w:t xml:space="preserve"> infusion of </w:t>
      </w:r>
      <w:r w:rsidR="00E90507">
        <w:rPr>
          <w:szCs w:val="24"/>
        </w:rPr>
        <w:t>Durvalumab</w:t>
      </w:r>
      <w:r w:rsidR="00C34BDA" w:rsidRPr="007A3223">
        <w:rPr>
          <w:szCs w:val="24"/>
        </w:rPr>
        <w:t>, OR</w:t>
      </w:r>
      <w:r w:rsidR="00A72D04" w:rsidRPr="007A3223">
        <w:rPr>
          <w:szCs w:val="24"/>
        </w:rPr>
        <w:t xml:space="preserve"> </w:t>
      </w:r>
      <w:r w:rsidR="00A72D04" w:rsidRPr="007A3223">
        <w:rPr>
          <w:b/>
          <w:szCs w:val="24"/>
        </w:rPr>
        <w:t>30 days</w:t>
      </w:r>
      <w:r w:rsidR="00A72D04" w:rsidRPr="007A3223">
        <w:rPr>
          <w:szCs w:val="24"/>
        </w:rPr>
        <w:t xml:space="preserve"> after the fina</w:t>
      </w:r>
      <w:r w:rsidR="00C34BDA" w:rsidRPr="007A3223">
        <w:rPr>
          <w:szCs w:val="24"/>
        </w:rPr>
        <w:t xml:space="preserve">l dose of cediranib </w:t>
      </w:r>
      <w:r w:rsidR="00172953" w:rsidRPr="007A3223">
        <w:rPr>
          <w:szCs w:val="24"/>
        </w:rPr>
        <w:t xml:space="preserve">or olaparib, </w:t>
      </w:r>
      <w:r w:rsidR="00C34BDA" w:rsidRPr="007A3223">
        <w:rPr>
          <w:szCs w:val="24"/>
        </w:rPr>
        <w:t>or until the patient</w:t>
      </w:r>
      <w:r w:rsidR="00A72D04" w:rsidRPr="007A3223">
        <w:rPr>
          <w:szCs w:val="24"/>
        </w:rPr>
        <w:t xml:space="preserve"> </w:t>
      </w:r>
      <w:r w:rsidR="00C34BDA" w:rsidRPr="007A3223">
        <w:rPr>
          <w:szCs w:val="24"/>
        </w:rPr>
        <w:t>receive</w:t>
      </w:r>
      <w:r w:rsidR="0049254C" w:rsidRPr="007A3223">
        <w:rPr>
          <w:szCs w:val="24"/>
        </w:rPr>
        <w:t>s</w:t>
      </w:r>
      <w:r w:rsidR="00C34BDA" w:rsidRPr="007A3223">
        <w:rPr>
          <w:szCs w:val="24"/>
        </w:rPr>
        <w:t xml:space="preserve"> the subsequent treatment after progression</w:t>
      </w:r>
      <w:r w:rsidR="00DD098A" w:rsidRPr="007A3223">
        <w:rPr>
          <w:szCs w:val="24"/>
        </w:rPr>
        <w:t>.</w:t>
      </w:r>
      <w:r w:rsidR="002514E7" w:rsidRPr="007A3223">
        <w:rPr>
          <w:szCs w:val="24"/>
        </w:rPr>
        <w:t xml:space="preserve"> </w:t>
      </w:r>
    </w:p>
    <w:p w14:paraId="713E3E8D" w14:textId="77777777" w:rsidR="00DD098A" w:rsidRPr="007A3223" w:rsidRDefault="00586EB7" w:rsidP="00DD098A">
      <w:pPr>
        <w:widowControl w:val="0"/>
        <w:autoSpaceDE w:val="0"/>
        <w:autoSpaceDN w:val="0"/>
        <w:adjustRightInd w:val="0"/>
        <w:spacing w:after="0"/>
        <w:ind w:firstLine="360"/>
        <w:rPr>
          <w:szCs w:val="24"/>
        </w:rPr>
      </w:pPr>
      <w:r w:rsidRPr="007A3223">
        <w:rPr>
          <w:szCs w:val="24"/>
        </w:rPr>
        <w:t xml:space="preserve">At the final visit they can be deemed off-study. In the event that a patient cannot return for a clinic visit, follow-up will be conducted in the form of a phone call. </w:t>
      </w:r>
    </w:p>
    <w:p w14:paraId="7BF289D3" w14:textId="6D328856" w:rsidR="00DD098A" w:rsidRPr="007A3223" w:rsidRDefault="00586EB7" w:rsidP="00DD098A">
      <w:pPr>
        <w:widowControl w:val="0"/>
        <w:autoSpaceDE w:val="0"/>
        <w:autoSpaceDN w:val="0"/>
        <w:adjustRightInd w:val="0"/>
        <w:spacing w:after="0"/>
        <w:ind w:firstLine="360"/>
        <w:rPr>
          <w:szCs w:val="24"/>
        </w:rPr>
      </w:pPr>
      <w:r w:rsidRPr="007A3223">
        <w:rPr>
          <w:szCs w:val="24"/>
        </w:rPr>
        <w:t xml:space="preserve">Patients removed from treatment for unacceptable adverse events will be followed </w:t>
      </w:r>
      <w:r w:rsidR="00DD098A" w:rsidRPr="007A3223">
        <w:rPr>
          <w:szCs w:val="24"/>
        </w:rPr>
        <w:t xml:space="preserve">monthly </w:t>
      </w:r>
      <w:r w:rsidRPr="007A3223">
        <w:rPr>
          <w:szCs w:val="24"/>
        </w:rPr>
        <w:t>until resolution or stabilization of the adverse event</w:t>
      </w:r>
      <w:r w:rsidR="003F719F" w:rsidRPr="007A3223">
        <w:rPr>
          <w:szCs w:val="24"/>
        </w:rPr>
        <w:t xml:space="preserve"> or until</w:t>
      </w:r>
      <w:r w:rsidR="00672423" w:rsidRPr="007A3223">
        <w:rPr>
          <w:szCs w:val="24"/>
        </w:rPr>
        <w:t xml:space="preserve"> minimum of </w:t>
      </w:r>
      <w:r w:rsidR="003F719F" w:rsidRPr="007A3223">
        <w:rPr>
          <w:szCs w:val="24"/>
        </w:rPr>
        <w:t xml:space="preserve">90 days after the last infusion of </w:t>
      </w:r>
      <w:r w:rsidR="00E90507">
        <w:rPr>
          <w:szCs w:val="24"/>
        </w:rPr>
        <w:t>Durvalumab</w:t>
      </w:r>
      <w:r w:rsidR="003F719F" w:rsidRPr="007A3223">
        <w:rPr>
          <w:szCs w:val="24"/>
        </w:rPr>
        <w:t xml:space="preserve"> or 30 days after the last dose of olaparib or cediranib</w:t>
      </w:r>
      <w:r w:rsidR="008726B5" w:rsidRPr="007A3223">
        <w:rPr>
          <w:szCs w:val="24"/>
        </w:rPr>
        <w:t>, whichever occurs later</w:t>
      </w:r>
      <w:r w:rsidR="003F719F" w:rsidRPr="007A3223">
        <w:rPr>
          <w:szCs w:val="24"/>
        </w:rPr>
        <w:t xml:space="preserve">, </w:t>
      </w:r>
      <w:r w:rsidR="00254289" w:rsidRPr="007A3223">
        <w:rPr>
          <w:szCs w:val="24"/>
        </w:rPr>
        <w:t xml:space="preserve">or until the initiation of </w:t>
      </w:r>
      <w:r w:rsidR="005F04C2" w:rsidRPr="007A3223">
        <w:rPr>
          <w:szCs w:val="24"/>
        </w:rPr>
        <w:t>other tumor</w:t>
      </w:r>
      <w:r w:rsidR="00254289" w:rsidRPr="007A3223">
        <w:rPr>
          <w:szCs w:val="24"/>
        </w:rPr>
        <w:t xml:space="preserve"> treatment, </w:t>
      </w:r>
      <w:r w:rsidR="003F719F" w:rsidRPr="007A3223">
        <w:rPr>
          <w:szCs w:val="24"/>
        </w:rPr>
        <w:t>whichever occurs later</w:t>
      </w:r>
      <w:r w:rsidRPr="007A3223">
        <w:rPr>
          <w:szCs w:val="24"/>
        </w:rPr>
        <w:t xml:space="preserve">. </w:t>
      </w:r>
      <w:r w:rsidR="00DD098A" w:rsidRPr="007A3223">
        <w:rPr>
          <w:szCs w:val="24"/>
        </w:rPr>
        <w:t xml:space="preserve">Also, </w:t>
      </w:r>
      <w:r w:rsidR="00672423" w:rsidRPr="007A3223">
        <w:rPr>
          <w:szCs w:val="24"/>
        </w:rPr>
        <w:t xml:space="preserve">patients removed from treatment for unacceptable adverse events </w:t>
      </w:r>
      <w:r w:rsidR="00DD098A" w:rsidRPr="007A3223">
        <w:rPr>
          <w:szCs w:val="24"/>
        </w:rPr>
        <w:t xml:space="preserve">will be followed with CT scan every two months (+/- 1 month) until documented progression </w:t>
      </w:r>
      <w:r w:rsidR="00672423" w:rsidRPr="007A3223">
        <w:rPr>
          <w:szCs w:val="24"/>
        </w:rPr>
        <w:t>or until the initiation of other tumor treatment, whichever occurs later.</w:t>
      </w:r>
    </w:p>
    <w:p w14:paraId="229E655B" w14:textId="77777777" w:rsidR="005F04C2" w:rsidRPr="007A3223" w:rsidRDefault="005F04C2" w:rsidP="00672423">
      <w:pPr>
        <w:widowControl w:val="0"/>
        <w:autoSpaceDE w:val="0"/>
        <w:autoSpaceDN w:val="0"/>
        <w:adjustRightInd w:val="0"/>
        <w:spacing w:after="0"/>
        <w:rPr>
          <w:szCs w:val="24"/>
        </w:rPr>
      </w:pPr>
    </w:p>
    <w:p w14:paraId="31A317B8" w14:textId="77777777" w:rsidR="00586EB7" w:rsidRPr="007A3223" w:rsidRDefault="00586EB7" w:rsidP="00EC160E">
      <w:pPr>
        <w:pStyle w:val="Heading3"/>
      </w:pPr>
      <w:r w:rsidRPr="007A3223">
        <w:lastRenderedPageBreak/>
        <w:t>Off-Study Criteria</w:t>
      </w:r>
    </w:p>
    <w:p w14:paraId="58D1C881" w14:textId="77777777" w:rsidR="00586EB7" w:rsidRPr="007A3223" w:rsidRDefault="00586EB7" w:rsidP="007E15C8">
      <w:pPr>
        <w:spacing w:after="0"/>
        <w:ind w:firstLine="360"/>
        <w:rPr>
          <w:szCs w:val="24"/>
        </w:rPr>
      </w:pPr>
      <w:r w:rsidRPr="007A3223">
        <w:rPr>
          <w:szCs w:val="24"/>
        </w:rPr>
        <w:t>Patients will be considered off-study after:</w:t>
      </w:r>
    </w:p>
    <w:p w14:paraId="0305F4D4" w14:textId="77777777" w:rsidR="00586EB7" w:rsidRPr="007A3223" w:rsidRDefault="00586EB7" w:rsidP="00FB66BA">
      <w:pPr>
        <w:pStyle w:val="ListParagraph"/>
        <w:numPr>
          <w:ilvl w:val="0"/>
          <w:numId w:val="19"/>
        </w:numPr>
      </w:pPr>
      <w:r w:rsidRPr="007A3223">
        <w:t>Withdrawal of consent</w:t>
      </w:r>
    </w:p>
    <w:p w14:paraId="168E1514" w14:textId="71808FFD" w:rsidR="00586EB7" w:rsidRPr="007A3223" w:rsidRDefault="00586EB7" w:rsidP="00FB66BA">
      <w:pPr>
        <w:pStyle w:val="ListParagraph"/>
        <w:numPr>
          <w:ilvl w:val="0"/>
          <w:numId w:val="19"/>
        </w:numPr>
      </w:pPr>
      <w:r w:rsidRPr="007A3223">
        <w:t>Completion of follow-up</w:t>
      </w:r>
    </w:p>
    <w:p w14:paraId="6C20D817" w14:textId="7A448DC0" w:rsidR="00552629" w:rsidRPr="007A3223" w:rsidRDefault="00552629" w:rsidP="00FB66BA">
      <w:pPr>
        <w:pStyle w:val="ListParagraph"/>
        <w:numPr>
          <w:ilvl w:val="0"/>
          <w:numId w:val="19"/>
        </w:numPr>
      </w:pPr>
      <w:r w:rsidRPr="007A3223">
        <w:rPr>
          <w:lang w:val="en-US"/>
        </w:rPr>
        <w:t>Lost to follow-up</w:t>
      </w:r>
    </w:p>
    <w:p w14:paraId="63CB4C40" w14:textId="5825C4FB" w:rsidR="00586EB7" w:rsidRDefault="00586EB7" w:rsidP="00FB66BA">
      <w:pPr>
        <w:pStyle w:val="ListParagraph"/>
        <w:numPr>
          <w:ilvl w:val="0"/>
          <w:numId w:val="19"/>
        </w:numPr>
      </w:pPr>
      <w:r w:rsidRPr="007A3223">
        <w:t>Death</w:t>
      </w:r>
    </w:p>
    <w:p w14:paraId="3C02ADA5" w14:textId="76D26BF9" w:rsidR="00BC1A12" w:rsidRPr="007A3223" w:rsidRDefault="00BC1A12" w:rsidP="00FB66BA">
      <w:pPr>
        <w:pStyle w:val="ListParagraph"/>
        <w:numPr>
          <w:ilvl w:val="0"/>
          <w:numId w:val="19"/>
        </w:numPr>
      </w:pPr>
      <w:r>
        <w:rPr>
          <w:lang w:val="en-US"/>
        </w:rPr>
        <w:t>Screen failure</w:t>
      </w:r>
    </w:p>
    <w:p w14:paraId="083B33EA" w14:textId="593A2991" w:rsidR="00947CA0" w:rsidRDefault="00947CA0" w:rsidP="00947CA0">
      <w:pPr>
        <w:pStyle w:val="Heading3"/>
      </w:pPr>
      <w:r>
        <w:t>Lost to Follow-Up</w:t>
      </w:r>
    </w:p>
    <w:p w14:paraId="265A9E20" w14:textId="77777777" w:rsidR="00040431" w:rsidRDefault="00040431" w:rsidP="00040431">
      <w:r>
        <w:t xml:space="preserve">A participant will be considered lost to follow-up if he or she fails to return for one scheduled treatment visit and is unable to be contacted by the study site staff. </w:t>
      </w:r>
    </w:p>
    <w:p w14:paraId="7D70FC06" w14:textId="77777777" w:rsidR="00040431" w:rsidRDefault="00040431" w:rsidP="00040431">
      <w:r>
        <w:t>The following actions must be taken if a participant fails to return to the clinic for a required study visit:</w:t>
      </w:r>
    </w:p>
    <w:p w14:paraId="7281808A" w14:textId="77777777" w:rsidR="00040431" w:rsidRDefault="00040431" w:rsidP="00E56CB2">
      <w:pPr>
        <w:pStyle w:val="ListParagraph"/>
        <w:numPr>
          <w:ilvl w:val="0"/>
          <w:numId w:val="79"/>
        </w:numPr>
        <w:spacing w:before="0"/>
      </w:pPr>
      <w:r>
        <w:t>The site will attempt to contact the participant by the methods described below to reschedule the missed visit within 7 days of the missed visit, counsel the participant on the importance of maintaining the assigned visit schedule, and ascertain if the participant wishes to and/or should continue in the study.</w:t>
      </w:r>
    </w:p>
    <w:p w14:paraId="6D2D32D4" w14:textId="77777777" w:rsidR="00040431" w:rsidRDefault="00040431" w:rsidP="00E56CB2">
      <w:pPr>
        <w:pStyle w:val="ListParagraph"/>
        <w:numPr>
          <w:ilvl w:val="0"/>
          <w:numId w:val="79"/>
        </w:numPr>
        <w:spacing w:before="0"/>
      </w:pPr>
      <w:r>
        <w:t xml:space="preserve">Before a participant is deemed lost to follow-up, the investigator or designee will make every effort to regain contact with the participant within 7 days (a minimum of 3 contact attempts using the participant’s preferred method of contact </w:t>
      </w:r>
      <w:r w:rsidRPr="00974E63">
        <w:t>via phone, email, or a combination of both</w:t>
      </w:r>
      <w:r>
        <w:t>;</w:t>
      </w:r>
      <w:r w:rsidRPr="00974E63">
        <w:t xml:space="preserve"> </w:t>
      </w:r>
      <w:r>
        <w:t xml:space="preserve">and if necessary, a letter sent </w:t>
      </w:r>
      <w:r w:rsidRPr="00F10D7C">
        <w:t>through a trackable delivery service</w:t>
      </w:r>
      <w:r>
        <w:t xml:space="preserve"> to the participant’s last known mailing address. These contact attempts should be documented in the participant’s medical record or study file.</w:t>
      </w:r>
    </w:p>
    <w:p w14:paraId="6C752C3D" w14:textId="4249ADED" w:rsidR="00F22C15" w:rsidRPr="007A3223" w:rsidRDefault="00040431" w:rsidP="007E15C8">
      <w:pPr>
        <w:spacing w:after="0"/>
        <w:rPr>
          <w:szCs w:val="24"/>
        </w:rPr>
      </w:pPr>
      <w:r>
        <w:t>Should the participant continue to be unreachable, he or she will be considered to have withdrawn from the study with a primary reason of lost to follow-up.</w:t>
      </w:r>
    </w:p>
    <w:p w14:paraId="662F0769" w14:textId="77777777" w:rsidR="00082E67" w:rsidRPr="007A3223" w:rsidRDefault="00082E67" w:rsidP="00D20197">
      <w:pPr>
        <w:pStyle w:val="Heading1"/>
        <w:rPr>
          <w:rFonts w:hint="eastAsia"/>
        </w:rPr>
      </w:pPr>
      <w:bookmarkStart w:id="218" w:name="_Toc82444362"/>
      <w:r w:rsidRPr="007A3223">
        <w:t>CONCOMITANT MEDICATIONS/MEASURES</w:t>
      </w:r>
      <w:bookmarkEnd w:id="218"/>
    </w:p>
    <w:p w14:paraId="353C2CAC" w14:textId="77777777" w:rsidR="00082E67" w:rsidRPr="007A3223" w:rsidRDefault="00082E67" w:rsidP="00ED703B">
      <w:pPr>
        <w:pStyle w:val="Heading2"/>
      </w:pPr>
      <w:bookmarkStart w:id="219" w:name="_Toc82444363"/>
      <w:r w:rsidRPr="007A3223">
        <w:t>Prohibited Medications</w:t>
      </w:r>
      <w:bookmarkEnd w:id="219"/>
    </w:p>
    <w:p w14:paraId="608AA10B" w14:textId="77777777" w:rsidR="00082E67" w:rsidRPr="007A3223" w:rsidRDefault="00082E67" w:rsidP="00FB66BA">
      <w:pPr>
        <w:pStyle w:val="ListParagraph"/>
        <w:widowControl w:val="0"/>
        <w:numPr>
          <w:ilvl w:val="0"/>
          <w:numId w:val="38"/>
        </w:numPr>
        <w:tabs>
          <w:tab w:val="left" w:pos="360"/>
        </w:tabs>
        <w:autoSpaceDE w:val="0"/>
        <w:autoSpaceDN w:val="0"/>
        <w:adjustRightInd w:val="0"/>
        <w:ind w:left="360"/>
      </w:pPr>
      <w:r w:rsidRPr="007A3223">
        <w:t xml:space="preserve">No concomitant use of alternative, complementary therapies or over-the-counter agents will be allowed without approval of the PI. All medications must be recorded in the case report form and be reviewed by the treating physician at each visit. </w:t>
      </w:r>
    </w:p>
    <w:p w14:paraId="415105AD" w14:textId="46A54633" w:rsidR="00DB275A" w:rsidRPr="007A3223" w:rsidRDefault="00DB275A" w:rsidP="00FB66BA">
      <w:pPr>
        <w:pStyle w:val="ListParagraph"/>
        <w:widowControl w:val="0"/>
        <w:numPr>
          <w:ilvl w:val="0"/>
          <w:numId w:val="38"/>
        </w:numPr>
        <w:tabs>
          <w:tab w:val="left" w:pos="360"/>
        </w:tabs>
        <w:autoSpaceDE w:val="0"/>
        <w:autoSpaceDN w:val="0"/>
        <w:adjustRightInd w:val="0"/>
        <w:ind w:left="360"/>
      </w:pPr>
      <w:r w:rsidRPr="007A3223">
        <w:t xml:space="preserve">Immunosuppressive medications including, but not limited to, systemic corticosteroids at doses exceeding 10 mg/day of prednisone or equivalent, methotrexate, azathioprine, and TNF-α blockers are prohibited while patients are receiving treatment with </w:t>
      </w:r>
      <w:r w:rsidR="00E90507">
        <w:rPr>
          <w:lang w:val="en-US"/>
        </w:rPr>
        <w:t>Durvalumab</w:t>
      </w:r>
      <w:r w:rsidRPr="007A3223">
        <w:t xml:space="preserve">. Use of immunosuppressive medications for the management of investigational product-related AEs or in subjects with contrast allergies is acceptable. In addition, use of inhaled and intranasal corticosteroids is permitted. </w:t>
      </w:r>
    </w:p>
    <w:p w14:paraId="5C53A027" w14:textId="68B74086" w:rsidR="00DB275A" w:rsidRPr="007A3223" w:rsidRDefault="00DB275A" w:rsidP="00FB66BA">
      <w:pPr>
        <w:pStyle w:val="ListParagraph"/>
        <w:widowControl w:val="0"/>
        <w:numPr>
          <w:ilvl w:val="0"/>
          <w:numId w:val="38"/>
        </w:numPr>
        <w:tabs>
          <w:tab w:val="left" w:pos="360"/>
        </w:tabs>
        <w:autoSpaceDE w:val="0"/>
        <w:autoSpaceDN w:val="0"/>
        <w:adjustRightInd w:val="0"/>
        <w:ind w:left="360"/>
      </w:pPr>
      <w:r w:rsidRPr="007A3223">
        <w:t xml:space="preserve">Live attenuated vaccines within 30 days of </w:t>
      </w:r>
      <w:r w:rsidR="00E90507">
        <w:rPr>
          <w:lang w:val="en-US"/>
        </w:rPr>
        <w:t>Durvalumab</w:t>
      </w:r>
      <w:r w:rsidRPr="007A3223">
        <w:t xml:space="preserve"> dosing (ie, 30 days prior to the first dose, during treatment with </w:t>
      </w:r>
      <w:r w:rsidR="00E90507">
        <w:rPr>
          <w:lang w:val="en-US"/>
        </w:rPr>
        <w:t>Durvalumab</w:t>
      </w:r>
      <w:r w:rsidRPr="007A3223">
        <w:t xml:space="preserve"> and for 30 days post discontinuation of </w:t>
      </w:r>
      <w:r w:rsidR="00E90507">
        <w:rPr>
          <w:lang w:val="en-US"/>
        </w:rPr>
        <w:t>Durvalumab</w:t>
      </w:r>
      <w:r w:rsidRPr="007A3223">
        <w:t>).  Inactivated viruses, such as those in the influenza vaccine, are permitted.</w:t>
      </w:r>
    </w:p>
    <w:p w14:paraId="0F33DE00" w14:textId="77777777" w:rsidR="00082E67" w:rsidRPr="007A3223" w:rsidRDefault="00082E67" w:rsidP="00FB66BA">
      <w:pPr>
        <w:pStyle w:val="ListParagraph"/>
        <w:numPr>
          <w:ilvl w:val="0"/>
          <w:numId w:val="38"/>
        </w:numPr>
        <w:tabs>
          <w:tab w:val="left" w:pos="360"/>
        </w:tabs>
        <w:ind w:left="360"/>
      </w:pPr>
      <w:r w:rsidRPr="007A3223">
        <w:t xml:space="preserve">Oral anticoagulants such as warfarin are not contraindicated during treatment with cediranib, provided that there is increased vigilance with respect to monitoring INR. If medically </w:t>
      </w:r>
      <w:r w:rsidRPr="007A3223">
        <w:lastRenderedPageBreak/>
        <w:t xml:space="preserve">appropriate, low molecular weight heparin may be considered preferable to </w:t>
      </w:r>
      <w:r w:rsidR="00115727" w:rsidRPr="007A3223">
        <w:t>warfarin</w:t>
      </w:r>
      <w:r w:rsidRPr="007A3223">
        <w:t xml:space="preserve">, due to shorter half-life and more predictable anticoagulant effect.  </w:t>
      </w:r>
    </w:p>
    <w:p w14:paraId="53D853B5" w14:textId="77777777" w:rsidR="00082E67" w:rsidRPr="007A3223" w:rsidRDefault="00082E67" w:rsidP="00FB66BA">
      <w:pPr>
        <w:pStyle w:val="ListParagraph"/>
        <w:numPr>
          <w:ilvl w:val="0"/>
          <w:numId w:val="38"/>
        </w:numPr>
        <w:tabs>
          <w:tab w:val="left" w:pos="360"/>
        </w:tabs>
        <w:ind w:left="360"/>
      </w:pPr>
      <w:r w:rsidRPr="007A3223">
        <w:t xml:space="preserve">For patients on cediranib </w:t>
      </w:r>
      <w:r w:rsidR="001355B3" w:rsidRPr="007A3223">
        <w:t>or</w:t>
      </w:r>
      <w:r w:rsidRPr="007A3223">
        <w:t xml:space="preserve"> olaparib, caution should be exercised in the concomitant use of any medication that may markedly affect renal function. Such medications may be used with caution as deemed essential for treatment, or if already in use prior to entry in the study without any effect on renal function. </w:t>
      </w:r>
    </w:p>
    <w:p w14:paraId="2D1018F4" w14:textId="77777777" w:rsidR="00082E67" w:rsidRPr="007A3223" w:rsidRDefault="00082E67" w:rsidP="00FB66BA">
      <w:pPr>
        <w:pStyle w:val="ListParagraph"/>
        <w:numPr>
          <w:ilvl w:val="0"/>
          <w:numId w:val="38"/>
        </w:numPr>
        <w:tabs>
          <w:tab w:val="left" w:pos="360"/>
        </w:tabs>
        <w:ind w:left="360"/>
      </w:pPr>
      <w:r w:rsidRPr="007A3223">
        <w:t xml:space="preserve">For patients on cediranib </w:t>
      </w:r>
      <w:r w:rsidR="001355B3" w:rsidRPr="007A3223">
        <w:t>or</w:t>
      </w:r>
      <w:r w:rsidRPr="007A3223">
        <w:t xml:space="preserve"> olaparib, caution should be exercised in concomitant use of any medication that may significantly affect hepatic CYP450 drug metabolizing activity by way of enzyme induction (</w:t>
      </w:r>
      <w:r w:rsidR="00224536" w:rsidRPr="007A3223">
        <w:t>e.g.</w:t>
      </w:r>
      <w:r w:rsidRPr="007A3223">
        <w:t xml:space="preserve"> Phenytoin) or inhibition (</w:t>
      </w:r>
      <w:r w:rsidR="00224536" w:rsidRPr="007A3223">
        <w:t>e.g.</w:t>
      </w:r>
      <w:r w:rsidRPr="007A3223">
        <w:t xml:space="preserve"> ketoconazole, ritonavir, erythromycin) within 2 week</w:t>
      </w:r>
      <w:r w:rsidR="00A95E88" w:rsidRPr="007A3223">
        <w:t>s before</w:t>
      </w:r>
      <w:r w:rsidRPr="007A3223">
        <w:t xml:space="preserve"> the first dose of cediranib/olaparib and throughout the study period.</w:t>
      </w:r>
    </w:p>
    <w:p w14:paraId="5D9A0615" w14:textId="77777777" w:rsidR="003C2A51" w:rsidRPr="007A3223" w:rsidRDefault="00082E67" w:rsidP="00FB66BA">
      <w:pPr>
        <w:pStyle w:val="ListParagraph"/>
        <w:numPr>
          <w:ilvl w:val="0"/>
          <w:numId w:val="38"/>
        </w:numPr>
        <w:tabs>
          <w:tab w:val="left" w:pos="360"/>
        </w:tabs>
        <w:ind w:left="360"/>
        <w:rPr>
          <w:b/>
          <w:color w:val="0000FF"/>
        </w:rPr>
      </w:pPr>
      <w:r w:rsidRPr="007A3223">
        <w:t xml:space="preserve">Based on </w:t>
      </w:r>
      <w:r w:rsidRPr="007A3223">
        <w:rPr>
          <w:i/>
        </w:rPr>
        <w:t>in vitro</w:t>
      </w:r>
      <w:r w:rsidRPr="007A3223">
        <w:t xml:space="preserve"> and clinical exposure data, olaparib is considered unlikely to cause clinically significant drug interactions through inhibition or induction of cytochrome P450 enzyme activity. However, </w:t>
      </w:r>
      <w:r w:rsidRPr="007A3223">
        <w:rPr>
          <w:i/>
        </w:rPr>
        <w:t>in vitro</w:t>
      </w:r>
      <w:r w:rsidRPr="007A3223">
        <w:t xml:space="preserve"> data have also shown that cytochrome P450 3A4 (CYP 3A4) is the principal isoenzyme responsible for the formation of the 3 main metabolites of olaparib. Formal </w:t>
      </w:r>
      <w:r w:rsidRPr="007A3223">
        <w:rPr>
          <w:i/>
        </w:rPr>
        <w:t>in vivo</w:t>
      </w:r>
      <w:r w:rsidRPr="007A3223">
        <w:t xml:space="preserve"> drug-drug interaction studies have not yet been conducted for </w:t>
      </w:r>
      <w:r w:rsidR="00A95E88" w:rsidRPr="007A3223">
        <w:t xml:space="preserve">an investigational </w:t>
      </w:r>
      <w:r w:rsidRPr="007A3223">
        <w:t xml:space="preserve">tablet formulation of olaparib. </w:t>
      </w:r>
    </w:p>
    <w:p w14:paraId="78E82B5E" w14:textId="548696DE" w:rsidR="00082E67" w:rsidRPr="00F33908" w:rsidRDefault="00082E67" w:rsidP="00FB66BA">
      <w:pPr>
        <w:pStyle w:val="ListParagraph"/>
        <w:numPr>
          <w:ilvl w:val="0"/>
          <w:numId w:val="38"/>
        </w:numPr>
        <w:tabs>
          <w:tab w:val="left" w:pos="360"/>
        </w:tabs>
        <w:ind w:left="360"/>
      </w:pPr>
      <w:r w:rsidRPr="007A3223">
        <w:t>Given this data, potent inhibitors or inducers of CYP3A4 (as outlined in</w:t>
      </w:r>
      <w:r w:rsidR="00D0073C" w:rsidRPr="007A3223">
        <w:t xml:space="preserve"> </w:t>
      </w:r>
      <w:r w:rsidR="00307B04" w:rsidRPr="007A3223">
        <w:fldChar w:fldCharType="begin"/>
      </w:r>
      <w:r w:rsidR="00307B04" w:rsidRPr="007A3223">
        <w:instrText xml:space="preserve"> REF _Ref408917937 \h  \* MERGEFORMAT </w:instrText>
      </w:r>
      <w:r w:rsidR="00307B04" w:rsidRPr="007A3223">
        <w:fldChar w:fldCharType="separate"/>
      </w:r>
      <w:r w:rsidR="00E47ACA" w:rsidRPr="00E47ACA">
        <w:rPr>
          <w:b/>
          <w:color w:val="0000FF"/>
        </w:rPr>
        <w:t>Appendix B</w:t>
      </w:r>
      <w:r w:rsidR="00307B04" w:rsidRPr="007A3223">
        <w:fldChar w:fldCharType="end"/>
      </w:r>
      <w:r w:rsidRPr="007A3223">
        <w:t xml:space="preserve">) must not be used during this study for patients receiving olaparib. Dihydropyridine calcium-channel blockers are allowed for management of hypertension. </w:t>
      </w:r>
    </w:p>
    <w:p w14:paraId="7DD4A9E2" w14:textId="77777777" w:rsidR="00082E67" w:rsidRPr="007A3223" w:rsidRDefault="00082E67" w:rsidP="003261D7">
      <w:pPr>
        <w:pStyle w:val="ListParagraph"/>
        <w:widowControl w:val="0"/>
        <w:autoSpaceDE w:val="0"/>
        <w:autoSpaceDN w:val="0"/>
        <w:adjustRightInd w:val="0"/>
      </w:pPr>
    </w:p>
    <w:p w14:paraId="6286434D" w14:textId="77777777" w:rsidR="00082E67" w:rsidRPr="007A3223" w:rsidRDefault="00082E67" w:rsidP="00FB66BA">
      <w:pPr>
        <w:pStyle w:val="ListParagraph"/>
        <w:widowControl w:val="0"/>
        <w:numPr>
          <w:ilvl w:val="0"/>
          <w:numId w:val="20"/>
        </w:numPr>
        <w:autoSpaceDE w:val="0"/>
        <w:autoSpaceDN w:val="0"/>
        <w:adjustRightInd w:val="0"/>
      </w:pPr>
      <w:r w:rsidRPr="007A3223">
        <w:t>CYP3A4 known potent inhibitors: wash-out period 1 week</w:t>
      </w:r>
      <w:r w:rsidR="00A95E88" w:rsidRPr="007A3223">
        <w:t>, or at least 4.5x elimination half-lives for drugs and metabolites known to inhibit CYP3A subfamily enzymes</w:t>
      </w:r>
      <w:r w:rsidRPr="007A3223">
        <w:t>: Ketoconazole,</w:t>
      </w:r>
      <w:r w:rsidR="00A95E88" w:rsidRPr="007A3223">
        <w:t xml:space="preserve"> </w:t>
      </w:r>
      <w:r w:rsidRPr="007A3223">
        <w:t>itraconazole, ritonavir, indinavir, saquinavir, telithromycin, clarithromycin and</w:t>
      </w:r>
      <w:r w:rsidR="00A95E88" w:rsidRPr="007A3223">
        <w:t xml:space="preserve"> </w:t>
      </w:r>
      <w:r w:rsidRPr="007A3223">
        <w:t>nelfinavir</w:t>
      </w:r>
    </w:p>
    <w:p w14:paraId="53D0D915" w14:textId="77777777" w:rsidR="00082E67" w:rsidRPr="007A3223" w:rsidRDefault="00082E67" w:rsidP="00FB66BA">
      <w:pPr>
        <w:pStyle w:val="ListParagraph"/>
        <w:widowControl w:val="0"/>
        <w:numPr>
          <w:ilvl w:val="0"/>
          <w:numId w:val="20"/>
        </w:numPr>
        <w:autoSpaceDE w:val="0"/>
        <w:autoSpaceDN w:val="0"/>
        <w:adjustRightInd w:val="0"/>
      </w:pPr>
      <w:r w:rsidRPr="007A3223">
        <w:t>CYP3A4 inducers (potential reduction in efficacy of olaparib) a</w:t>
      </w:r>
      <w:r w:rsidR="001355B3" w:rsidRPr="007A3223">
        <w:t xml:space="preserve"> </w:t>
      </w:r>
      <w:r w:rsidRPr="007A3223">
        <w:t>wash-out period for</w:t>
      </w:r>
    </w:p>
    <w:p w14:paraId="0E24DAFD" w14:textId="77777777" w:rsidR="00082E67" w:rsidRPr="007A3223" w:rsidRDefault="00082E67" w:rsidP="00367A39">
      <w:pPr>
        <w:pStyle w:val="ListParagraph"/>
        <w:widowControl w:val="0"/>
        <w:autoSpaceDE w:val="0"/>
        <w:autoSpaceDN w:val="0"/>
        <w:adjustRightInd w:val="0"/>
      </w:pPr>
      <w:r w:rsidRPr="007A3223">
        <w:t xml:space="preserve">3 weeks </w:t>
      </w:r>
      <w:r w:rsidR="00A95E88" w:rsidRPr="007A3223">
        <w:t xml:space="preserve">for </w:t>
      </w:r>
      <w:r w:rsidRPr="007A3223">
        <w:t>Phenytoin, rifampicin, rifapentin,</w:t>
      </w:r>
      <w:r w:rsidR="00367A39" w:rsidRPr="007A3223">
        <w:t xml:space="preserve"> </w:t>
      </w:r>
      <w:r w:rsidRPr="007A3223">
        <w:t xml:space="preserve">rifabutin, carbamazepine, </w:t>
      </w:r>
      <w:r w:rsidR="00115727" w:rsidRPr="007A3223">
        <w:t>phenobarbital</w:t>
      </w:r>
      <w:r w:rsidRPr="007A3223">
        <w:t>, nevirapine, modafinil and St John’s Wart.</w:t>
      </w:r>
    </w:p>
    <w:p w14:paraId="36F1E604" w14:textId="77777777" w:rsidR="00082E67" w:rsidRPr="007A3223" w:rsidRDefault="00082E67" w:rsidP="00082E67">
      <w:pPr>
        <w:pStyle w:val="ListParagraph"/>
      </w:pPr>
    </w:p>
    <w:p w14:paraId="7911F394" w14:textId="77777777" w:rsidR="00082E67" w:rsidRPr="007A3223" w:rsidRDefault="00082E67" w:rsidP="00ED703B">
      <w:pPr>
        <w:pStyle w:val="Heading2"/>
      </w:pPr>
      <w:bookmarkStart w:id="220" w:name="_Toc82444364"/>
      <w:r w:rsidRPr="007A3223">
        <w:t>Supportive Care</w:t>
      </w:r>
      <w:bookmarkEnd w:id="220"/>
    </w:p>
    <w:p w14:paraId="40BA6396" w14:textId="7A535B55" w:rsidR="00082E67" w:rsidRPr="007A3223" w:rsidRDefault="00082E67" w:rsidP="00082E67">
      <w:pPr>
        <w:spacing w:after="0"/>
        <w:rPr>
          <w:szCs w:val="24"/>
        </w:rPr>
      </w:pPr>
      <w:r w:rsidRPr="007A3223">
        <w:rPr>
          <w:szCs w:val="24"/>
        </w:rPr>
        <w:t xml:space="preserve">Patient should receive general concomitant and supportive care medications </w:t>
      </w:r>
      <w:r w:rsidR="00210EA4" w:rsidRPr="007A3223">
        <w:rPr>
          <w:szCs w:val="24"/>
        </w:rPr>
        <w:t>(including antibiotics, nutritional support, growth factor support, correction of metabolic disorders, optimal symptom control, and pain management, etc.)</w:t>
      </w:r>
      <w:r w:rsidR="00403544" w:rsidRPr="007A3223">
        <w:rPr>
          <w:szCs w:val="24"/>
        </w:rPr>
        <w:t xml:space="preserve"> </w:t>
      </w:r>
      <w:r w:rsidRPr="007A3223">
        <w:rPr>
          <w:szCs w:val="24"/>
        </w:rPr>
        <w:t xml:space="preserve">based on best medical practice. </w:t>
      </w:r>
      <w:bookmarkStart w:id="221" w:name="_Hlk3213293"/>
      <w:r w:rsidR="009F1AE4" w:rsidRPr="007A3223">
        <w:rPr>
          <w:szCs w:val="24"/>
        </w:rPr>
        <w:t xml:space="preserve">Supportive care can include palliative radiation therapy, including bone-directed radiation therapy for pain control in subjects deriving clinical benefit from treatment. </w:t>
      </w:r>
      <w:bookmarkEnd w:id="221"/>
      <w:r w:rsidRPr="007A3223">
        <w:rPr>
          <w:szCs w:val="24"/>
        </w:rPr>
        <w:t xml:space="preserve">Specific management for adverse events related to study drugs can be found in section </w:t>
      </w:r>
      <w:r w:rsidR="00307B04" w:rsidRPr="007A3223">
        <w:fldChar w:fldCharType="begin"/>
      </w:r>
      <w:r w:rsidR="00307B04" w:rsidRPr="007A3223">
        <w:instrText xml:space="preserve"> REF _Ref405282281 \r \h  \* MERGEFORMAT </w:instrText>
      </w:r>
      <w:r w:rsidR="00307B04" w:rsidRPr="007A3223">
        <w:fldChar w:fldCharType="separate"/>
      </w:r>
      <w:r w:rsidR="00E47ACA" w:rsidRPr="00E47ACA">
        <w:rPr>
          <w:b/>
          <w:color w:val="0000FF"/>
          <w:szCs w:val="24"/>
        </w:rPr>
        <w:t>3.4</w:t>
      </w:r>
      <w:r w:rsidR="00307B04" w:rsidRPr="007A3223">
        <w:fldChar w:fldCharType="end"/>
      </w:r>
      <w:r w:rsidRPr="007A3223">
        <w:rPr>
          <w:szCs w:val="24"/>
        </w:rPr>
        <w:t>.</w:t>
      </w:r>
    </w:p>
    <w:p w14:paraId="498B3DD8" w14:textId="77777777" w:rsidR="00234A21" w:rsidRPr="00F33908" w:rsidRDefault="00234A21" w:rsidP="00082E67">
      <w:pPr>
        <w:spacing w:after="0"/>
        <w:rPr>
          <w:szCs w:val="24"/>
        </w:rPr>
      </w:pPr>
    </w:p>
    <w:p w14:paraId="7DD064D3" w14:textId="2781890D" w:rsidR="00162A64" w:rsidRPr="007A3223" w:rsidRDefault="003673BB" w:rsidP="00D20197">
      <w:pPr>
        <w:pStyle w:val="Heading1"/>
        <w:rPr>
          <w:rFonts w:hint="eastAsia"/>
        </w:rPr>
      </w:pPr>
      <w:bookmarkStart w:id="222" w:name="_Ref39047639"/>
      <w:bookmarkStart w:id="223" w:name="_Toc82444365"/>
      <w:r w:rsidRPr="007A3223">
        <w:t>CORRELATIVE STUDIES</w:t>
      </w:r>
      <w:bookmarkEnd w:id="222"/>
      <w:bookmarkEnd w:id="223"/>
    </w:p>
    <w:p w14:paraId="3EB8FF4B" w14:textId="77777777" w:rsidR="00E46988" w:rsidRPr="007A3223" w:rsidRDefault="00162A64" w:rsidP="00162A64">
      <w:pPr>
        <w:spacing w:after="0"/>
        <w:rPr>
          <w:szCs w:val="24"/>
        </w:rPr>
      </w:pPr>
      <w:r w:rsidRPr="007A3223">
        <w:rPr>
          <w:szCs w:val="24"/>
        </w:rPr>
        <w:t xml:space="preserve">The </w:t>
      </w:r>
      <w:r w:rsidR="00171E75" w:rsidRPr="007A3223">
        <w:rPr>
          <w:szCs w:val="24"/>
        </w:rPr>
        <w:t xml:space="preserve">primary </w:t>
      </w:r>
      <w:r w:rsidR="001509C1" w:rsidRPr="007A3223">
        <w:rPr>
          <w:szCs w:val="24"/>
        </w:rPr>
        <w:t>goal</w:t>
      </w:r>
      <w:r w:rsidR="00171E75" w:rsidRPr="007A3223">
        <w:rPr>
          <w:szCs w:val="24"/>
        </w:rPr>
        <w:t xml:space="preserve"> </w:t>
      </w:r>
      <w:r w:rsidRPr="007A3223">
        <w:rPr>
          <w:szCs w:val="24"/>
        </w:rPr>
        <w:t xml:space="preserve">of the correlative studies is to identify potential predictive </w:t>
      </w:r>
      <w:r w:rsidR="00171E75" w:rsidRPr="007A3223">
        <w:rPr>
          <w:szCs w:val="24"/>
        </w:rPr>
        <w:t>biomarker</w:t>
      </w:r>
      <w:r w:rsidR="00CC2AD7" w:rsidRPr="007A3223">
        <w:rPr>
          <w:szCs w:val="24"/>
        </w:rPr>
        <w:t>s</w:t>
      </w:r>
      <w:r w:rsidR="00171E75" w:rsidRPr="007A3223">
        <w:rPr>
          <w:szCs w:val="24"/>
        </w:rPr>
        <w:t xml:space="preserve"> </w:t>
      </w:r>
      <w:r w:rsidR="00C34F0B" w:rsidRPr="007A3223">
        <w:rPr>
          <w:szCs w:val="24"/>
        </w:rPr>
        <w:t>of response to</w:t>
      </w:r>
      <w:r w:rsidR="00171E75" w:rsidRPr="007A3223">
        <w:rPr>
          <w:szCs w:val="24"/>
        </w:rPr>
        <w:t xml:space="preserve"> immune checkpoint inhibition with </w:t>
      </w:r>
      <w:r w:rsidR="001509C1" w:rsidRPr="007A3223">
        <w:rPr>
          <w:szCs w:val="24"/>
        </w:rPr>
        <w:t>a PARP inhibitor or VEGFR inhibition</w:t>
      </w:r>
      <w:r w:rsidR="00171E75" w:rsidRPr="007A3223">
        <w:rPr>
          <w:szCs w:val="24"/>
        </w:rPr>
        <w:t xml:space="preserve">. </w:t>
      </w:r>
      <w:r w:rsidR="00E46988" w:rsidRPr="007A3223">
        <w:rPr>
          <w:szCs w:val="24"/>
        </w:rPr>
        <w:t xml:space="preserve">Although PD-L1 expression in tumor was highly predictive of response to </w:t>
      </w:r>
      <w:r w:rsidR="000B34F1" w:rsidRPr="007A3223">
        <w:rPr>
          <w:szCs w:val="24"/>
        </w:rPr>
        <w:t xml:space="preserve">a PD-1 inhibitor, </w:t>
      </w:r>
      <w:r w:rsidR="00E46988" w:rsidRPr="007A3223">
        <w:rPr>
          <w:szCs w:val="24"/>
        </w:rPr>
        <w:t>nivolumab in treatment-naive lung cancer patients (50% in PD-L1–positive patients v. 0%</w:t>
      </w:r>
      <w:r w:rsidR="000B34F1" w:rsidRPr="007A3223">
        <w:rPr>
          <w:szCs w:val="24"/>
        </w:rPr>
        <w:t xml:space="preserve"> in PD-L1–negative patients)</w:t>
      </w:r>
      <w:r w:rsidR="00C34F0B" w:rsidRPr="007A3223">
        <w:rPr>
          <w:szCs w:val="24"/>
        </w:rPr>
        <w:t>,</w:t>
      </w:r>
      <w:r w:rsidR="000B34F1" w:rsidRPr="007A3223">
        <w:rPr>
          <w:szCs w:val="24"/>
        </w:rPr>
        <w:t xml:space="preserve"> </w:t>
      </w:r>
      <w:r w:rsidR="00E46988" w:rsidRPr="007A3223">
        <w:rPr>
          <w:szCs w:val="24"/>
        </w:rPr>
        <w:t xml:space="preserve">this was not the case for pretreated patients (15% in PD-L1–positive vs </w:t>
      </w:r>
      <w:r w:rsidR="00E46988" w:rsidRPr="007A3223">
        <w:rPr>
          <w:szCs w:val="24"/>
        </w:rPr>
        <w:lastRenderedPageBreak/>
        <w:t>14% in PD-L1–negative</w:t>
      </w:r>
      <w:r w:rsidR="00C34F0B" w:rsidRPr="007A3223">
        <w:rPr>
          <w:szCs w:val="24"/>
        </w:rPr>
        <w:t>; Brahmer, J Clin Oncol. 2014;32(suppl 5S):abstr 8021). I</w:t>
      </w:r>
      <w:r w:rsidR="00E46988" w:rsidRPr="007A3223">
        <w:rPr>
          <w:szCs w:val="24"/>
        </w:rPr>
        <w:t>t is still unclear what value is an optimal PD-L1 expression cutoff, questions of assay se</w:t>
      </w:r>
      <w:r w:rsidR="00C34F0B" w:rsidRPr="007A3223">
        <w:rPr>
          <w:szCs w:val="24"/>
        </w:rPr>
        <w:t>nsitivity, and use of archival tissue v.</w:t>
      </w:r>
      <w:r w:rsidR="00E46988" w:rsidRPr="007A3223">
        <w:rPr>
          <w:szCs w:val="24"/>
        </w:rPr>
        <w:t xml:space="preserve"> “fresh” pretreatment biopsy. Several ongoing phase III trials of nivolumab in advanced NSCLC require mandatory tissue samples and will explore the role of PD-L1 as a predictive biomarker for nivolumab</w:t>
      </w:r>
      <w:r w:rsidR="00C34F0B" w:rsidRPr="007A3223">
        <w:rPr>
          <w:szCs w:val="24"/>
        </w:rPr>
        <w:t>.</w:t>
      </w:r>
      <w:r w:rsidR="00E46988" w:rsidRPr="007A3223">
        <w:rPr>
          <w:szCs w:val="24"/>
        </w:rPr>
        <w:t xml:space="preserve"> Thus, </w:t>
      </w:r>
      <w:r w:rsidR="00C34F0B" w:rsidRPr="007A3223">
        <w:rPr>
          <w:szCs w:val="24"/>
        </w:rPr>
        <w:t xml:space="preserve">pretreatment biopsy samples </w:t>
      </w:r>
      <w:r w:rsidR="00E46988" w:rsidRPr="007A3223">
        <w:rPr>
          <w:szCs w:val="24"/>
        </w:rPr>
        <w:t xml:space="preserve">will provide </w:t>
      </w:r>
      <w:r w:rsidR="00C34F0B" w:rsidRPr="007A3223">
        <w:rPr>
          <w:szCs w:val="24"/>
        </w:rPr>
        <w:t xml:space="preserve">important </w:t>
      </w:r>
      <w:r w:rsidR="00E46988" w:rsidRPr="007A3223">
        <w:rPr>
          <w:szCs w:val="24"/>
        </w:rPr>
        <w:t xml:space="preserve">information on development </w:t>
      </w:r>
      <w:r w:rsidR="00C34F0B" w:rsidRPr="007A3223">
        <w:rPr>
          <w:szCs w:val="24"/>
        </w:rPr>
        <w:t xml:space="preserve">of </w:t>
      </w:r>
      <w:r w:rsidR="00E46988" w:rsidRPr="007A3223">
        <w:rPr>
          <w:szCs w:val="24"/>
        </w:rPr>
        <w:t xml:space="preserve">predictive biomarkers in </w:t>
      </w:r>
      <w:r w:rsidR="00C34F0B" w:rsidRPr="007A3223">
        <w:rPr>
          <w:szCs w:val="24"/>
        </w:rPr>
        <w:t xml:space="preserve">ovarian cancer patients. </w:t>
      </w:r>
      <w:r w:rsidR="00171E75" w:rsidRPr="007A3223">
        <w:rPr>
          <w:szCs w:val="24"/>
        </w:rPr>
        <w:t xml:space="preserve">Other correlative study aims include investigation of proof-of-concept biomarkers of immune checkpoint inhibition and DNA damage repair or angiogenesis inhibition in recurrent ovarian cancer. </w:t>
      </w:r>
      <w:r w:rsidR="007A5825" w:rsidRPr="007A3223">
        <w:rPr>
          <w:szCs w:val="24"/>
        </w:rPr>
        <w:t xml:space="preserve">These will be performed in an exploratory fashion. </w:t>
      </w:r>
    </w:p>
    <w:p w14:paraId="5A26B7D6" w14:textId="59333124" w:rsidR="00162A64" w:rsidRPr="007A3223" w:rsidRDefault="00753D50" w:rsidP="00FB66BA">
      <w:pPr>
        <w:pStyle w:val="ListParagraph"/>
        <w:numPr>
          <w:ilvl w:val="0"/>
          <w:numId w:val="21"/>
        </w:numPr>
        <w:ind w:left="360"/>
      </w:pPr>
      <w:r w:rsidRPr="007A3223">
        <w:t xml:space="preserve">Phase II only: </w:t>
      </w:r>
      <w:r w:rsidR="00162A64" w:rsidRPr="007A3223">
        <w:t>Patients will undergo one mandatory pretreatment biopsy and two optional research biopsies (</w:t>
      </w:r>
      <w:r w:rsidR="00800A28" w:rsidRPr="007A3223">
        <w:t xml:space="preserve">prior to </w:t>
      </w:r>
      <w:r w:rsidR="0026339C" w:rsidRPr="007A3223">
        <w:rPr>
          <w:lang w:val="en-US"/>
        </w:rPr>
        <w:t>cycle 1 day 15</w:t>
      </w:r>
      <w:r w:rsidR="008D2AC2" w:rsidRPr="007A3223">
        <w:t xml:space="preserve"> </w:t>
      </w:r>
      <w:r w:rsidR="00FD1CB2" w:rsidRPr="007A3223">
        <w:t>and</w:t>
      </w:r>
      <w:r w:rsidR="00162A64" w:rsidRPr="007A3223">
        <w:t xml:space="preserve"> at progression) to assess the effect of response to </w:t>
      </w:r>
      <w:r w:rsidR="00F41446">
        <w:rPr>
          <w:lang w:val="en-US"/>
        </w:rPr>
        <w:t>Durvalumab</w:t>
      </w:r>
      <w:r w:rsidR="00162A64" w:rsidRPr="007A3223">
        <w:t xml:space="preserve"> with olaparib or cediranib therapy at minimal risk. </w:t>
      </w:r>
    </w:p>
    <w:p w14:paraId="1A67738C" w14:textId="0A37BE7A" w:rsidR="00162A64" w:rsidRPr="007A3223" w:rsidRDefault="00162A64" w:rsidP="00FB66BA">
      <w:pPr>
        <w:pStyle w:val="ListParagraph"/>
        <w:numPr>
          <w:ilvl w:val="0"/>
          <w:numId w:val="21"/>
        </w:numPr>
        <w:ind w:left="360"/>
      </w:pPr>
      <w:r w:rsidRPr="007A3223">
        <w:t xml:space="preserve">Blood samples will be collected </w:t>
      </w:r>
      <w:r w:rsidR="00A97CDA" w:rsidRPr="007A3223">
        <w:t>pretreatment</w:t>
      </w:r>
      <w:r w:rsidRPr="007A3223">
        <w:t xml:space="preserve">, </w:t>
      </w:r>
      <w:r w:rsidR="008F26EF" w:rsidRPr="007A3223">
        <w:t>cycle 1 day 15</w:t>
      </w:r>
      <w:r w:rsidRPr="007A3223">
        <w:t>,</w:t>
      </w:r>
      <w:r w:rsidR="00E03657" w:rsidRPr="007A3223">
        <w:t xml:space="preserve"> </w:t>
      </w:r>
      <w:r w:rsidR="00A97CDA" w:rsidRPr="007A3223">
        <w:t>before cycle 3 day 1 of treatment (approximately C2D29</w:t>
      </w:r>
      <w:r w:rsidRPr="007A3223">
        <w:t>)</w:t>
      </w:r>
      <w:r w:rsidR="003351CD" w:rsidRPr="007A3223">
        <w:rPr>
          <w:lang w:val="en-US"/>
        </w:rPr>
        <w:t>, and at progression</w:t>
      </w:r>
      <w:r w:rsidR="00795C65" w:rsidRPr="007A3223">
        <w:rPr>
          <w:lang w:val="en-US"/>
        </w:rPr>
        <w:t xml:space="preserve"> for Phase I </w:t>
      </w:r>
      <w:r w:rsidR="00F41446">
        <w:rPr>
          <w:lang w:val="en-US"/>
        </w:rPr>
        <w:t>Durvalumab</w:t>
      </w:r>
      <w:r w:rsidR="00795C65" w:rsidRPr="007A3223">
        <w:rPr>
          <w:lang w:val="en-US"/>
        </w:rPr>
        <w:t>+C intermittent schedule</w:t>
      </w:r>
      <w:r w:rsidR="004A47B8" w:rsidRPr="007A3223">
        <w:rPr>
          <w:lang w:val="en-US"/>
        </w:rPr>
        <w:t xml:space="preserve">, </w:t>
      </w:r>
      <w:r w:rsidR="00F41446">
        <w:rPr>
          <w:lang w:val="en-US"/>
        </w:rPr>
        <w:t>Durvalumab</w:t>
      </w:r>
      <w:r w:rsidR="004A47B8" w:rsidRPr="007A3223">
        <w:rPr>
          <w:lang w:val="en-US"/>
        </w:rPr>
        <w:t xml:space="preserve">+O+C </w:t>
      </w:r>
      <w:r w:rsidR="00795C65" w:rsidRPr="007A3223">
        <w:rPr>
          <w:lang w:val="en-US"/>
        </w:rPr>
        <w:t>cohort</w:t>
      </w:r>
      <w:r w:rsidR="004A47B8" w:rsidRPr="007A3223">
        <w:rPr>
          <w:lang w:val="en-US"/>
        </w:rPr>
        <w:t>s</w:t>
      </w:r>
      <w:r w:rsidR="00CB30BB" w:rsidRPr="007A3223">
        <w:rPr>
          <w:lang w:val="en-US"/>
        </w:rPr>
        <w:t xml:space="preserve"> and Phase II all cohorts</w:t>
      </w:r>
      <w:r w:rsidRPr="007A3223">
        <w:t xml:space="preserve">. </w:t>
      </w:r>
    </w:p>
    <w:p w14:paraId="0DC87D6E" w14:textId="77777777" w:rsidR="0030401B" w:rsidRPr="007A3223" w:rsidRDefault="00162A64" w:rsidP="00FB66BA">
      <w:pPr>
        <w:pStyle w:val="ListParagraph"/>
        <w:numPr>
          <w:ilvl w:val="0"/>
          <w:numId w:val="28"/>
        </w:numPr>
        <w:ind w:left="360"/>
      </w:pPr>
      <w:r w:rsidRPr="007A3223">
        <w:t xml:space="preserve">Should patients undergo thoracentesis or paracentesis (pretreatment or while on treatment), fluid samples are optional. A minimum of 50 ml of non-heparinized effusion will be picked up by the Lee lab. Ten </w:t>
      </w:r>
      <w:r w:rsidR="00115727" w:rsidRPr="007A3223">
        <w:t>aliquots</w:t>
      </w:r>
      <w:r w:rsidRPr="007A3223">
        <w:t xml:space="preserve"> of supernatant and 10 viably fr</w:t>
      </w:r>
      <w:r w:rsidR="00856F62" w:rsidRPr="007A3223">
        <w:t>o</w:t>
      </w:r>
      <w:r w:rsidRPr="007A3223">
        <w:t xml:space="preserve">zen cell pellets will be stored in liquid nitrogen until use. </w:t>
      </w:r>
      <w:r w:rsidR="004A2308" w:rsidRPr="007A3223">
        <w:t>Correlative studies including but not limited to immune subsets, DNA damage repair, angiogenesis and other pathways will be done in collaboration with Dr. Patricia Steeg of WMB/CCR/NCI.</w:t>
      </w:r>
      <w:r w:rsidR="0030401B" w:rsidRPr="007A3223">
        <w:t xml:space="preserve"> </w:t>
      </w:r>
    </w:p>
    <w:p w14:paraId="06BC6439" w14:textId="1793034C" w:rsidR="0084031C" w:rsidRPr="007A3223" w:rsidRDefault="0084031C" w:rsidP="00FB66BA">
      <w:pPr>
        <w:pStyle w:val="ListParagraph"/>
        <w:numPr>
          <w:ilvl w:val="0"/>
          <w:numId w:val="28"/>
        </w:numPr>
        <w:ind w:left="360"/>
      </w:pPr>
      <w:r w:rsidRPr="007A3223">
        <w:t>For Phase II</w:t>
      </w:r>
      <w:r w:rsidR="008F26EF" w:rsidRPr="007A3223">
        <w:t xml:space="preserve"> CRC cohort (</w:t>
      </w:r>
      <w:r w:rsidR="00DA487F" w:rsidRPr="007A3223">
        <w:t>C+</w:t>
      </w:r>
      <w:r w:rsidR="00F41446">
        <w:rPr>
          <w:lang w:val="en-US"/>
        </w:rPr>
        <w:t>Durvalumab</w:t>
      </w:r>
      <w:r w:rsidR="008F26EF" w:rsidRPr="007A3223">
        <w:t>)</w:t>
      </w:r>
      <w:r w:rsidRPr="007A3223">
        <w:t xml:space="preserve"> only:</w:t>
      </w:r>
      <w:r w:rsidR="00B16CC3" w:rsidRPr="007A3223">
        <w:t xml:space="preserve"> The correlative studies to be performed are summarized in </w:t>
      </w:r>
      <w:r w:rsidR="0088425C" w:rsidRPr="00BF79D2">
        <w:rPr>
          <w:rStyle w:val="crossreferenceChar"/>
        </w:rPr>
        <w:fldChar w:fldCharType="begin"/>
      </w:r>
      <w:r w:rsidR="0088425C" w:rsidRPr="00BF79D2">
        <w:rPr>
          <w:rStyle w:val="crossreferenceChar"/>
        </w:rPr>
        <w:instrText xml:space="preserve"> REF _Ref450559094 \h </w:instrText>
      </w:r>
      <w:r w:rsidR="0088425C" w:rsidRPr="007A3223">
        <w:rPr>
          <w:rStyle w:val="crossreferenceChar"/>
        </w:rPr>
        <w:instrText xml:space="preserve"> \* MERGEFORMAT </w:instrText>
      </w:r>
      <w:r w:rsidR="0088425C" w:rsidRPr="00BF79D2">
        <w:rPr>
          <w:rStyle w:val="crossreferenceChar"/>
        </w:rPr>
      </w:r>
      <w:r w:rsidR="0088425C" w:rsidRPr="00BF79D2">
        <w:rPr>
          <w:rStyle w:val="crossreferenceChar"/>
        </w:rPr>
        <w:fldChar w:fldCharType="separate"/>
      </w:r>
      <w:r w:rsidR="00E47ACA" w:rsidRPr="00E47ACA">
        <w:rPr>
          <w:rStyle w:val="crossreferenceChar"/>
        </w:rPr>
        <w:t>Table 28</w:t>
      </w:r>
      <w:r w:rsidR="0088425C" w:rsidRPr="00BF79D2">
        <w:rPr>
          <w:rStyle w:val="crossreferenceChar"/>
        </w:rPr>
        <w:fldChar w:fldCharType="end"/>
      </w:r>
      <w:r w:rsidR="00B16CC3" w:rsidRPr="00F33908">
        <w:t>. All samples will be sent to Dr. Figg’s lab for processing and storage until they are distributed to Dr. Greten’s lab or MedImmune/Quintiles for sample analysi</w:t>
      </w:r>
      <w:r w:rsidRPr="00F33908">
        <w:t xml:space="preserve">s as described in the protocol. </w:t>
      </w:r>
      <w:r w:rsidRPr="007A3223">
        <w:t xml:space="preserve">Collaborator(s) of MedImmune/Quintiles has yet to be determined, but will be submitted for IRB approval via a future amendment prior to the shipment of any samples during the Phase II portion of the trial. </w:t>
      </w:r>
    </w:p>
    <w:p w14:paraId="6F26F81C" w14:textId="7A8F6DFC" w:rsidR="009A4FB7" w:rsidRPr="00F33908" w:rsidRDefault="00A226B0" w:rsidP="00FB66BA">
      <w:pPr>
        <w:pStyle w:val="ListParagraph"/>
        <w:numPr>
          <w:ilvl w:val="0"/>
          <w:numId w:val="28"/>
        </w:numPr>
        <w:ind w:left="360"/>
      </w:pPr>
      <w:r w:rsidRPr="007A3223">
        <w:t xml:space="preserve">For Phase II prostate cancer cohort patients only:  </w:t>
      </w:r>
      <w:r w:rsidR="0030401B" w:rsidRPr="007A3223">
        <w:t xml:space="preserve">A one-time saliva sample will be collected anytime during the study as a source of normal tissue for genomics comparison. Saliva sample will be collected in one </w:t>
      </w:r>
      <w:r w:rsidR="00AC3400" w:rsidRPr="007A3223">
        <w:t>Oragene Saliva Kit at room temperature</w:t>
      </w:r>
      <w:r w:rsidR="009A4FB7" w:rsidRPr="007A3223">
        <w:t xml:space="preserve">.  Please e-mail </w:t>
      </w:r>
      <w:bookmarkStart w:id="224" w:name="_Hlk3379021"/>
      <w:r w:rsidR="009044A3" w:rsidRPr="007A3223">
        <w:rPr>
          <w:rFonts w:ascii="Times" w:eastAsia="Times New Roman" w:hAnsi="Times"/>
          <w:szCs w:val="20"/>
          <w:lang w:val="en-US" w:eastAsia="en-US"/>
        </w:rPr>
        <w:fldChar w:fldCharType="begin"/>
      </w:r>
      <w:r w:rsidR="009044A3" w:rsidRPr="007A3223">
        <w:rPr>
          <w:rFonts w:ascii="Times" w:eastAsia="Times New Roman" w:hAnsi="Times"/>
          <w:szCs w:val="20"/>
          <w:lang w:val="en-US" w:eastAsia="en-US"/>
        </w:rPr>
        <w:instrText xml:space="preserve"> HYPERLINK "mailto:NCIBloodcore@mail.nih.gov" </w:instrText>
      </w:r>
      <w:r w:rsidR="009044A3" w:rsidRPr="007A3223">
        <w:rPr>
          <w:rFonts w:ascii="Times" w:eastAsia="Times New Roman" w:hAnsi="Times"/>
          <w:szCs w:val="20"/>
          <w:lang w:val="en-US" w:eastAsia="en-US"/>
        </w:rPr>
      </w:r>
      <w:r w:rsidR="009044A3" w:rsidRPr="007A3223">
        <w:rPr>
          <w:rFonts w:ascii="Times" w:eastAsia="Times New Roman" w:hAnsi="Times"/>
          <w:szCs w:val="20"/>
          <w:lang w:val="en-US" w:eastAsia="en-US"/>
        </w:rPr>
        <w:fldChar w:fldCharType="separate"/>
      </w:r>
      <w:r w:rsidR="009044A3" w:rsidRPr="007A3223">
        <w:rPr>
          <w:rFonts w:ascii="Times" w:eastAsia="Times New Roman" w:hAnsi="Times"/>
          <w:color w:val="0563C1"/>
          <w:szCs w:val="20"/>
          <w:u w:val="single"/>
          <w:lang w:val="en-US" w:eastAsia="en-US"/>
        </w:rPr>
        <w:t>NCIBloodcore@mail.nih.gov</w:t>
      </w:r>
      <w:r w:rsidR="009044A3" w:rsidRPr="007A3223">
        <w:rPr>
          <w:rFonts w:ascii="Times" w:eastAsia="Times New Roman" w:hAnsi="Times"/>
          <w:szCs w:val="20"/>
          <w:lang w:val="en-US" w:eastAsia="en-US"/>
        </w:rPr>
        <w:fldChar w:fldCharType="end"/>
      </w:r>
      <w:bookmarkEnd w:id="224"/>
      <w:r w:rsidR="009E2F8A" w:rsidRPr="007A3223">
        <w:rPr>
          <w:rFonts w:ascii="Times" w:eastAsia="Times New Roman" w:hAnsi="Times"/>
          <w:szCs w:val="20"/>
          <w:lang w:val="en-US" w:eastAsia="en-US"/>
        </w:rPr>
        <w:t xml:space="preserve"> </w:t>
      </w:r>
      <w:r w:rsidR="009A4FB7" w:rsidRPr="007A3223">
        <w:t xml:space="preserve">at least </w:t>
      </w:r>
      <w:r w:rsidR="009A4FB7" w:rsidRPr="00F33908">
        <w:t>24 hours before transporting samples (the Friday before is preferred).</w:t>
      </w:r>
    </w:p>
    <w:p w14:paraId="4B3EC9F1" w14:textId="77777777" w:rsidR="009A4FB7" w:rsidRPr="007A3223" w:rsidRDefault="009A4FB7" w:rsidP="009A4FB7">
      <w:pPr>
        <w:autoSpaceDE w:val="0"/>
        <w:autoSpaceDN w:val="0"/>
        <w:ind w:firstLine="360"/>
        <w:rPr>
          <w:rFonts w:eastAsia="Times New Roman"/>
          <w:szCs w:val="24"/>
        </w:rPr>
      </w:pPr>
    </w:p>
    <w:p w14:paraId="4509462E" w14:textId="1470ECF2" w:rsidR="009A4FB7" w:rsidRPr="007A3223" w:rsidRDefault="009A4FB7" w:rsidP="009A4FB7">
      <w:pPr>
        <w:autoSpaceDE w:val="0"/>
        <w:autoSpaceDN w:val="0"/>
        <w:ind w:firstLine="360"/>
        <w:rPr>
          <w:rFonts w:eastAsia="Times New Roman"/>
          <w:szCs w:val="24"/>
        </w:rPr>
      </w:pPr>
      <w:r w:rsidRPr="007A3223">
        <w:rPr>
          <w:rFonts w:eastAsia="Times New Roman"/>
          <w:szCs w:val="24"/>
        </w:rPr>
        <w:t>For sample pickup, page 102-11964.</w:t>
      </w:r>
    </w:p>
    <w:p w14:paraId="0FD61DDE" w14:textId="77777777" w:rsidR="009A4FB7" w:rsidRPr="007A3223" w:rsidRDefault="009A4FB7" w:rsidP="009A4FB7">
      <w:pPr>
        <w:autoSpaceDE w:val="0"/>
        <w:autoSpaceDN w:val="0"/>
        <w:ind w:left="360"/>
        <w:rPr>
          <w:rFonts w:eastAsia="Times New Roman"/>
          <w:szCs w:val="24"/>
        </w:rPr>
      </w:pPr>
      <w:r w:rsidRPr="007A3223">
        <w:rPr>
          <w:rFonts w:eastAsia="Times New Roman"/>
          <w:szCs w:val="24"/>
        </w:rPr>
        <w:t>For immediate help, call 240-760-6180 (main blood processing core number) or, if no answer, 240-760-6190 (main clinical pharmacology lab number).</w:t>
      </w:r>
    </w:p>
    <w:p w14:paraId="2444883F" w14:textId="6B7B5B8C" w:rsidR="009A4FB7" w:rsidRPr="007A3223" w:rsidRDefault="009A4FB7" w:rsidP="009A4FB7">
      <w:pPr>
        <w:ind w:left="360"/>
        <w:rPr>
          <w:rFonts w:eastAsia="Times New Roman"/>
          <w:szCs w:val="24"/>
        </w:rPr>
      </w:pPr>
      <w:r w:rsidRPr="007A3223">
        <w:rPr>
          <w:rFonts w:eastAsia="Times New Roman"/>
          <w:szCs w:val="24"/>
        </w:rPr>
        <w:t xml:space="preserve">For questions regarding sample processing, contact </w:t>
      </w:r>
      <w:hyperlink r:id="rId46" w:history="1">
        <w:r w:rsidR="007F2232" w:rsidRPr="007A3223">
          <w:rPr>
            <w:rFonts w:ascii="Times" w:eastAsia="Times New Roman" w:hAnsi="Times"/>
            <w:color w:val="0563C1"/>
            <w:szCs w:val="20"/>
            <w:u w:val="single"/>
          </w:rPr>
          <w:t>NCIBloodcore@mail.nih.gov</w:t>
        </w:r>
      </w:hyperlink>
      <w:r w:rsidRPr="007A3223">
        <w:rPr>
          <w:rFonts w:eastAsia="Times New Roman"/>
          <w:szCs w:val="24"/>
        </w:rPr>
        <w:t>.</w:t>
      </w:r>
    </w:p>
    <w:p w14:paraId="65B7D796" w14:textId="53FB1788" w:rsidR="00162A64" w:rsidRPr="007A3223" w:rsidRDefault="00AC3400" w:rsidP="009A4FB7">
      <w:pPr>
        <w:ind w:left="360"/>
      </w:pPr>
      <w:r w:rsidRPr="00F33908">
        <w:t>Dr. Figg’s lab will barcode the sample, remove patient identifier, and send the sample to Dr. Meltzer’s l</w:t>
      </w:r>
      <w:r w:rsidRPr="007A3223">
        <w:t>ab via courier</w:t>
      </w:r>
      <w:r w:rsidR="0030401B" w:rsidRPr="007A3223">
        <w:t>.  Patients will be instructed not to eat, drink, smoke or chew gum for 30 minutes before giving their saliva sample.  Sequencing of DNA will be performed by the Genetics Branch/CCR/NCI (Drs</w:t>
      </w:r>
      <w:r w:rsidR="001B6CBE" w:rsidRPr="007A3223">
        <w:t xml:space="preserve">. </w:t>
      </w:r>
      <w:r w:rsidR="0030401B" w:rsidRPr="007A3223">
        <w:t>Khan/Meltzer).</w:t>
      </w:r>
    </w:p>
    <w:p w14:paraId="58D68C2D" w14:textId="77777777" w:rsidR="00162A64" w:rsidRPr="007A3223" w:rsidRDefault="00162A64" w:rsidP="00FB66BA">
      <w:pPr>
        <w:pStyle w:val="ListParagraph"/>
        <w:numPr>
          <w:ilvl w:val="0"/>
          <w:numId w:val="21"/>
        </w:numPr>
        <w:ind w:left="360"/>
        <w:rPr>
          <w:bCs/>
        </w:rPr>
      </w:pPr>
      <w:r w:rsidRPr="007A3223">
        <w:rPr>
          <w:bCs/>
        </w:rPr>
        <w:lastRenderedPageBreak/>
        <w:t>All patients on the study are requested to submit a block of tissue or 20 paraffin-</w:t>
      </w:r>
      <w:r w:rsidR="00856F62" w:rsidRPr="007A3223">
        <w:rPr>
          <w:bCs/>
        </w:rPr>
        <w:t xml:space="preserve">embedded </w:t>
      </w:r>
      <w:r w:rsidRPr="007A3223">
        <w:rPr>
          <w:bCs/>
        </w:rPr>
        <w:t xml:space="preserve">unstained slides from a recent resection or barring that, from the original surgery. All efforts will be made to obtain these samples to achieve the secondary objectives.  </w:t>
      </w:r>
    </w:p>
    <w:p w14:paraId="39CC8FC3" w14:textId="064A9554" w:rsidR="00162A64" w:rsidRPr="007A3223" w:rsidRDefault="00162A64" w:rsidP="00FB66BA">
      <w:pPr>
        <w:pStyle w:val="ListParagraph"/>
        <w:numPr>
          <w:ilvl w:val="0"/>
          <w:numId w:val="21"/>
        </w:numPr>
        <w:ind w:left="360"/>
      </w:pPr>
      <w:r w:rsidRPr="007A3223">
        <w:t>The following tests will be performed on patients’ specimens, in order of priority (</w:t>
      </w:r>
      <w:r w:rsidR="00307B04" w:rsidRPr="007A3223">
        <w:fldChar w:fldCharType="begin"/>
      </w:r>
      <w:r w:rsidR="00307B04" w:rsidRPr="007A3223">
        <w:instrText xml:space="preserve"> REF _Ref405292843 \h  \* MERGEFORMAT </w:instrText>
      </w:r>
      <w:r w:rsidR="00307B04" w:rsidRPr="007A3223">
        <w:fldChar w:fldCharType="separate"/>
      </w:r>
      <w:r w:rsidR="00E47ACA" w:rsidRPr="00E47ACA">
        <w:rPr>
          <w:b/>
          <w:color w:val="0000FF"/>
        </w:rPr>
        <w:t>Table 25</w:t>
      </w:r>
      <w:r w:rsidR="00307B04" w:rsidRPr="007A3223">
        <w:fldChar w:fldCharType="end"/>
      </w:r>
      <w:r w:rsidRPr="007A3223">
        <w:t>).</w:t>
      </w:r>
    </w:p>
    <w:p w14:paraId="77B3F784" w14:textId="35320687" w:rsidR="00783250" w:rsidRPr="007A3223" w:rsidRDefault="00800A5E" w:rsidP="00800A5E">
      <w:pPr>
        <w:pStyle w:val="Caption"/>
      </w:pPr>
      <w:bookmarkStart w:id="225" w:name="_Ref405292843"/>
      <w:bookmarkStart w:id="226" w:name="_Toc82444459"/>
      <w:r w:rsidRPr="00F33908">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25</w:t>
      </w:r>
      <w:r w:rsidR="00F82420" w:rsidRPr="007A3223">
        <w:rPr>
          <w:noProof/>
        </w:rPr>
        <w:fldChar w:fldCharType="end"/>
      </w:r>
      <w:bookmarkEnd w:id="225"/>
      <w:r w:rsidRPr="007A3223">
        <w:rPr>
          <w:lang w:val="en-US"/>
        </w:rPr>
        <w:t>.</w:t>
      </w:r>
      <w:r w:rsidR="00783250" w:rsidRPr="007A3223">
        <w:t xml:space="preserve"> Correlative studies</w:t>
      </w:r>
      <w:r w:rsidR="00753D50" w:rsidRPr="00F33908">
        <w:t xml:space="preserve"> </w:t>
      </w:r>
      <w:r w:rsidR="00FC6FE2" w:rsidRPr="00F33908">
        <w:t xml:space="preserve">for </w:t>
      </w:r>
      <w:r w:rsidR="00753D50" w:rsidRPr="00F33908">
        <w:t xml:space="preserve">Phase II </w:t>
      </w:r>
      <w:r w:rsidR="008F26EF" w:rsidRPr="007A3223">
        <w:t xml:space="preserve">Ovarian cancer cohort </w:t>
      </w:r>
      <w:r w:rsidR="0089253C" w:rsidRPr="007A3223">
        <w:t>1</w:t>
      </w:r>
      <w:bookmarkEnd w:id="226"/>
    </w:p>
    <w:tbl>
      <w:tblPr>
        <w:tblStyle w:val="TableGrid"/>
        <w:tblW w:w="9091" w:type="dxa"/>
        <w:tblLook w:val="04A0" w:firstRow="1" w:lastRow="0" w:firstColumn="1" w:lastColumn="0" w:noHBand="0" w:noVBand="1"/>
      </w:tblPr>
      <w:tblGrid>
        <w:gridCol w:w="2189"/>
        <w:gridCol w:w="2382"/>
        <w:gridCol w:w="1779"/>
        <w:gridCol w:w="2741"/>
      </w:tblGrid>
      <w:tr w:rsidR="00F76D17" w:rsidRPr="007A3223" w14:paraId="64B9F06A" w14:textId="77777777" w:rsidTr="000C49F9">
        <w:trPr>
          <w:trHeight w:val="862"/>
        </w:trPr>
        <w:tc>
          <w:tcPr>
            <w:tcW w:w="2189" w:type="dxa"/>
            <w:shd w:val="clear" w:color="auto" w:fill="BFBFBF" w:themeFill="background1" w:themeFillShade="BF"/>
          </w:tcPr>
          <w:p w14:paraId="4E2B6E53" w14:textId="77777777" w:rsidR="00162A64" w:rsidRPr="007A3223" w:rsidRDefault="00162A64" w:rsidP="00E21FB2">
            <w:pPr>
              <w:jc w:val="center"/>
              <w:rPr>
                <w:b/>
                <w:i/>
              </w:rPr>
            </w:pPr>
            <w:r w:rsidRPr="007A3223">
              <w:rPr>
                <w:b/>
                <w:i/>
              </w:rPr>
              <w:t>PBMC</w:t>
            </w:r>
          </w:p>
        </w:tc>
        <w:tc>
          <w:tcPr>
            <w:tcW w:w="2382" w:type="dxa"/>
            <w:shd w:val="clear" w:color="auto" w:fill="BFBFBF" w:themeFill="background1" w:themeFillShade="BF"/>
          </w:tcPr>
          <w:p w14:paraId="73344B3A" w14:textId="77777777" w:rsidR="00162A64" w:rsidRPr="007A3223" w:rsidRDefault="00162A64" w:rsidP="00E21FB2">
            <w:pPr>
              <w:jc w:val="center"/>
              <w:rPr>
                <w:b/>
                <w:i/>
              </w:rPr>
            </w:pPr>
            <w:bookmarkStart w:id="227" w:name="_Hlk37348606"/>
            <w:r w:rsidRPr="007A3223">
              <w:rPr>
                <w:b/>
                <w:i/>
              </w:rPr>
              <w:t>Plasma/whole blood</w:t>
            </w:r>
            <w:bookmarkEnd w:id="227"/>
          </w:p>
        </w:tc>
        <w:tc>
          <w:tcPr>
            <w:tcW w:w="1779" w:type="dxa"/>
            <w:shd w:val="clear" w:color="auto" w:fill="BFBFBF" w:themeFill="background1" w:themeFillShade="BF"/>
          </w:tcPr>
          <w:p w14:paraId="3836F18C" w14:textId="77777777" w:rsidR="00162A64" w:rsidRPr="007A3223" w:rsidRDefault="00162A64" w:rsidP="00E21FB2">
            <w:pPr>
              <w:jc w:val="center"/>
              <w:rPr>
                <w:b/>
                <w:i/>
              </w:rPr>
            </w:pPr>
            <w:r w:rsidRPr="007A3223">
              <w:rPr>
                <w:b/>
                <w:i/>
              </w:rPr>
              <w:t xml:space="preserve">Archived tissue samples </w:t>
            </w:r>
          </w:p>
        </w:tc>
        <w:tc>
          <w:tcPr>
            <w:tcW w:w="2741" w:type="dxa"/>
            <w:shd w:val="clear" w:color="auto" w:fill="BFBFBF" w:themeFill="background1" w:themeFillShade="BF"/>
          </w:tcPr>
          <w:p w14:paraId="2EDD5CE8" w14:textId="77777777" w:rsidR="00162A64" w:rsidRPr="007A3223" w:rsidRDefault="00162A64" w:rsidP="00E21FB2">
            <w:pPr>
              <w:jc w:val="center"/>
              <w:rPr>
                <w:b/>
                <w:i/>
              </w:rPr>
            </w:pPr>
            <w:r w:rsidRPr="007A3223">
              <w:rPr>
                <w:b/>
                <w:i/>
              </w:rPr>
              <w:t xml:space="preserve">Tumor and/or </w:t>
            </w:r>
          </w:p>
          <w:p w14:paraId="7D41E9F9" w14:textId="77777777" w:rsidR="00162A64" w:rsidRPr="007A3223" w:rsidRDefault="00162A64" w:rsidP="00E21FB2">
            <w:pPr>
              <w:jc w:val="center"/>
              <w:rPr>
                <w:b/>
                <w:i/>
              </w:rPr>
            </w:pPr>
            <w:r w:rsidRPr="007A3223">
              <w:rPr>
                <w:b/>
                <w:i/>
              </w:rPr>
              <w:t>Effusion Cells</w:t>
            </w:r>
          </w:p>
        </w:tc>
      </w:tr>
      <w:tr w:rsidR="00F76D17" w:rsidRPr="007A3223" w14:paraId="2670254A" w14:textId="77777777" w:rsidTr="000C49F9">
        <w:trPr>
          <w:trHeight w:val="2204"/>
        </w:trPr>
        <w:tc>
          <w:tcPr>
            <w:tcW w:w="2189" w:type="dxa"/>
          </w:tcPr>
          <w:p w14:paraId="4C48EF32" w14:textId="77777777" w:rsidR="00162A64" w:rsidRPr="007A3223" w:rsidRDefault="00162A64" w:rsidP="00E21FB2">
            <w:pPr>
              <w:jc w:val="center"/>
            </w:pPr>
            <w:r w:rsidRPr="007A3223">
              <w:t>Immune subset</w:t>
            </w:r>
            <w:r w:rsidRPr="007A3223">
              <w:rPr>
                <w:lang w:eastAsia="ko-KR"/>
              </w:rPr>
              <w:t xml:space="preserve">s by Flow </w:t>
            </w:r>
            <w:r w:rsidRPr="007A3223">
              <w:t xml:space="preserve"> </w:t>
            </w:r>
          </w:p>
          <w:p w14:paraId="250D1F17" w14:textId="77777777" w:rsidR="00162A64" w:rsidRPr="007A3223" w:rsidRDefault="00162A64" w:rsidP="00E21FB2">
            <w:pPr>
              <w:jc w:val="center"/>
            </w:pPr>
            <w:r w:rsidRPr="007A3223">
              <w:t xml:space="preserve">Circulating endothelial cells </w:t>
            </w:r>
          </w:p>
          <w:p w14:paraId="036E8B9A" w14:textId="77777777" w:rsidR="00F5207E" w:rsidRPr="007A3223" w:rsidRDefault="00F5207E" w:rsidP="00E21FB2">
            <w:pPr>
              <w:jc w:val="center"/>
            </w:pPr>
          </w:p>
          <w:p w14:paraId="42EE490B" w14:textId="77777777" w:rsidR="00F5207E" w:rsidRPr="007A3223" w:rsidRDefault="00F5207E" w:rsidP="00F5207E">
            <w:pPr>
              <w:jc w:val="center"/>
            </w:pPr>
          </w:p>
        </w:tc>
        <w:tc>
          <w:tcPr>
            <w:tcW w:w="2382" w:type="dxa"/>
          </w:tcPr>
          <w:p w14:paraId="4A750A61" w14:textId="77777777" w:rsidR="00162A64" w:rsidRPr="007A3223" w:rsidRDefault="00162A64" w:rsidP="00E21FB2">
            <w:pPr>
              <w:jc w:val="center"/>
            </w:pPr>
            <w:r w:rsidRPr="007A3223">
              <w:t>Comprehensive cytokine/chemokine</w:t>
            </w:r>
          </w:p>
          <w:p w14:paraId="071C0DD9" w14:textId="77777777" w:rsidR="00157E2E" w:rsidRPr="007A3223" w:rsidRDefault="00157E2E" w:rsidP="00E21FB2">
            <w:pPr>
              <w:jc w:val="center"/>
            </w:pPr>
            <w:r w:rsidRPr="007A3223">
              <w:t xml:space="preserve">Circulating tumor cells </w:t>
            </w:r>
          </w:p>
          <w:p w14:paraId="5A4BF2CE" w14:textId="77777777" w:rsidR="0021701C" w:rsidRPr="007A3223" w:rsidRDefault="0021701C" w:rsidP="00E21FB2">
            <w:pPr>
              <w:jc w:val="center"/>
            </w:pPr>
            <w:r w:rsidRPr="007A3223">
              <w:t>Cell free DNA</w:t>
            </w:r>
          </w:p>
          <w:p w14:paraId="7F0D9CB6" w14:textId="77777777" w:rsidR="00162A64" w:rsidRPr="007A3223" w:rsidRDefault="00162A64" w:rsidP="00E21FB2">
            <w:pPr>
              <w:jc w:val="center"/>
            </w:pPr>
            <w:r w:rsidRPr="007A3223">
              <w:t>Pharmacokinetics (Phase I only)</w:t>
            </w:r>
          </w:p>
        </w:tc>
        <w:tc>
          <w:tcPr>
            <w:tcW w:w="1779" w:type="dxa"/>
          </w:tcPr>
          <w:p w14:paraId="4841EE33" w14:textId="77777777" w:rsidR="00162A64" w:rsidRPr="007A3223" w:rsidRDefault="00162A64" w:rsidP="00E21FB2">
            <w:pPr>
              <w:jc w:val="center"/>
            </w:pPr>
            <w:r w:rsidRPr="007A3223">
              <w:t>IHC for PD-L1 expression</w:t>
            </w:r>
          </w:p>
          <w:p w14:paraId="245BEC93" w14:textId="77777777" w:rsidR="00DD2541" w:rsidRPr="007A3223" w:rsidRDefault="00DD2541" w:rsidP="00E21FB2">
            <w:pPr>
              <w:jc w:val="center"/>
            </w:pPr>
            <w:r w:rsidRPr="007A3223">
              <w:t xml:space="preserve">BROCA-HR </w:t>
            </w:r>
            <w:r w:rsidR="00C554A7" w:rsidRPr="007A3223">
              <w:t xml:space="preserve">next generation sequencing </w:t>
            </w:r>
            <w:r w:rsidRPr="007A3223">
              <w:t>and whole exome sequencing</w:t>
            </w:r>
          </w:p>
          <w:p w14:paraId="758F9944" w14:textId="77777777" w:rsidR="00162A64" w:rsidRPr="007A3223" w:rsidRDefault="00162A64" w:rsidP="00E21FB2">
            <w:pPr>
              <w:jc w:val="center"/>
            </w:pPr>
            <w:r w:rsidRPr="007A3223">
              <w:t>NF-kB activity</w:t>
            </w:r>
          </w:p>
          <w:p w14:paraId="20F7CC0D" w14:textId="77777777" w:rsidR="004A2308" w:rsidRPr="007A3223" w:rsidRDefault="004A2308" w:rsidP="004A2308">
            <w:r w:rsidRPr="007A3223">
              <w:t>Immune subsets</w:t>
            </w:r>
          </w:p>
        </w:tc>
        <w:tc>
          <w:tcPr>
            <w:tcW w:w="2741" w:type="dxa"/>
          </w:tcPr>
          <w:p w14:paraId="5D5BDC6C" w14:textId="77777777" w:rsidR="00162A64" w:rsidRPr="007A3223" w:rsidRDefault="00162A64" w:rsidP="00E21FB2">
            <w:pPr>
              <w:jc w:val="center"/>
            </w:pPr>
            <w:r w:rsidRPr="007A3223">
              <w:t xml:space="preserve">Immune subsets by </w:t>
            </w:r>
            <w:r w:rsidR="004A2308" w:rsidRPr="007A3223">
              <w:t>RNAseq or IHC</w:t>
            </w:r>
          </w:p>
          <w:p w14:paraId="282402F0" w14:textId="77777777" w:rsidR="00162A64" w:rsidRPr="007A3223" w:rsidRDefault="00162A64" w:rsidP="00E21FB2">
            <w:pPr>
              <w:jc w:val="center"/>
            </w:pPr>
            <w:r w:rsidRPr="007A3223">
              <w:t>IHC for PD</w:t>
            </w:r>
            <w:r w:rsidR="000C49F9" w:rsidRPr="007A3223">
              <w:t>-</w:t>
            </w:r>
            <w:r w:rsidRPr="007A3223">
              <w:t>L1 expression</w:t>
            </w:r>
          </w:p>
          <w:p w14:paraId="089173A7" w14:textId="77777777" w:rsidR="00DD2541" w:rsidRPr="007A3223" w:rsidRDefault="00DD2541" w:rsidP="00DD2541">
            <w:pPr>
              <w:jc w:val="center"/>
            </w:pPr>
            <w:r w:rsidRPr="007A3223">
              <w:t xml:space="preserve">BROCA-HR </w:t>
            </w:r>
            <w:r w:rsidR="00C554A7" w:rsidRPr="007A3223">
              <w:t xml:space="preserve">next generation sequencing </w:t>
            </w:r>
            <w:r w:rsidRPr="007A3223">
              <w:t>and</w:t>
            </w:r>
            <w:r w:rsidR="008F26EF" w:rsidRPr="007A3223">
              <w:t>/or</w:t>
            </w:r>
            <w:r w:rsidRPr="007A3223">
              <w:t xml:space="preserve"> whole exome sequencing</w:t>
            </w:r>
          </w:p>
          <w:p w14:paraId="4F0E8590" w14:textId="2984A11C" w:rsidR="00162A64" w:rsidRPr="007A3223" w:rsidRDefault="00162A64" w:rsidP="00E21FB2">
            <w:r w:rsidRPr="007A3223">
              <w:t>Tissue lysate array for angiogenesis and DNA repair endpoints</w:t>
            </w:r>
          </w:p>
          <w:p w14:paraId="60258005" w14:textId="78F16ECD" w:rsidR="00943F7F" w:rsidRPr="007A3223" w:rsidRDefault="00943F7F" w:rsidP="00E21FB2">
            <w:r w:rsidRPr="007A3223">
              <w:t>STING pathway activation</w:t>
            </w:r>
          </w:p>
          <w:p w14:paraId="7B26D27B" w14:textId="77777777" w:rsidR="00162A64" w:rsidRPr="007A3223" w:rsidRDefault="00162A64" w:rsidP="00E21FB2">
            <w:r w:rsidRPr="007A3223">
              <w:t>NF-kB activity</w:t>
            </w:r>
          </w:p>
          <w:p w14:paraId="1B65AB7A" w14:textId="77777777" w:rsidR="00875CB0" w:rsidRPr="007A3223" w:rsidRDefault="00875CB0" w:rsidP="00174380"/>
        </w:tc>
      </w:tr>
    </w:tbl>
    <w:p w14:paraId="375343AD" w14:textId="77777777" w:rsidR="00162A64" w:rsidRPr="00BF79D2" w:rsidRDefault="00162A64" w:rsidP="00162A64"/>
    <w:p w14:paraId="10581BBE" w14:textId="2C3F406D" w:rsidR="00133E28" w:rsidRPr="007A3223" w:rsidRDefault="00800A5E" w:rsidP="00EB39C0">
      <w:pPr>
        <w:pStyle w:val="Caption"/>
        <w:rPr>
          <w:szCs w:val="24"/>
        </w:rPr>
      </w:pPr>
      <w:bookmarkStart w:id="228" w:name="_Ref450557657"/>
      <w:bookmarkStart w:id="229" w:name="_Toc82444460"/>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26</w:t>
      </w:r>
      <w:r w:rsidR="00F82420" w:rsidRPr="007A3223">
        <w:rPr>
          <w:noProof/>
        </w:rPr>
        <w:fldChar w:fldCharType="end"/>
      </w:r>
      <w:bookmarkEnd w:id="228"/>
      <w:r w:rsidR="00133E28" w:rsidRPr="007A3223">
        <w:rPr>
          <w:b w:val="0"/>
          <w:w w:val="105"/>
          <w:szCs w:val="24"/>
        </w:rPr>
        <w:t>.</w:t>
      </w:r>
      <w:r w:rsidR="00133E28" w:rsidRPr="007A3223">
        <w:rPr>
          <w:b w:val="0"/>
          <w:spacing w:val="-5"/>
          <w:w w:val="105"/>
          <w:szCs w:val="24"/>
        </w:rPr>
        <w:t xml:space="preserve"> </w:t>
      </w:r>
      <w:r w:rsidR="00133E28" w:rsidRPr="00F33908">
        <w:rPr>
          <w:b w:val="0"/>
          <w:w w:val="105"/>
          <w:szCs w:val="24"/>
        </w:rPr>
        <w:t>Correlative</w:t>
      </w:r>
      <w:r w:rsidR="00133E28" w:rsidRPr="00F33908">
        <w:rPr>
          <w:b w:val="0"/>
          <w:spacing w:val="-5"/>
          <w:w w:val="105"/>
          <w:szCs w:val="24"/>
        </w:rPr>
        <w:t xml:space="preserve"> </w:t>
      </w:r>
      <w:r w:rsidR="00133E28" w:rsidRPr="00F33908">
        <w:rPr>
          <w:b w:val="0"/>
          <w:w w:val="105"/>
          <w:szCs w:val="24"/>
        </w:rPr>
        <w:t>studies</w:t>
      </w:r>
      <w:r w:rsidR="00133E28" w:rsidRPr="007A3223">
        <w:rPr>
          <w:b w:val="0"/>
          <w:spacing w:val="-5"/>
          <w:w w:val="105"/>
          <w:szCs w:val="24"/>
        </w:rPr>
        <w:t xml:space="preserve"> </w:t>
      </w:r>
      <w:r w:rsidR="00133E28" w:rsidRPr="007A3223">
        <w:rPr>
          <w:b w:val="0"/>
          <w:w w:val="105"/>
          <w:szCs w:val="24"/>
        </w:rPr>
        <w:t>for</w:t>
      </w:r>
      <w:r w:rsidR="00133E28" w:rsidRPr="007A3223">
        <w:rPr>
          <w:b w:val="0"/>
          <w:spacing w:val="-5"/>
          <w:w w:val="105"/>
          <w:szCs w:val="24"/>
        </w:rPr>
        <w:t xml:space="preserve"> </w:t>
      </w:r>
      <w:r w:rsidR="00133E28" w:rsidRPr="007A3223">
        <w:rPr>
          <w:b w:val="0"/>
          <w:w w:val="105"/>
          <w:szCs w:val="24"/>
        </w:rPr>
        <w:t>Phase</w:t>
      </w:r>
      <w:r w:rsidR="00133E28" w:rsidRPr="007A3223">
        <w:rPr>
          <w:b w:val="0"/>
          <w:spacing w:val="-5"/>
          <w:w w:val="105"/>
          <w:szCs w:val="24"/>
        </w:rPr>
        <w:t xml:space="preserve"> </w:t>
      </w:r>
      <w:r w:rsidR="00133E28" w:rsidRPr="007A3223">
        <w:rPr>
          <w:b w:val="0"/>
          <w:w w:val="105"/>
          <w:szCs w:val="24"/>
        </w:rPr>
        <w:t>II</w:t>
      </w:r>
      <w:r w:rsidR="00133E28" w:rsidRPr="007A3223">
        <w:rPr>
          <w:b w:val="0"/>
          <w:spacing w:val="-5"/>
          <w:w w:val="105"/>
          <w:szCs w:val="24"/>
        </w:rPr>
        <w:t xml:space="preserve"> </w:t>
      </w:r>
      <w:r w:rsidR="00133E28" w:rsidRPr="007A3223">
        <w:rPr>
          <w:b w:val="0"/>
          <w:w w:val="105"/>
          <w:szCs w:val="24"/>
        </w:rPr>
        <w:t>TNBC</w:t>
      </w:r>
      <w:r w:rsidR="00133E28" w:rsidRPr="007A3223">
        <w:rPr>
          <w:b w:val="0"/>
          <w:spacing w:val="-5"/>
          <w:w w:val="105"/>
          <w:szCs w:val="24"/>
        </w:rPr>
        <w:t xml:space="preserve"> </w:t>
      </w:r>
      <w:r w:rsidR="00133E28" w:rsidRPr="007A3223">
        <w:rPr>
          <w:b w:val="0"/>
          <w:w w:val="105"/>
          <w:szCs w:val="24"/>
        </w:rPr>
        <w:t>cohort</w:t>
      </w:r>
      <w:r w:rsidR="0089253C" w:rsidRPr="007A3223">
        <w:rPr>
          <w:b w:val="0"/>
          <w:w w:val="105"/>
          <w:szCs w:val="24"/>
        </w:rPr>
        <w:t xml:space="preserve"> 5</w:t>
      </w:r>
      <w:bookmarkEnd w:id="229"/>
    </w:p>
    <w:tbl>
      <w:tblPr>
        <w:tblW w:w="5000" w:type="pct"/>
        <w:tblLayout w:type="fixed"/>
        <w:tblCellMar>
          <w:left w:w="0" w:type="dxa"/>
          <w:right w:w="0" w:type="dxa"/>
        </w:tblCellMar>
        <w:tblLook w:val="01E0" w:firstRow="1" w:lastRow="1" w:firstColumn="1" w:lastColumn="1" w:noHBand="0" w:noVBand="0"/>
      </w:tblPr>
      <w:tblGrid>
        <w:gridCol w:w="1678"/>
        <w:gridCol w:w="2126"/>
        <w:gridCol w:w="2728"/>
        <w:gridCol w:w="2818"/>
      </w:tblGrid>
      <w:tr w:rsidR="00133E28" w:rsidRPr="007A3223" w14:paraId="37F9E560" w14:textId="77777777" w:rsidTr="0068644C">
        <w:trPr>
          <w:trHeight w:hRule="exact" w:val="777"/>
        </w:trPr>
        <w:tc>
          <w:tcPr>
            <w:tcW w:w="897" w:type="pct"/>
            <w:tcBorders>
              <w:top w:val="single" w:sz="4" w:space="0" w:color="000000"/>
              <w:left w:val="single" w:sz="4" w:space="0" w:color="000000"/>
              <w:bottom w:val="single" w:sz="4" w:space="0" w:color="000000"/>
              <w:right w:val="single" w:sz="4" w:space="0" w:color="000000"/>
            </w:tcBorders>
            <w:shd w:val="clear" w:color="auto" w:fill="BFBFBF"/>
          </w:tcPr>
          <w:p w14:paraId="1F2CFDF9" w14:textId="77777777" w:rsidR="00133E28" w:rsidRPr="007A3223" w:rsidRDefault="00133E28" w:rsidP="009C6DB4">
            <w:pPr>
              <w:pStyle w:val="TableParagraph"/>
              <w:spacing w:before="4"/>
              <w:ind w:left="344"/>
              <w:rPr>
                <w:rFonts w:ascii="Times New Roman" w:eastAsia="Times New Roman" w:hAnsi="Times New Roman" w:cs="Times New Roman"/>
              </w:rPr>
            </w:pPr>
            <w:r w:rsidRPr="007A3223">
              <w:rPr>
                <w:rFonts w:ascii="Times New Roman"/>
                <w:b/>
                <w:i/>
                <w:w w:val="105"/>
              </w:rPr>
              <w:t>PBMC</w:t>
            </w:r>
          </w:p>
        </w:tc>
        <w:tc>
          <w:tcPr>
            <w:tcW w:w="1137" w:type="pct"/>
            <w:tcBorders>
              <w:top w:val="single" w:sz="4" w:space="0" w:color="000000"/>
              <w:left w:val="single" w:sz="4" w:space="0" w:color="000000"/>
              <w:bottom w:val="single" w:sz="4" w:space="0" w:color="000000"/>
              <w:right w:val="single" w:sz="4" w:space="0" w:color="000000"/>
            </w:tcBorders>
            <w:shd w:val="clear" w:color="auto" w:fill="BFBFBF"/>
          </w:tcPr>
          <w:p w14:paraId="1C180AE8" w14:textId="77777777" w:rsidR="00133E28" w:rsidRPr="007A3223" w:rsidRDefault="00133E28" w:rsidP="009C6DB4">
            <w:pPr>
              <w:pStyle w:val="TableParagraph"/>
              <w:spacing w:before="4"/>
              <w:ind w:left="582" w:right="253" w:hanging="330"/>
              <w:rPr>
                <w:rFonts w:ascii="Times New Roman" w:eastAsia="Times New Roman" w:hAnsi="Times New Roman" w:cs="Times New Roman"/>
              </w:rPr>
            </w:pPr>
            <w:r w:rsidRPr="007A3223">
              <w:rPr>
                <w:rFonts w:ascii="Times New Roman"/>
                <w:b/>
                <w:i/>
              </w:rPr>
              <w:t>Plasma/whole</w:t>
            </w:r>
            <w:r w:rsidRPr="007A3223">
              <w:rPr>
                <w:rFonts w:ascii="Times New Roman"/>
                <w:b/>
                <w:i/>
                <w:w w:val="104"/>
              </w:rPr>
              <w:t xml:space="preserve"> </w:t>
            </w:r>
            <w:r w:rsidRPr="007A3223">
              <w:rPr>
                <w:rFonts w:ascii="Times New Roman"/>
                <w:b/>
                <w:i/>
              </w:rPr>
              <w:t>blood</w:t>
            </w:r>
          </w:p>
        </w:tc>
        <w:tc>
          <w:tcPr>
            <w:tcW w:w="1459" w:type="pct"/>
            <w:tcBorders>
              <w:top w:val="single" w:sz="4" w:space="0" w:color="000000"/>
              <w:left w:val="single" w:sz="4" w:space="0" w:color="000000"/>
              <w:bottom w:val="single" w:sz="4" w:space="0" w:color="000000"/>
              <w:right w:val="single" w:sz="4" w:space="0" w:color="000000"/>
            </w:tcBorders>
            <w:shd w:val="clear" w:color="auto" w:fill="BFBFBF"/>
          </w:tcPr>
          <w:p w14:paraId="61672AC4" w14:textId="77777777" w:rsidR="00133E28" w:rsidRPr="007A3223" w:rsidRDefault="00133E28" w:rsidP="009C6DB4">
            <w:pPr>
              <w:pStyle w:val="TableParagraph"/>
              <w:spacing w:before="4"/>
              <w:ind w:left="142"/>
              <w:rPr>
                <w:rFonts w:ascii="Times New Roman" w:eastAsia="Times New Roman" w:hAnsi="Times New Roman" w:cs="Times New Roman"/>
              </w:rPr>
            </w:pPr>
            <w:r w:rsidRPr="007A3223">
              <w:rPr>
                <w:rFonts w:ascii="Times New Roman"/>
                <w:b/>
                <w:i/>
                <w:w w:val="105"/>
              </w:rPr>
              <w:t>Archived</w:t>
            </w:r>
            <w:r w:rsidRPr="007A3223">
              <w:rPr>
                <w:rFonts w:ascii="Times New Roman"/>
                <w:b/>
                <w:i/>
                <w:spacing w:val="-9"/>
                <w:w w:val="105"/>
              </w:rPr>
              <w:t xml:space="preserve"> </w:t>
            </w:r>
            <w:r w:rsidRPr="007A3223">
              <w:rPr>
                <w:rFonts w:ascii="Times New Roman"/>
                <w:b/>
                <w:i/>
                <w:w w:val="105"/>
              </w:rPr>
              <w:t>tissue</w:t>
            </w:r>
            <w:r w:rsidRPr="007A3223">
              <w:rPr>
                <w:rFonts w:ascii="Times New Roman"/>
                <w:b/>
                <w:i/>
                <w:spacing w:val="-9"/>
                <w:w w:val="105"/>
              </w:rPr>
              <w:t xml:space="preserve"> </w:t>
            </w:r>
            <w:r w:rsidRPr="007A3223">
              <w:rPr>
                <w:rFonts w:ascii="Times New Roman"/>
                <w:b/>
                <w:i/>
                <w:w w:val="105"/>
              </w:rPr>
              <w:t>samples</w:t>
            </w:r>
          </w:p>
        </w:tc>
        <w:tc>
          <w:tcPr>
            <w:tcW w:w="1507" w:type="pct"/>
            <w:tcBorders>
              <w:top w:val="single" w:sz="4" w:space="0" w:color="000000"/>
              <w:left w:val="single" w:sz="4" w:space="0" w:color="000000"/>
              <w:bottom w:val="single" w:sz="4" w:space="0" w:color="000000"/>
              <w:right w:val="single" w:sz="4" w:space="0" w:color="000000"/>
            </w:tcBorders>
            <w:shd w:val="clear" w:color="auto" w:fill="BFBFBF"/>
          </w:tcPr>
          <w:p w14:paraId="4DE07BCA" w14:textId="77777777" w:rsidR="00133E28" w:rsidRPr="007A3223" w:rsidRDefault="00133E28" w:rsidP="009C6DB4">
            <w:pPr>
              <w:pStyle w:val="TableParagraph"/>
              <w:spacing w:before="4" w:line="361" w:lineRule="auto"/>
              <w:ind w:left="483" w:right="477" w:firstLine="10"/>
              <w:rPr>
                <w:rFonts w:ascii="Times New Roman" w:eastAsia="Times New Roman" w:hAnsi="Times New Roman" w:cs="Times New Roman"/>
              </w:rPr>
            </w:pPr>
            <w:r w:rsidRPr="007A3223">
              <w:rPr>
                <w:rFonts w:ascii="Times New Roman"/>
                <w:b/>
                <w:i/>
                <w:w w:val="105"/>
              </w:rPr>
              <w:t>Tumor</w:t>
            </w:r>
            <w:r w:rsidRPr="007A3223">
              <w:rPr>
                <w:rFonts w:ascii="Times New Roman"/>
                <w:b/>
                <w:i/>
                <w:spacing w:val="-12"/>
                <w:w w:val="105"/>
              </w:rPr>
              <w:t xml:space="preserve"> </w:t>
            </w:r>
            <w:r w:rsidRPr="007A3223">
              <w:rPr>
                <w:rFonts w:ascii="Times New Roman"/>
                <w:b/>
                <w:i/>
                <w:w w:val="105"/>
              </w:rPr>
              <w:t>(and/or</w:t>
            </w:r>
            <w:r w:rsidRPr="007A3223">
              <w:rPr>
                <w:rFonts w:ascii="Times New Roman"/>
                <w:b/>
                <w:i/>
                <w:w w:val="104"/>
              </w:rPr>
              <w:t xml:space="preserve"> </w:t>
            </w:r>
            <w:r w:rsidRPr="007A3223">
              <w:rPr>
                <w:rFonts w:ascii="Times New Roman"/>
                <w:b/>
                <w:i/>
                <w:w w:val="105"/>
              </w:rPr>
              <w:t>Effusion</w:t>
            </w:r>
            <w:r w:rsidRPr="007A3223">
              <w:rPr>
                <w:rFonts w:ascii="Times New Roman"/>
                <w:b/>
                <w:i/>
                <w:spacing w:val="-12"/>
                <w:w w:val="105"/>
              </w:rPr>
              <w:t xml:space="preserve"> </w:t>
            </w:r>
            <w:r w:rsidRPr="007A3223">
              <w:rPr>
                <w:rFonts w:ascii="Times New Roman"/>
                <w:b/>
                <w:i/>
                <w:w w:val="105"/>
              </w:rPr>
              <w:t>Cells)</w:t>
            </w:r>
          </w:p>
        </w:tc>
      </w:tr>
      <w:tr w:rsidR="00133E28" w:rsidRPr="007A3223" w14:paraId="7591C936" w14:textId="77777777" w:rsidTr="0068644C">
        <w:trPr>
          <w:trHeight w:hRule="exact" w:val="4098"/>
        </w:trPr>
        <w:tc>
          <w:tcPr>
            <w:tcW w:w="897" w:type="pct"/>
            <w:tcBorders>
              <w:top w:val="single" w:sz="4" w:space="0" w:color="000000"/>
              <w:left w:val="single" w:sz="4" w:space="0" w:color="000000"/>
              <w:bottom w:val="single" w:sz="4" w:space="0" w:color="000000"/>
              <w:right w:val="single" w:sz="4" w:space="0" w:color="000000"/>
            </w:tcBorders>
          </w:tcPr>
          <w:p w14:paraId="08E16A6C" w14:textId="77777777" w:rsidR="00133E28" w:rsidRPr="007A3223" w:rsidRDefault="00133E28" w:rsidP="009C6DB4">
            <w:pPr>
              <w:pStyle w:val="TableParagraph"/>
              <w:spacing w:line="244" w:lineRule="auto"/>
              <w:ind w:left="81" w:right="424"/>
              <w:rPr>
                <w:rFonts w:ascii="Times New Roman" w:eastAsia="Times New Roman" w:hAnsi="Times New Roman" w:cs="Times New Roman"/>
              </w:rPr>
            </w:pPr>
            <w:r w:rsidRPr="007A3223">
              <w:rPr>
                <w:rFonts w:ascii="Times New Roman"/>
                <w:spacing w:val="1"/>
              </w:rPr>
              <w:t>Immune</w:t>
            </w:r>
            <w:r w:rsidRPr="007A3223">
              <w:rPr>
                <w:rFonts w:ascii="Times New Roman"/>
                <w:spacing w:val="21"/>
                <w:w w:val="99"/>
              </w:rPr>
              <w:t xml:space="preserve"> </w:t>
            </w:r>
            <w:r w:rsidRPr="007A3223">
              <w:rPr>
                <w:rFonts w:ascii="Times New Roman"/>
              </w:rPr>
              <w:t>subsets</w:t>
            </w:r>
            <w:r w:rsidRPr="007A3223">
              <w:rPr>
                <w:rFonts w:ascii="Times New Roman"/>
                <w:spacing w:val="-7"/>
              </w:rPr>
              <w:t xml:space="preserve"> </w:t>
            </w:r>
            <w:r w:rsidRPr="007A3223">
              <w:rPr>
                <w:rFonts w:ascii="Times New Roman"/>
              </w:rPr>
              <w:t>by</w:t>
            </w:r>
            <w:r w:rsidRPr="007A3223">
              <w:rPr>
                <w:rFonts w:ascii="Times New Roman"/>
                <w:spacing w:val="26"/>
                <w:w w:val="99"/>
              </w:rPr>
              <w:t xml:space="preserve"> </w:t>
            </w:r>
            <w:r w:rsidRPr="007A3223">
              <w:rPr>
                <w:rFonts w:ascii="Times New Roman"/>
              </w:rPr>
              <w:t>flow</w:t>
            </w:r>
          </w:p>
        </w:tc>
        <w:tc>
          <w:tcPr>
            <w:tcW w:w="1137" w:type="pct"/>
            <w:tcBorders>
              <w:top w:val="single" w:sz="4" w:space="0" w:color="000000"/>
              <w:left w:val="single" w:sz="4" w:space="0" w:color="000000"/>
              <w:bottom w:val="single" w:sz="4" w:space="0" w:color="000000"/>
              <w:right w:val="single" w:sz="4" w:space="0" w:color="000000"/>
            </w:tcBorders>
          </w:tcPr>
          <w:p w14:paraId="4ABC5CD8" w14:textId="77777777" w:rsidR="00133E28" w:rsidRPr="007A3223" w:rsidRDefault="00133E28" w:rsidP="009C6DB4">
            <w:pPr>
              <w:pStyle w:val="TableParagraph"/>
              <w:spacing w:line="244" w:lineRule="auto"/>
              <w:ind w:left="77" w:right="120"/>
              <w:rPr>
                <w:rFonts w:ascii="Times New Roman" w:eastAsia="Times New Roman" w:hAnsi="Times New Roman" w:cs="Times New Roman"/>
              </w:rPr>
            </w:pPr>
            <w:r w:rsidRPr="007A3223">
              <w:rPr>
                <w:rFonts w:ascii="Times New Roman"/>
                <w:spacing w:val="2"/>
              </w:rPr>
              <w:t>C</w:t>
            </w:r>
            <w:r w:rsidRPr="007A3223">
              <w:rPr>
                <w:rFonts w:ascii="Times New Roman"/>
                <w:spacing w:val="1"/>
              </w:rPr>
              <w:t>o</w:t>
            </w:r>
            <w:r w:rsidRPr="007A3223">
              <w:rPr>
                <w:rFonts w:ascii="Times New Roman"/>
                <w:spacing w:val="2"/>
              </w:rPr>
              <w:t>m</w:t>
            </w:r>
            <w:r w:rsidRPr="007A3223">
              <w:rPr>
                <w:rFonts w:ascii="Times New Roman"/>
                <w:spacing w:val="1"/>
              </w:rPr>
              <w:t>prehens</w:t>
            </w:r>
            <w:r w:rsidRPr="007A3223">
              <w:rPr>
                <w:rFonts w:ascii="Times New Roman"/>
              </w:rPr>
              <w:t>i</w:t>
            </w:r>
            <w:r w:rsidRPr="007A3223">
              <w:rPr>
                <w:rFonts w:ascii="Times New Roman"/>
                <w:spacing w:val="1"/>
              </w:rPr>
              <w:t>v</w:t>
            </w:r>
            <w:r w:rsidRPr="007A3223">
              <w:rPr>
                <w:rFonts w:ascii="Times New Roman"/>
              </w:rPr>
              <w:t>e</w:t>
            </w:r>
            <w:r w:rsidRPr="007A3223">
              <w:rPr>
                <w:rFonts w:ascii="Times New Roman"/>
                <w:w w:val="99"/>
              </w:rPr>
              <w:t xml:space="preserve"> </w:t>
            </w:r>
            <w:r w:rsidRPr="007A3223">
              <w:rPr>
                <w:rFonts w:ascii="Times New Roman"/>
              </w:rPr>
              <w:t>cytokine</w:t>
            </w:r>
            <w:r w:rsidR="00211AB5" w:rsidRPr="007A3223">
              <w:rPr>
                <w:rFonts w:ascii="Times New Roman"/>
              </w:rPr>
              <w:t xml:space="preserve"> </w:t>
            </w:r>
            <w:r w:rsidRPr="007A3223">
              <w:rPr>
                <w:rFonts w:ascii="Times New Roman"/>
              </w:rPr>
              <w:t>/</w:t>
            </w:r>
            <w:r w:rsidR="00211AB5" w:rsidRPr="007A3223">
              <w:rPr>
                <w:rFonts w:ascii="Times New Roman"/>
              </w:rPr>
              <w:t xml:space="preserve"> </w:t>
            </w:r>
            <w:r w:rsidRPr="007A3223">
              <w:rPr>
                <w:rFonts w:ascii="Times New Roman"/>
              </w:rPr>
              <w:t>chemokine</w:t>
            </w:r>
          </w:p>
          <w:p w14:paraId="3742995E" w14:textId="77777777" w:rsidR="00133E28" w:rsidRPr="007A3223" w:rsidRDefault="00133E28" w:rsidP="009C6DB4">
            <w:pPr>
              <w:pStyle w:val="TableParagraph"/>
              <w:spacing w:before="94"/>
              <w:ind w:left="77" w:right="286"/>
              <w:rPr>
                <w:rFonts w:ascii="Times New Roman"/>
              </w:rPr>
            </w:pPr>
            <w:r w:rsidRPr="007A3223">
              <w:rPr>
                <w:rFonts w:ascii="Times New Roman"/>
              </w:rPr>
              <w:t>Circulating</w:t>
            </w:r>
            <w:r w:rsidRPr="007A3223">
              <w:rPr>
                <w:rFonts w:ascii="Times New Roman"/>
                <w:spacing w:val="-10"/>
              </w:rPr>
              <w:t xml:space="preserve"> </w:t>
            </w:r>
            <w:r w:rsidRPr="007A3223">
              <w:rPr>
                <w:rFonts w:ascii="Times New Roman"/>
              </w:rPr>
              <w:t>tumor</w:t>
            </w:r>
            <w:r w:rsidRPr="007A3223">
              <w:rPr>
                <w:rFonts w:ascii="Times New Roman"/>
                <w:spacing w:val="22"/>
                <w:w w:val="99"/>
              </w:rPr>
              <w:t xml:space="preserve"> </w:t>
            </w:r>
            <w:r w:rsidRPr="007A3223">
              <w:rPr>
                <w:rFonts w:ascii="Times New Roman"/>
              </w:rPr>
              <w:t>cells</w:t>
            </w:r>
          </w:p>
          <w:p w14:paraId="11028F41" w14:textId="77777777" w:rsidR="0021701C" w:rsidRPr="007A3223" w:rsidRDefault="0021701C" w:rsidP="009C6DB4">
            <w:pPr>
              <w:pStyle w:val="TableParagraph"/>
              <w:spacing w:before="94"/>
              <w:ind w:left="77" w:right="286"/>
              <w:rPr>
                <w:rFonts w:ascii="Times New Roman"/>
              </w:rPr>
            </w:pPr>
            <w:r w:rsidRPr="007A3223">
              <w:rPr>
                <w:rFonts w:ascii="Times New Roman"/>
              </w:rPr>
              <w:t>Cell free DNA</w:t>
            </w:r>
          </w:p>
          <w:p w14:paraId="2A3E7DDE" w14:textId="41BCAB6E" w:rsidR="00F5207E" w:rsidRPr="007A3223" w:rsidRDefault="00F5207E" w:rsidP="009C6DB4">
            <w:pPr>
              <w:pStyle w:val="TableParagraph"/>
              <w:spacing w:before="94"/>
              <w:ind w:left="77" w:right="286"/>
              <w:rPr>
                <w:rFonts w:ascii="Times New Roman" w:eastAsia="Times New Roman" w:hAnsi="Times New Roman" w:cs="Times New Roman"/>
              </w:rPr>
            </w:pPr>
          </w:p>
        </w:tc>
        <w:tc>
          <w:tcPr>
            <w:tcW w:w="1459" w:type="pct"/>
            <w:tcBorders>
              <w:top w:val="single" w:sz="4" w:space="0" w:color="000000"/>
              <w:left w:val="single" w:sz="4" w:space="0" w:color="000000"/>
              <w:bottom w:val="single" w:sz="4" w:space="0" w:color="000000"/>
              <w:right w:val="single" w:sz="4" w:space="0" w:color="000000"/>
            </w:tcBorders>
          </w:tcPr>
          <w:p w14:paraId="3A6F6B8A" w14:textId="77777777" w:rsidR="00133E28" w:rsidRPr="007A3223" w:rsidRDefault="00133E28" w:rsidP="009C6DB4">
            <w:pPr>
              <w:pStyle w:val="TableParagraph"/>
              <w:spacing w:line="244" w:lineRule="auto"/>
              <w:ind w:left="81" w:right="321"/>
              <w:rPr>
                <w:rFonts w:ascii="Times New Roman" w:eastAsia="Times New Roman" w:hAnsi="Times New Roman" w:cs="Times New Roman"/>
              </w:rPr>
            </w:pPr>
            <w:r w:rsidRPr="007A3223">
              <w:rPr>
                <w:rFonts w:ascii="Times New Roman"/>
                <w:spacing w:val="1"/>
              </w:rPr>
              <w:t>IHC</w:t>
            </w:r>
            <w:r w:rsidRPr="007A3223">
              <w:rPr>
                <w:rFonts w:ascii="Times New Roman"/>
                <w:spacing w:val="-3"/>
              </w:rPr>
              <w:t xml:space="preserve"> </w:t>
            </w:r>
            <w:r w:rsidRPr="007A3223">
              <w:rPr>
                <w:rFonts w:ascii="Times New Roman"/>
              </w:rPr>
              <w:t>for</w:t>
            </w:r>
            <w:r w:rsidRPr="007A3223">
              <w:rPr>
                <w:rFonts w:ascii="Times New Roman"/>
                <w:spacing w:val="-3"/>
              </w:rPr>
              <w:t xml:space="preserve"> </w:t>
            </w:r>
            <w:r w:rsidRPr="007A3223">
              <w:rPr>
                <w:rFonts w:ascii="Times New Roman"/>
                <w:spacing w:val="1"/>
              </w:rPr>
              <w:t>PD-L1</w:t>
            </w:r>
            <w:r w:rsidRPr="007A3223">
              <w:rPr>
                <w:rFonts w:ascii="Times New Roman"/>
                <w:spacing w:val="-5"/>
              </w:rPr>
              <w:t xml:space="preserve"> </w:t>
            </w:r>
            <w:r w:rsidRPr="007A3223">
              <w:rPr>
                <w:rFonts w:ascii="Times New Roman"/>
              </w:rPr>
              <w:t>and</w:t>
            </w:r>
            <w:r w:rsidRPr="007A3223">
              <w:rPr>
                <w:rFonts w:ascii="Times New Roman"/>
                <w:spacing w:val="25"/>
                <w:w w:val="99"/>
              </w:rPr>
              <w:t xml:space="preserve"> </w:t>
            </w:r>
            <w:r w:rsidRPr="007A3223">
              <w:rPr>
                <w:rFonts w:ascii="Times New Roman"/>
              </w:rPr>
              <w:t>peritumoral</w:t>
            </w:r>
            <w:r w:rsidRPr="007A3223">
              <w:rPr>
                <w:rFonts w:ascii="Times New Roman"/>
                <w:spacing w:val="-17"/>
              </w:rPr>
              <w:t xml:space="preserve"> </w:t>
            </w:r>
            <w:r w:rsidRPr="007A3223">
              <w:rPr>
                <w:rFonts w:ascii="Times New Roman"/>
              </w:rPr>
              <w:t>lymphocytes</w:t>
            </w:r>
            <w:r w:rsidRPr="007A3223">
              <w:rPr>
                <w:rFonts w:ascii="Times New Roman"/>
                <w:spacing w:val="36"/>
                <w:w w:val="99"/>
              </w:rPr>
              <w:t xml:space="preserve"> </w:t>
            </w:r>
            <w:r w:rsidRPr="007A3223">
              <w:rPr>
                <w:rFonts w:ascii="Times New Roman"/>
              </w:rPr>
              <w:t>expression</w:t>
            </w:r>
          </w:p>
          <w:p w14:paraId="5F7D6852" w14:textId="77777777" w:rsidR="00133E28" w:rsidRPr="007A3223" w:rsidRDefault="00133E28" w:rsidP="009C6DB4">
            <w:pPr>
              <w:pStyle w:val="TableParagraph"/>
              <w:spacing w:before="90" w:line="244" w:lineRule="auto"/>
              <w:ind w:left="81" w:right="208"/>
              <w:rPr>
                <w:rFonts w:ascii="Times New Roman" w:eastAsia="Times New Roman" w:hAnsi="Times New Roman" w:cs="Times New Roman"/>
              </w:rPr>
            </w:pPr>
            <w:r w:rsidRPr="007A3223">
              <w:rPr>
                <w:rFonts w:ascii="Times New Roman"/>
                <w:spacing w:val="1"/>
              </w:rPr>
              <w:t>BROCA-HR</w:t>
            </w:r>
            <w:r w:rsidRPr="007A3223">
              <w:rPr>
                <w:rFonts w:ascii="Times New Roman"/>
                <w:spacing w:val="-13"/>
              </w:rPr>
              <w:t xml:space="preserve"> </w:t>
            </w:r>
            <w:r w:rsidRPr="007A3223">
              <w:rPr>
                <w:rFonts w:ascii="Times New Roman"/>
              </w:rPr>
              <w:t>next</w:t>
            </w:r>
            <w:r w:rsidRPr="007A3223">
              <w:rPr>
                <w:rFonts w:ascii="Times New Roman"/>
                <w:spacing w:val="30"/>
                <w:w w:val="99"/>
              </w:rPr>
              <w:t xml:space="preserve"> </w:t>
            </w:r>
            <w:r w:rsidRPr="007A3223">
              <w:rPr>
                <w:rFonts w:ascii="Times New Roman"/>
              </w:rPr>
              <w:t>generation</w:t>
            </w:r>
            <w:r w:rsidRPr="007A3223">
              <w:rPr>
                <w:rFonts w:ascii="Times New Roman"/>
                <w:spacing w:val="-10"/>
              </w:rPr>
              <w:t xml:space="preserve"> </w:t>
            </w:r>
            <w:r w:rsidRPr="007A3223">
              <w:rPr>
                <w:rFonts w:ascii="Times New Roman"/>
              </w:rPr>
              <w:t>sequencing</w:t>
            </w:r>
            <w:r w:rsidRPr="007A3223">
              <w:rPr>
                <w:rFonts w:ascii="Times New Roman"/>
                <w:spacing w:val="-9"/>
              </w:rPr>
              <w:t xml:space="preserve"> </w:t>
            </w:r>
            <w:r w:rsidRPr="007A3223">
              <w:rPr>
                <w:rFonts w:ascii="Times New Roman"/>
                <w:spacing w:val="1"/>
              </w:rPr>
              <w:t>and</w:t>
            </w:r>
            <w:r w:rsidRPr="007A3223">
              <w:rPr>
                <w:rFonts w:ascii="Times New Roman"/>
                <w:spacing w:val="35"/>
                <w:w w:val="99"/>
              </w:rPr>
              <w:t xml:space="preserve"> </w:t>
            </w:r>
            <w:r w:rsidRPr="007A3223">
              <w:rPr>
                <w:rFonts w:ascii="Times New Roman"/>
              </w:rPr>
              <w:t>whole</w:t>
            </w:r>
            <w:r w:rsidRPr="007A3223">
              <w:rPr>
                <w:rFonts w:ascii="Times New Roman"/>
                <w:spacing w:val="-7"/>
              </w:rPr>
              <w:t xml:space="preserve"> </w:t>
            </w:r>
            <w:r w:rsidRPr="007A3223">
              <w:rPr>
                <w:rFonts w:ascii="Times New Roman"/>
                <w:spacing w:val="1"/>
              </w:rPr>
              <w:t>exome</w:t>
            </w:r>
            <w:r w:rsidRPr="007A3223">
              <w:rPr>
                <w:rFonts w:ascii="Times New Roman"/>
                <w:spacing w:val="-7"/>
              </w:rPr>
              <w:t xml:space="preserve"> </w:t>
            </w:r>
            <w:r w:rsidRPr="007A3223">
              <w:rPr>
                <w:rFonts w:ascii="Times New Roman"/>
              </w:rPr>
              <w:t>sequencing</w:t>
            </w:r>
          </w:p>
          <w:p w14:paraId="6917EDCC" w14:textId="77777777" w:rsidR="00133E28" w:rsidRPr="007A3223" w:rsidRDefault="00133E28" w:rsidP="009C6DB4">
            <w:pPr>
              <w:pStyle w:val="TableParagraph"/>
              <w:spacing w:before="90"/>
              <w:ind w:left="81"/>
              <w:rPr>
                <w:rFonts w:ascii="Times New Roman" w:eastAsia="Times New Roman" w:hAnsi="Times New Roman" w:cs="Times New Roman"/>
              </w:rPr>
            </w:pPr>
            <w:r w:rsidRPr="007A3223">
              <w:rPr>
                <w:rFonts w:ascii="Times New Roman"/>
                <w:spacing w:val="1"/>
              </w:rPr>
              <w:t>Immune</w:t>
            </w:r>
            <w:r w:rsidRPr="007A3223">
              <w:rPr>
                <w:rFonts w:ascii="Times New Roman"/>
                <w:spacing w:val="-9"/>
              </w:rPr>
              <w:t xml:space="preserve"> </w:t>
            </w:r>
            <w:r w:rsidRPr="007A3223">
              <w:rPr>
                <w:rFonts w:ascii="Times New Roman"/>
              </w:rPr>
              <w:t>subsets</w:t>
            </w:r>
          </w:p>
        </w:tc>
        <w:tc>
          <w:tcPr>
            <w:tcW w:w="1507" w:type="pct"/>
            <w:tcBorders>
              <w:top w:val="single" w:sz="4" w:space="0" w:color="000000"/>
              <w:left w:val="single" w:sz="4" w:space="0" w:color="000000"/>
              <w:bottom w:val="single" w:sz="4" w:space="0" w:color="000000"/>
              <w:right w:val="single" w:sz="4" w:space="0" w:color="000000"/>
            </w:tcBorders>
          </w:tcPr>
          <w:p w14:paraId="560AAD69" w14:textId="77777777" w:rsidR="00133E28" w:rsidRPr="007A3223" w:rsidRDefault="00133E28" w:rsidP="009C6DB4">
            <w:pPr>
              <w:pStyle w:val="TableParagraph"/>
              <w:spacing w:line="244" w:lineRule="auto"/>
              <w:ind w:left="81" w:right="713"/>
              <w:rPr>
                <w:rFonts w:ascii="Times New Roman" w:eastAsia="Times New Roman" w:hAnsi="Times New Roman" w:cs="Times New Roman"/>
              </w:rPr>
            </w:pPr>
            <w:r w:rsidRPr="007A3223">
              <w:rPr>
                <w:rFonts w:ascii="Times New Roman"/>
                <w:spacing w:val="1"/>
              </w:rPr>
              <w:t>RNAseq</w:t>
            </w:r>
            <w:r w:rsidRPr="007A3223">
              <w:rPr>
                <w:rFonts w:ascii="Times New Roman"/>
                <w:spacing w:val="-5"/>
              </w:rPr>
              <w:t xml:space="preserve"> </w:t>
            </w:r>
            <w:r w:rsidRPr="007A3223">
              <w:rPr>
                <w:rFonts w:ascii="Times New Roman"/>
              </w:rPr>
              <w:t>for</w:t>
            </w:r>
            <w:r w:rsidRPr="007A3223">
              <w:rPr>
                <w:rFonts w:ascii="Times New Roman"/>
                <w:spacing w:val="-5"/>
              </w:rPr>
              <w:t xml:space="preserve"> </w:t>
            </w:r>
            <w:r w:rsidRPr="007A3223">
              <w:rPr>
                <w:rFonts w:ascii="Times New Roman"/>
                <w:spacing w:val="1"/>
              </w:rPr>
              <w:t>TNBC</w:t>
            </w:r>
            <w:r w:rsidRPr="007A3223">
              <w:rPr>
                <w:rFonts w:ascii="Times New Roman"/>
                <w:spacing w:val="29"/>
                <w:w w:val="99"/>
              </w:rPr>
              <w:t xml:space="preserve"> </w:t>
            </w:r>
            <w:r w:rsidRPr="007A3223">
              <w:rPr>
                <w:rFonts w:ascii="Times New Roman"/>
              </w:rPr>
              <w:t>molecular</w:t>
            </w:r>
            <w:r w:rsidRPr="007A3223">
              <w:rPr>
                <w:rFonts w:ascii="Times New Roman"/>
                <w:spacing w:val="-12"/>
              </w:rPr>
              <w:t xml:space="preserve"> </w:t>
            </w:r>
            <w:r w:rsidRPr="007A3223">
              <w:rPr>
                <w:rFonts w:ascii="Times New Roman"/>
              </w:rPr>
              <w:t>sybtypes</w:t>
            </w:r>
          </w:p>
          <w:p w14:paraId="72AB6A1C" w14:textId="77777777" w:rsidR="00133E28" w:rsidRPr="007A3223" w:rsidRDefault="00133E28" w:rsidP="009C6DB4">
            <w:pPr>
              <w:pStyle w:val="TableParagraph"/>
              <w:spacing w:before="94" w:line="243" w:lineRule="auto"/>
              <w:ind w:left="81" w:right="174"/>
              <w:rPr>
                <w:rFonts w:ascii="Times New Roman" w:eastAsia="Times New Roman" w:hAnsi="Times New Roman" w:cs="Times New Roman"/>
              </w:rPr>
            </w:pPr>
            <w:r w:rsidRPr="007A3223">
              <w:rPr>
                <w:rFonts w:ascii="Times New Roman"/>
                <w:spacing w:val="1"/>
              </w:rPr>
              <w:t>IHC</w:t>
            </w:r>
            <w:r w:rsidRPr="007A3223">
              <w:rPr>
                <w:rFonts w:ascii="Times New Roman"/>
                <w:spacing w:val="-4"/>
              </w:rPr>
              <w:t xml:space="preserve"> </w:t>
            </w:r>
            <w:r w:rsidRPr="007A3223">
              <w:rPr>
                <w:rFonts w:ascii="Times New Roman"/>
              </w:rPr>
              <w:t>for</w:t>
            </w:r>
            <w:r w:rsidRPr="007A3223">
              <w:rPr>
                <w:rFonts w:ascii="Times New Roman"/>
                <w:spacing w:val="-5"/>
              </w:rPr>
              <w:t xml:space="preserve"> </w:t>
            </w:r>
            <w:r w:rsidRPr="007A3223">
              <w:rPr>
                <w:rFonts w:ascii="Times New Roman"/>
                <w:spacing w:val="1"/>
              </w:rPr>
              <w:t>PD-L1</w:t>
            </w:r>
            <w:r w:rsidRPr="007A3223">
              <w:rPr>
                <w:rFonts w:ascii="Times New Roman"/>
                <w:spacing w:val="-3"/>
              </w:rPr>
              <w:t xml:space="preserve"> </w:t>
            </w:r>
            <w:r w:rsidRPr="007A3223">
              <w:rPr>
                <w:rFonts w:ascii="Times New Roman"/>
              </w:rPr>
              <w:t>expression</w:t>
            </w:r>
            <w:r w:rsidRPr="007A3223">
              <w:rPr>
                <w:rFonts w:ascii="Times New Roman"/>
                <w:spacing w:val="30"/>
                <w:w w:val="99"/>
              </w:rPr>
              <w:t xml:space="preserve"> </w:t>
            </w:r>
            <w:r w:rsidRPr="007A3223">
              <w:rPr>
                <w:rFonts w:ascii="Times New Roman"/>
              </w:rPr>
              <w:t>and</w:t>
            </w:r>
            <w:r w:rsidRPr="007A3223">
              <w:rPr>
                <w:rFonts w:ascii="Times New Roman"/>
                <w:spacing w:val="-9"/>
              </w:rPr>
              <w:t xml:space="preserve"> </w:t>
            </w:r>
            <w:r w:rsidRPr="007A3223">
              <w:rPr>
                <w:rFonts w:ascii="Times New Roman"/>
              </w:rPr>
              <w:t>peritumoral</w:t>
            </w:r>
            <w:r w:rsidRPr="007A3223">
              <w:rPr>
                <w:rFonts w:ascii="Times New Roman"/>
                <w:spacing w:val="25"/>
                <w:w w:val="99"/>
              </w:rPr>
              <w:t xml:space="preserve"> </w:t>
            </w:r>
            <w:r w:rsidRPr="007A3223">
              <w:rPr>
                <w:rFonts w:ascii="Times New Roman"/>
              </w:rPr>
              <w:t>lymphocytes</w:t>
            </w:r>
            <w:r w:rsidRPr="007A3223">
              <w:rPr>
                <w:rFonts w:ascii="Times New Roman"/>
                <w:spacing w:val="-18"/>
              </w:rPr>
              <w:t xml:space="preserve"> </w:t>
            </w:r>
            <w:r w:rsidRPr="007A3223">
              <w:rPr>
                <w:rFonts w:ascii="Times New Roman"/>
              </w:rPr>
              <w:t>/macrophages</w:t>
            </w:r>
            <w:r w:rsidRPr="007A3223">
              <w:rPr>
                <w:rFonts w:ascii="Times New Roman"/>
                <w:spacing w:val="40"/>
                <w:w w:val="99"/>
              </w:rPr>
              <w:t xml:space="preserve"> </w:t>
            </w:r>
            <w:r w:rsidRPr="007A3223">
              <w:rPr>
                <w:rFonts w:ascii="Times New Roman"/>
              </w:rPr>
              <w:t>expression</w:t>
            </w:r>
          </w:p>
          <w:p w14:paraId="3512B3A0" w14:textId="77777777" w:rsidR="00133E28" w:rsidRPr="007A3223" w:rsidRDefault="00133E28" w:rsidP="009C6DB4">
            <w:pPr>
              <w:pStyle w:val="TableParagraph"/>
              <w:spacing w:before="91" w:line="243" w:lineRule="auto"/>
              <w:ind w:left="81" w:right="215"/>
              <w:rPr>
                <w:rFonts w:ascii="Times New Roman" w:eastAsia="Times New Roman" w:hAnsi="Times New Roman" w:cs="Times New Roman"/>
              </w:rPr>
            </w:pPr>
            <w:r w:rsidRPr="007A3223">
              <w:rPr>
                <w:rFonts w:ascii="Times New Roman"/>
                <w:spacing w:val="1"/>
              </w:rPr>
              <w:t>BROCA-HR</w:t>
            </w:r>
            <w:r w:rsidRPr="007A3223">
              <w:rPr>
                <w:rFonts w:ascii="Times New Roman"/>
                <w:spacing w:val="-13"/>
              </w:rPr>
              <w:t xml:space="preserve"> </w:t>
            </w:r>
            <w:r w:rsidRPr="007A3223">
              <w:rPr>
                <w:rFonts w:ascii="Times New Roman"/>
              </w:rPr>
              <w:t>next</w:t>
            </w:r>
            <w:r w:rsidRPr="007A3223">
              <w:rPr>
                <w:rFonts w:ascii="Times New Roman"/>
                <w:spacing w:val="30"/>
                <w:w w:val="99"/>
              </w:rPr>
              <w:t xml:space="preserve"> </w:t>
            </w:r>
            <w:r w:rsidRPr="007A3223">
              <w:rPr>
                <w:rFonts w:ascii="Times New Roman"/>
              </w:rPr>
              <w:t>generation</w:t>
            </w:r>
            <w:r w:rsidRPr="007A3223">
              <w:rPr>
                <w:rFonts w:ascii="Times New Roman"/>
                <w:spacing w:val="-10"/>
              </w:rPr>
              <w:t xml:space="preserve"> </w:t>
            </w:r>
            <w:r w:rsidRPr="007A3223">
              <w:rPr>
                <w:rFonts w:ascii="Times New Roman"/>
              </w:rPr>
              <w:t>sequencing</w:t>
            </w:r>
            <w:r w:rsidRPr="007A3223">
              <w:rPr>
                <w:rFonts w:ascii="Times New Roman"/>
                <w:spacing w:val="-9"/>
              </w:rPr>
              <w:t xml:space="preserve"> </w:t>
            </w:r>
            <w:r w:rsidRPr="007A3223">
              <w:rPr>
                <w:rFonts w:ascii="Times New Roman"/>
                <w:spacing w:val="1"/>
              </w:rPr>
              <w:t>and</w:t>
            </w:r>
            <w:r w:rsidRPr="007A3223">
              <w:rPr>
                <w:rFonts w:ascii="Times New Roman"/>
                <w:spacing w:val="35"/>
                <w:w w:val="99"/>
              </w:rPr>
              <w:t xml:space="preserve"> </w:t>
            </w:r>
            <w:r w:rsidRPr="007A3223">
              <w:rPr>
                <w:rFonts w:ascii="Times New Roman"/>
              </w:rPr>
              <w:t>whole</w:t>
            </w:r>
            <w:r w:rsidRPr="007A3223">
              <w:rPr>
                <w:rFonts w:ascii="Times New Roman"/>
                <w:spacing w:val="-7"/>
              </w:rPr>
              <w:t xml:space="preserve"> </w:t>
            </w:r>
            <w:r w:rsidRPr="007A3223">
              <w:rPr>
                <w:rFonts w:ascii="Times New Roman"/>
                <w:spacing w:val="1"/>
              </w:rPr>
              <w:t>exome</w:t>
            </w:r>
            <w:r w:rsidRPr="007A3223">
              <w:rPr>
                <w:rFonts w:ascii="Times New Roman"/>
                <w:spacing w:val="-7"/>
              </w:rPr>
              <w:t xml:space="preserve"> </w:t>
            </w:r>
            <w:r w:rsidRPr="007A3223">
              <w:rPr>
                <w:rFonts w:ascii="Times New Roman"/>
              </w:rPr>
              <w:t>sequencing</w:t>
            </w:r>
            <w:r w:rsidRPr="007A3223">
              <w:rPr>
                <w:rFonts w:ascii="Times New Roman"/>
                <w:spacing w:val="24"/>
                <w:w w:val="99"/>
              </w:rPr>
              <w:t xml:space="preserve"> </w:t>
            </w:r>
            <w:r w:rsidRPr="007A3223">
              <w:rPr>
                <w:rFonts w:ascii="Times New Roman"/>
              </w:rPr>
              <w:t>pre</w:t>
            </w:r>
            <w:r w:rsidRPr="007A3223">
              <w:rPr>
                <w:rFonts w:ascii="Times New Roman"/>
                <w:spacing w:val="-3"/>
              </w:rPr>
              <w:t xml:space="preserve"> </w:t>
            </w:r>
            <w:r w:rsidRPr="007A3223">
              <w:rPr>
                <w:rFonts w:ascii="Times New Roman"/>
                <w:spacing w:val="1"/>
              </w:rPr>
              <w:t>and</w:t>
            </w:r>
            <w:r w:rsidRPr="007A3223">
              <w:rPr>
                <w:rFonts w:ascii="Times New Roman"/>
                <w:spacing w:val="-5"/>
              </w:rPr>
              <w:t xml:space="preserve"> </w:t>
            </w:r>
            <w:r w:rsidRPr="007A3223">
              <w:rPr>
                <w:rFonts w:ascii="Times New Roman"/>
              </w:rPr>
              <w:t>post</w:t>
            </w:r>
            <w:r w:rsidRPr="007A3223">
              <w:rPr>
                <w:rFonts w:ascii="Times New Roman"/>
                <w:spacing w:val="-4"/>
              </w:rPr>
              <w:t xml:space="preserve"> </w:t>
            </w:r>
            <w:r w:rsidRPr="007A3223">
              <w:rPr>
                <w:rFonts w:ascii="Times New Roman"/>
              </w:rPr>
              <w:t>olaparib</w:t>
            </w:r>
            <w:r w:rsidRPr="007A3223">
              <w:rPr>
                <w:rFonts w:ascii="Times New Roman"/>
                <w:spacing w:val="30"/>
                <w:w w:val="99"/>
              </w:rPr>
              <w:t xml:space="preserve"> </w:t>
            </w:r>
            <w:r w:rsidRPr="007A3223">
              <w:rPr>
                <w:rFonts w:ascii="Times New Roman"/>
              </w:rPr>
              <w:t>treatment</w:t>
            </w:r>
          </w:p>
          <w:p w14:paraId="2981D9EB" w14:textId="77777777" w:rsidR="00133E28" w:rsidRPr="007A3223" w:rsidRDefault="00133E28" w:rsidP="009C6DB4">
            <w:pPr>
              <w:pStyle w:val="TableParagraph"/>
              <w:spacing w:before="95" w:line="244" w:lineRule="auto"/>
              <w:ind w:left="81" w:right="103"/>
              <w:rPr>
                <w:rFonts w:ascii="Times New Roman" w:eastAsia="Times New Roman" w:hAnsi="Times New Roman" w:cs="Times New Roman"/>
              </w:rPr>
            </w:pPr>
            <w:r w:rsidRPr="007A3223">
              <w:rPr>
                <w:rFonts w:ascii="Times New Roman"/>
              </w:rPr>
              <w:t>Tissue</w:t>
            </w:r>
            <w:r w:rsidRPr="007A3223">
              <w:rPr>
                <w:rFonts w:ascii="Times New Roman"/>
                <w:spacing w:val="-3"/>
              </w:rPr>
              <w:t xml:space="preserve"> </w:t>
            </w:r>
            <w:r w:rsidRPr="007A3223">
              <w:rPr>
                <w:rFonts w:ascii="Times New Roman"/>
              </w:rPr>
              <w:t>lysate</w:t>
            </w:r>
            <w:r w:rsidRPr="007A3223">
              <w:rPr>
                <w:rFonts w:ascii="Times New Roman"/>
                <w:spacing w:val="-3"/>
              </w:rPr>
              <w:t xml:space="preserve"> </w:t>
            </w:r>
            <w:r w:rsidRPr="007A3223">
              <w:rPr>
                <w:rFonts w:ascii="Times New Roman"/>
              </w:rPr>
              <w:t>array</w:t>
            </w:r>
            <w:r w:rsidRPr="007A3223">
              <w:rPr>
                <w:rFonts w:ascii="Times New Roman"/>
                <w:spacing w:val="-3"/>
              </w:rPr>
              <w:t xml:space="preserve"> </w:t>
            </w:r>
            <w:r w:rsidRPr="007A3223">
              <w:rPr>
                <w:rFonts w:ascii="Times New Roman"/>
              </w:rPr>
              <w:t>for</w:t>
            </w:r>
            <w:r w:rsidRPr="007A3223">
              <w:rPr>
                <w:rFonts w:ascii="Times New Roman"/>
                <w:spacing w:val="-4"/>
              </w:rPr>
              <w:t xml:space="preserve"> </w:t>
            </w:r>
            <w:r w:rsidRPr="007A3223">
              <w:rPr>
                <w:rFonts w:ascii="Times New Roman"/>
                <w:spacing w:val="1"/>
              </w:rPr>
              <w:t>DNA</w:t>
            </w:r>
            <w:r w:rsidRPr="007A3223">
              <w:rPr>
                <w:rFonts w:ascii="Times New Roman"/>
                <w:spacing w:val="28"/>
                <w:w w:val="99"/>
              </w:rPr>
              <w:t xml:space="preserve"> </w:t>
            </w:r>
            <w:r w:rsidRPr="007A3223">
              <w:rPr>
                <w:rFonts w:ascii="Times New Roman"/>
              </w:rPr>
              <w:t>repair</w:t>
            </w:r>
            <w:r w:rsidRPr="007A3223">
              <w:rPr>
                <w:rFonts w:ascii="Times New Roman"/>
                <w:spacing w:val="-10"/>
              </w:rPr>
              <w:t xml:space="preserve"> </w:t>
            </w:r>
            <w:r w:rsidRPr="007A3223">
              <w:rPr>
                <w:rFonts w:ascii="Times New Roman"/>
              </w:rPr>
              <w:t>endpoints</w:t>
            </w:r>
          </w:p>
        </w:tc>
      </w:tr>
    </w:tbl>
    <w:p w14:paraId="0830322C" w14:textId="77777777" w:rsidR="0043200A" w:rsidRPr="00BF79D2" w:rsidRDefault="0043200A" w:rsidP="00162A64"/>
    <w:p w14:paraId="3C017935" w14:textId="411834EB" w:rsidR="007630B2" w:rsidRPr="007A3223" w:rsidRDefault="00800A5E" w:rsidP="00EB39C0">
      <w:pPr>
        <w:pStyle w:val="Caption"/>
        <w:rPr>
          <w:b w:val="0"/>
          <w:w w:val="105"/>
          <w:szCs w:val="24"/>
        </w:rPr>
      </w:pPr>
      <w:bookmarkStart w:id="230" w:name="_Toc82444461"/>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27</w:t>
      </w:r>
      <w:r w:rsidR="00F82420" w:rsidRPr="007A3223">
        <w:rPr>
          <w:noProof/>
        </w:rPr>
        <w:fldChar w:fldCharType="end"/>
      </w:r>
      <w:r w:rsidR="009C6DB4" w:rsidRPr="007A3223">
        <w:rPr>
          <w:b w:val="0"/>
          <w:w w:val="105"/>
          <w:szCs w:val="24"/>
        </w:rPr>
        <w:t xml:space="preserve">. Correlative studies for Phase II NSCLC </w:t>
      </w:r>
      <w:r w:rsidR="0089253C" w:rsidRPr="00F33908">
        <w:rPr>
          <w:b w:val="0"/>
          <w:w w:val="105"/>
          <w:szCs w:val="24"/>
        </w:rPr>
        <w:t xml:space="preserve">(cohort 2) </w:t>
      </w:r>
      <w:r w:rsidR="009C6DB4" w:rsidRPr="00F33908">
        <w:rPr>
          <w:b w:val="0"/>
          <w:w w:val="105"/>
          <w:szCs w:val="24"/>
        </w:rPr>
        <w:t xml:space="preserve">and SCLC </w:t>
      </w:r>
      <w:r w:rsidR="0089253C" w:rsidRPr="00F33908">
        <w:rPr>
          <w:b w:val="0"/>
          <w:w w:val="105"/>
          <w:szCs w:val="24"/>
        </w:rPr>
        <w:t>(cohort 3)</w:t>
      </w:r>
      <w:bookmarkEnd w:id="230"/>
    </w:p>
    <w:tbl>
      <w:tblPr>
        <w:tblW w:w="5000" w:type="pct"/>
        <w:tblCellMar>
          <w:left w:w="0" w:type="dxa"/>
          <w:right w:w="0" w:type="dxa"/>
        </w:tblCellMar>
        <w:tblLook w:val="01E0" w:firstRow="1" w:lastRow="1" w:firstColumn="1" w:lastColumn="1" w:noHBand="0" w:noVBand="0"/>
      </w:tblPr>
      <w:tblGrid>
        <w:gridCol w:w="1271"/>
        <w:gridCol w:w="1752"/>
        <w:gridCol w:w="916"/>
        <w:gridCol w:w="2122"/>
        <w:gridCol w:w="1881"/>
        <w:gridCol w:w="1408"/>
      </w:tblGrid>
      <w:tr w:rsidR="009C6DB4" w:rsidRPr="007A3223" w14:paraId="39A44178" w14:textId="77777777" w:rsidTr="00C44880">
        <w:trPr>
          <w:trHeight w:hRule="exact" w:val="649"/>
          <w:tblHeader/>
        </w:trPr>
        <w:tc>
          <w:tcPr>
            <w:tcW w:w="679" w:type="pct"/>
            <w:tcBorders>
              <w:top w:val="single" w:sz="4" w:space="0" w:color="000000"/>
              <w:left w:val="single" w:sz="4" w:space="0" w:color="000000"/>
              <w:bottom w:val="single" w:sz="4" w:space="0" w:color="000000"/>
              <w:right w:val="single" w:sz="4" w:space="0" w:color="000000"/>
            </w:tcBorders>
            <w:shd w:val="pct5" w:color="auto" w:fill="auto"/>
          </w:tcPr>
          <w:p w14:paraId="1F93BB13" w14:textId="77777777" w:rsidR="009C6DB4" w:rsidRPr="007A3223" w:rsidRDefault="009C6DB4" w:rsidP="00F0228A">
            <w:pPr>
              <w:pStyle w:val="TableParagraph"/>
              <w:spacing w:before="107"/>
              <w:ind w:left="368"/>
              <w:rPr>
                <w:rFonts w:ascii="Times New Roman" w:hAnsi="Times New Roman" w:cs="Times New Roman"/>
                <w:b/>
                <w:i/>
              </w:rPr>
            </w:pPr>
            <w:r w:rsidRPr="007A3223">
              <w:rPr>
                <w:rFonts w:ascii="Times New Roman" w:hAnsi="Times New Roman" w:cs="Times New Roman"/>
                <w:b/>
                <w:i/>
              </w:rPr>
              <w:t>Sample</w:t>
            </w:r>
          </w:p>
        </w:tc>
        <w:tc>
          <w:tcPr>
            <w:tcW w:w="937" w:type="pct"/>
            <w:tcBorders>
              <w:top w:val="single" w:sz="4" w:space="0" w:color="000000"/>
              <w:left w:val="single" w:sz="4" w:space="0" w:color="000000"/>
              <w:bottom w:val="single" w:sz="4" w:space="0" w:color="000000"/>
              <w:right w:val="single" w:sz="4" w:space="0" w:color="000000"/>
            </w:tcBorders>
            <w:shd w:val="pct5" w:color="auto" w:fill="auto"/>
          </w:tcPr>
          <w:p w14:paraId="017C930F" w14:textId="77777777" w:rsidR="009C6DB4" w:rsidRPr="007A3223" w:rsidRDefault="009C6DB4" w:rsidP="009C6DB4">
            <w:pPr>
              <w:pStyle w:val="TableParagraph"/>
              <w:spacing w:before="107"/>
              <w:ind w:left="368"/>
              <w:rPr>
                <w:rFonts w:ascii="Times New Roman" w:eastAsia="Times New Roman" w:hAnsi="Times New Roman" w:cs="Times New Roman"/>
              </w:rPr>
            </w:pPr>
            <w:r w:rsidRPr="007A3223">
              <w:rPr>
                <w:rFonts w:ascii="Times New Roman" w:hAnsi="Times New Roman" w:cs="Times New Roman"/>
                <w:b/>
                <w:i/>
              </w:rPr>
              <w:t>Assay</w:t>
            </w:r>
          </w:p>
        </w:tc>
        <w:tc>
          <w:tcPr>
            <w:tcW w:w="490" w:type="pct"/>
            <w:tcBorders>
              <w:top w:val="single" w:sz="4" w:space="0" w:color="000000"/>
              <w:left w:val="single" w:sz="4" w:space="0" w:color="000000"/>
              <w:bottom w:val="single" w:sz="11" w:space="0" w:color="000000"/>
              <w:right w:val="single" w:sz="4" w:space="0" w:color="000000"/>
            </w:tcBorders>
            <w:shd w:val="pct5" w:color="auto" w:fill="auto"/>
          </w:tcPr>
          <w:p w14:paraId="2322610C" w14:textId="77777777" w:rsidR="009C6DB4" w:rsidRPr="007A3223" w:rsidRDefault="009C6DB4" w:rsidP="009C6DB4">
            <w:pPr>
              <w:pStyle w:val="TableParagraph"/>
              <w:spacing w:before="7"/>
              <w:ind w:left="166" w:right="79" w:hanging="89"/>
              <w:rPr>
                <w:rFonts w:ascii="Times New Roman" w:eastAsia="Times New Roman" w:hAnsi="Times New Roman" w:cs="Times New Roman"/>
              </w:rPr>
            </w:pPr>
            <w:r w:rsidRPr="007A3223">
              <w:rPr>
                <w:rFonts w:ascii="Times New Roman" w:hAnsi="Times New Roman" w:cs="Times New Roman"/>
                <w:b/>
                <w:i/>
              </w:rPr>
              <w:t>Volume</w:t>
            </w:r>
            <w:r w:rsidRPr="007A3223">
              <w:rPr>
                <w:rFonts w:ascii="Times New Roman" w:hAnsi="Times New Roman" w:cs="Times New Roman"/>
                <w:b/>
                <w:i/>
                <w:w w:val="104"/>
              </w:rPr>
              <w:t xml:space="preserve"> </w:t>
            </w:r>
            <w:r w:rsidRPr="007A3223">
              <w:rPr>
                <w:rFonts w:ascii="Times New Roman" w:hAnsi="Times New Roman" w:cs="Times New Roman"/>
                <w:b/>
                <w:i/>
              </w:rPr>
              <w:t>blood</w:t>
            </w:r>
          </w:p>
        </w:tc>
        <w:tc>
          <w:tcPr>
            <w:tcW w:w="1135" w:type="pct"/>
            <w:tcBorders>
              <w:top w:val="single" w:sz="4" w:space="0" w:color="000000"/>
              <w:left w:val="single" w:sz="4" w:space="0" w:color="000000"/>
              <w:bottom w:val="single" w:sz="4" w:space="0" w:color="000000"/>
              <w:right w:val="single" w:sz="4" w:space="0" w:color="000000"/>
            </w:tcBorders>
            <w:shd w:val="pct5" w:color="auto" w:fill="auto"/>
          </w:tcPr>
          <w:p w14:paraId="78F1BE7B" w14:textId="77777777" w:rsidR="009C6DB4" w:rsidRPr="007A3223" w:rsidRDefault="009C6DB4" w:rsidP="009C6DB4">
            <w:pPr>
              <w:pStyle w:val="TableParagraph"/>
              <w:spacing w:before="107"/>
              <w:ind w:left="359"/>
              <w:rPr>
                <w:rFonts w:ascii="Times New Roman" w:eastAsia="Times New Roman" w:hAnsi="Times New Roman" w:cs="Times New Roman"/>
              </w:rPr>
            </w:pPr>
            <w:r w:rsidRPr="007A3223">
              <w:rPr>
                <w:rFonts w:ascii="Times New Roman" w:hAnsi="Times New Roman" w:cs="Times New Roman"/>
                <w:b/>
                <w:i/>
              </w:rPr>
              <w:t>Type</w:t>
            </w:r>
            <w:r w:rsidRPr="007A3223">
              <w:rPr>
                <w:rFonts w:ascii="Times New Roman" w:hAnsi="Times New Roman" w:cs="Times New Roman"/>
                <w:b/>
                <w:i/>
                <w:spacing w:val="-10"/>
              </w:rPr>
              <w:t xml:space="preserve"> </w:t>
            </w:r>
            <w:r w:rsidRPr="007A3223">
              <w:rPr>
                <w:rFonts w:ascii="Times New Roman" w:hAnsi="Times New Roman" w:cs="Times New Roman"/>
                <w:b/>
                <w:i/>
              </w:rPr>
              <w:t>of</w:t>
            </w:r>
            <w:r w:rsidRPr="007A3223">
              <w:rPr>
                <w:rFonts w:ascii="Times New Roman" w:hAnsi="Times New Roman" w:cs="Times New Roman"/>
                <w:b/>
                <w:i/>
                <w:spacing w:val="-10"/>
              </w:rPr>
              <w:t xml:space="preserve"> </w:t>
            </w:r>
            <w:r w:rsidRPr="007A3223">
              <w:rPr>
                <w:rFonts w:ascii="Times New Roman" w:hAnsi="Times New Roman" w:cs="Times New Roman"/>
                <w:b/>
                <w:i/>
              </w:rPr>
              <w:t>tube</w:t>
            </w:r>
          </w:p>
        </w:tc>
        <w:tc>
          <w:tcPr>
            <w:tcW w:w="1006" w:type="pct"/>
            <w:tcBorders>
              <w:top w:val="single" w:sz="4" w:space="0" w:color="000000"/>
              <w:left w:val="single" w:sz="4" w:space="0" w:color="000000"/>
              <w:bottom w:val="single" w:sz="4" w:space="0" w:color="000000"/>
              <w:right w:val="single" w:sz="4" w:space="0" w:color="000000"/>
            </w:tcBorders>
            <w:shd w:val="pct5" w:color="auto" w:fill="auto"/>
          </w:tcPr>
          <w:p w14:paraId="6D257811" w14:textId="77777777" w:rsidR="009C6DB4" w:rsidRPr="007A3223" w:rsidRDefault="009C6DB4" w:rsidP="009C6DB4">
            <w:pPr>
              <w:pStyle w:val="TableParagraph"/>
              <w:spacing w:before="107"/>
              <w:ind w:left="426"/>
              <w:rPr>
                <w:rFonts w:ascii="Times New Roman" w:eastAsia="Times New Roman" w:hAnsi="Times New Roman" w:cs="Times New Roman"/>
              </w:rPr>
            </w:pPr>
            <w:r w:rsidRPr="007A3223">
              <w:rPr>
                <w:rFonts w:ascii="Times New Roman" w:hAnsi="Times New Roman" w:cs="Times New Roman"/>
                <w:b/>
                <w:i/>
              </w:rPr>
              <w:t>Time</w:t>
            </w:r>
            <w:r w:rsidRPr="007A3223">
              <w:rPr>
                <w:rFonts w:ascii="Times New Roman" w:hAnsi="Times New Roman" w:cs="Times New Roman"/>
                <w:b/>
                <w:i/>
                <w:spacing w:val="-19"/>
              </w:rPr>
              <w:t xml:space="preserve"> </w:t>
            </w:r>
            <w:r w:rsidRPr="007A3223">
              <w:rPr>
                <w:rFonts w:ascii="Times New Roman" w:hAnsi="Times New Roman" w:cs="Times New Roman"/>
                <w:b/>
                <w:i/>
              </w:rPr>
              <w:t>points</w:t>
            </w:r>
          </w:p>
        </w:tc>
        <w:tc>
          <w:tcPr>
            <w:tcW w:w="754" w:type="pct"/>
            <w:tcBorders>
              <w:top w:val="single" w:sz="4" w:space="0" w:color="000000"/>
              <w:left w:val="single" w:sz="4" w:space="0" w:color="000000"/>
              <w:bottom w:val="single" w:sz="11" w:space="0" w:color="000000"/>
              <w:right w:val="single" w:sz="4" w:space="0" w:color="auto"/>
            </w:tcBorders>
            <w:shd w:val="pct5" w:color="auto" w:fill="auto"/>
          </w:tcPr>
          <w:p w14:paraId="517C24AD" w14:textId="77777777" w:rsidR="009C6DB4" w:rsidRPr="007A3223" w:rsidRDefault="009C6DB4" w:rsidP="009C6DB4">
            <w:pPr>
              <w:pStyle w:val="TableParagraph"/>
              <w:spacing w:before="9"/>
              <w:rPr>
                <w:rFonts w:ascii="Times New Roman" w:eastAsia="Arial" w:hAnsi="Times New Roman" w:cs="Times New Roman"/>
                <w:b/>
                <w:bCs/>
              </w:rPr>
            </w:pPr>
          </w:p>
          <w:p w14:paraId="2297EE78" w14:textId="77777777" w:rsidR="009C6DB4" w:rsidRPr="007A3223" w:rsidRDefault="009C6DB4" w:rsidP="009C6DB4">
            <w:pPr>
              <w:pStyle w:val="TableParagraph"/>
              <w:spacing w:line="212" w:lineRule="exact"/>
              <w:ind w:left="210"/>
              <w:rPr>
                <w:rFonts w:ascii="Times New Roman" w:eastAsia="Times New Roman" w:hAnsi="Times New Roman" w:cs="Times New Roman"/>
              </w:rPr>
            </w:pPr>
            <w:r w:rsidRPr="007A3223">
              <w:rPr>
                <w:rFonts w:ascii="Times New Roman" w:hAnsi="Times New Roman" w:cs="Times New Roman"/>
                <w:b/>
                <w:i/>
              </w:rPr>
              <w:t>Location</w:t>
            </w:r>
          </w:p>
        </w:tc>
      </w:tr>
      <w:tr w:rsidR="009C6DB4" w:rsidRPr="007A3223" w14:paraId="41985242" w14:textId="77777777" w:rsidTr="00C44880">
        <w:trPr>
          <w:trHeight w:hRule="exact" w:val="2028"/>
        </w:trPr>
        <w:tc>
          <w:tcPr>
            <w:tcW w:w="679" w:type="pct"/>
            <w:tcBorders>
              <w:top w:val="single" w:sz="4" w:space="0" w:color="000000"/>
              <w:left w:val="single" w:sz="4" w:space="0" w:color="000000"/>
              <w:bottom w:val="single" w:sz="4" w:space="0" w:color="000000"/>
              <w:right w:val="single" w:sz="4" w:space="0" w:color="000000"/>
            </w:tcBorders>
          </w:tcPr>
          <w:p w14:paraId="6D706432" w14:textId="77777777" w:rsidR="009C6DB4" w:rsidRPr="007A3223" w:rsidRDefault="009C6DB4" w:rsidP="009C6DB4">
            <w:pPr>
              <w:pStyle w:val="TableParagraph"/>
              <w:rPr>
                <w:rFonts w:ascii="Times New Roman" w:eastAsia="Times New Roman" w:hAnsi="Times New Roman" w:cs="Times New Roman"/>
                <w:b/>
                <w:bCs/>
              </w:rPr>
            </w:pPr>
          </w:p>
          <w:p w14:paraId="0BC0B692" w14:textId="77777777" w:rsidR="009C6DB4" w:rsidRPr="007A3223" w:rsidRDefault="009C6DB4" w:rsidP="009C6DB4">
            <w:pPr>
              <w:pStyle w:val="TableParagraph"/>
              <w:spacing w:before="3"/>
              <w:rPr>
                <w:rFonts w:ascii="Times New Roman" w:eastAsia="Times New Roman" w:hAnsi="Times New Roman" w:cs="Times New Roman"/>
                <w:b/>
                <w:bCs/>
              </w:rPr>
            </w:pPr>
          </w:p>
          <w:p w14:paraId="7B28C1CC" w14:textId="77777777" w:rsidR="009C6DB4" w:rsidRPr="007A3223" w:rsidRDefault="009C6DB4" w:rsidP="009C6DB4">
            <w:pPr>
              <w:pStyle w:val="TableParagraph"/>
              <w:ind w:left="227"/>
              <w:rPr>
                <w:rFonts w:ascii="Times New Roman" w:eastAsia="Times New Roman" w:hAnsi="Times New Roman" w:cs="Times New Roman"/>
              </w:rPr>
            </w:pPr>
            <w:r w:rsidRPr="007A3223">
              <w:rPr>
                <w:rFonts w:ascii="Times New Roman" w:hAnsi="Times New Roman" w:cs="Times New Roman"/>
                <w:spacing w:val="1"/>
              </w:rPr>
              <w:t>Tu</w:t>
            </w:r>
            <w:r w:rsidRPr="007A3223">
              <w:rPr>
                <w:rFonts w:ascii="Times New Roman" w:hAnsi="Times New Roman" w:cs="Times New Roman"/>
                <w:spacing w:val="2"/>
              </w:rPr>
              <w:t>m</w:t>
            </w:r>
            <w:r w:rsidRPr="007A3223">
              <w:rPr>
                <w:rFonts w:ascii="Times New Roman" w:hAnsi="Times New Roman" w:cs="Times New Roman"/>
                <w:spacing w:val="1"/>
              </w:rPr>
              <w:t>o</w:t>
            </w:r>
            <w:r w:rsidRPr="007A3223">
              <w:rPr>
                <w:rFonts w:ascii="Times New Roman" w:hAnsi="Times New Roman" w:cs="Times New Roman"/>
              </w:rPr>
              <w:t>r</w:t>
            </w:r>
          </w:p>
        </w:tc>
        <w:tc>
          <w:tcPr>
            <w:tcW w:w="937" w:type="pct"/>
            <w:tcBorders>
              <w:top w:val="single" w:sz="23" w:space="0" w:color="000000"/>
              <w:left w:val="single" w:sz="4" w:space="0" w:color="000000"/>
              <w:bottom w:val="single" w:sz="4" w:space="0" w:color="000000"/>
              <w:right w:val="single" w:sz="4" w:space="0" w:color="000000"/>
            </w:tcBorders>
          </w:tcPr>
          <w:p w14:paraId="659FA93E" w14:textId="77777777" w:rsidR="009C6DB4" w:rsidRPr="007A3223" w:rsidRDefault="009C6DB4" w:rsidP="00F0228A">
            <w:pPr>
              <w:pStyle w:val="TableParagraph"/>
              <w:spacing w:before="111"/>
              <w:ind w:right="93"/>
              <w:rPr>
                <w:rFonts w:ascii="Times New Roman" w:eastAsia="Times New Roman" w:hAnsi="Times New Roman" w:cs="Times New Roman"/>
              </w:rPr>
            </w:pPr>
            <w:r w:rsidRPr="007A3223">
              <w:rPr>
                <w:rFonts w:ascii="Times New Roman" w:hAnsi="Times New Roman" w:cs="Times New Roman"/>
              </w:rPr>
              <w:t>Exome / transcriptome</w:t>
            </w:r>
          </w:p>
        </w:tc>
        <w:tc>
          <w:tcPr>
            <w:tcW w:w="490" w:type="pct"/>
            <w:tcBorders>
              <w:top w:val="single" w:sz="23" w:space="0" w:color="000000"/>
              <w:left w:val="single" w:sz="4" w:space="0" w:color="000000"/>
              <w:bottom w:val="single" w:sz="4" w:space="0" w:color="000000"/>
              <w:right w:val="single" w:sz="4" w:space="0" w:color="000000"/>
            </w:tcBorders>
          </w:tcPr>
          <w:p w14:paraId="392C8C5C" w14:textId="77777777" w:rsidR="009C6DB4" w:rsidRPr="007A3223" w:rsidRDefault="009C6DB4" w:rsidP="009C6DB4">
            <w:pPr>
              <w:pStyle w:val="TableParagraph"/>
              <w:rPr>
                <w:rFonts w:ascii="Times New Roman" w:eastAsia="Times New Roman" w:hAnsi="Times New Roman" w:cs="Times New Roman"/>
                <w:b/>
                <w:bCs/>
              </w:rPr>
            </w:pPr>
          </w:p>
          <w:p w14:paraId="7D118148" w14:textId="77777777" w:rsidR="009C6DB4" w:rsidRPr="007A3223" w:rsidRDefault="009C6DB4" w:rsidP="009C6DB4">
            <w:pPr>
              <w:pStyle w:val="TableParagraph"/>
              <w:spacing w:before="2"/>
              <w:rPr>
                <w:rFonts w:ascii="Times New Roman" w:eastAsia="Times New Roman" w:hAnsi="Times New Roman" w:cs="Times New Roman"/>
                <w:b/>
                <w:bCs/>
              </w:rPr>
            </w:pPr>
          </w:p>
          <w:p w14:paraId="23999B86" w14:textId="77777777" w:rsidR="009C6DB4" w:rsidRPr="007A3223" w:rsidRDefault="009C6DB4" w:rsidP="009C6DB4">
            <w:pPr>
              <w:pStyle w:val="TableParagraph"/>
              <w:ind w:left="221"/>
              <w:rPr>
                <w:rFonts w:ascii="Times New Roman" w:eastAsia="Times New Roman" w:hAnsi="Times New Roman" w:cs="Times New Roman"/>
              </w:rPr>
            </w:pPr>
            <w:r w:rsidRPr="007A3223">
              <w:rPr>
                <w:rFonts w:ascii="Times New Roman" w:hAnsi="Times New Roman" w:cs="Times New Roman"/>
                <w:spacing w:val="2"/>
              </w:rPr>
              <w:t>NA</w:t>
            </w:r>
          </w:p>
        </w:tc>
        <w:tc>
          <w:tcPr>
            <w:tcW w:w="1135" w:type="pct"/>
            <w:tcBorders>
              <w:top w:val="single" w:sz="23" w:space="0" w:color="000000"/>
              <w:left w:val="single" w:sz="4" w:space="0" w:color="000000"/>
              <w:bottom w:val="single" w:sz="4" w:space="0" w:color="000000"/>
              <w:right w:val="single" w:sz="4" w:space="0" w:color="000000"/>
            </w:tcBorders>
          </w:tcPr>
          <w:p w14:paraId="56F01A9A" w14:textId="77777777" w:rsidR="009C6DB4" w:rsidRPr="007A3223" w:rsidRDefault="009C6DB4" w:rsidP="00FD5FD0">
            <w:pPr>
              <w:pStyle w:val="TableParagraph"/>
              <w:jc w:val="center"/>
              <w:rPr>
                <w:rFonts w:ascii="Times New Roman" w:eastAsia="Times New Roman" w:hAnsi="Times New Roman" w:cs="Times New Roman"/>
                <w:b/>
                <w:bCs/>
              </w:rPr>
            </w:pPr>
          </w:p>
          <w:p w14:paraId="54396541" w14:textId="77777777" w:rsidR="009C6DB4" w:rsidRPr="007A3223" w:rsidRDefault="009C6DB4" w:rsidP="00FD5FD0">
            <w:pPr>
              <w:pStyle w:val="TableParagraph"/>
              <w:spacing w:before="111"/>
              <w:ind w:left="450"/>
              <w:jc w:val="center"/>
              <w:rPr>
                <w:rFonts w:ascii="Times New Roman" w:eastAsia="Times New Roman" w:hAnsi="Times New Roman" w:cs="Times New Roman"/>
              </w:rPr>
            </w:pPr>
            <w:r w:rsidRPr="007A3223">
              <w:rPr>
                <w:rFonts w:ascii="Times New Roman" w:hAnsi="Times New Roman" w:cs="Times New Roman"/>
              </w:rPr>
              <w:t>Flash</w:t>
            </w:r>
            <w:r w:rsidRPr="007A3223">
              <w:rPr>
                <w:rFonts w:ascii="Times New Roman" w:hAnsi="Times New Roman" w:cs="Times New Roman"/>
                <w:spacing w:val="-7"/>
              </w:rPr>
              <w:t xml:space="preserve"> </w:t>
            </w:r>
            <w:r w:rsidRPr="007A3223">
              <w:rPr>
                <w:rFonts w:ascii="Times New Roman" w:hAnsi="Times New Roman" w:cs="Times New Roman"/>
              </w:rPr>
              <w:t>frozen</w:t>
            </w:r>
          </w:p>
        </w:tc>
        <w:tc>
          <w:tcPr>
            <w:tcW w:w="1006" w:type="pct"/>
            <w:tcBorders>
              <w:top w:val="single" w:sz="23" w:space="0" w:color="000000"/>
              <w:left w:val="single" w:sz="4" w:space="0" w:color="000000"/>
              <w:bottom w:val="single" w:sz="4" w:space="0" w:color="000000"/>
              <w:right w:val="single" w:sz="4" w:space="0" w:color="000000"/>
            </w:tcBorders>
          </w:tcPr>
          <w:p w14:paraId="38EE4A40" w14:textId="77777777" w:rsidR="009C6DB4" w:rsidRPr="007A3223" w:rsidRDefault="009C6DB4" w:rsidP="009C6DB4">
            <w:pPr>
              <w:pStyle w:val="TableParagraph"/>
              <w:ind w:left="103" w:right="108"/>
              <w:jc w:val="center"/>
              <w:rPr>
                <w:rFonts w:ascii="Times New Roman" w:eastAsia="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5"/>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p>
          <w:p w14:paraId="28A358B6" w14:textId="77777777" w:rsidR="009C6DB4" w:rsidRPr="007A3223" w:rsidRDefault="009C6DB4" w:rsidP="009C6DB4">
            <w:pPr>
              <w:pStyle w:val="TableParagraph"/>
              <w:spacing w:before="3" w:line="244" w:lineRule="auto"/>
              <w:ind w:left="115" w:right="120" w:hanging="1"/>
              <w:jc w:val="center"/>
              <w:rPr>
                <w:rFonts w:ascii="Times New Roman" w:eastAsia="Times New Roman" w:hAnsi="Times New Roman" w:cs="Times New Roman"/>
              </w:rPr>
            </w:pPr>
            <w:r w:rsidRPr="007A3223">
              <w:rPr>
                <w:rFonts w:ascii="Times New Roman" w:hAnsi="Times New Roman" w:cs="Times New Roman"/>
                <w:spacing w:val="1"/>
              </w:rPr>
              <w:t>Two</w:t>
            </w:r>
            <w:r w:rsidRPr="007A3223">
              <w:rPr>
                <w:rFonts w:ascii="Times New Roman" w:hAnsi="Times New Roman" w:cs="Times New Roman"/>
                <w:spacing w:val="-6"/>
              </w:rPr>
              <w:t xml:space="preserve"> </w:t>
            </w:r>
            <w:r w:rsidRPr="007A3223">
              <w:rPr>
                <w:rFonts w:ascii="Times New Roman" w:hAnsi="Times New Roman" w:cs="Times New Roman"/>
              </w:rPr>
              <w:t>optional</w:t>
            </w:r>
            <w:r w:rsidRPr="007A3223">
              <w:rPr>
                <w:rFonts w:ascii="Times New Roman" w:hAnsi="Times New Roman" w:cs="Times New Roman"/>
                <w:spacing w:val="-7"/>
              </w:rPr>
              <w:t xml:space="preserve"> </w:t>
            </w:r>
            <w:r w:rsidRPr="007A3223">
              <w:rPr>
                <w:rFonts w:ascii="Times New Roman" w:hAnsi="Times New Roman" w:cs="Times New Roman"/>
              </w:rPr>
              <w:t>biopsies</w:t>
            </w:r>
            <w:r w:rsidRPr="007A3223">
              <w:rPr>
                <w:rFonts w:ascii="Times New Roman" w:hAnsi="Times New Roman" w:cs="Times New Roman"/>
                <w:spacing w:val="30"/>
                <w:w w:val="99"/>
              </w:rPr>
              <w:t xml:space="preserve"> </w:t>
            </w:r>
            <w:r w:rsidRPr="007A3223">
              <w:rPr>
                <w:rFonts w:ascii="Times New Roman" w:hAnsi="Times New Roman" w:cs="Times New Roman"/>
              </w:rPr>
              <w:t>(prior</w:t>
            </w:r>
            <w:r w:rsidRPr="007A3223">
              <w:rPr>
                <w:rFonts w:ascii="Times New Roman" w:hAnsi="Times New Roman" w:cs="Times New Roman"/>
                <w:spacing w:val="-4"/>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w:t>
            </w:r>
            <w:r w:rsidRPr="007A3223">
              <w:rPr>
                <w:rFonts w:ascii="Times New Roman" w:hAnsi="Times New Roman" w:cs="Times New Roman"/>
                <w:spacing w:val="30"/>
                <w:w w:val="99"/>
              </w:rPr>
              <w:t xml:space="preserve"> </w:t>
            </w:r>
            <w:r w:rsidRPr="007A3223">
              <w:rPr>
                <w:rFonts w:ascii="Times New Roman" w:hAnsi="Times New Roman" w:cs="Times New Roman"/>
                <w:spacing w:val="1"/>
              </w:rPr>
              <w:t>15</w:t>
            </w:r>
            <w:r w:rsidRPr="007A3223">
              <w:rPr>
                <w:rFonts w:ascii="Times New Roman" w:hAnsi="Times New Roman" w:cs="Times New Roman"/>
                <w:spacing w:val="-5"/>
              </w:rPr>
              <w:t xml:space="preserve"> </w:t>
            </w:r>
            <w:r w:rsidRPr="007A3223">
              <w:rPr>
                <w:rFonts w:ascii="Times New Roman" w:hAnsi="Times New Roman" w:cs="Times New Roman"/>
                <w:spacing w:val="1"/>
              </w:rPr>
              <w:t>and</w:t>
            </w:r>
            <w:r w:rsidRPr="007A3223">
              <w:rPr>
                <w:rFonts w:ascii="Times New Roman" w:hAnsi="Times New Roman" w:cs="Times New Roman"/>
                <w:spacing w:val="-6"/>
              </w:rPr>
              <w:t xml:space="preserve"> </w:t>
            </w:r>
            <w:r w:rsidRPr="007A3223">
              <w:rPr>
                <w:rFonts w:ascii="Times New Roman" w:hAnsi="Times New Roman" w:cs="Times New Roman"/>
              </w:rPr>
              <w:t>at</w:t>
            </w:r>
            <w:r w:rsidRPr="007A3223">
              <w:rPr>
                <w:rFonts w:ascii="Times New Roman" w:hAnsi="Times New Roman" w:cs="Times New Roman"/>
                <w:spacing w:val="-4"/>
              </w:rPr>
              <w:t xml:space="preserve"> </w:t>
            </w:r>
            <w:r w:rsidRPr="007A3223">
              <w:rPr>
                <w:rFonts w:ascii="Times New Roman" w:hAnsi="Times New Roman" w:cs="Times New Roman"/>
              </w:rPr>
              <w:t>progression)</w:t>
            </w:r>
          </w:p>
        </w:tc>
        <w:tc>
          <w:tcPr>
            <w:tcW w:w="754" w:type="pct"/>
            <w:tcBorders>
              <w:top w:val="single" w:sz="23" w:space="0" w:color="000000"/>
              <w:left w:val="single" w:sz="4" w:space="0" w:color="000000"/>
              <w:bottom w:val="single" w:sz="4" w:space="0" w:color="000000"/>
              <w:right w:val="single" w:sz="4" w:space="0" w:color="auto"/>
            </w:tcBorders>
          </w:tcPr>
          <w:p w14:paraId="1D8F0155" w14:textId="77777777" w:rsidR="009C6DB4" w:rsidRPr="007A3223" w:rsidRDefault="009C6DB4" w:rsidP="009C6DB4">
            <w:pPr>
              <w:pStyle w:val="TableParagraph"/>
              <w:spacing w:before="10"/>
              <w:rPr>
                <w:rFonts w:ascii="Times New Roman" w:eastAsia="Times New Roman" w:hAnsi="Times New Roman" w:cs="Times New Roman"/>
                <w:b/>
                <w:bCs/>
              </w:rPr>
            </w:pPr>
          </w:p>
          <w:p w14:paraId="1232CABC" w14:textId="77777777" w:rsidR="009C6DB4" w:rsidRPr="007A3223" w:rsidRDefault="009C6DB4" w:rsidP="009C6DB4">
            <w:pPr>
              <w:pStyle w:val="TableParagraph"/>
              <w:spacing w:line="244" w:lineRule="auto"/>
              <w:ind w:left="186" w:right="197" w:hanging="2"/>
              <w:jc w:val="center"/>
              <w:rPr>
                <w:rFonts w:ascii="Times New Roman" w:eastAsia="Times New Roman" w:hAnsi="Times New Roman" w:cs="Times New Roman"/>
              </w:rPr>
            </w:pPr>
            <w:r w:rsidRPr="007A3223">
              <w:rPr>
                <w:rFonts w:ascii="Times New Roman" w:hAnsi="Times New Roman" w:cs="Times New Roman"/>
                <w:spacing w:val="1"/>
              </w:rPr>
              <w:t>IR/</w:t>
            </w:r>
            <w:r w:rsidRPr="007A3223">
              <w:rPr>
                <w:rFonts w:ascii="Times New Roman" w:hAnsi="Times New Roman" w:cs="Times New Roman"/>
                <w:spacing w:val="-7"/>
              </w:rPr>
              <w:t xml:space="preserve"> </w:t>
            </w:r>
            <w:r w:rsidRPr="007A3223">
              <w:rPr>
                <w:rFonts w:ascii="Times New Roman" w:hAnsi="Times New Roman" w:cs="Times New Roman"/>
              </w:rPr>
              <w:t>Trepel</w:t>
            </w:r>
            <w:r w:rsidRPr="007A3223">
              <w:rPr>
                <w:rFonts w:ascii="Times New Roman" w:hAnsi="Times New Roman" w:cs="Times New Roman"/>
                <w:spacing w:val="25"/>
                <w:w w:val="99"/>
              </w:rPr>
              <w:t xml:space="preserve"> </w:t>
            </w:r>
            <w:r w:rsidRPr="007A3223">
              <w:rPr>
                <w:rFonts w:ascii="Times New Roman" w:hAnsi="Times New Roman" w:cs="Times New Roman"/>
              </w:rPr>
              <w:t>lab</w:t>
            </w:r>
            <w:r w:rsidRPr="007A3223">
              <w:rPr>
                <w:rFonts w:ascii="Times New Roman" w:hAnsi="Times New Roman" w:cs="Times New Roman"/>
                <w:spacing w:val="-3"/>
              </w:rPr>
              <w:t xml:space="preserve"> </w:t>
            </w:r>
            <w:r w:rsidRPr="007A3223">
              <w:rPr>
                <w:rFonts w:ascii="Times New Roman" w:hAnsi="Times New Roman" w:cs="Times New Roman"/>
              </w:rPr>
              <w:t>for</w:t>
            </w:r>
            <w:r w:rsidRPr="007A3223">
              <w:rPr>
                <w:rFonts w:ascii="Times New Roman" w:hAnsi="Times New Roman" w:cs="Times New Roman"/>
                <w:spacing w:val="23"/>
                <w:w w:val="99"/>
              </w:rPr>
              <w:t xml:space="preserve"> </w:t>
            </w:r>
            <w:r w:rsidRPr="007A3223">
              <w:rPr>
                <w:rFonts w:ascii="Times New Roman" w:hAnsi="Times New Roman" w:cs="Times New Roman"/>
                <w:w w:val="95"/>
              </w:rPr>
              <w:t>processing</w:t>
            </w:r>
          </w:p>
        </w:tc>
      </w:tr>
      <w:tr w:rsidR="009C6DB4" w:rsidRPr="007A3223" w14:paraId="75A2B718" w14:textId="77777777" w:rsidTr="00C44880">
        <w:trPr>
          <w:trHeight w:hRule="exact" w:val="1657"/>
        </w:trPr>
        <w:tc>
          <w:tcPr>
            <w:tcW w:w="679" w:type="pct"/>
            <w:tcBorders>
              <w:top w:val="single" w:sz="4" w:space="0" w:color="000000"/>
              <w:left w:val="single" w:sz="4" w:space="0" w:color="000000"/>
              <w:bottom w:val="single" w:sz="4" w:space="0" w:color="auto"/>
              <w:right w:val="single" w:sz="4" w:space="0" w:color="000000"/>
            </w:tcBorders>
          </w:tcPr>
          <w:p w14:paraId="0B987E27" w14:textId="77777777" w:rsidR="009C6DB4" w:rsidRPr="007A3223" w:rsidRDefault="009C6DB4" w:rsidP="009C6DB4">
            <w:pPr>
              <w:pStyle w:val="TableParagraph"/>
              <w:rPr>
                <w:rFonts w:ascii="Times New Roman" w:eastAsia="Times New Roman" w:hAnsi="Times New Roman" w:cs="Times New Roman"/>
                <w:b/>
                <w:bCs/>
              </w:rPr>
            </w:pPr>
          </w:p>
          <w:p w14:paraId="742C5F47" w14:textId="77777777" w:rsidR="009C6DB4" w:rsidRPr="007A3223" w:rsidRDefault="009C6DB4" w:rsidP="009C6DB4">
            <w:pPr>
              <w:pStyle w:val="TableParagraph"/>
              <w:spacing w:before="111" w:line="244" w:lineRule="auto"/>
              <w:ind w:left="266" w:right="104" w:hanging="158"/>
              <w:rPr>
                <w:rFonts w:ascii="Times New Roman" w:eastAsia="Times New Roman" w:hAnsi="Times New Roman" w:cs="Times New Roman"/>
              </w:rPr>
            </w:pPr>
            <w:r w:rsidRPr="007A3223">
              <w:rPr>
                <w:rFonts w:ascii="Times New Roman" w:hAnsi="Times New Roman" w:cs="Times New Roman"/>
              </w:rPr>
              <w:t>Peripheral</w:t>
            </w:r>
            <w:r w:rsidRPr="007A3223">
              <w:rPr>
                <w:rFonts w:ascii="Times New Roman" w:hAnsi="Times New Roman" w:cs="Times New Roman"/>
                <w:spacing w:val="28"/>
                <w:w w:val="99"/>
              </w:rPr>
              <w:t xml:space="preserve"> </w:t>
            </w:r>
            <w:r w:rsidRPr="007A3223">
              <w:rPr>
                <w:rFonts w:ascii="Times New Roman" w:hAnsi="Times New Roman" w:cs="Times New Roman"/>
              </w:rPr>
              <w:t>blood</w:t>
            </w:r>
          </w:p>
        </w:tc>
        <w:tc>
          <w:tcPr>
            <w:tcW w:w="937" w:type="pct"/>
            <w:tcBorders>
              <w:top w:val="single" w:sz="4" w:space="0" w:color="000000"/>
              <w:left w:val="single" w:sz="4" w:space="0" w:color="000000"/>
              <w:bottom w:val="single" w:sz="4" w:space="0" w:color="auto"/>
              <w:right w:val="single" w:sz="4" w:space="0" w:color="000000"/>
            </w:tcBorders>
          </w:tcPr>
          <w:p w14:paraId="65502113" w14:textId="77777777" w:rsidR="009C6DB4" w:rsidRPr="007A3223" w:rsidRDefault="009C6DB4" w:rsidP="009C6DB4">
            <w:pPr>
              <w:pStyle w:val="TableParagraph"/>
              <w:rPr>
                <w:rFonts w:ascii="Times New Roman" w:eastAsia="Times New Roman" w:hAnsi="Times New Roman" w:cs="Times New Roman"/>
                <w:b/>
                <w:bCs/>
              </w:rPr>
            </w:pPr>
          </w:p>
          <w:p w14:paraId="4E11C086" w14:textId="77777777" w:rsidR="009C6DB4" w:rsidRPr="007A3223" w:rsidRDefault="009C6DB4" w:rsidP="00F0228A">
            <w:pPr>
              <w:pStyle w:val="TableParagraph"/>
              <w:spacing w:before="111" w:line="244" w:lineRule="auto"/>
              <w:ind w:right="309"/>
              <w:rPr>
                <w:rFonts w:ascii="Times New Roman" w:eastAsia="Times New Roman" w:hAnsi="Times New Roman" w:cs="Times New Roman"/>
              </w:rPr>
            </w:pPr>
            <w:r w:rsidRPr="007A3223">
              <w:rPr>
                <w:rFonts w:ascii="Times New Roman" w:hAnsi="Times New Roman" w:cs="Times New Roman"/>
                <w:w w:val="95"/>
              </w:rPr>
              <w:t>Immune</w:t>
            </w:r>
            <w:r w:rsidRPr="007A3223">
              <w:rPr>
                <w:rFonts w:ascii="Times New Roman" w:hAnsi="Times New Roman" w:cs="Times New Roman"/>
                <w:spacing w:val="21"/>
                <w:w w:val="99"/>
              </w:rPr>
              <w:t xml:space="preserve"> </w:t>
            </w:r>
            <w:r w:rsidRPr="007A3223">
              <w:rPr>
                <w:rFonts w:ascii="Times New Roman" w:hAnsi="Times New Roman" w:cs="Times New Roman"/>
              </w:rPr>
              <w:t>subsets</w:t>
            </w:r>
          </w:p>
        </w:tc>
        <w:tc>
          <w:tcPr>
            <w:tcW w:w="490" w:type="pct"/>
            <w:tcBorders>
              <w:top w:val="single" w:sz="4" w:space="0" w:color="000000"/>
              <w:left w:val="single" w:sz="4" w:space="0" w:color="000000"/>
              <w:bottom w:val="single" w:sz="4" w:space="0" w:color="auto"/>
              <w:right w:val="single" w:sz="4" w:space="0" w:color="000000"/>
            </w:tcBorders>
          </w:tcPr>
          <w:p w14:paraId="1A13C0BB" w14:textId="77777777" w:rsidR="009C6DB4" w:rsidRPr="007A3223" w:rsidRDefault="009C6DB4" w:rsidP="009C6DB4">
            <w:pPr>
              <w:pStyle w:val="TableParagraph"/>
              <w:rPr>
                <w:rFonts w:ascii="Times New Roman" w:eastAsia="Times New Roman" w:hAnsi="Times New Roman" w:cs="Times New Roman"/>
                <w:b/>
                <w:bCs/>
              </w:rPr>
            </w:pPr>
          </w:p>
          <w:p w14:paraId="02D57691" w14:textId="77777777" w:rsidR="009C6DB4" w:rsidRPr="007A3223" w:rsidRDefault="009C6DB4" w:rsidP="009C6DB4">
            <w:pPr>
              <w:pStyle w:val="TableParagraph"/>
              <w:spacing w:before="6"/>
              <w:rPr>
                <w:rFonts w:ascii="Times New Roman" w:eastAsia="Times New Roman" w:hAnsi="Times New Roman" w:cs="Times New Roman"/>
                <w:b/>
                <w:bCs/>
              </w:rPr>
            </w:pPr>
          </w:p>
          <w:p w14:paraId="523247BB" w14:textId="77777777" w:rsidR="009C6DB4" w:rsidRPr="007A3223" w:rsidRDefault="009C6DB4" w:rsidP="009C6DB4">
            <w:pPr>
              <w:pStyle w:val="TableParagraph"/>
              <w:ind w:left="147"/>
              <w:rPr>
                <w:rFonts w:ascii="Times New Roman" w:eastAsia="Times New Roman" w:hAnsi="Times New Roman" w:cs="Times New Roman"/>
              </w:rPr>
            </w:pPr>
            <w:r w:rsidRPr="007A3223">
              <w:rPr>
                <w:rFonts w:ascii="Times New Roman" w:hAnsi="Times New Roman" w:cs="Times New Roman"/>
                <w:spacing w:val="1"/>
              </w:rPr>
              <w:t>16</w:t>
            </w:r>
            <w:r w:rsidRPr="007A3223">
              <w:rPr>
                <w:rFonts w:ascii="Times New Roman" w:hAnsi="Times New Roman" w:cs="Times New Roman"/>
                <w:spacing w:val="-4"/>
              </w:rPr>
              <w:t xml:space="preserve"> </w:t>
            </w:r>
            <w:r w:rsidRPr="007A3223">
              <w:rPr>
                <w:rFonts w:ascii="Times New Roman" w:hAnsi="Times New Roman" w:cs="Times New Roman"/>
                <w:spacing w:val="2"/>
              </w:rPr>
              <w:t>m</w:t>
            </w:r>
            <w:r w:rsidRPr="007A3223">
              <w:rPr>
                <w:rFonts w:ascii="Times New Roman" w:hAnsi="Times New Roman" w:cs="Times New Roman"/>
              </w:rPr>
              <w:t>l</w:t>
            </w:r>
          </w:p>
        </w:tc>
        <w:tc>
          <w:tcPr>
            <w:tcW w:w="1135" w:type="pct"/>
            <w:tcBorders>
              <w:top w:val="single" w:sz="4" w:space="0" w:color="000000"/>
              <w:left w:val="single" w:sz="4" w:space="0" w:color="000000"/>
              <w:bottom w:val="single" w:sz="4" w:space="0" w:color="auto"/>
              <w:right w:val="single" w:sz="4" w:space="0" w:color="000000"/>
            </w:tcBorders>
          </w:tcPr>
          <w:p w14:paraId="6DF6AD78" w14:textId="77777777" w:rsidR="009C6DB4" w:rsidRPr="007A3223" w:rsidRDefault="009C6DB4" w:rsidP="00543674">
            <w:pPr>
              <w:pStyle w:val="TableParagraph"/>
              <w:spacing w:line="243" w:lineRule="auto"/>
              <w:ind w:left="143" w:right="140" w:firstLine="1"/>
              <w:jc w:val="center"/>
              <w:rPr>
                <w:rFonts w:ascii="Times New Roman" w:hAnsi="Times New Roman" w:cs="Times New Roman"/>
              </w:rPr>
            </w:pPr>
            <w:r w:rsidRPr="007A3223">
              <w:rPr>
                <w:rFonts w:ascii="Times New Roman" w:hAnsi="Times New Roman" w:cs="Times New Roman"/>
                <w:spacing w:val="1"/>
              </w:rPr>
              <w:t>T</w:t>
            </w:r>
            <w:r w:rsidRPr="007A3223">
              <w:rPr>
                <w:rFonts w:ascii="Times New Roman" w:hAnsi="Times New Roman" w:cs="Times New Roman"/>
                <w:spacing w:val="2"/>
              </w:rPr>
              <w:t>w</w:t>
            </w:r>
            <w:r w:rsidRPr="007A3223">
              <w:rPr>
                <w:rFonts w:ascii="Times New Roman" w:hAnsi="Times New Roman" w:cs="Times New Roman"/>
              </w:rPr>
              <w:t>o</w:t>
            </w:r>
            <w:r w:rsidRPr="007A3223">
              <w:rPr>
                <w:rFonts w:ascii="Times New Roman" w:hAnsi="Times New Roman" w:cs="Times New Roman"/>
                <w:spacing w:val="-3"/>
              </w:rPr>
              <w:t xml:space="preserve"> </w:t>
            </w:r>
            <w:r w:rsidRPr="007A3223">
              <w:rPr>
                <w:rFonts w:ascii="Times New Roman" w:hAnsi="Times New Roman" w:cs="Times New Roman"/>
                <w:spacing w:val="1"/>
              </w:rPr>
              <w:t>8</w:t>
            </w:r>
            <w:r w:rsidRPr="007A3223">
              <w:rPr>
                <w:rFonts w:ascii="Times New Roman" w:hAnsi="Times New Roman" w:cs="Times New Roman"/>
                <w:spacing w:val="2"/>
              </w:rPr>
              <w:t>m</w:t>
            </w:r>
            <w:r w:rsidRPr="007A3223">
              <w:rPr>
                <w:rFonts w:ascii="Times New Roman" w:hAnsi="Times New Roman" w:cs="Times New Roman"/>
              </w:rPr>
              <w:t>L</w:t>
            </w:r>
            <w:r w:rsidRPr="007A3223">
              <w:rPr>
                <w:rFonts w:ascii="Times New Roman" w:hAnsi="Times New Roman" w:cs="Times New Roman"/>
                <w:spacing w:val="-2"/>
              </w:rPr>
              <w:t xml:space="preserve"> </w:t>
            </w:r>
            <w:r w:rsidRPr="007A3223">
              <w:rPr>
                <w:rFonts w:ascii="Times New Roman" w:hAnsi="Times New Roman" w:cs="Times New Roman"/>
                <w:spacing w:val="2"/>
              </w:rPr>
              <w:t>BD</w:t>
            </w:r>
            <w:r w:rsidRPr="007A3223">
              <w:rPr>
                <w:rFonts w:ascii="Times New Roman" w:hAnsi="Times New Roman" w:cs="Times New Roman"/>
                <w:spacing w:val="2"/>
                <w:w w:val="99"/>
              </w:rPr>
              <w:t xml:space="preserve"> </w:t>
            </w:r>
            <w:r w:rsidRPr="007A3223">
              <w:rPr>
                <w:rFonts w:ascii="Times New Roman" w:hAnsi="Times New Roman" w:cs="Times New Roman"/>
              </w:rPr>
              <w:t>Vacutainer</w:t>
            </w:r>
            <w:r w:rsidRPr="007A3223">
              <w:rPr>
                <w:rFonts w:ascii="Times New Roman" w:hAnsi="Times New Roman" w:cs="Times New Roman"/>
                <w:spacing w:val="-10"/>
              </w:rPr>
              <w:t xml:space="preserve"> </w:t>
            </w:r>
            <w:r w:rsidRPr="007A3223">
              <w:rPr>
                <w:rFonts w:ascii="Times New Roman" w:hAnsi="Times New Roman" w:cs="Times New Roman"/>
              </w:rPr>
              <w:t>Cell</w:t>
            </w:r>
            <w:r w:rsidRPr="007A3223">
              <w:rPr>
                <w:rFonts w:ascii="Times New Roman" w:hAnsi="Times New Roman" w:cs="Times New Roman"/>
                <w:spacing w:val="22"/>
                <w:w w:val="99"/>
              </w:rPr>
              <w:t xml:space="preserve"> </w:t>
            </w:r>
            <w:r w:rsidRPr="007A3223">
              <w:rPr>
                <w:rFonts w:ascii="Times New Roman" w:hAnsi="Times New Roman" w:cs="Times New Roman"/>
              </w:rPr>
              <w:t>Preparation</w:t>
            </w:r>
            <w:r w:rsidRPr="007A3223">
              <w:rPr>
                <w:rFonts w:ascii="Times New Roman" w:hAnsi="Times New Roman" w:cs="Times New Roman"/>
                <w:spacing w:val="-11"/>
              </w:rPr>
              <w:t xml:space="preserve"> </w:t>
            </w:r>
            <w:r w:rsidRPr="007A3223">
              <w:rPr>
                <w:rFonts w:ascii="Times New Roman" w:hAnsi="Times New Roman" w:cs="Times New Roman"/>
              </w:rPr>
              <w:t>Tubes</w:t>
            </w:r>
            <w:r w:rsidRPr="007A3223">
              <w:rPr>
                <w:rFonts w:ascii="Times New Roman" w:hAnsi="Times New Roman" w:cs="Times New Roman"/>
                <w:spacing w:val="24"/>
                <w:w w:val="99"/>
              </w:rPr>
              <w:t xml:space="preserve"> </w:t>
            </w:r>
            <w:r w:rsidRPr="007A3223">
              <w:rPr>
                <w:rFonts w:ascii="Times New Roman" w:hAnsi="Times New Roman" w:cs="Times New Roman"/>
                <w:spacing w:val="1"/>
              </w:rPr>
              <w:t>(CPT;</w:t>
            </w:r>
            <w:r w:rsidRPr="007A3223">
              <w:rPr>
                <w:rFonts w:ascii="Times New Roman" w:hAnsi="Times New Roman" w:cs="Times New Roman"/>
                <w:spacing w:val="-4"/>
              </w:rPr>
              <w:t xml:space="preserve"> </w:t>
            </w:r>
            <w:r w:rsidRPr="007A3223">
              <w:rPr>
                <w:rFonts w:ascii="Times New Roman" w:hAnsi="Times New Roman" w:cs="Times New Roman"/>
              </w:rPr>
              <w:t>blue</w:t>
            </w:r>
            <w:r w:rsidRPr="007A3223">
              <w:rPr>
                <w:rFonts w:ascii="Times New Roman" w:hAnsi="Times New Roman" w:cs="Times New Roman"/>
                <w:spacing w:val="-3"/>
              </w:rPr>
              <w:t xml:space="preserve"> </w:t>
            </w:r>
            <w:r w:rsidRPr="007A3223">
              <w:rPr>
                <w:rFonts w:ascii="Times New Roman" w:hAnsi="Times New Roman" w:cs="Times New Roman"/>
              </w:rPr>
              <w:t>and</w:t>
            </w:r>
            <w:r w:rsidRPr="007A3223">
              <w:rPr>
                <w:rFonts w:ascii="Times New Roman" w:hAnsi="Times New Roman" w:cs="Times New Roman"/>
                <w:spacing w:val="-3"/>
              </w:rPr>
              <w:t xml:space="preserve"> </w:t>
            </w:r>
            <w:r w:rsidRPr="007A3223">
              <w:rPr>
                <w:rFonts w:ascii="Times New Roman" w:hAnsi="Times New Roman" w:cs="Times New Roman"/>
              </w:rPr>
              <w:t>black</w:t>
            </w:r>
            <w:r w:rsidRPr="007A3223">
              <w:rPr>
                <w:rFonts w:ascii="Times New Roman" w:hAnsi="Times New Roman" w:cs="Times New Roman"/>
                <w:spacing w:val="27"/>
                <w:w w:val="99"/>
              </w:rPr>
              <w:t xml:space="preserve"> </w:t>
            </w:r>
            <w:r w:rsidRPr="007A3223">
              <w:rPr>
                <w:rFonts w:ascii="Times New Roman" w:hAnsi="Times New Roman" w:cs="Times New Roman"/>
              </w:rPr>
              <w:t>top)</w:t>
            </w:r>
          </w:p>
          <w:p w14:paraId="2B69D1F3" w14:textId="77777777" w:rsidR="0021701C" w:rsidRPr="007A3223" w:rsidRDefault="0021701C" w:rsidP="005E5969">
            <w:pPr>
              <w:pStyle w:val="TableParagraph"/>
              <w:spacing w:line="243" w:lineRule="auto"/>
              <w:ind w:left="143" w:right="140" w:firstLine="1"/>
              <w:jc w:val="center"/>
              <w:rPr>
                <w:rFonts w:ascii="Times New Roman" w:hAnsi="Times New Roman" w:cs="Times New Roman"/>
              </w:rPr>
            </w:pPr>
          </w:p>
          <w:p w14:paraId="15A82CC6" w14:textId="77777777" w:rsidR="0021701C" w:rsidRPr="007A3223" w:rsidRDefault="0021701C">
            <w:pPr>
              <w:pStyle w:val="TableParagraph"/>
              <w:spacing w:line="243" w:lineRule="auto"/>
              <w:ind w:left="143" w:right="140" w:firstLine="1"/>
              <w:jc w:val="center"/>
              <w:rPr>
                <w:rFonts w:ascii="Times New Roman" w:eastAsia="Times New Roman" w:hAnsi="Times New Roman" w:cs="Times New Roman"/>
              </w:rPr>
            </w:pPr>
          </w:p>
        </w:tc>
        <w:tc>
          <w:tcPr>
            <w:tcW w:w="1006" w:type="pct"/>
            <w:tcBorders>
              <w:top w:val="single" w:sz="4" w:space="0" w:color="000000"/>
              <w:left w:val="single" w:sz="4" w:space="0" w:color="000000"/>
              <w:bottom w:val="single" w:sz="4" w:space="0" w:color="auto"/>
              <w:right w:val="single" w:sz="4" w:space="0" w:color="000000"/>
            </w:tcBorders>
          </w:tcPr>
          <w:p w14:paraId="6FCA6512" w14:textId="77777777" w:rsidR="009C6DB4" w:rsidRPr="007A3223" w:rsidRDefault="009C6DB4" w:rsidP="009C6DB4">
            <w:pPr>
              <w:pStyle w:val="TableParagraph"/>
              <w:spacing w:line="243" w:lineRule="auto"/>
              <w:ind w:left="103" w:right="108"/>
              <w:jc w:val="center"/>
              <w:rPr>
                <w:rFonts w:ascii="Times New Roman" w:eastAsia="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6"/>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2"/>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2"/>
              </w:rPr>
              <w:t xml:space="preserve"> </w:t>
            </w:r>
            <w:r w:rsidRPr="007A3223">
              <w:rPr>
                <w:rFonts w:ascii="Times New Roman" w:hAnsi="Times New Roman" w:cs="Times New Roman"/>
              </w:rPr>
              <w:t>prior</w:t>
            </w:r>
            <w:r w:rsidRPr="007A3223">
              <w:rPr>
                <w:rFonts w:ascii="Times New Roman" w:hAnsi="Times New Roman" w:cs="Times New Roman"/>
                <w:spacing w:val="-3"/>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9"/>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15</w:t>
            </w:r>
            <w:r w:rsidRPr="007A3223">
              <w:rPr>
                <w:rFonts w:ascii="Times New Roman" w:hAnsi="Times New Roman" w:cs="Times New Roman"/>
                <w:spacing w:val="-3"/>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rPr>
              <w:t>cycle</w:t>
            </w:r>
            <w:r w:rsidRPr="007A3223">
              <w:rPr>
                <w:rFonts w:ascii="Times New Roman" w:hAnsi="Times New Roman" w:cs="Times New Roman"/>
                <w:spacing w:val="-1"/>
              </w:rPr>
              <w:t xml:space="preserve"> </w:t>
            </w:r>
            <w:r w:rsidRPr="007A3223">
              <w:rPr>
                <w:rFonts w:ascii="Times New Roman" w:hAnsi="Times New Roman" w:cs="Times New Roman"/>
              </w:rPr>
              <w:t>3</w:t>
            </w:r>
            <w:r w:rsidRPr="007A3223">
              <w:rPr>
                <w:rFonts w:ascii="Times New Roman" w:hAnsi="Times New Roman" w:cs="Times New Roman"/>
                <w:spacing w:val="25"/>
                <w:w w:val="99"/>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4"/>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spacing w:val="1"/>
              </w:rPr>
              <w:t>at</w:t>
            </w:r>
            <w:r w:rsidRPr="007A3223">
              <w:rPr>
                <w:rFonts w:ascii="Times New Roman" w:hAnsi="Times New Roman" w:cs="Times New Roman"/>
                <w:spacing w:val="23"/>
                <w:w w:val="99"/>
              </w:rPr>
              <w:t xml:space="preserve"> </w:t>
            </w:r>
            <w:r w:rsidRPr="007A3223">
              <w:rPr>
                <w:rFonts w:ascii="Times New Roman" w:hAnsi="Times New Roman" w:cs="Times New Roman"/>
              </w:rPr>
              <w:t>progression)</w:t>
            </w:r>
          </w:p>
        </w:tc>
        <w:tc>
          <w:tcPr>
            <w:tcW w:w="754" w:type="pct"/>
            <w:tcBorders>
              <w:top w:val="single" w:sz="4" w:space="0" w:color="000000"/>
              <w:left w:val="single" w:sz="4" w:space="0" w:color="000000"/>
              <w:bottom w:val="single" w:sz="4" w:space="0" w:color="auto"/>
              <w:right w:val="single" w:sz="4" w:space="0" w:color="auto"/>
            </w:tcBorders>
          </w:tcPr>
          <w:p w14:paraId="429445C5" w14:textId="77777777" w:rsidR="009C6DB4" w:rsidRPr="007A3223" w:rsidRDefault="009C6DB4" w:rsidP="009C6DB4">
            <w:pPr>
              <w:pStyle w:val="TableParagraph"/>
              <w:rPr>
                <w:rFonts w:ascii="Times New Roman" w:eastAsia="Times New Roman" w:hAnsi="Times New Roman" w:cs="Times New Roman"/>
                <w:b/>
                <w:bCs/>
              </w:rPr>
            </w:pPr>
          </w:p>
          <w:p w14:paraId="4D457580" w14:textId="77777777" w:rsidR="009C6DB4" w:rsidRPr="007A3223" w:rsidRDefault="009C6DB4" w:rsidP="009C6DB4">
            <w:pPr>
              <w:pStyle w:val="TableParagraph"/>
              <w:spacing w:before="6"/>
              <w:rPr>
                <w:rFonts w:ascii="Times New Roman" w:eastAsia="Times New Roman" w:hAnsi="Times New Roman" w:cs="Times New Roman"/>
                <w:b/>
                <w:bCs/>
              </w:rPr>
            </w:pPr>
          </w:p>
          <w:p w14:paraId="7CB98EA8" w14:textId="77777777" w:rsidR="009C6DB4" w:rsidRPr="007A3223" w:rsidRDefault="009C6DB4" w:rsidP="009C6DB4">
            <w:pPr>
              <w:pStyle w:val="TableParagraph"/>
              <w:ind w:left="203"/>
              <w:rPr>
                <w:rFonts w:ascii="Times New Roman" w:eastAsia="Times New Roman" w:hAnsi="Times New Roman" w:cs="Times New Roman"/>
              </w:rPr>
            </w:pPr>
            <w:r w:rsidRPr="007A3223">
              <w:rPr>
                <w:rFonts w:ascii="Times New Roman" w:hAnsi="Times New Roman" w:cs="Times New Roman"/>
              </w:rPr>
              <w:t>Trepel</w:t>
            </w:r>
            <w:r w:rsidRPr="007A3223">
              <w:rPr>
                <w:rFonts w:ascii="Times New Roman" w:hAnsi="Times New Roman" w:cs="Times New Roman"/>
                <w:spacing w:val="-6"/>
              </w:rPr>
              <w:t xml:space="preserve"> </w:t>
            </w:r>
            <w:r w:rsidRPr="007A3223">
              <w:rPr>
                <w:rFonts w:ascii="Times New Roman" w:hAnsi="Times New Roman" w:cs="Times New Roman"/>
              </w:rPr>
              <w:t>lab</w:t>
            </w:r>
          </w:p>
        </w:tc>
      </w:tr>
      <w:tr w:rsidR="0021701C" w:rsidRPr="007A3223" w14:paraId="24215EA6" w14:textId="77777777" w:rsidTr="00C44880">
        <w:trPr>
          <w:trHeight w:hRule="exact" w:val="1612"/>
        </w:trPr>
        <w:tc>
          <w:tcPr>
            <w:tcW w:w="679" w:type="pct"/>
            <w:tcBorders>
              <w:top w:val="single" w:sz="4" w:space="0" w:color="auto"/>
              <w:left w:val="single" w:sz="4" w:space="0" w:color="000000"/>
              <w:bottom w:val="single" w:sz="4" w:space="0" w:color="000000"/>
              <w:right w:val="single" w:sz="4" w:space="0" w:color="000000"/>
            </w:tcBorders>
          </w:tcPr>
          <w:p w14:paraId="7E56FB7E" w14:textId="77777777" w:rsidR="0087296A" w:rsidRPr="007A3223" w:rsidRDefault="0087296A" w:rsidP="009C6DB4">
            <w:pPr>
              <w:pStyle w:val="TableParagraph"/>
              <w:rPr>
                <w:rFonts w:ascii="Times New Roman" w:eastAsia="Times New Roman" w:hAnsi="Times New Roman" w:cs="Times New Roman"/>
                <w:b/>
                <w:bCs/>
              </w:rPr>
            </w:pPr>
          </w:p>
          <w:p w14:paraId="69FB00A4" w14:textId="77777777" w:rsidR="0021701C" w:rsidRPr="007A3223" w:rsidRDefault="0087296A" w:rsidP="0087296A">
            <w:pPr>
              <w:tabs>
                <w:tab w:val="left" w:pos="672"/>
              </w:tabs>
              <w:jc w:val="center"/>
              <w:rPr>
                <w:sz w:val="22"/>
              </w:rPr>
            </w:pPr>
            <w:r w:rsidRPr="007A3223">
              <w:rPr>
                <w:sz w:val="22"/>
              </w:rPr>
              <w:t>Plasma</w:t>
            </w:r>
          </w:p>
        </w:tc>
        <w:tc>
          <w:tcPr>
            <w:tcW w:w="937" w:type="pct"/>
            <w:tcBorders>
              <w:top w:val="single" w:sz="4" w:space="0" w:color="auto"/>
              <w:left w:val="single" w:sz="4" w:space="0" w:color="000000"/>
              <w:bottom w:val="single" w:sz="4" w:space="0" w:color="000000"/>
              <w:right w:val="single" w:sz="4" w:space="0" w:color="000000"/>
            </w:tcBorders>
          </w:tcPr>
          <w:p w14:paraId="5D5474C2" w14:textId="77777777" w:rsidR="0087296A" w:rsidRPr="007A3223" w:rsidRDefault="0087296A" w:rsidP="0087296A">
            <w:pPr>
              <w:pStyle w:val="TableParagraph"/>
              <w:spacing w:line="244" w:lineRule="auto"/>
              <w:ind w:left="77" w:right="120"/>
              <w:rPr>
                <w:rFonts w:ascii="Times New Roman" w:eastAsia="Times New Roman" w:hAnsi="Times New Roman" w:cs="Times New Roman"/>
              </w:rPr>
            </w:pPr>
            <w:r w:rsidRPr="007A3223">
              <w:rPr>
                <w:rFonts w:ascii="Times New Roman"/>
                <w:spacing w:val="2"/>
              </w:rPr>
              <w:t>C</w:t>
            </w:r>
            <w:r w:rsidRPr="007A3223">
              <w:rPr>
                <w:rFonts w:ascii="Times New Roman"/>
                <w:spacing w:val="1"/>
              </w:rPr>
              <w:t>o</w:t>
            </w:r>
            <w:r w:rsidRPr="007A3223">
              <w:rPr>
                <w:rFonts w:ascii="Times New Roman"/>
                <w:spacing w:val="2"/>
              </w:rPr>
              <w:t>m</w:t>
            </w:r>
            <w:r w:rsidRPr="007A3223">
              <w:rPr>
                <w:rFonts w:ascii="Times New Roman"/>
                <w:spacing w:val="1"/>
              </w:rPr>
              <w:t>prehens</w:t>
            </w:r>
            <w:r w:rsidRPr="007A3223">
              <w:rPr>
                <w:rFonts w:ascii="Times New Roman"/>
              </w:rPr>
              <w:t>i</w:t>
            </w:r>
            <w:r w:rsidRPr="007A3223">
              <w:rPr>
                <w:rFonts w:ascii="Times New Roman"/>
                <w:spacing w:val="1"/>
              </w:rPr>
              <w:t>v</w:t>
            </w:r>
            <w:r w:rsidRPr="007A3223">
              <w:rPr>
                <w:rFonts w:ascii="Times New Roman"/>
              </w:rPr>
              <w:t>e</w:t>
            </w:r>
            <w:r w:rsidRPr="007A3223">
              <w:rPr>
                <w:rFonts w:ascii="Times New Roman"/>
                <w:w w:val="99"/>
              </w:rPr>
              <w:t xml:space="preserve"> </w:t>
            </w:r>
            <w:r w:rsidRPr="007A3223">
              <w:rPr>
                <w:rFonts w:ascii="Times New Roman"/>
              </w:rPr>
              <w:t>cytokine / chemokine</w:t>
            </w:r>
          </w:p>
          <w:p w14:paraId="0C1026DF" w14:textId="77777777" w:rsidR="0021701C" w:rsidRPr="007A3223" w:rsidRDefault="0021701C" w:rsidP="0087296A">
            <w:pPr>
              <w:pStyle w:val="TableParagraph"/>
              <w:jc w:val="center"/>
              <w:rPr>
                <w:rFonts w:ascii="Times New Roman" w:eastAsia="Times New Roman" w:hAnsi="Times New Roman" w:cs="Times New Roman"/>
                <w:bCs/>
              </w:rPr>
            </w:pPr>
          </w:p>
        </w:tc>
        <w:tc>
          <w:tcPr>
            <w:tcW w:w="490" w:type="pct"/>
            <w:tcBorders>
              <w:top w:val="single" w:sz="4" w:space="0" w:color="auto"/>
              <w:left w:val="single" w:sz="4" w:space="0" w:color="000000"/>
              <w:bottom w:val="single" w:sz="4" w:space="0" w:color="000000"/>
              <w:right w:val="single" w:sz="4" w:space="0" w:color="000000"/>
            </w:tcBorders>
          </w:tcPr>
          <w:p w14:paraId="62AFFE2B" w14:textId="77777777" w:rsidR="0021701C" w:rsidRPr="007A3223" w:rsidRDefault="0087296A" w:rsidP="009C6DB4">
            <w:pPr>
              <w:pStyle w:val="TableParagraph"/>
              <w:rPr>
                <w:rFonts w:ascii="Times New Roman" w:eastAsia="Times New Roman" w:hAnsi="Times New Roman" w:cs="Times New Roman"/>
                <w:bCs/>
              </w:rPr>
            </w:pPr>
            <w:r w:rsidRPr="007A3223">
              <w:rPr>
                <w:rFonts w:ascii="Times New Roman" w:eastAsia="Times New Roman" w:hAnsi="Times New Roman" w:cs="Times New Roman"/>
                <w:bCs/>
              </w:rPr>
              <w:t>20 ml</w:t>
            </w:r>
          </w:p>
        </w:tc>
        <w:tc>
          <w:tcPr>
            <w:tcW w:w="1135" w:type="pct"/>
            <w:tcBorders>
              <w:top w:val="single" w:sz="4" w:space="0" w:color="auto"/>
              <w:left w:val="single" w:sz="4" w:space="0" w:color="000000"/>
              <w:bottom w:val="single" w:sz="4" w:space="0" w:color="000000"/>
              <w:right w:val="single" w:sz="4" w:space="0" w:color="000000"/>
            </w:tcBorders>
          </w:tcPr>
          <w:p w14:paraId="14B6AA90" w14:textId="77777777" w:rsidR="0087296A" w:rsidRPr="007A3223" w:rsidRDefault="0087296A" w:rsidP="00FD5FD0">
            <w:pPr>
              <w:pStyle w:val="TableParagraph"/>
              <w:ind w:left="213"/>
              <w:jc w:val="center"/>
              <w:rPr>
                <w:rFonts w:ascii="Times New Roman" w:eastAsia="Times New Roman" w:hAnsi="Times New Roman" w:cs="Times New Roman"/>
              </w:rPr>
            </w:pPr>
            <w:r w:rsidRPr="007A3223">
              <w:rPr>
                <w:rFonts w:ascii="Times New Roman" w:hAnsi="Times New Roman" w:cs="Times New Roman"/>
                <w:spacing w:val="1"/>
              </w:rPr>
              <w:t>T</w:t>
            </w:r>
            <w:r w:rsidRPr="007A3223">
              <w:rPr>
                <w:rFonts w:ascii="Times New Roman" w:hAnsi="Times New Roman" w:cs="Times New Roman"/>
                <w:spacing w:val="2"/>
              </w:rPr>
              <w:t>w</w:t>
            </w:r>
            <w:r w:rsidRPr="007A3223">
              <w:rPr>
                <w:rFonts w:ascii="Times New Roman" w:hAnsi="Times New Roman" w:cs="Times New Roman"/>
              </w:rPr>
              <w:t>o</w:t>
            </w:r>
            <w:r w:rsidRPr="007A3223">
              <w:rPr>
                <w:rFonts w:ascii="Times New Roman" w:hAnsi="Times New Roman" w:cs="Times New Roman"/>
                <w:spacing w:val="-5"/>
              </w:rPr>
              <w:t xml:space="preserve"> </w:t>
            </w:r>
            <w:r w:rsidRPr="007A3223">
              <w:rPr>
                <w:rFonts w:ascii="Times New Roman" w:hAnsi="Times New Roman" w:cs="Times New Roman"/>
                <w:spacing w:val="1"/>
              </w:rPr>
              <w:t>10-</w:t>
            </w:r>
            <w:r w:rsidRPr="007A3223">
              <w:rPr>
                <w:rFonts w:ascii="Times New Roman" w:hAnsi="Times New Roman" w:cs="Times New Roman"/>
                <w:spacing w:val="2"/>
              </w:rPr>
              <w:t>m</w:t>
            </w:r>
            <w:r w:rsidRPr="007A3223">
              <w:rPr>
                <w:rFonts w:ascii="Times New Roman" w:hAnsi="Times New Roman" w:cs="Times New Roman"/>
              </w:rPr>
              <w:t>L</w:t>
            </w:r>
            <w:r w:rsidRPr="007A3223">
              <w:rPr>
                <w:rFonts w:ascii="Times New Roman" w:hAnsi="Times New Roman" w:cs="Times New Roman"/>
                <w:spacing w:val="-4"/>
              </w:rPr>
              <w:t xml:space="preserve"> </w:t>
            </w:r>
            <w:r w:rsidRPr="007A3223">
              <w:rPr>
                <w:rFonts w:ascii="Times New Roman" w:hAnsi="Times New Roman" w:cs="Times New Roman"/>
                <w:spacing w:val="1"/>
              </w:rPr>
              <w:t>E</w:t>
            </w:r>
            <w:r w:rsidRPr="007A3223">
              <w:rPr>
                <w:rFonts w:ascii="Times New Roman" w:hAnsi="Times New Roman" w:cs="Times New Roman"/>
                <w:spacing w:val="2"/>
              </w:rPr>
              <w:t>D</w:t>
            </w:r>
            <w:r w:rsidRPr="007A3223">
              <w:rPr>
                <w:rFonts w:ascii="Times New Roman" w:hAnsi="Times New Roman" w:cs="Times New Roman"/>
                <w:spacing w:val="1"/>
              </w:rPr>
              <w:t>T</w:t>
            </w:r>
            <w:r w:rsidRPr="007A3223">
              <w:rPr>
                <w:rFonts w:ascii="Times New Roman" w:hAnsi="Times New Roman" w:cs="Times New Roman"/>
              </w:rPr>
              <w:t>A</w:t>
            </w:r>
          </w:p>
          <w:p w14:paraId="3EBA2237" w14:textId="77777777" w:rsidR="0021701C" w:rsidRPr="007A3223" w:rsidRDefault="0087296A" w:rsidP="00FD5FD0">
            <w:pPr>
              <w:pStyle w:val="TableParagraph"/>
              <w:spacing w:line="244" w:lineRule="auto"/>
              <w:ind w:left="81" w:right="87"/>
              <w:jc w:val="center"/>
              <w:rPr>
                <w:rFonts w:ascii="Times New Roman" w:eastAsia="Times New Roman" w:hAnsi="Times New Roman" w:cs="Times New Roman"/>
              </w:rPr>
            </w:pPr>
            <w:r w:rsidRPr="007A3223">
              <w:rPr>
                <w:rFonts w:ascii="Times New Roman" w:hAnsi="Times New Roman" w:cs="Times New Roman"/>
              </w:rPr>
              <w:t>tubes</w:t>
            </w:r>
            <w:r w:rsidRPr="007A3223">
              <w:rPr>
                <w:rFonts w:ascii="Times New Roman" w:hAnsi="Times New Roman" w:cs="Times New Roman"/>
                <w:spacing w:val="-5"/>
              </w:rPr>
              <w:t xml:space="preserve"> </w:t>
            </w:r>
            <w:r w:rsidRPr="007A3223">
              <w:rPr>
                <w:rFonts w:ascii="Times New Roman" w:hAnsi="Times New Roman" w:cs="Times New Roman"/>
              </w:rPr>
              <w:t>(lavender</w:t>
            </w:r>
            <w:r w:rsidRPr="007A3223">
              <w:rPr>
                <w:rFonts w:ascii="Times New Roman" w:hAnsi="Times New Roman" w:cs="Times New Roman"/>
                <w:spacing w:val="-6"/>
              </w:rPr>
              <w:t xml:space="preserve"> </w:t>
            </w:r>
            <w:r w:rsidRPr="007A3223">
              <w:rPr>
                <w:rFonts w:ascii="Times New Roman" w:hAnsi="Times New Roman" w:cs="Times New Roman"/>
              </w:rPr>
              <w:t>top</w:t>
            </w:r>
            <w:r w:rsidRPr="007A3223">
              <w:rPr>
                <w:rFonts w:ascii="Times New Roman" w:hAnsi="Times New Roman" w:cs="Times New Roman"/>
                <w:spacing w:val="22"/>
                <w:w w:val="99"/>
              </w:rPr>
              <w:t xml:space="preserve"> </w:t>
            </w:r>
            <w:r w:rsidRPr="007A3223">
              <w:rPr>
                <w:rFonts w:ascii="Times New Roman" w:hAnsi="Times New Roman" w:cs="Times New Roman"/>
              </w:rPr>
              <w:t>tubes)</w:t>
            </w:r>
          </w:p>
        </w:tc>
        <w:tc>
          <w:tcPr>
            <w:tcW w:w="1006" w:type="pct"/>
            <w:tcBorders>
              <w:top w:val="single" w:sz="4" w:space="0" w:color="auto"/>
              <w:left w:val="single" w:sz="4" w:space="0" w:color="000000"/>
              <w:bottom w:val="single" w:sz="4" w:space="0" w:color="000000"/>
              <w:right w:val="single" w:sz="4" w:space="0" w:color="000000"/>
            </w:tcBorders>
          </w:tcPr>
          <w:p w14:paraId="05BF71E6" w14:textId="77777777" w:rsidR="0021701C" w:rsidRPr="007A3223" w:rsidRDefault="0087296A" w:rsidP="009C6DB4">
            <w:pPr>
              <w:pStyle w:val="TableParagraph"/>
              <w:spacing w:line="243" w:lineRule="auto"/>
              <w:ind w:left="103" w:right="108"/>
              <w:jc w:val="center"/>
              <w:rPr>
                <w:rFonts w:ascii="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6"/>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2"/>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2"/>
              </w:rPr>
              <w:t xml:space="preserve"> </w:t>
            </w:r>
            <w:r w:rsidRPr="007A3223">
              <w:rPr>
                <w:rFonts w:ascii="Times New Roman" w:hAnsi="Times New Roman" w:cs="Times New Roman"/>
              </w:rPr>
              <w:t>prior</w:t>
            </w:r>
            <w:r w:rsidRPr="007A3223">
              <w:rPr>
                <w:rFonts w:ascii="Times New Roman" w:hAnsi="Times New Roman" w:cs="Times New Roman"/>
                <w:spacing w:val="-3"/>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9"/>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15</w:t>
            </w:r>
            <w:r w:rsidRPr="007A3223">
              <w:rPr>
                <w:rFonts w:ascii="Times New Roman" w:hAnsi="Times New Roman" w:cs="Times New Roman"/>
                <w:spacing w:val="-3"/>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rPr>
              <w:t>cycle</w:t>
            </w:r>
            <w:r w:rsidRPr="007A3223">
              <w:rPr>
                <w:rFonts w:ascii="Times New Roman" w:hAnsi="Times New Roman" w:cs="Times New Roman"/>
                <w:spacing w:val="-1"/>
              </w:rPr>
              <w:t xml:space="preserve"> </w:t>
            </w:r>
            <w:r w:rsidRPr="007A3223">
              <w:rPr>
                <w:rFonts w:ascii="Times New Roman" w:hAnsi="Times New Roman" w:cs="Times New Roman"/>
              </w:rPr>
              <w:t>3</w:t>
            </w:r>
            <w:r w:rsidRPr="007A3223">
              <w:rPr>
                <w:rFonts w:ascii="Times New Roman" w:hAnsi="Times New Roman" w:cs="Times New Roman"/>
                <w:spacing w:val="25"/>
                <w:w w:val="99"/>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4"/>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spacing w:val="1"/>
              </w:rPr>
              <w:t>at</w:t>
            </w:r>
            <w:r w:rsidRPr="007A3223">
              <w:rPr>
                <w:rFonts w:ascii="Times New Roman" w:hAnsi="Times New Roman" w:cs="Times New Roman"/>
                <w:spacing w:val="23"/>
                <w:w w:val="99"/>
              </w:rPr>
              <w:t xml:space="preserve"> </w:t>
            </w:r>
            <w:r w:rsidRPr="007A3223">
              <w:rPr>
                <w:rFonts w:ascii="Times New Roman" w:hAnsi="Times New Roman" w:cs="Times New Roman"/>
              </w:rPr>
              <w:t>progression)</w:t>
            </w:r>
          </w:p>
        </w:tc>
        <w:tc>
          <w:tcPr>
            <w:tcW w:w="754" w:type="pct"/>
            <w:tcBorders>
              <w:top w:val="single" w:sz="4" w:space="0" w:color="auto"/>
              <w:left w:val="single" w:sz="4" w:space="0" w:color="000000"/>
              <w:bottom w:val="single" w:sz="4" w:space="0" w:color="000000"/>
              <w:right w:val="single" w:sz="4" w:space="0" w:color="auto"/>
            </w:tcBorders>
          </w:tcPr>
          <w:p w14:paraId="1C8136D6" w14:textId="77777777" w:rsidR="0021701C" w:rsidRPr="007A3223" w:rsidRDefault="0087296A" w:rsidP="0087296A">
            <w:pPr>
              <w:pStyle w:val="TableParagraph"/>
              <w:jc w:val="center"/>
              <w:rPr>
                <w:rFonts w:ascii="Times New Roman" w:eastAsia="Times New Roman" w:hAnsi="Times New Roman" w:cs="Times New Roman"/>
                <w:bCs/>
              </w:rPr>
            </w:pPr>
            <w:r w:rsidRPr="007A3223">
              <w:rPr>
                <w:rFonts w:ascii="Times New Roman" w:eastAsia="Times New Roman" w:hAnsi="Times New Roman" w:cs="Times New Roman"/>
                <w:bCs/>
              </w:rPr>
              <w:t>Figg Lab</w:t>
            </w:r>
          </w:p>
        </w:tc>
      </w:tr>
      <w:tr w:rsidR="009C6DB4" w:rsidRPr="007A3223" w14:paraId="054E72A4" w14:textId="77777777" w:rsidTr="00C44880">
        <w:trPr>
          <w:trHeight w:hRule="exact" w:val="1792"/>
        </w:trPr>
        <w:tc>
          <w:tcPr>
            <w:tcW w:w="679" w:type="pct"/>
            <w:tcBorders>
              <w:top w:val="single" w:sz="4" w:space="0" w:color="000000"/>
              <w:left w:val="single" w:sz="4" w:space="0" w:color="000000"/>
              <w:bottom w:val="single" w:sz="4" w:space="0" w:color="000000"/>
              <w:right w:val="single" w:sz="4" w:space="0" w:color="000000"/>
            </w:tcBorders>
          </w:tcPr>
          <w:p w14:paraId="2F38D4E8" w14:textId="77777777" w:rsidR="009C6DB4" w:rsidRPr="007A3223" w:rsidRDefault="009C6DB4" w:rsidP="009C6DB4">
            <w:pPr>
              <w:pStyle w:val="TableParagraph"/>
              <w:spacing w:before="2"/>
              <w:rPr>
                <w:rFonts w:ascii="Times New Roman" w:eastAsia="Times New Roman" w:hAnsi="Times New Roman" w:cs="Times New Roman"/>
                <w:b/>
                <w:bCs/>
              </w:rPr>
            </w:pPr>
          </w:p>
          <w:p w14:paraId="324C9083" w14:textId="77777777" w:rsidR="009C6DB4" w:rsidRPr="007A3223" w:rsidRDefault="009C6DB4" w:rsidP="009C6DB4">
            <w:pPr>
              <w:pStyle w:val="TableParagraph"/>
              <w:spacing w:line="242" w:lineRule="auto"/>
              <w:ind w:left="117" w:right="115"/>
              <w:jc w:val="center"/>
              <w:rPr>
                <w:rFonts w:ascii="Times New Roman" w:eastAsia="Times New Roman" w:hAnsi="Times New Roman" w:cs="Times New Roman"/>
              </w:rPr>
            </w:pPr>
            <w:r w:rsidRPr="007A3223">
              <w:rPr>
                <w:rFonts w:ascii="Times New Roman" w:hAnsi="Times New Roman" w:cs="Times New Roman"/>
                <w:w w:val="95"/>
              </w:rPr>
              <w:t>Circulatin</w:t>
            </w:r>
            <w:r w:rsidRPr="007A3223">
              <w:rPr>
                <w:rFonts w:ascii="Times New Roman" w:hAnsi="Times New Roman" w:cs="Times New Roman"/>
              </w:rPr>
              <w:t>g</w:t>
            </w:r>
            <w:r w:rsidRPr="007A3223">
              <w:rPr>
                <w:rFonts w:ascii="Times New Roman" w:hAnsi="Times New Roman" w:cs="Times New Roman"/>
                <w:spacing w:val="-4"/>
              </w:rPr>
              <w:t xml:space="preserve"> </w:t>
            </w:r>
            <w:r w:rsidRPr="007A3223">
              <w:rPr>
                <w:rFonts w:ascii="Times New Roman" w:hAnsi="Times New Roman" w:cs="Times New Roman"/>
              </w:rPr>
              <w:t>t</w:t>
            </w:r>
            <w:r w:rsidRPr="007A3223">
              <w:rPr>
                <w:rFonts w:ascii="Times New Roman" w:hAnsi="Times New Roman" w:cs="Times New Roman"/>
                <w:spacing w:val="1"/>
              </w:rPr>
              <w:t>u</w:t>
            </w:r>
            <w:r w:rsidRPr="007A3223">
              <w:rPr>
                <w:rFonts w:ascii="Times New Roman" w:hAnsi="Times New Roman" w:cs="Times New Roman"/>
                <w:spacing w:val="2"/>
              </w:rPr>
              <w:t>m</w:t>
            </w:r>
            <w:r w:rsidRPr="007A3223">
              <w:rPr>
                <w:rFonts w:ascii="Times New Roman" w:hAnsi="Times New Roman" w:cs="Times New Roman"/>
                <w:spacing w:val="1"/>
              </w:rPr>
              <w:t>or</w:t>
            </w:r>
            <w:r w:rsidRPr="007A3223">
              <w:rPr>
                <w:rFonts w:ascii="Times New Roman" w:hAnsi="Times New Roman" w:cs="Times New Roman"/>
                <w:spacing w:val="1"/>
                <w:w w:val="99"/>
              </w:rPr>
              <w:t xml:space="preserve"> </w:t>
            </w:r>
            <w:r w:rsidRPr="007A3223">
              <w:rPr>
                <w:rFonts w:ascii="Times New Roman" w:hAnsi="Times New Roman" w:cs="Times New Roman"/>
              </w:rPr>
              <w:t>cells</w:t>
            </w:r>
          </w:p>
        </w:tc>
        <w:tc>
          <w:tcPr>
            <w:tcW w:w="937" w:type="pct"/>
            <w:tcBorders>
              <w:top w:val="single" w:sz="4" w:space="0" w:color="000000"/>
              <w:left w:val="single" w:sz="4" w:space="0" w:color="000000"/>
              <w:bottom w:val="single" w:sz="4" w:space="0" w:color="000000"/>
              <w:right w:val="single" w:sz="4" w:space="0" w:color="000000"/>
            </w:tcBorders>
          </w:tcPr>
          <w:p w14:paraId="3E50CF53" w14:textId="77777777" w:rsidR="009C6DB4" w:rsidRPr="007A3223" w:rsidRDefault="009C6DB4" w:rsidP="009C6DB4">
            <w:pPr>
              <w:pStyle w:val="TableParagraph"/>
              <w:spacing w:before="96" w:line="244" w:lineRule="auto"/>
              <w:ind w:right="151"/>
              <w:rPr>
                <w:rFonts w:ascii="Times New Roman" w:eastAsia="Times New Roman" w:hAnsi="Times New Roman" w:cs="Times New Roman"/>
              </w:rPr>
            </w:pPr>
            <w:r w:rsidRPr="007A3223">
              <w:rPr>
                <w:rFonts w:ascii="Times New Roman" w:hAnsi="Times New Roman" w:cs="Times New Roman"/>
                <w:w w:val="95"/>
              </w:rPr>
              <w:t>Enumeration</w:t>
            </w:r>
            <w:r w:rsidRPr="007A3223">
              <w:rPr>
                <w:rFonts w:ascii="Times New Roman" w:hAnsi="Times New Roman" w:cs="Times New Roman"/>
                <w:spacing w:val="29"/>
                <w:w w:val="99"/>
              </w:rPr>
              <w:t xml:space="preserve"> </w:t>
            </w:r>
            <w:r w:rsidRPr="007A3223">
              <w:rPr>
                <w:rFonts w:ascii="Times New Roman" w:hAnsi="Times New Roman" w:cs="Times New Roman"/>
              </w:rPr>
              <w:t>and</w:t>
            </w:r>
            <w:r w:rsidRPr="007A3223">
              <w:rPr>
                <w:rFonts w:ascii="Times New Roman" w:hAnsi="Times New Roman" w:cs="Times New Roman"/>
                <w:spacing w:val="-4"/>
              </w:rPr>
              <w:t xml:space="preserve"> </w:t>
            </w:r>
            <w:r w:rsidRPr="007A3223">
              <w:rPr>
                <w:rFonts w:ascii="Times New Roman" w:hAnsi="Times New Roman" w:cs="Times New Roman"/>
              </w:rPr>
              <w:t>gene</w:t>
            </w:r>
            <w:r w:rsidRPr="007A3223">
              <w:rPr>
                <w:rFonts w:ascii="Times New Roman" w:hAnsi="Times New Roman" w:cs="Times New Roman"/>
                <w:spacing w:val="25"/>
                <w:w w:val="99"/>
              </w:rPr>
              <w:t xml:space="preserve"> </w:t>
            </w:r>
            <w:r w:rsidRPr="007A3223">
              <w:rPr>
                <w:rFonts w:ascii="Times New Roman" w:hAnsi="Times New Roman" w:cs="Times New Roman"/>
              </w:rPr>
              <w:t>expression</w:t>
            </w:r>
          </w:p>
        </w:tc>
        <w:tc>
          <w:tcPr>
            <w:tcW w:w="490" w:type="pct"/>
            <w:tcBorders>
              <w:top w:val="single" w:sz="4" w:space="0" w:color="000000"/>
              <w:left w:val="single" w:sz="4" w:space="0" w:color="000000"/>
              <w:bottom w:val="single" w:sz="4" w:space="0" w:color="000000"/>
              <w:right w:val="single" w:sz="4" w:space="0" w:color="000000"/>
            </w:tcBorders>
          </w:tcPr>
          <w:p w14:paraId="3D2E85E9" w14:textId="77777777" w:rsidR="009C6DB4" w:rsidRPr="007A3223" w:rsidRDefault="009C6DB4" w:rsidP="009C6DB4">
            <w:pPr>
              <w:pStyle w:val="TableParagraph"/>
              <w:rPr>
                <w:rFonts w:ascii="Times New Roman" w:eastAsia="Times New Roman" w:hAnsi="Times New Roman" w:cs="Times New Roman"/>
                <w:b/>
                <w:bCs/>
              </w:rPr>
            </w:pPr>
          </w:p>
          <w:p w14:paraId="3CD3FE8E" w14:textId="77777777" w:rsidR="009C6DB4" w:rsidRPr="007A3223" w:rsidRDefault="009C6DB4" w:rsidP="009C6DB4">
            <w:pPr>
              <w:pStyle w:val="TableParagraph"/>
              <w:spacing w:before="2"/>
              <w:rPr>
                <w:rFonts w:ascii="Times New Roman" w:eastAsia="Times New Roman" w:hAnsi="Times New Roman" w:cs="Times New Roman"/>
                <w:b/>
                <w:bCs/>
              </w:rPr>
            </w:pPr>
          </w:p>
          <w:p w14:paraId="2BD96F4B" w14:textId="77777777" w:rsidR="009C6DB4" w:rsidRPr="007A3223" w:rsidRDefault="009C6DB4" w:rsidP="009C6DB4">
            <w:pPr>
              <w:pStyle w:val="TableParagraph"/>
              <w:ind w:left="147"/>
              <w:rPr>
                <w:rFonts w:ascii="Times New Roman" w:eastAsia="Times New Roman" w:hAnsi="Times New Roman" w:cs="Times New Roman"/>
              </w:rPr>
            </w:pPr>
            <w:r w:rsidRPr="007A3223">
              <w:rPr>
                <w:rFonts w:ascii="Times New Roman" w:hAnsi="Times New Roman" w:cs="Times New Roman"/>
                <w:spacing w:val="1"/>
              </w:rPr>
              <w:t>20</w:t>
            </w:r>
            <w:r w:rsidRPr="007A3223">
              <w:rPr>
                <w:rFonts w:ascii="Times New Roman" w:hAnsi="Times New Roman" w:cs="Times New Roman"/>
                <w:spacing w:val="-4"/>
              </w:rPr>
              <w:t xml:space="preserve"> </w:t>
            </w:r>
            <w:r w:rsidRPr="007A3223">
              <w:rPr>
                <w:rFonts w:ascii="Times New Roman" w:hAnsi="Times New Roman" w:cs="Times New Roman"/>
                <w:spacing w:val="2"/>
              </w:rPr>
              <w:t>m</w:t>
            </w:r>
            <w:r w:rsidRPr="007A3223">
              <w:rPr>
                <w:rFonts w:ascii="Times New Roman" w:hAnsi="Times New Roman" w:cs="Times New Roman"/>
              </w:rPr>
              <w:t>l</w:t>
            </w:r>
          </w:p>
        </w:tc>
        <w:tc>
          <w:tcPr>
            <w:tcW w:w="1135" w:type="pct"/>
            <w:tcBorders>
              <w:top w:val="single" w:sz="4" w:space="0" w:color="000000"/>
              <w:left w:val="single" w:sz="4" w:space="0" w:color="000000"/>
              <w:bottom w:val="single" w:sz="4" w:space="0" w:color="000000"/>
              <w:right w:val="single" w:sz="4" w:space="0" w:color="000000"/>
            </w:tcBorders>
          </w:tcPr>
          <w:p w14:paraId="4F8F64B1" w14:textId="77777777" w:rsidR="009C6DB4" w:rsidRPr="007A3223" w:rsidRDefault="009C6DB4" w:rsidP="00FD5FD0">
            <w:pPr>
              <w:pStyle w:val="TableParagraph"/>
              <w:spacing w:before="2"/>
              <w:jc w:val="center"/>
              <w:rPr>
                <w:rFonts w:ascii="Times New Roman" w:eastAsia="Times New Roman" w:hAnsi="Times New Roman" w:cs="Times New Roman"/>
                <w:b/>
                <w:bCs/>
              </w:rPr>
            </w:pPr>
          </w:p>
          <w:p w14:paraId="4B16A8FA" w14:textId="77777777" w:rsidR="009C6DB4" w:rsidRPr="007A3223" w:rsidRDefault="009C6DB4" w:rsidP="00FD5FD0">
            <w:pPr>
              <w:pStyle w:val="TableParagraph"/>
              <w:ind w:left="213"/>
              <w:jc w:val="center"/>
              <w:rPr>
                <w:rFonts w:ascii="Times New Roman" w:eastAsia="Times New Roman" w:hAnsi="Times New Roman" w:cs="Times New Roman"/>
              </w:rPr>
            </w:pPr>
            <w:r w:rsidRPr="007A3223">
              <w:rPr>
                <w:rFonts w:ascii="Times New Roman" w:hAnsi="Times New Roman" w:cs="Times New Roman"/>
                <w:spacing w:val="1"/>
              </w:rPr>
              <w:t>T</w:t>
            </w:r>
            <w:r w:rsidRPr="007A3223">
              <w:rPr>
                <w:rFonts w:ascii="Times New Roman" w:hAnsi="Times New Roman" w:cs="Times New Roman"/>
                <w:spacing w:val="2"/>
              </w:rPr>
              <w:t>w</w:t>
            </w:r>
            <w:r w:rsidRPr="007A3223">
              <w:rPr>
                <w:rFonts w:ascii="Times New Roman" w:hAnsi="Times New Roman" w:cs="Times New Roman"/>
              </w:rPr>
              <w:t>o</w:t>
            </w:r>
            <w:r w:rsidRPr="007A3223">
              <w:rPr>
                <w:rFonts w:ascii="Times New Roman" w:hAnsi="Times New Roman" w:cs="Times New Roman"/>
                <w:spacing w:val="-5"/>
              </w:rPr>
              <w:t xml:space="preserve"> </w:t>
            </w:r>
            <w:r w:rsidRPr="007A3223">
              <w:rPr>
                <w:rFonts w:ascii="Times New Roman" w:hAnsi="Times New Roman" w:cs="Times New Roman"/>
                <w:spacing w:val="1"/>
              </w:rPr>
              <w:t>10-</w:t>
            </w:r>
            <w:r w:rsidRPr="007A3223">
              <w:rPr>
                <w:rFonts w:ascii="Times New Roman" w:hAnsi="Times New Roman" w:cs="Times New Roman"/>
                <w:spacing w:val="2"/>
              </w:rPr>
              <w:t>m</w:t>
            </w:r>
            <w:r w:rsidRPr="007A3223">
              <w:rPr>
                <w:rFonts w:ascii="Times New Roman" w:hAnsi="Times New Roman" w:cs="Times New Roman"/>
              </w:rPr>
              <w:t>L</w:t>
            </w:r>
            <w:r w:rsidRPr="007A3223">
              <w:rPr>
                <w:rFonts w:ascii="Times New Roman" w:hAnsi="Times New Roman" w:cs="Times New Roman"/>
                <w:spacing w:val="-4"/>
              </w:rPr>
              <w:t xml:space="preserve"> </w:t>
            </w:r>
            <w:r w:rsidRPr="007A3223">
              <w:rPr>
                <w:rFonts w:ascii="Times New Roman" w:hAnsi="Times New Roman" w:cs="Times New Roman"/>
                <w:spacing w:val="1"/>
              </w:rPr>
              <w:t>E</w:t>
            </w:r>
            <w:r w:rsidRPr="007A3223">
              <w:rPr>
                <w:rFonts w:ascii="Times New Roman" w:hAnsi="Times New Roman" w:cs="Times New Roman"/>
                <w:spacing w:val="2"/>
              </w:rPr>
              <w:t>D</w:t>
            </w:r>
            <w:r w:rsidRPr="007A3223">
              <w:rPr>
                <w:rFonts w:ascii="Times New Roman" w:hAnsi="Times New Roman" w:cs="Times New Roman"/>
                <w:spacing w:val="1"/>
              </w:rPr>
              <w:t>T</w:t>
            </w:r>
            <w:r w:rsidRPr="007A3223">
              <w:rPr>
                <w:rFonts w:ascii="Times New Roman" w:hAnsi="Times New Roman" w:cs="Times New Roman"/>
              </w:rPr>
              <w:t>A</w:t>
            </w:r>
          </w:p>
          <w:p w14:paraId="3F5D4E05" w14:textId="77777777" w:rsidR="009C6DB4" w:rsidRPr="007A3223" w:rsidRDefault="009C6DB4" w:rsidP="00FD5FD0">
            <w:pPr>
              <w:pStyle w:val="TableParagraph"/>
              <w:spacing w:line="244" w:lineRule="auto"/>
              <w:ind w:left="667" w:right="215" w:hanging="450"/>
              <w:jc w:val="center"/>
              <w:rPr>
                <w:rFonts w:ascii="Times New Roman" w:eastAsia="Times New Roman" w:hAnsi="Times New Roman" w:cs="Times New Roman"/>
              </w:rPr>
            </w:pPr>
            <w:r w:rsidRPr="007A3223">
              <w:rPr>
                <w:rFonts w:ascii="Times New Roman" w:hAnsi="Times New Roman" w:cs="Times New Roman"/>
              </w:rPr>
              <w:t>tubes</w:t>
            </w:r>
            <w:r w:rsidRPr="007A3223">
              <w:rPr>
                <w:rFonts w:ascii="Times New Roman" w:hAnsi="Times New Roman" w:cs="Times New Roman"/>
                <w:spacing w:val="-5"/>
              </w:rPr>
              <w:t xml:space="preserve"> </w:t>
            </w:r>
            <w:r w:rsidRPr="007A3223">
              <w:rPr>
                <w:rFonts w:ascii="Times New Roman" w:hAnsi="Times New Roman" w:cs="Times New Roman"/>
              </w:rPr>
              <w:t>(lavender</w:t>
            </w:r>
            <w:r w:rsidRPr="007A3223">
              <w:rPr>
                <w:rFonts w:ascii="Times New Roman" w:hAnsi="Times New Roman" w:cs="Times New Roman"/>
                <w:spacing w:val="-6"/>
              </w:rPr>
              <w:t xml:space="preserve"> </w:t>
            </w:r>
            <w:r w:rsidRPr="007A3223">
              <w:rPr>
                <w:rFonts w:ascii="Times New Roman" w:hAnsi="Times New Roman" w:cs="Times New Roman"/>
              </w:rPr>
              <w:t>top</w:t>
            </w:r>
            <w:r w:rsidRPr="007A3223">
              <w:rPr>
                <w:rFonts w:ascii="Times New Roman" w:hAnsi="Times New Roman" w:cs="Times New Roman"/>
                <w:spacing w:val="22"/>
                <w:w w:val="99"/>
              </w:rPr>
              <w:t xml:space="preserve"> </w:t>
            </w:r>
            <w:r w:rsidRPr="007A3223">
              <w:rPr>
                <w:rFonts w:ascii="Times New Roman" w:hAnsi="Times New Roman" w:cs="Times New Roman"/>
              </w:rPr>
              <w:t>tubes)</w:t>
            </w:r>
          </w:p>
        </w:tc>
        <w:tc>
          <w:tcPr>
            <w:tcW w:w="1006" w:type="pct"/>
            <w:tcBorders>
              <w:top w:val="single" w:sz="4" w:space="0" w:color="000000"/>
              <w:left w:val="single" w:sz="4" w:space="0" w:color="000000"/>
              <w:bottom w:val="single" w:sz="4" w:space="0" w:color="000000"/>
              <w:right w:val="single" w:sz="4" w:space="0" w:color="000000"/>
            </w:tcBorders>
          </w:tcPr>
          <w:p w14:paraId="7986EF6D" w14:textId="77777777" w:rsidR="009C6DB4" w:rsidRPr="007A3223" w:rsidRDefault="009C6DB4" w:rsidP="009C6DB4">
            <w:pPr>
              <w:pStyle w:val="TableParagraph"/>
              <w:spacing w:line="243" w:lineRule="auto"/>
              <w:ind w:left="103" w:right="108"/>
              <w:jc w:val="center"/>
              <w:rPr>
                <w:rFonts w:ascii="Times New Roman" w:eastAsia="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6"/>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2"/>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2"/>
              </w:rPr>
              <w:t xml:space="preserve"> </w:t>
            </w:r>
            <w:r w:rsidRPr="007A3223">
              <w:rPr>
                <w:rFonts w:ascii="Times New Roman" w:hAnsi="Times New Roman" w:cs="Times New Roman"/>
              </w:rPr>
              <w:t>prior</w:t>
            </w:r>
            <w:r w:rsidRPr="007A3223">
              <w:rPr>
                <w:rFonts w:ascii="Times New Roman" w:hAnsi="Times New Roman" w:cs="Times New Roman"/>
                <w:spacing w:val="-3"/>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9"/>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15</w:t>
            </w:r>
            <w:r w:rsidRPr="007A3223">
              <w:rPr>
                <w:rFonts w:ascii="Times New Roman" w:hAnsi="Times New Roman" w:cs="Times New Roman"/>
                <w:spacing w:val="-3"/>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rPr>
              <w:t>cycle</w:t>
            </w:r>
            <w:r w:rsidRPr="007A3223">
              <w:rPr>
                <w:rFonts w:ascii="Times New Roman" w:hAnsi="Times New Roman" w:cs="Times New Roman"/>
                <w:spacing w:val="-1"/>
              </w:rPr>
              <w:t xml:space="preserve"> </w:t>
            </w:r>
            <w:r w:rsidRPr="007A3223">
              <w:rPr>
                <w:rFonts w:ascii="Times New Roman" w:hAnsi="Times New Roman" w:cs="Times New Roman"/>
              </w:rPr>
              <w:t>3</w:t>
            </w:r>
            <w:r w:rsidRPr="007A3223">
              <w:rPr>
                <w:rFonts w:ascii="Times New Roman" w:hAnsi="Times New Roman" w:cs="Times New Roman"/>
                <w:spacing w:val="25"/>
                <w:w w:val="99"/>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4"/>
              </w:rPr>
              <w:t xml:space="preserve"> </w:t>
            </w:r>
            <w:r w:rsidRPr="007A3223">
              <w:rPr>
                <w:rFonts w:ascii="Times New Roman" w:hAnsi="Times New Roman" w:cs="Times New Roman"/>
                <w:spacing w:val="1"/>
              </w:rPr>
              <w:t>and</w:t>
            </w:r>
            <w:r w:rsidRPr="007A3223">
              <w:rPr>
                <w:rFonts w:ascii="Times New Roman" w:hAnsi="Times New Roman" w:cs="Times New Roman"/>
                <w:spacing w:val="-3"/>
              </w:rPr>
              <w:t xml:space="preserve"> </w:t>
            </w:r>
            <w:r w:rsidRPr="007A3223">
              <w:rPr>
                <w:rFonts w:ascii="Times New Roman" w:hAnsi="Times New Roman" w:cs="Times New Roman"/>
                <w:spacing w:val="1"/>
              </w:rPr>
              <w:t>at</w:t>
            </w:r>
            <w:r w:rsidRPr="007A3223">
              <w:rPr>
                <w:rFonts w:ascii="Times New Roman" w:hAnsi="Times New Roman" w:cs="Times New Roman"/>
                <w:spacing w:val="23"/>
                <w:w w:val="99"/>
              </w:rPr>
              <w:t xml:space="preserve"> </w:t>
            </w:r>
            <w:r w:rsidRPr="007A3223">
              <w:rPr>
                <w:rFonts w:ascii="Times New Roman" w:hAnsi="Times New Roman" w:cs="Times New Roman"/>
              </w:rPr>
              <w:t>progression)</w:t>
            </w:r>
          </w:p>
        </w:tc>
        <w:tc>
          <w:tcPr>
            <w:tcW w:w="754" w:type="pct"/>
            <w:tcBorders>
              <w:top w:val="single" w:sz="4" w:space="0" w:color="000000"/>
              <w:left w:val="single" w:sz="4" w:space="0" w:color="000000"/>
              <w:bottom w:val="single" w:sz="4" w:space="0" w:color="000000"/>
              <w:right w:val="single" w:sz="4" w:space="0" w:color="auto"/>
            </w:tcBorders>
          </w:tcPr>
          <w:p w14:paraId="489C3217" w14:textId="77777777" w:rsidR="009C6DB4" w:rsidRPr="007A3223" w:rsidRDefault="009C6DB4" w:rsidP="009C6DB4">
            <w:pPr>
              <w:pStyle w:val="TableParagraph"/>
              <w:rPr>
                <w:rFonts w:ascii="Times New Roman" w:eastAsia="Times New Roman" w:hAnsi="Times New Roman" w:cs="Times New Roman"/>
                <w:b/>
                <w:bCs/>
              </w:rPr>
            </w:pPr>
          </w:p>
          <w:p w14:paraId="2B3A822F" w14:textId="77777777" w:rsidR="009C6DB4" w:rsidRPr="007A3223" w:rsidRDefault="009C6DB4" w:rsidP="009C6DB4">
            <w:pPr>
              <w:pStyle w:val="TableParagraph"/>
              <w:spacing w:before="2"/>
              <w:rPr>
                <w:rFonts w:ascii="Times New Roman" w:eastAsia="Times New Roman" w:hAnsi="Times New Roman" w:cs="Times New Roman"/>
                <w:b/>
                <w:bCs/>
              </w:rPr>
            </w:pPr>
          </w:p>
          <w:p w14:paraId="7EA11924" w14:textId="77777777" w:rsidR="009C6DB4" w:rsidRPr="007A3223" w:rsidRDefault="009C6DB4" w:rsidP="009C6DB4">
            <w:pPr>
              <w:pStyle w:val="TableParagraph"/>
              <w:ind w:left="203"/>
              <w:rPr>
                <w:rFonts w:ascii="Times New Roman" w:eastAsia="Times New Roman" w:hAnsi="Times New Roman" w:cs="Times New Roman"/>
              </w:rPr>
            </w:pPr>
            <w:r w:rsidRPr="007A3223">
              <w:rPr>
                <w:rFonts w:ascii="Times New Roman" w:hAnsi="Times New Roman" w:cs="Times New Roman"/>
              </w:rPr>
              <w:t>Trepel</w:t>
            </w:r>
            <w:r w:rsidRPr="007A3223">
              <w:rPr>
                <w:rFonts w:ascii="Times New Roman" w:hAnsi="Times New Roman" w:cs="Times New Roman"/>
                <w:spacing w:val="-6"/>
              </w:rPr>
              <w:t xml:space="preserve"> </w:t>
            </w:r>
            <w:r w:rsidRPr="007A3223">
              <w:rPr>
                <w:rFonts w:ascii="Times New Roman" w:hAnsi="Times New Roman" w:cs="Times New Roman"/>
              </w:rPr>
              <w:t>lab</w:t>
            </w:r>
          </w:p>
        </w:tc>
      </w:tr>
      <w:tr w:rsidR="009C6DB4" w:rsidRPr="007A3223" w14:paraId="40753F7E" w14:textId="77777777" w:rsidTr="00C44880">
        <w:trPr>
          <w:trHeight w:hRule="exact" w:val="1783"/>
        </w:trPr>
        <w:tc>
          <w:tcPr>
            <w:tcW w:w="679" w:type="pct"/>
            <w:tcBorders>
              <w:top w:val="single" w:sz="4" w:space="0" w:color="000000"/>
              <w:left w:val="single" w:sz="4" w:space="0" w:color="000000"/>
              <w:bottom w:val="single" w:sz="4" w:space="0" w:color="auto"/>
              <w:right w:val="single" w:sz="4" w:space="0" w:color="000000"/>
            </w:tcBorders>
          </w:tcPr>
          <w:p w14:paraId="2D90BB19" w14:textId="77777777" w:rsidR="009C6DB4" w:rsidRPr="007A3223" w:rsidRDefault="009C6DB4" w:rsidP="009C6DB4">
            <w:pPr>
              <w:pStyle w:val="TableParagraph"/>
              <w:rPr>
                <w:rFonts w:ascii="Times New Roman" w:eastAsia="Times New Roman" w:hAnsi="Times New Roman" w:cs="Times New Roman"/>
                <w:b/>
                <w:bCs/>
              </w:rPr>
            </w:pPr>
          </w:p>
          <w:p w14:paraId="2466666E" w14:textId="77777777" w:rsidR="009C6DB4" w:rsidRPr="007A3223" w:rsidRDefault="009C6DB4" w:rsidP="009C6DB4">
            <w:pPr>
              <w:pStyle w:val="TableParagraph"/>
              <w:spacing w:before="2"/>
              <w:rPr>
                <w:rFonts w:ascii="Times New Roman" w:eastAsia="Times New Roman" w:hAnsi="Times New Roman" w:cs="Times New Roman"/>
                <w:b/>
                <w:bCs/>
              </w:rPr>
            </w:pPr>
          </w:p>
          <w:p w14:paraId="07745438" w14:textId="77777777" w:rsidR="009C6DB4" w:rsidRPr="007A3223" w:rsidRDefault="009C6DB4" w:rsidP="009C6DB4">
            <w:pPr>
              <w:pStyle w:val="TableParagraph"/>
              <w:spacing w:line="244" w:lineRule="auto"/>
              <w:ind w:left="266" w:right="230" w:hanging="34"/>
              <w:rPr>
                <w:rFonts w:ascii="Times New Roman" w:eastAsia="Times New Roman" w:hAnsi="Times New Roman" w:cs="Times New Roman"/>
              </w:rPr>
            </w:pPr>
            <w:r w:rsidRPr="007A3223">
              <w:rPr>
                <w:rFonts w:ascii="Times New Roman" w:hAnsi="Times New Roman" w:cs="Times New Roman"/>
              </w:rPr>
              <w:t>Whole</w:t>
            </w:r>
            <w:r w:rsidRPr="007A3223">
              <w:rPr>
                <w:rFonts w:ascii="Times New Roman" w:hAnsi="Times New Roman" w:cs="Times New Roman"/>
                <w:spacing w:val="24"/>
                <w:w w:val="99"/>
              </w:rPr>
              <w:t xml:space="preserve"> </w:t>
            </w:r>
            <w:r w:rsidRPr="007A3223">
              <w:rPr>
                <w:rFonts w:ascii="Times New Roman" w:hAnsi="Times New Roman" w:cs="Times New Roman"/>
              </w:rPr>
              <w:t>blood</w:t>
            </w:r>
          </w:p>
        </w:tc>
        <w:tc>
          <w:tcPr>
            <w:tcW w:w="937" w:type="pct"/>
            <w:tcBorders>
              <w:top w:val="single" w:sz="4" w:space="0" w:color="000000"/>
              <w:left w:val="single" w:sz="4" w:space="0" w:color="000000"/>
              <w:bottom w:val="single" w:sz="4" w:space="0" w:color="auto"/>
              <w:right w:val="single" w:sz="4" w:space="0" w:color="000000"/>
            </w:tcBorders>
          </w:tcPr>
          <w:p w14:paraId="14CF9C0C" w14:textId="77777777" w:rsidR="009C6DB4" w:rsidRPr="007A3223" w:rsidRDefault="009C6DB4" w:rsidP="009C6DB4">
            <w:pPr>
              <w:pStyle w:val="TableParagraph"/>
              <w:rPr>
                <w:rFonts w:ascii="Times New Roman" w:eastAsia="Times New Roman" w:hAnsi="Times New Roman" w:cs="Times New Roman"/>
                <w:b/>
                <w:bCs/>
              </w:rPr>
            </w:pPr>
          </w:p>
          <w:p w14:paraId="7BA23892" w14:textId="77777777" w:rsidR="009C6DB4" w:rsidRPr="007A3223" w:rsidRDefault="009C6DB4" w:rsidP="009C6DB4">
            <w:pPr>
              <w:pStyle w:val="TableParagraph"/>
              <w:rPr>
                <w:rFonts w:ascii="Times New Roman" w:eastAsia="Times New Roman" w:hAnsi="Times New Roman" w:cs="Times New Roman"/>
                <w:b/>
                <w:bCs/>
              </w:rPr>
            </w:pPr>
          </w:p>
          <w:p w14:paraId="19612C6E" w14:textId="77777777" w:rsidR="009C6DB4" w:rsidRPr="007A3223" w:rsidRDefault="009C6DB4" w:rsidP="009C6DB4">
            <w:pPr>
              <w:pStyle w:val="TableParagraph"/>
              <w:spacing w:before="134"/>
              <w:rPr>
                <w:rFonts w:ascii="Times New Roman" w:eastAsia="Times New Roman" w:hAnsi="Times New Roman" w:cs="Times New Roman"/>
              </w:rPr>
            </w:pPr>
            <w:r w:rsidRPr="007A3223">
              <w:rPr>
                <w:rFonts w:ascii="Times New Roman" w:hAnsi="Times New Roman" w:cs="Times New Roman"/>
              </w:rPr>
              <w:t>Transcriptome</w:t>
            </w:r>
            <w:r w:rsidR="00DE209C" w:rsidRPr="007A3223">
              <w:rPr>
                <w:rFonts w:ascii="Times New Roman" w:hAnsi="Times New Roman" w:cs="Times New Roman"/>
              </w:rPr>
              <w:t xml:space="preserve"> (SCLC only)</w:t>
            </w:r>
          </w:p>
        </w:tc>
        <w:tc>
          <w:tcPr>
            <w:tcW w:w="490" w:type="pct"/>
            <w:tcBorders>
              <w:top w:val="single" w:sz="4" w:space="0" w:color="000000"/>
              <w:left w:val="single" w:sz="4" w:space="0" w:color="000000"/>
              <w:bottom w:val="single" w:sz="4" w:space="0" w:color="auto"/>
              <w:right w:val="single" w:sz="4" w:space="0" w:color="000000"/>
            </w:tcBorders>
          </w:tcPr>
          <w:p w14:paraId="3FF2474F" w14:textId="77777777" w:rsidR="009C6DB4" w:rsidRPr="007A3223" w:rsidRDefault="009C6DB4" w:rsidP="009C6DB4">
            <w:pPr>
              <w:pStyle w:val="TableParagraph"/>
              <w:rPr>
                <w:rFonts w:ascii="Times New Roman" w:eastAsia="Times New Roman" w:hAnsi="Times New Roman" w:cs="Times New Roman"/>
                <w:b/>
                <w:bCs/>
              </w:rPr>
            </w:pPr>
          </w:p>
          <w:p w14:paraId="4CA68940" w14:textId="77777777" w:rsidR="009C6DB4" w:rsidRPr="007A3223" w:rsidRDefault="009C6DB4" w:rsidP="009C6DB4">
            <w:pPr>
              <w:pStyle w:val="TableParagraph"/>
              <w:rPr>
                <w:rFonts w:ascii="Times New Roman" w:eastAsia="Times New Roman" w:hAnsi="Times New Roman" w:cs="Times New Roman"/>
                <w:b/>
                <w:bCs/>
              </w:rPr>
            </w:pPr>
          </w:p>
          <w:p w14:paraId="2BEC3724" w14:textId="77777777" w:rsidR="009C6DB4" w:rsidRPr="007A3223" w:rsidRDefault="00DE209C" w:rsidP="009C6DB4">
            <w:pPr>
              <w:pStyle w:val="TableParagraph"/>
              <w:spacing w:before="134"/>
              <w:ind w:left="211"/>
              <w:rPr>
                <w:rFonts w:ascii="Times New Roman" w:eastAsia="Times New Roman" w:hAnsi="Times New Roman" w:cs="Times New Roman"/>
              </w:rPr>
            </w:pPr>
            <w:r w:rsidRPr="007A3223">
              <w:rPr>
                <w:rFonts w:ascii="Times New Roman" w:hAnsi="Times New Roman" w:cs="Times New Roman"/>
                <w:spacing w:val="1"/>
              </w:rPr>
              <w:t>2.</w:t>
            </w:r>
            <w:r w:rsidR="009C6DB4" w:rsidRPr="007A3223">
              <w:rPr>
                <w:rFonts w:ascii="Times New Roman" w:hAnsi="Times New Roman" w:cs="Times New Roman"/>
                <w:spacing w:val="1"/>
              </w:rPr>
              <w:t>5</w:t>
            </w:r>
            <w:r w:rsidR="009C6DB4" w:rsidRPr="007A3223">
              <w:rPr>
                <w:rFonts w:ascii="Times New Roman" w:hAnsi="Times New Roman" w:cs="Times New Roman"/>
                <w:spacing w:val="2"/>
              </w:rPr>
              <w:t>m</w:t>
            </w:r>
            <w:r w:rsidR="009C6DB4" w:rsidRPr="007A3223">
              <w:rPr>
                <w:rFonts w:ascii="Times New Roman" w:hAnsi="Times New Roman" w:cs="Times New Roman"/>
              </w:rPr>
              <w:t>l</w:t>
            </w:r>
          </w:p>
        </w:tc>
        <w:tc>
          <w:tcPr>
            <w:tcW w:w="1135" w:type="pct"/>
            <w:tcBorders>
              <w:top w:val="single" w:sz="4" w:space="0" w:color="000000"/>
              <w:left w:val="single" w:sz="4" w:space="0" w:color="000000"/>
              <w:bottom w:val="single" w:sz="4" w:space="0" w:color="auto"/>
              <w:right w:val="single" w:sz="4" w:space="0" w:color="000000"/>
            </w:tcBorders>
          </w:tcPr>
          <w:p w14:paraId="200C2038" w14:textId="77777777" w:rsidR="009C6DB4" w:rsidRPr="007A3223" w:rsidRDefault="009C6DB4" w:rsidP="00543674">
            <w:pPr>
              <w:pStyle w:val="TableParagraph"/>
              <w:jc w:val="center"/>
              <w:rPr>
                <w:rFonts w:ascii="Times New Roman" w:eastAsia="Times New Roman" w:hAnsi="Times New Roman" w:cs="Times New Roman"/>
                <w:b/>
                <w:bCs/>
              </w:rPr>
            </w:pPr>
          </w:p>
          <w:p w14:paraId="0C3CCA68" w14:textId="77777777" w:rsidR="009C6DB4" w:rsidRPr="007A3223" w:rsidRDefault="009C6DB4" w:rsidP="005E5969">
            <w:pPr>
              <w:pStyle w:val="TableParagraph"/>
              <w:spacing w:before="2"/>
              <w:jc w:val="center"/>
              <w:rPr>
                <w:rFonts w:ascii="Times New Roman" w:eastAsia="Times New Roman" w:hAnsi="Times New Roman" w:cs="Times New Roman"/>
                <w:b/>
                <w:bCs/>
              </w:rPr>
            </w:pPr>
          </w:p>
          <w:p w14:paraId="132DA4E4" w14:textId="77777777" w:rsidR="009C6DB4" w:rsidRPr="007A3223" w:rsidRDefault="00DE209C">
            <w:pPr>
              <w:pStyle w:val="TableParagraph"/>
              <w:spacing w:line="244" w:lineRule="auto"/>
              <w:ind w:left="493" w:right="89" w:hanging="400"/>
              <w:jc w:val="center"/>
              <w:rPr>
                <w:rFonts w:ascii="Times New Roman" w:eastAsia="Times New Roman" w:hAnsi="Times New Roman" w:cs="Times New Roman"/>
              </w:rPr>
            </w:pPr>
            <w:r w:rsidRPr="007A3223">
              <w:rPr>
                <w:rFonts w:ascii="Times New Roman" w:hAnsi="Times New Roman" w:cs="Times New Roman"/>
                <w:spacing w:val="1"/>
              </w:rPr>
              <w:t>One</w:t>
            </w:r>
            <w:r w:rsidRPr="007A3223">
              <w:rPr>
                <w:rFonts w:ascii="Times New Roman" w:hAnsi="Times New Roman" w:cs="Times New Roman"/>
                <w:spacing w:val="-3"/>
              </w:rPr>
              <w:t xml:space="preserve"> </w:t>
            </w:r>
            <w:r w:rsidR="009C6DB4" w:rsidRPr="007A3223">
              <w:rPr>
                <w:rFonts w:ascii="Times New Roman" w:hAnsi="Times New Roman" w:cs="Times New Roman"/>
              </w:rPr>
              <w:t>2.5</w:t>
            </w:r>
            <w:r w:rsidR="009C6DB4" w:rsidRPr="007A3223">
              <w:rPr>
                <w:rFonts w:ascii="Times New Roman" w:hAnsi="Times New Roman" w:cs="Times New Roman"/>
                <w:spacing w:val="-3"/>
              </w:rPr>
              <w:t xml:space="preserve"> </w:t>
            </w:r>
            <w:r w:rsidR="009C6DB4" w:rsidRPr="007A3223">
              <w:rPr>
                <w:rFonts w:ascii="Times New Roman" w:hAnsi="Times New Roman" w:cs="Times New Roman"/>
                <w:spacing w:val="1"/>
              </w:rPr>
              <w:t>mL</w:t>
            </w:r>
            <w:r w:rsidR="009C6DB4" w:rsidRPr="007A3223">
              <w:rPr>
                <w:rFonts w:ascii="Times New Roman" w:hAnsi="Times New Roman" w:cs="Times New Roman"/>
                <w:spacing w:val="-3"/>
              </w:rPr>
              <w:t xml:space="preserve"> </w:t>
            </w:r>
            <w:r w:rsidR="009C6DB4" w:rsidRPr="007A3223">
              <w:rPr>
                <w:rFonts w:ascii="Times New Roman" w:hAnsi="Times New Roman" w:cs="Times New Roman"/>
                <w:spacing w:val="1"/>
              </w:rPr>
              <w:t>PAXgene</w:t>
            </w:r>
            <w:r w:rsidR="009C6DB4" w:rsidRPr="007A3223">
              <w:rPr>
                <w:rFonts w:ascii="Times New Roman" w:hAnsi="Times New Roman" w:cs="Times New Roman"/>
                <w:spacing w:val="22"/>
                <w:w w:val="99"/>
              </w:rPr>
              <w:t xml:space="preserve"> </w:t>
            </w:r>
            <w:r w:rsidR="009C6DB4" w:rsidRPr="007A3223">
              <w:rPr>
                <w:rFonts w:ascii="Times New Roman" w:hAnsi="Times New Roman" w:cs="Times New Roman"/>
                <w:spacing w:val="1"/>
              </w:rPr>
              <w:t>RNA</w:t>
            </w:r>
            <w:r w:rsidR="009C6DB4" w:rsidRPr="007A3223">
              <w:rPr>
                <w:rFonts w:ascii="Times New Roman" w:hAnsi="Times New Roman" w:cs="Times New Roman"/>
                <w:spacing w:val="-6"/>
              </w:rPr>
              <w:t xml:space="preserve"> </w:t>
            </w:r>
            <w:r w:rsidR="009C6DB4" w:rsidRPr="007A3223">
              <w:rPr>
                <w:rFonts w:ascii="Times New Roman" w:hAnsi="Times New Roman" w:cs="Times New Roman"/>
              </w:rPr>
              <w:t>tubes</w:t>
            </w:r>
          </w:p>
        </w:tc>
        <w:tc>
          <w:tcPr>
            <w:tcW w:w="1006" w:type="pct"/>
            <w:tcBorders>
              <w:top w:val="single" w:sz="4" w:space="0" w:color="000000"/>
              <w:left w:val="single" w:sz="4" w:space="0" w:color="000000"/>
              <w:bottom w:val="single" w:sz="4" w:space="0" w:color="auto"/>
              <w:right w:val="single" w:sz="4" w:space="0" w:color="000000"/>
            </w:tcBorders>
          </w:tcPr>
          <w:p w14:paraId="591B7FA4" w14:textId="77777777" w:rsidR="009C6DB4" w:rsidRPr="007A3223" w:rsidRDefault="009C6DB4" w:rsidP="009C6DB4">
            <w:pPr>
              <w:pStyle w:val="TableParagraph"/>
              <w:spacing w:before="107" w:line="243" w:lineRule="auto"/>
              <w:ind w:left="103" w:right="108"/>
              <w:jc w:val="center"/>
              <w:rPr>
                <w:rFonts w:ascii="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6"/>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2"/>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2"/>
              </w:rPr>
              <w:t xml:space="preserve"> </w:t>
            </w:r>
            <w:r w:rsidRPr="007A3223">
              <w:rPr>
                <w:rFonts w:ascii="Times New Roman" w:hAnsi="Times New Roman" w:cs="Times New Roman"/>
              </w:rPr>
              <w:t>prior</w:t>
            </w:r>
            <w:r w:rsidRPr="007A3223">
              <w:rPr>
                <w:rFonts w:ascii="Times New Roman" w:hAnsi="Times New Roman" w:cs="Times New Roman"/>
                <w:spacing w:val="-3"/>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9"/>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 15</w:t>
            </w:r>
            <w:r w:rsidRPr="007A3223">
              <w:rPr>
                <w:rFonts w:ascii="Times New Roman" w:hAnsi="Times New Roman" w:cs="Times New Roman"/>
                <w:spacing w:val="-1"/>
              </w:rPr>
              <w:t xml:space="preserve"> </w:t>
            </w:r>
            <w:r w:rsidRPr="007A3223">
              <w:rPr>
                <w:rFonts w:ascii="Times New Roman" w:hAnsi="Times New Roman" w:cs="Times New Roman"/>
              </w:rPr>
              <w:t>and cycle</w:t>
            </w:r>
            <w:r w:rsidRPr="007A3223">
              <w:rPr>
                <w:rFonts w:ascii="Times New Roman" w:hAnsi="Times New Roman" w:cs="Times New Roman"/>
                <w:spacing w:val="-1"/>
              </w:rPr>
              <w:t xml:space="preserve"> </w:t>
            </w:r>
            <w:r w:rsidRPr="007A3223">
              <w:rPr>
                <w:rFonts w:ascii="Times New Roman" w:hAnsi="Times New Roman" w:cs="Times New Roman"/>
              </w:rPr>
              <w:t>3</w:t>
            </w:r>
            <w:r w:rsidRPr="007A3223">
              <w:rPr>
                <w:rFonts w:ascii="Times New Roman" w:hAnsi="Times New Roman" w:cs="Times New Roman"/>
                <w:spacing w:val="28"/>
                <w:w w:val="99"/>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and</w:t>
            </w:r>
            <w:r w:rsidRPr="007A3223">
              <w:rPr>
                <w:rFonts w:ascii="Times New Roman" w:hAnsi="Times New Roman" w:cs="Times New Roman"/>
                <w:spacing w:val="-1"/>
              </w:rPr>
              <w:t xml:space="preserve"> </w:t>
            </w:r>
            <w:r w:rsidRPr="007A3223">
              <w:rPr>
                <w:rFonts w:ascii="Times New Roman" w:hAnsi="Times New Roman" w:cs="Times New Roman"/>
                <w:spacing w:val="1"/>
              </w:rPr>
              <w:t>at</w:t>
            </w:r>
            <w:r w:rsidRPr="007A3223">
              <w:rPr>
                <w:rFonts w:ascii="Times New Roman" w:hAnsi="Times New Roman" w:cs="Times New Roman"/>
                <w:spacing w:val="26"/>
                <w:w w:val="99"/>
              </w:rPr>
              <w:t xml:space="preserve"> </w:t>
            </w:r>
            <w:r w:rsidRPr="007A3223">
              <w:rPr>
                <w:rFonts w:ascii="Times New Roman" w:hAnsi="Times New Roman" w:cs="Times New Roman"/>
              </w:rPr>
              <w:t>progression)</w:t>
            </w:r>
          </w:p>
          <w:p w14:paraId="0EFC94FE" w14:textId="77777777" w:rsidR="007704DC" w:rsidRPr="007A3223" w:rsidRDefault="007704DC" w:rsidP="009C6DB4">
            <w:pPr>
              <w:pStyle w:val="TableParagraph"/>
              <w:spacing w:before="107" w:line="243" w:lineRule="auto"/>
              <w:ind w:left="103" w:right="108"/>
              <w:jc w:val="center"/>
              <w:rPr>
                <w:rFonts w:ascii="Times New Roman" w:hAnsi="Times New Roman" w:cs="Times New Roman"/>
              </w:rPr>
            </w:pPr>
          </w:p>
          <w:p w14:paraId="0AEC82A8" w14:textId="77777777" w:rsidR="007704DC" w:rsidRPr="007A3223" w:rsidRDefault="007704DC" w:rsidP="009C6DB4">
            <w:pPr>
              <w:pStyle w:val="TableParagraph"/>
              <w:spacing w:before="107" w:line="243" w:lineRule="auto"/>
              <w:ind w:left="103" w:right="108"/>
              <w:jc w:val="center"/>
              <w:rPr>
                <w:rFonts w:ascii="Times New Roman" w:hAnsi="Times New Roman" w:cs="Times New Roman"/>
              </w:rPr>
            </w:pPr>
          </w:p>
          <w:p w14:paraId="2E5D2B38" w14:textId="77777777" w:rsidR="007704DC" w:rsidRPr="007A3223" w:rsidRDefault="007704DC" w:rsidP="009C6DB4">
            <w:pPr>
              <w:pStyle w:val="TableParagraph"/>
              <w:spacing w:before="107" w:line="243" w:lineRule="auto"/>
              <w:ind w:left="103" w:right="108"/>
              <w:jc w:val="center"/>
              <w:rPr>
                <w:rFonts w:ascii="Times New Roman" w:eastAsia="Times New Roman" w:hAnsi="Times New Roman" w:cs="Times New Roman"/>
              </w:rPr>
            </w:pPr>
          </w:p>
        </w:tc>
        <w:tc>
          <w:tcPr>
            <w:tcW w:w="754" w:type="pct"/>
            <w:tcBorders>
              <w:top w:val="single" w:sz="4" w:space="0" w:color="000000"/>
              <w:left w:val="single" w:sz="4" w:space="0" w:color="000000"/>
              <w:bottom w:val="single" w:sz="4" w:space="0" w:color="auto"/>
              <w:right w:val="single" w:sz="4" w:space="0" w:color="auto"/>
            </w:tcBorders>
          </w:tcPr>
          <w:p w14:paraId="474FC20F" w14:textId="77777777" w:rsidR="009C6DB4" w:rsidRPr="007A3223" w:rsidRDefault="009C6DB4" w:rsidP="009C6DB4">
            <w:pPr>
              <w:pStyle w:val="TableParagraph"/>
              <w:rPr>
                <w:rFonts w:ascii="Times New Roman" w:eastAsia="Times New Roman" w:hAnsi="Times New Roman" w:cs="Times New Roman"/>
                <w:b/>
                <w:bCs/>
              </w:rPr>
            </w:pPr>
          </w:p>
          <w:p w14:paraId="59D49490" w14:textId="77777777" w:rsidR="009C6DB4" w:rsidRPr="007A3223" w:rsidRDefault="009C6DB4" w:rsidP="009C6DB4">
            <w:pPr>
              <w:pStyle w:val="TableParagraph"/>
              <w:rPr>
                <w:rFonts w:ascii="Times New Roman" w:eastAsia="Times New Roman" w:hAnsi="Times New Roman" w:cs="Times New Roman"/>
                <w:b/>
                <w:bCs/>
              </w:rPr>
            </w:pPr>
          </w:p>
          <w:p w14:paraId="4B542D5B" w14:textId="77777777" w:rsidR="009C6DB4" w:rsidRPr="007A3223" w:rsidRDefault="009C6DB4" w:rsidP="009C6DB4">
            <w:pPr>
              <w:pStyle w:val="TableParagraph"/>
              <w:spacing w:before="6"/>
              <w:rPr>
                <w:rFonts w:ascii="Times New Roman" w:eastAsia="Times New Roman" w:hAnsi="Times New Roman" w:cs="Times New Roman"/>
                <w:b/>
                <w:bCs/>
              </w:rPr>
            </w:pPr>
          </w:p>
          <w:p w14:paraId="775CDC1D" w14:textId="77777777" w:rsidR="00F5207E" w:rsidRPr="007A3223" w:rsidRDefault="009C6DB4" w:rsidP="009C6DB4">
            <w:pPr>
              <w:pStyle w:val="TableParagraph"/>
              <w:ind w:left="203"/>
              <w:rPr>
                <w:rFonts w:ascii="Times New Roman" w:eastAsia="Times New Roman" w:hAnsi="Times New Roman" w:cs="Times New Roman"/>
              </w:rPr>
            </w:pPr>
            <w:r w:rsidRPr="007A3223">
              <w:rPr>
                <w:rFonts w:ascii="Times New Roman" w:hAnsi="Times New Roman" w:cs="Times New Roman"/>
              </w:rPr>
              <w:t>Trepel</w:t>
            </w:r>
            <w:r w:rsidRPr="007A3223">
              <w:rPr>
                <w:rFonts w:ascii="Times New Roman" w:hAnsi="Times New Roman" w:cs="Times New Roman"/>
                <w:spacing w:val="-6"/>
              </w:rPr>
              <w:t xml:space="preserve"> </w:t>
            </w:r>
            <w:r w:rsidRPr="007A3223">
              <w:rPr>
                <w:rFonts w:ascii="Times New Roman" w:hAnsi="Times New Roman" w:cs="Times New Roman"/>
              </w:rPr>
              <w:t>lab</w:t>
            </w:r>
          </w:p>
        </w:tc>
      </w:tr>
      <w:tr w:rsidR="007704DC" w:rsidRPr="007A3223" w14:paraId="1E88C995" w14:textId="77777777" w:rsidTr="00C44880">
        <w:trPr>
          <w:trHeight w:hRule="exact" w:val="1810"/>
        </w:trPr>
        <w:tc>
          <w:tcPr>
            <w:tcW w:w="679" w:type="pct"/>
            <w:tcBorders>
              <w:top w:val="single" w:sz="4" w:space="0" w:color="auto"/>
              <w:left w:val="single" w:sz="4" w:space="0" w:color="000000"/>
              <w:bottom w:val="single" w:sz="4" w:space="0" w:color="auto"/>
              <w:right w:val="single" w:sz="4" w:space="0" w:color="000000"/>
            </w:tcBorders>
          </w:tcPr>
          <w:p w14:paraId="6D11A175" w14:textId="77777777" w:rsidR="00EB281B" w:rsidRPr="007A3223" w:rsidRDefault="00EB281B" w:rsidP="009C6DB4">
            <w:pPr>
              <w:pStyle w:val="TableParagraph"/>
              <w:rPr>
                <w:rFonts w:ascii="Times New Roman" w:eastAsia="Times New Roman" w:hAnsi="Times New Roman" w:cs="Times New Roman"/>
                <w:bCs/>
              </w:rPr>
            </w:pPr>
          </w:p>
          <w:p w14:paraId="586BF9CB" w14:textId="77777777" w:rsidR="007704DC" w:rsidRPr="007A3223" w:rsidRDefault="00EB281B" w:rsidP="00EB281B">
            <w:pPr>
              <w:tabs>
                <w:tab w:val="left" w:pos="704"/>
              </w:tabs>
              <w:jc w:val="both"/>
              <w:rPr>
                <w:sz w:val="22"/>
              </w:rPr>
            </w:pPr>
            <w:r w:rsidRPr="007A3223">
              <w:rPr>
                <w:sz w:val="22"/>
              </w:rPr>
              <w:t>Whole blood</w:t>
            </w:r>
          </w:p>
        </w:tc>
        <w:tc>
          <w:tcPr>
            <w:tcW w:w="937" w:type="pct"/>
            <w:tcBorders>
              <w:top w:val="single" w:sz="4" w:space="0" w:color="auto"/>
              <w:left w:val="single" w:sz="4" w:space="0" w:color="000000"/>
              <w:bottom w:val="single" w:sz="4" w:space="0" w:color="auto"/>
              <w:right w:val="single" w:sz="4" w:space="0" w:color="000000"/>
            </w:tcBorders>
          </w:tcPr>
          <w:p w14:paraId="415AB6FD" w14:textId="77777777" w:rsidR="00EB281B" w:rsidRPr="007A3223" w:rsidRDefault="00EB281B" w:rsidP="00EB281B">
            <w:pPr>
              <w:pStyle w:val="TableParagraph"/>
              <w:rPr>
                <w:rFonts w:ascii="Times New Roman" w:eastAsia="Times New Roman" w:hAnsi="Times New Roman" w:cs="Times New Roman"/>
                <w:bCs/>
              </w:rPr>
            </w:pPr>
          </w:p>
          <w:p w14:paraId="502AE45F" w14:textId="77777777" w:rsidR="007704DC" w:rsidRPr="007A3223" w:rsidRDefault="00EB281B" w:rsidP="00EB281B">
            <w:pPr>
              <w:rPr>
                <w:sz w:val="22"/>
              </w:rPr>
            </w:pPr>
            <w:r w:rsidRPr="007A3223">
              <w:rPr>
                <w:sz w:val="22"/>
              </w:rPr>
              <w:t>Assays for paraneoplastic autoantibodies</w:t>
            </w:r>
          </w:p>
          <w:p w14:paraId="1887EFE6" w14:textId="77777777" w:rsidR="00EB281B" w:rsidRPr="007A3223" w:rsidRDefault="00EB281B" w:rsidP="00EB281B">
            <w:pPr>
              <w:rPr>
                <w:sz w:val="22"/>
              </w:rPr>
            </w:pPr>
            <w:r w:rsidRPr="007A3223">
              <w:rPr>
                <w:sz w:val="22"/>
              </w:rPr>
              <w:t>(SCLC only)</w:t>
            </w:r>
          </w:p>
        </w:tc>
        <w:tc>
          <w:tcPr>
            <w:tcW w:w="490" w:type="pct"/>
            <w:tcBorders>
              <w:top w:val="single" w:sz="4" w:space="0" w:color="auto"/>
              <w:left w:val="single" w:sz="4" w:space="0" w:color="000000"/>
              <w:bottom w:val="single" w:sz="4" w:space="0" w:color="auto"/>
              <w:right w:val="single" w:sz="4" w:space="0" w:color="000000"/>
            </w:tcBorders>
          </w:tcPr>
          <w:p w14:paraId="320B06CC" w14:textId="77777777" w:rsidR="00EB281B" w:rsidRPr="007A3223" w:rsidRDefault="00EB281B" w:rsidP="00EB281B">
            <w:pPr>
              <w:rPr>
                <w:sz w:val="22"/>
              </w:rPr>
            </w:pPr>
            <w:r w:rsidRPr="007A3223">
              <w:rPr>
                <w:sz w:val="22"/>
              </w:rPr>
              <w:t xml:space="preserve">    10 ml</w:t>
            </w:r>
          </w:p>
          <w:p w14:paraId="6C109B72" w14:textId="77777777" w:rsidR="007704DC" w:rsidRPr="007A3223" w:rsidRDefault="007704DC" w:rsidP="00EB281B">
            <w:pPr>
              <w:rPr>
                <w:sz w:val="22"/>
              </w:rPr>
            </w:pPr>
          </w:p>
        </w:tc>
        <w:tc>
          <w:tcPr>
            <w:tcW w:w="1135" w:type="pct"/>
            <w:tcBorders>
              <w:top w:val="single" w:sz="4" w:space="0" w:color="auto"/>
              <w:left w:val="single" w:sz="4" w:space="0" w:color="000000"/>
              <w:bottom w:val="single" w:sz="4" w:space="0" w:color="auto"/>
              <w:right w:val="single" w:sz="4" w:space="0" w:color="000000"/>
            </w:tcBorders>
          </w:tcPr>
          <w:p w14:paraId="54284E5D" w14:textId="77777777" w:rsidR="007704DC" w:rsidRPr="007A3223" w:rsidRDefault="00EB281B" w:rsidP="00543674">
            <w:pPr>
              <w:pStyle w:val="TableParagraph"/>
              <w:jc w:val="center"/>
              <w:rPr>
                <w:rFonts w:ascii="Times New Roman" w:eastAsia="Times New Roman" w:hAnsi="Times New Roman" w:cs="Times New Roman"/>
                <w:bCs/>
              </w:rPr>
            </w:pPr>
            <w:r w:rsidRPr="007A3223">
              <w:rPr>
                <w:rFonts w:ascii="Times New Roman" w:eastAsia="Times New Roman" w:hAnsi="Times New Roman" w:cs="Times New Roman"/>
                <w:bCs/>
              </w:rPr>
              <w:t>One red top tube (10ml)</w:t>
            </w:r>
          </w:p>
        </w:tc>
        <w:tc>
          <w:tcPr>
            <w:tcW w:w="1006" w:type="pct"/>
            <w:tcBorders>
              <w:top w:val="single" w:sz="4" w:space="0" w:color="auto"/>
              <w:left w:val="single" w:sz="4" w:space="0" w:color="000000"/>
              <w:bottom w:val="single" w:sz="4" w:space="0" w:color="auto"/>
              <w:right w:val="single" w:sz="4" w:space="0" w:color="000000"/>
            </w:tcBorders>
          </w:tcPr>
          <w:p w14:paraId="295319A2" w14:textId="77777777" w:rsidR="007704DC" w:rsidRPr="007A3223" w:rsidRDefault="00EB281B" w:rsidP="009C6DB4">
            <w:pPr>
              <w:pStyle w:val="TableParagraph"/>
              <w:spacing w:before="107" w:line="243" w:lineRule="auto"/>
              <w:ind w:left="103" w:right="108"/>
              <w:jc w:val="center"/>
              <w:rPr>
                <w:rFonts w:ascii="Times New Roman" w:hAnsi="Times New Roman" w:cs="Times New Roman"/>
              </w:rPr>
            </w:pPr>
            <w:r w:rsidRPr="007A3223">
              <w:rPr>
                <w:rFonts w:ascii="Times New Roman" w:hAnsi="Times New Roman" w:cs="Times New Roman"/>
              </w:rPr>
              <w:t>Baseline only</w:t>
            </w:r>
          </w:p>
        </w:tc>
        <w:tc>
          <w:tcPr>
            <w:tcW w:w="754" w:type="pct"/>
            <w:tcBorders>
              <w:top w:val="single" w:sz="4" w:space="0" w:color="auto"/>
              <w:left w:val="single" w:sz="4" w:space="0" w:color="000000"/>
              <w:bottom w:val="single" w:sz="4" w:space="0" w:color="auto"/>
              <w:right w:val="single" w:sz="4" w:space="0" w:color="auto"/>
            </w:tcBorders>
          </w:tcPr>
          <w:p w14:paraId="740B1924" w14:textId="77777777" w:rsidR="00EB281B" w:rsidRPr="007A3223" w:rsidRDefault="00EB281B" w:rsidP="009C6DB4">
            <w:pPr>
              <w:pStyle w:val="TableParagraph"/>
              <w:rPr>
                <w:rFonts w:ascii="Times New Roman" w:eastAsia="Times New Roman" w:hAnsi="Times New Roman" w:cs="Times New Roman"/>
                <w:bCs/>
              </w:rPr>
            </w:pPr>
          </w:p>
          <w:p w14:paraId="68D06A3E" w14:textId="77777777" w:rsidR="007704DC" w:rsidRPr="007A3223" w:rsidRDefault="00EB281B" w:rsidP="00EB281B">
            <w:pPr>
              <w:jc w:val="center"/>
              <w:rPr>
                <w:sz w:val="22"/>
              </w:rPr>
            </w:pPr>
            <w:r w:rsidRPr="007A3223">
              <w:rPr>
                <w:sz w:val="22"/>
              </w:rPr>
              <w:t>Trepel lab</w:t>
            </w:r>
          </w:p>
        </w:tc>
      </w:tr>
      <w:tr w:rsidR="00F5207E" w:rsidRPr="007A3223" w14:paraId="52CC5B81" w14:textId="15B460CE" w:rsidTr="00C44880">
        <w:trPr>
          <w:trHeight w:hRule="exact" w:val="1801"/>
        </w:trPr>
        <w:tc>
          <w:tcPr>
            <w:tcW w:w="679" w:type="pct"/>
            <w:tcBorders>
              <w:top w:val="single" w:sz="4" w:space="0" w:color="auto"/>
              <w:left w:val="single" w:sz="4" w:space="0" w:color="000000"/>
              <w:bottom w:val="single" w:sz="4" w:space="0" w:color="000000"/>
              <w:right w:val="single" w:sz="4" w:space="0" w:color="000000"/>
            </w:tcBorders>
          </w:tcPr>
          <w:p w14:paraId="00AA12AE" w14:textId="229A9E9C" w:rsidR="00F5207E" w:rsidRPr="007A3223" w:rsidRDefault="00F5207E" w:rsidP="00F5207E">
            <w:pPr>
              <w:pStyle w:val="TableParagraph"/>
              <w:jc w:val="center"/>
              <w:rPr>
                <w:rFonts w:ascii="Times New Roman" w:eastAsia="Times New Roman" w:hAnsi="Times New Roman" w:cs="Times New Roman"/>
                <w:b/>
                <w:bCs/>
              </w:rPr>
            </w:pPr>
          </w:p>
          <w:p w14:paraId="179B3D82" w14:textId="20C38F94" w:rsidR="00F5207E" w:rsidRPr="007A3223" w:rsidRDefault="00F5207E" w:rsidP="00F5207E">
            <w:pPr>
              <w:pStyle w:val="TableParagraph"/>
              <w:spacing w:before="2"/>
              <w:jc w:val="center"/>
              <w:rPr>
                <w:rFonts w:ascii="Times New Roman" w:eastAsia="Times New Roman" w:hAnsi="Times New Roman" w:cs="Times New Roman"/>
                <w:b/>
                <w:bCs/>
              </w:rPr>
            </w:pPr>
          </w:p>
          <w:p w14:paraId="399362B8" w14:textId="55FFE855" w:rsidR="00F5207E" w:rsidRPr="007A3223" w:rsidRDefault="00F5207E" w:rsidP="00F5207E">
            <w:pPr>
              <w:pStyle w:val="TableParagraph"/>
              <w:jc w:val="center"/>
              <w:rPr>
                <w:rFonts w:ascii="Times New Roman" w:hAnsi="Times New Roman" w:cs="Times New Roman"/>
                <w:spacing w:val="24"/>
                <w:w w:val="99"/>
              </w:rPr>
            </w:pPr>
            <w:r w:rsidRPr="007A3223">
              <w:rPr>
                <w:rFonts w:ascii="Times New Roman" w:hAnsi="Times New Roman" w:cs="Times New Roman"/>
              </w:rPr>
              <w:t>Whole</w:t>
            </w:r>
            <w:r w:rsidRPr="007A3223">
              <w:rPr>
                <w:rFonts w:ascii="Times New Roman" w:hAnsi="Times New Roman" w:cs="Times New Roman"/>
                <w:spacing w:val="24"/>
                <w:w w:val="99"/>
              </w:rPr>
              <w:t xml:space="preserve"> </w:t>
            </w:r>
          </w:p>
          <w:p w14:paraId="663EFE8D" w14:textId="4E20712B" w:rsidR="00F5207E" w:rsidRPr="007A3223" w:rsidRDefault="00F5207E" w:rsidP="00F5207E">
            <w:pPr>
              <w:pStyle w:val="TableParagraph"/>
              <w:jc w:val="center"/>
              <w:rPr>
                <w:rFonts w:ascii="Times New Roman" w:eastAsia="Times New Roman" w:hAnsi="Times New Roman" w:cs="Times New Roman"/>
                <w:b/>
                <w:bCs/>
              </w:rPr>
            </w:pPr>
            <w:r w:rsidRPr="007A3223">
              <w:rPr>
                <w:rFonts w:ascii="Times New Roman" w:hAnsi="Times New Roman" w:cs="Times New Roman"/>
              </w:rPr>
              <w:t>blood</w:t>
            </w:r>
          </w:p>
        </w:tc>
        <w:tc>
          <w:tcPr>
            <w:tcW w:w="937" w:type="pct"/>
            <w:tcBorders>
              <w:top w:val="single" w:sz="4" w:space="0" w:color="auto"/>
              <w:left w:val="single" w:sz="4" w:space="0" w:color="000000"/>
              <w:bottom w:val="single" w:sz="4" w:space="0" w:color="000000"/>
              <w:right w:val="single" w:sz="4" w:space="0" w:color="000000"/>
            </w:tcBorders>
          </w:tcPr>
          <w:p w14:paraId="19B85751" w14:textId="4DA255E9" w:rsidR="00F5207E" w:rsidRPr="007A3223" w:rsidRDefault="00F5207E" w:rsidP="00EB281B">
            <w:pPr>
              <w:pStyle w:val="TableParagraph"/>
              <w:rPr>
                <w:rFonts w:ascii="Times New Roman" w:eastAsia="Times New Roman" w:hAnsi="Times New Roman" w:cs="Times New Roman"/>
                <w:b/>
                <w:bCs/>
              </w:rPr>
            </w:pPr>
          </w:p>
          <w:p w14:paraId="4FFA8E13" w14:textId="67C6BCEF" w:rsidR="00F5207E" w:rsidRPr="007A3223" w:rsidRDefault="00F5207E" w:rsidP="00EB281B">
            <w:pPr>
              <w:pStyle w:val="TableParagraph"/>
              <w:rPr>
                <w:rFonts w:ascii="Times New Roman" w:eastAsia="Times New Roman" w:hAnsi="Times New Roman" w:cs="Times New Roman"/>
                <w:b/>
                <w:bCs/>
              </w:rPr>
            </w:pPr>
          </w:p>
          <w:p w14:paraId="3C883D97" w14:textId="6E5210FC" w:rsidR="00F5207E" w:rsidRPr="007A3223" w:rsidRDefault="00F5207E" w:rsidP="00EB281B">
            <w:pPr>
              <w:pStyle w:val="TableParagraph"/>
              <w:rPr>
                <w:rFonts w:ascii="Times New Roman" w:hAnsi="Times New Roman" w:cs="Times New Roman"/>
              </w:rPr>
            </w:pPr>
            <w:r w:rsidRPr="007A3223">
              <w:rPr>
                <w:rFonts w:ascii="Times New Roman" w:hAnsi="Times New Roman" w:cs="Times New Roman"/>
              </w:rPr>
              <w:t>NanoString Pan Cancer Immune Panel</w:t>
            </w:r>
            <w:r w:rsidR="00AE0611" w:rsidRPr="007A3223">
              <w:rPr>
                <w:rFonts w:ascii="Times New Roman" w:hAnsi="Times New Roman" w:cs="Times New Roman"/>
              </w:rPr>
              <w:t xml:space="preserve"> </w:t>
            </w:r>
            <w:bookmarkStart w:id="231" w:name="_Hlk37348954"/>
            <w:r w:rsidR="00AE0611" w:rsidRPr="007A3223">
              <w:rPr>
                <w:rFonts w:ascii="Times New Roman" w:hAnsi="Times New Roman" w:cs="Times New Roman"/>
              </w:rPr>
              <w:t>(SCLC only)</w:t>
            </w:r>
            <w:bookmarkEnd w:id="231"/>
          </w:p>
          <w:p w14:paraId="5A294BF6" w14:textId="3245090A" w:rsidR="00AE0611" w:rsidRPr="007A3223" w:rsidRDefault="00AE0611" w:rsidP="00EB281B">
            <w:pPr>
              <w:pStyle w:val="TableParagraph"/>
              <w:rPr>
                <w:rFonts w:ascii="Times New Roman" w:eastAsia="Times New Roman" w:hAnsi="Times New Roman" w:cs="Times New Roman"/>
                <w:b/>
                <w:bCs/>
              </w:rPr>
            </w:pPr>
          </w:p>
        </w:tc>
        <w:tc>
          <w:tcPr>
            <w:tcW w:w="490" w:type="pct"/>
            <w:tcBorders>
              <w:top w:val="single" w:sz="4" w:space="0" w:color="auto"/>
              <w:left w:val="single" w:sz="4" w:space="0" w:color="000000"/>
              <w:bottom w:val="single" w:sz="4" w:space="0" w:color="000000"/>
              <w:right w:val="single" w:sz="4" w:space="0" w:color="000000"/>
            </w:tcBorders>
          </w:tcPr>
          <w:p w14:paraId="7D540D21" w14:textId="4BD9667D" w:rsidR="00F5207E" w:rsidRPr="007A3223" w:rsidRDefault="00F5207E" w:rsidP="00EB281B">
            <w:pPr>
              <w:pStyle w:val="TableParagraph"/>
              <w:jc w:val="center"/>
              <w:rPr>
                <w:rFonts w:ascii="Times New Roman" w:eastAsia="Times New Roman" w:hAnsi="Times New Roman" w:cs="Times New Roman"/>
                <w:b/>
                <w:bCs/>
              </w:rPr>
            </w:pPr>
          </w:p>
          <w:p w14:paraId="1C88B95B" w14:textId="6E3D9F6D" w:rsidR="00F5207E" w:rsidRPr="007A3223" w:rsidRDefault="00F5207E" w:rsidP="00EB281B">
            <w:pPr>
              <w:pStyle w:val="TableParagraph"/>
              <w:jc w:val="center"/>
              <w:rPr>
                <w:rFonts w:ascii="Times New Roman" w:eastAsia="Times New Roman" w:hAnsi="Times New Roman" w:cs="Times New Roman"/>
                <w:b/>
                <w:bCs/>
              </w:rPr>
            </w:pPr>
          </w:p>
          <w:p w14:paraId="443B9008" w14:textId="7CC1D2F8" w:rsidR="00F5207E" w:rsidRPr="007A3223" w:rsidRDefault="007A1B13" w:rsidP="00EB281B">
            <w:pPr>
              <w:pStyle w:val="TableParagraph"/>
              <w:jc w:val="center"/>
              <w:rPr>
                <w:rFonts w:ascii="Times New Roman" w:eastAsia="Times New Roman" w:hAnsi="Times New Roman" w:cs="Times New Roman"/>
                <w:b/>
                <w:bCs/>
              </w:rPr>
            </w:pPr>
            <w:r w:rsidRPr="007A3223">
              <w:rPr>
                <w:rFonts w:ascii="Times New Roman" w:hAnsi="Times New Roman" w:cs="Times New Roman"/>
                <w:spacing w:val="1"/>
              </w:rPr>
              <w:t>2.</w:t>
            </w:r>
            <w:r w:rsidR="00F5207E" w:rsidRPr="007A3223">
              <w:rPr>
                <w:rFonts w:ascii="Times New Roman" w:hAnsi="Times New Roman" w:cs="Times New Roman"/>
                <w:spacing w:val="1"/>
              </w:rPr>
              <w:t>5</w:t>
            </w:r>
            <w:r w:rsidR="00F5207E" w:rsidRPr="007A3223">
              <w:rPr>
                <w:rFonts w:ascii="Times New Roman" w:hAnsi="Times New Roman" w:cs="Times New Roman"/>
                <w:spacing w:val="2"/>
              </w:rPr>
              <w:t>m</w:t>
            </w:r>
            <w:r w:rsidR="00F5207E" w:rsidRPr="007A3223">
              <w:rPr>
                <w:rFonts w:ascii="Times New Roman" w:hAnsi="Times New Roman" w:cs="Times New Roman"/>
              </w:rPr>
              <w:t>l</w:t>
            </w:r>
          </w:p>
        </w:tc>
        <w:tc>
          <w:tcPr>
            <w:tcW w:w="1135" w:type="pct"/>
            <w:tcBorders>
              <w:top w:val="single" w:sz="4" w:space="0" w:color="auto"/>
              <w:left w:val="single" w:sz="4" w:space="0" w:color="000000"/>
              <w:bottom w:val="single" w:sz="4" w:space="0" w:color="000000"/>
              <w:right w:val="single" w:sz="4" w:space="0" w:color="000000"/>
            </w:tcBorders>
          </w:tcPr>
          <w:p w14:paraId="3C1150AF" w14:textId="32C75CC5" w:rsidR="00F5207E" w:rsidRPr="007A3223" w:rsidRDefault="00F5207E" w:rsidP="00543674">
            <w:pPr>
              <w:pStyle w:val="TableParagraph"/>
              <w:jc w:val="center"/>
              <w:rPr>
                <w:rFonts w:ascii="Times New Roman" w:eastAsia="Times New Roman" w:hAnsi="Times New Roman" w:cs="Times New Roman"/>
                <w:b/>
                <w:bCs/>
              </w:rPr>
            </w:pPr>
          </w:p>
          <w:p w14:paraId="7F5111E0" w14:textId="0678FB29" w:rsidR="00F5207E" w:rsidRPr="007A3223" w:rsidRDefault="007A1B13" w:rsidP="00FD5FD0">
            <w:pPr>
              <w:ind w:firstLine="224"/>
              <w:jc w:val="center"/>
              <w:rPr>
                <w:sz w:val="22"/>
              </w:rPr>
            </w:pPr>
            <w:r w:rsidRPr="007A3223">
              <w:rPr>
                <w:sz w:val="22"/>
              </w:rPr>
              <w:t>One</w:t>
            </w:r>
            <w:r w:rsidR="00F5207E" w:rsidRPr="007A3223">
              <w:rPr>
                <w:sz w:val="22"/>
              </w:rPr>
              <w:t xml:space="preserve"> 2.5-ml PAXgene RNA tubes</w:t>
            </w:r>
          </w:p>
        </w:tc>
        <w:tc>
          <w:tcPr>
            <w:tcW w:w="1006" w:type="pct"/>
            <w:tcBorders>
              <w:top w:val="single" w:sz="4" w:space="0" w:color="auto"/>
              <w:left w:val="single" w:sz="4" w:space="0" w:color="000000"/>
              <w:bottom w:val="single" w:sz="4" w:space="0" w:color="000000"/>
              <w:right w:val="single" w:sz="4" w:space="0" w:color="000000"/>
            </w:tcBorders>
          </w:tcPr>
          <w:p w14:paraId="6427C971" w14:textId="6FE51F6F" w:rsidR="00F5207E" w:rsidRPr="007A3223" w:rsidRDefault="00F5207E" w:rsidP="009C6DB4">
            <w:pPr>
              <w:pStyle w:val="TableParagraph"/>
              <w:spacing w:before="107" w:line="243" w:lineRule="auto"/>
              <w:ind w:left="103" w:right="108"/>
              <w:jc w:val="center"/>
              <w:rPr>
                <w:rFonts w:ascii="Times New Roman" w:hAnsi="Times New Roman" w:cs="Times New Roman"/>
              </w:rPr>
            </w:pPr>
            <w:r w:rsidRPr="007A3223">
              <w:rPr>
                <w:rFonts w:ascii="Times New Roman" w:hAnsi="Times New Roman" w:cs="Times New Roman"/>
              </w:rPr>
              <w:t>Pre-treatment</w:t>
            </w:r>
            <w:r w:rsidRPr="007A3223">
              <w:rPr>
                <w:rFonts w:ascii="Times New Roman" w:hAnsi="Times New Roman" w:cs="Times New Roman"/>
                <w:spacing w:val="-7"/>
              </w:rPr>
              <w:t xml:space="preserve"> </w:t>
            </w:r>
            <w:r w:rsidRPr="007A3223">
              <w:rPr>
                <w:rFonts w:ascii="Times New Roman" w:hAnsi="Times New Roman" w:cs="Times New Roman"/>
              </w:rPr>
              <w:t>on</w:t>
            </w:r>
            <w:r w:rsidRPr="007A3223">
              <w:rPr>
                <w:rFonts w:ascii="Times New Roman" w:hAnsi="Times New Roman" w:cs="Times New Roman"/>
                <w:spacing w:val="-6"/>
              </w:rPr>
              <w:t xml:space="preserve"> </w:t>
            </w:r>
            <w:r w:rsidRPr="007A3223">
              <w:rPr>
                <w:rFonts w:ascii="Times New Roman" w:hAnsi="Times New Roman" w:cs="Times New Roman"/>
              </w:rPr>
              <w:t>cycle</w:t>
            </w:r>
            <w:r w:rsidRPr="007A3223">
              <w:rPr>
                <w:rFonts w:ascii="Times New Roman" w:hAnsi="Times New Roman" w:cs="Times New Roman"/>
                <w:spacing w:val="30"/>
                <w:w w:val="99"/>
              </w:rPr>
              <w:t xml:space="preserve"> </w:t>
            </w:r>
            <w:r w:rsidRPr="007A3223">
              <w:rPr>
                <w:rFonts w:ascii="Times New Roman" w:hAnsi="Times New Roman" w:cs="Times New Roman"/>
              </w:rPr>
              <w:t>1</w:t>
            </w:r>
            <w:r w:rsidRPr="007A3223">
              <w:rPr>
                <w:rFonts w:ascii="Times New Roman" w:hAnsi="Times New Roman" w:cs="Times New Roman"/>
                <w:spacing w:val="-2"/>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spacing w:val="1"/>
              </w:rPr>
              <w:t>1,</w:t>
            </w:r>
            <w:r w:rsidRPr="007A3223">
              <w:rPr>
                <w:rFonts w:ascii="Times New Roman" w:hAnsi="Times New Roman" w:cs="Times New Roman"/>
                <w:spacing w:val="-2"/>
              </w:rPr>
              <w:t xml:space="preserve"> </w:t>
            </w:r>
            <w:r w:rsidRPr="007A3223">
              <w:rPr>
                <w:rFonts w:ascii="Times New Roman" w:hAnsi="Times New Roman" w:cs="Times New Roman"/>
              </w:rPr>
              <w:t>prior</w:t>
            </w:r>
            <w:r w:rsidRPr="007A3223">
              <w:rPr>
                <w:rFonts w:ascii="Times New Roman" w:hAnsi="Times New Roman" w:cs="Times New Roman"/>
                <w:spacing w:val="-3"/>
              </w:rPr>
              <w:t xml:space="preserve"> </w:t>
            </w:r>
            <w:r w:rsidRPr="007A3223">
              <w:rPr>
                <w:rFonts w:ascii="Times New Roman" w:hAnsi="Times New Roman" w:cs="Times New Roman"/>
              </w:rPr>
              <w:t>to</w:t>
            </w:r>
            <w:r w:rsidRPr="007A3223">
              <w:rPr>
                <w:rFonts w:ascii="Times New Roman" w:hAnsi="Times New Roman" w:cs="Times New Roman"/>
                <w:spacing w:val="-1"/>
              </w:rPr>
              <w:t xml:space="preserve"> </w:t>
            </w:r>
            <w:r w:rsidRPr="007A3223">
              <w:rPr>
                <w:rFonts w:ascii="Times New Roman" w:hAnsi="Times New Roman" w:cs="Times New Roman"/>
              </w:rPr>
              <w:t>cycle</w:t>
            </w:r>
            <w:r w:rsidRPr="007A3223">
              <w:rPr>
                <w:rFonts w:ascii="Times New Roman" w:hAnsi="Times New Roman" w:cs="Times New Roman"/>
                <w:spacing w:val="29"/>
                <w:w w:val="99"/>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day 15</w:t>
            </w:r>
            <w:r w:rsidRPr="007A3223">
              <w:rPr>
                <w:rFonts w:ascii="Times New Roman" w:hAnsi="Times New Roman" w:cs="Times New Roman"/>
                <w:spacing w:val="-1"/>
              </w:rPr>
              <w:t xml:space="preserve"> </w:t>
            </w:r>
            <w:r w:rsidRPr="007A3223">
              <w:rPr>
                <w:rFonts w:ascii="Times New Roman" w:hAnsi="Times New Roman" w:cs="Times New Roman"/>
              </w:rPr>
              <w:t>and cycle</w:t>
            </w:r>
            <w:r w:rsidRPr="007A3223">
              <w:rPr>
                <w:rFonts w:ascii="Times New Roman" w:hAnsi="Times New Roman" w:cs="Times New Roman"/>
                <w:spacing w:val="-1"/>
              </w:rPr>
              <w:t xml:space="preserve"> </w:t>
            </w:r>
            <w:r w:rsidRPr="007A3223">
              <w:rPr>
                <w:rFonts w:ascii="Times New Roman" w:hAnsi="Times New Roman" w:cs="Times New Roman"/>
              </w:rPr>
              <w:t>3</w:t>
            </w:r>
            <w:r w:rsidRPr="007A3223">
              <w:rPr>
                <w:rFonts w:ascii="Times New Roman" w:hAnsi="Times New Roman" w:cs="Times New Roman"/>
                <w:spacing w:val="28"/>
                <w:w w:val="99"/>
              </w:rPr>
              <w:t xml:space="preserve"> </w:t>
            </w:r>
            <w:r w:rsidRPr="007A3223">
              <w:rPr>
                <w:rFonts w:ascii="Times New Roman" w:hAnsi="Times New Roman" w:cs="Times New Roman"/>
              </w:rPr>
              <w:t>day</w:t>
            </w:r>
            <w:r w:rsidRPr="007A3223">
              <w:rPr>
                <w:rFonts w:ascii="Times New Roman" w:hAnsi="Times New Roman" w:cs="Times New Roman"/>
                <w:spacing w:val="-1"/>
              </w:rPr>
              <w:t xml:space="preserve"> </w:t>
            </w:r>
            <w:r w:rsidRPr="007A3223">
              <w:rPr>
                <w:rFonts w:ascii="Times New Roman" w:hAnsi="Times New Roman" w:cs="Times New Roman"/>
              </w:rPr>
              <w:t>1,</w:t>
            </w:r>
            <w:r w:rsidRPr="007A3223">
              <w:rPr>
                <w:rFonts w:ascii="Times New Roman" w:hAnsi="Times New Roman" w:cs="Times New Roman"/>
                <w:spacing w:val="-1"/>
              </w:rPr>
              <w:t xml:space="preserve"> </w:t>
            </w:r>
            <w:r w:rsidRPr="007A3223">
              <w:rPr>
                <w:rFonts w:ascii="Times New Roman" w:hAnsi="Times New Roman" w:cs="Times New Roman"/>
              </w:rPr>
              <w:t>and</w:t>
            </w:r>
            <w:r w:rsidRPr="007A3223">
              <w:rPr>
                <w:rFonts w:ascii="Times New Roman" w:hAnsi="Times New Roman" w:cs="Times New Roman"/>
                <w:spacing w:val="-1"/>
              </w:rPr>
              <w:t xml:space="preserve"> </w:t>
            </w:r>
            <w:r w:rsidRPr="007A3223">
              <w:rPr>
                <w:rFonts w:ascii="Times New Roman" w:hAnsi="Times New Roman" w:cs="Times New Roman"/>
                <w:spacing w:val="1"/>
              </w:rPr>
              <w:t>at</w:t>
            </w:r>
            <w:r w:rsidRPr="007A3223">
              <w:rPr>
                <w:rFonts w:ascii="Times New Roman" w:hAnsi="Times New Roman" w:cs="Times New Roman"/>
                <w:spacing w:val="26"/>
                <w:w w:val="99"/>
              </w:rPr>
              <w:t xml:space="preserve"> </w:t>
            </w:r>
            <w:r w:rsidRPr="007A3223">
              <w:rPr>
                <w:rFonts w:ascii="Times New Roman" w:hAnsi="Times New Roman" w:cs="Times New Roman"/>
              </w:rPr>
              <w:t>progression)</w:t>
            </w:r>
          </w:p>
        </w:tc>
        <w:tc>
          <w:tcPr>
            <w:tcW w:w="754" w:type="pct"/>
            <w:tcBorders>
              <w:top w:val="single" w:sz="4" w:space="0" w:color="auto"/>
              <w:left w:val="single" w:sz="4" w:space="0" w:color="000000"/>
              <w:bottom w:val="single" w:sz="4" w:space="0" w:color="000000"/>
              <w:right w:val="single" w:sz="4" w:space="0" w:color="auto"/>
            </w:tcBorders>
          </w:tcPr>
          <w:p w14:paraId="6567D2AF" w14:textId="43F3E11B" w:rsidR="00F5207E" w:rsidRPr="007A3223" w:rsidRDefault="00F5207E" w:rsidP="00023C9C">
            <w:pPr>
              <w:pStyle w:val="TableParagraph"/>
              <w:rPr>
                <w:rFonts w:ascii="Times New Roman" w:eastAsia="Times New Roman" w:hAnsi="Times New Roman" w:cs="Times New Roman"/>
                <w:b/>
                <w:bCs/>
              </w:rPr>
            </w:pPr>
          </w:p>
          <w:p w14:paraId="5B0A6D39" w14:textId="7E0FA557" w:rsidR="00F5207E" w:rsidRPr="007A3223" w:rsidRDefault="00F5207E" w:rsidP="00023C9C">
            <w:pPr>
              <w:pStyle w:val="TableParagraph"/>
              <w:rPr>
                <w:rFonts w:ascii="Times New Roman" w:eastAsia="Times New Roman" w:hAnsi="Times New Roman" w:cs="Times New Roman"/>
                <w:b/>
                <w:bCs/>
              </w:rPr>
            </w:pPr>
          </w:p>
          <w:p w14:paraId="3A0D01E5" w14:textId="39470752" w:rsidR="00F5207E" w:rsidRPr="007A3223" w:rsidRDefault="00F5207E" w:rsidP="00023C9C">
            <w:pPr>
              <w:pStyle w:val="TableParagraph"/>
              <w:spacing w:before="6"/>
              <w:rPr>
                <w:rFonts w:ascii="Times New Roman" w:eastAsia="Times New Roman" w:hAnsi="Times New Roman" w:cs="Times New Roman"/>
                <w:b/>
                <w:bCs/>
              </w:rPr>
            </w:pPr>
          </w:p>
          <w:p w14:paraId="200E6E08" w14:textId="751B3976" w:rsidR="00F5207E" w:rsidRPr="007A3223" w:rsidRDefault="00F5207E" w:rsidP="00023C9C">
            <w:pPr>
              <w:pStyle w:val="TableParagraph"/>
              <w:ind w:left="203"/>
              <w:rPr>
                <w:rFonts w:ascii="Times New Roman" w:hAnsi="Times New Roman" w:cs="Times New Roman"/>
              </w:rPr>
            </w:pPr>
            <w:r w:rsidRPr="007A3223">
              <w:rPr>
                <w:rFonts w:ascii="Times New Roman" w:hAnsi="Times New Roman" w:cs="Times New Roman"/>
              </w:rPr>
              <w:t>Trepel</w:t>
            </w:r>
            <w:r w:rsidRPr="007A3223">
              <w:rPr>
                <w:rFonts w:ascii="Times New Roman" w:hAnsi="Times New Roman" w:cs="Times New Roman"/>
                <w:spacing w:val="-6"/>
              </w:rPr>
              <w:t xml:space="preserve"> </w:t>
            </w:r>
            <w:r w:rsidRPr="007A3223">
              <w:rPr>
                <w:rFonts w:ascii="Times New Roman" w:hAnsi="Times New Roman" w:cs="Times New Roman"/>
              </w:rPr>
              <w:t>lab</w:t>
            </w:r>
          </w:p>
          <w:p w14:paraId="649FF974" w14:textId="3078528A" w:rsidR="00F5207E" w:rsidRPr="007A3223" w:rsidRDefault="00F5207E" w:rsidP="00023C9C">
            <w:pPr>
              <w:pStyle w:val="TableParagraph"/>
              <w:ind w:left="203"/>
              <w:rPr>
                <w:rFonts w:ascii="Times New Roman" w:hAnsi="Times New Roman" w:cs="Times New Roman"/>
              </w:rPr>
            </w:pPr>
          </w:p>
          <w:p w14:paraId="6831BB18" w14:textId="1303368D" w:rsidR="00F5207E" w:rsidRPr="007A3223" w:rsidRDefault="00F5207E" w:rsidP="00023C9C">
            <w:pPr>
              <w:pStyle w:val="TableParagraph"/>
              <w:ind w:left="203"/>
              <w:rPr>
                <w:rFonts w:ascii="Times New Roman" w:hAnsi="Times New Roman" w:cs="Times New Roman"/>
              </w:rPr>
            </w:pPr>
          </w:p>
          <w:p w14:paraId="56E36D65" w14:textId="7D507E75" w:rsidR="00F5207E" w:rsidRPr="007A3223" w:rsidRDefault="00F5207E" w:rsidP="00023C9C">
            <w:pPr>
              <w:pStyle w:val="TableParagraph"/>
              <w:ind w:left="203"/>
              <w:rPr>
                <w:rFonts w:ascii="Times New Roman" w:hAnsi="Times New Roman" w:cs="Times New Roman"/>
              </w:rPr>
            </w:pPr>
          </w:p>
          <w:p w14:paraId="6DE8A82F" w14:textId="14105A66" w:rsidR="00F5207E" w:rsidRPr="007A3223" w:rsidRDefault="00F5207E" w:rsidP="00023C9C">
            <w:pPr>
              <w:pStyle w:val="TableParagraph"/>
              <w:ind w:left="203"/>
              <w:rPr>
                <w:rFonts w:ascii="Times New Roman" w:hAnsi="Times New Roman" w:cs="Times New Roman"/>
              </w:rPr>
            </w:pPr>
          </w:p>
          <w:p w14:paraId="118913E1" w14:textId="5268B353" w:rsidR="00F5207E" w:rsidRPr="007A3223" w:rsidRDefault="00F5207E" w:rsidP="009C6DB4">
            <w:pPr>
              <w:pStyle w:val="TableParagraph"/>
              <w:rPr>
                <w:rFonts w:ascii="Times New Roman" w:eastAsia="Times New Roman" w:hAnsi="Times New Roman" w:cs="Times New Roman"/>
                <w:b/>
                <w:bCs/>
              </w:rPr>
            </w:pPr>
          </w:p>
        </w:tc>
      </w:tr>
    </w:tbl>
    <w:p w14:paraId="04DF499F" w14:textId="77777777" w:rsidR="007630B2" w:rsidRPr="00BF79D2" w:rsidRDefault="007630B2" w:rsidP="00162A64"/>
    <w:p w14:paraId="0517FF81" w14:textId="77777777" w:rsidR="0087296A" w:rsidRPr="007A3223" w:rsidRDefault="0087296A" w:rsidP="007B2516">
      <w:pPr>
        <w:ind w:left="260"/>
        <w:rPr>
          <w:b/>
          <w:w w:val="105"/>
          <w:szCs w:val="24"/>
        </w:rPr>
      </w:pPr>
    </w:p>
    <w:p w14:paraId="04B1A7D2" w14:textId="5E9606F8" w:rsidR="007B2516" w:rsidRPr="00F33908" w:rsidRDefault="00800A5E" w:rsidP="00EB39C0">
      <w:pPr>
        <w:pStyle w:val="Caption"/>
        <w:rPr>
          <w:szCs w:val="24"/>
        </w:rPr>
      </w:pPr>
      <w:bookmarkStart w:id="232" w:name="_Ref450559094"/>
      <w:bookmarkStart w:id="233" w:name="_Ref39045937"/>
      <w:bookmarkStart w:id="234" w:name="_Toc82444462"/>
      <w:r w:rsidRPr="007A3223">
        <w:t xml:space="preserve">Table </w:t>
      </w:r>
      <w:r w:rsidR="00F82420" w:rsidRPr="007A3223">
        <w:rPr>
          <w:noProof/>
        </w:rPr>
        <w:fldChar w:fldCharType="begin"/>
      </w:r>
      <w:r w:rsidR="00F82420" w:rsidRPr="007A3223">
        <w:rPr>
          <w:noProof/>
        </w:rPr>
        <w:instrText xml:space="preserve"> SEQ Table \* ARABIC </w:instrText>
      </w:r>
      <w:r w:rsidR="00F82420" w:rsidRPr="007A3223">
        <w:rPr>
          <w:noProof/>
        </w:rPr>
        <w:fldChar w:fldCharType="separate"/>
      </w:r>
      <w:r w:rsidR="00E47ACA">
        <w:rPr>
          <w:noProof/>
        </w:rPr>
        <w:t>28</w:t>
      </w:r>
      <w:r w:rsidR="00F82420" w:rsidRPr="007A3223">
        <w:rPr>
          <w:noProof/>
        </w:rPr>
        <w:fldChar w:fldCharType="end"/>
      </w:r>
      <w:bookmarkEnd w:id="232"/>
      <w:r w:rsidR="00FC6FE2" w:rsidRPr="007A3223">
        <w:rPr>
          <w:b w:val="0"/>
          <w:w w:val="105"/>
          <w:szCs w:val="24"/>
        </w:rPr>
        <w:t>.</w:t>
      </w:r>
      <w:r w:rsidR="007B2516" w:rsidRPr="007A3223">
        <w:rPr>
          <w:b w:val="0"/>
          <w:w w:val="105"/>
          <w:szCs w:val="24"/>
        </w:rPr>
        <w:t xml:space="preserve"> Correlative studies for Phase II Color</w:t>
      </w:r>
      <w:r w:rsidR="007B2516" w:rsidRPr="00F33908">
        <w:rPr>
          <w:b w:val="0"/>
          <w:w w:val="105"/>
          <w:szCs w:val="24"/>
        </w:rPr>
        <w:t>ectal cancer cohort</w:t>
      </w:r>
      <w:r w:rsidR="0089253C" w:rsidRPr="00F33908">
        <w:rPr>
          <w:b w:val="0"/>
          <w:w w:val="105"/>
          <w:szCs w:val="24"/>
        </w:rPr>
        <w:t xml:space="preserve"> 6</w:t>
      </w:r>
      <w:bookmarkEnd w:id="233"/>
      <w:bookmarkEnd w:id="234"/>
    </w:p>
    <w:tbl>
      <w:tblPr>
        <w:tblW w:w="5000" w:type="pct"/>
        <w:tblLayout w:type="fixed"/>
        <w:tblCellMar>
          <w:left w:w="0" w:type="dxa"/>
          <w:right w:w="0" w:type="dxa"/>
        </w:tblCellMar>
        <w:tblLook w:val="01E0" w:firstRow="1" w:lastRow="1" w:firstColumn="1" w:lastColumn="1" w:noHBand="0" w:noVBand="0"/>
      </w:tblPr>
      <w:tblGrid>
        <w:gridCol w:w="1945"/>
        <w:gridCol w:w="1726"/>
        <w:gridCol w:w="1382"/>
        <w:gridCol w:w="1887"/>
        <w:gridCol w:w="2410"/>
      </w:tblGrid>
      <w:tr w:rsidR="007B2516" w:rsidRPr="007A3223" w14:paraId="2A107652" w14:textId="77777777" w:rsidTr="000232A0">
        <w:trPr>
          <w:trHeight w:hRule="exact" w:val="1063"/>
          <w:tblHeader/>
        </w:trPr>
        <w:tc>
          <w:tcPr>
            <w:tcW w:w="1040" w:type="pct"/>
            <w:tcBorders>
              <w:top w:val="single" w:sz="4" w:space="0" w:color="000000"/>
              <w:left w:val="single" w:sz="4" w:space="0" w:color="000000"/>
              <w:bottom w:val="single" w:sz="4" w:space="0" w:color="000000"/>
              <w:right w:val="single" w:sz="4" w:space="0" w:color="000000"/>
            </w:tcBorders>
            <w:shd w:val="clear" w:color="auto" w:fill="E5E5E5"/>
          </w:tcPr>
          <w:p w14:paraId="2E7FE05B" w14:textId="77777777" w:rsidR="007B2516" w:rsidRPr="007A3223" w:rsidRDefault="007B2516" w:rsidP="005F3F00">
            <w:pPr>
              <w:pStyle w:val="TableParagraph"/>
              <w:spacing w:before="88"/>
              <w:ind w:left="81"/>
              <w:rPr>
                <w:rFonts w:ascii="Times New Roman" w:eastAsia="Times New Roman" w:hAnsi="Times New Roman" w:cs="Times New Roman"/>
              </w:rPr>
            </w:pPr>
            <w:r w:rsidRPr="007A3223">
              <w:rPr>
                <w:rFonts w:ascii="Times New Roman"/>
                <w:b/>
              </w:rPr>
              <w:t>Test/assay</w:t>
            </w:r>
          </w:p>
        </w:tc>
        <w:tc>
          <w:tcPr>
            <w:tcW w:w="923" w:type="pct"/>
            <w:tcBorders>
              <w:top w:val="single" w:sz="4" w:space="0" w:color="000000"/>
              <w:left w:val="single" w:sz="4" w:space="0" w:color="000000"/>
              <w:bottom w:val="single" w:sz="4" w:space="0" w:color="000000"/>
              <w:right w:val="single" w:sz="4" w:space="0" w:color="000000"/>
            </w:tcBorders>
            <w:shd w:val="clear" w:color="auto" w:fill="E5E5E5"/>
          </w:tcPr>
          <w:p w14:paraId="7ACEDE51" w14:textId="77777777" w:rsidR="007B2516" w:rsidRPr="007A3223" w:rsidRDefault="007B2516" w:rsidP="005F3F00">
            <w:pPr>
              <w:pStyle w:val="TableParagraph"/>
              <w:spacing w:before="88" w:line="249" w:lineRule="auto"/>
              <w:ind w:left="81" w:right="265"/>
              <w:rPr>
                <w:rFonts w:ascii="Times New Roman" w:eastAsia="Times New Roman" w:hAnsi="Times New Roman" w:cs="Times New Roman"/>
              </w:rPr>
            </w:pPr>
            <w:r w:rsidRPr="007A3223">
              <w:rPr>
                <w:rFonts w:ascii="Times New Roman"/>
                <w:b/>
              </w:rPr>
              <w:t>Volume</w:t>
            </w:r>
            <w:r w:rsidRPr="007A3223">
              <w:rPr>
                <w:rFonts w:ascii="Times New Roman"/>
                <w:b/>
                <w:spacing w:val="-23"/>
              </w:rPr>
              <w:t xml:space="preserve"> </w:t>
            </w:r>
            <w:r w:rsidRPr="007A3223">
              <w:rPr>
                <w:rFonts w:ascii="Times New Roman"/>
                <w:b/>
              </w:rPr>
              <w:t>blood</w:t>
            </w:r>
            <w:r w:rsidRPr="007A3223">
              <w:rPr>
                <w:rFonts w:ascii="Times New Roman"/>
                <w:b/>
                <w:w w:val="98"/>
              </w:rPr>
              <w:t xml:space="preserve"> </w:t>
            </w:r>
            <w:r w:rsidRPr="007A3223">
              <w:rPr>
                <w:rFonts w:ascii="Times New Roman"/>
                <w:b/>
                <w:spacing w:val="-1"/>
              </w:rPr>
              <w:t>(approx)</w:t>
            </w:r>
          </w:p>
        </w:tc>
        <w:tc>
          <w:tcPr>
            <w:tcW w:w="739" w:type="pct"/>
            <w:tcBorders>
              <w:top w:val="single" w:sz="4" w:space="0" w:color="000000"/>
              <w:left w:val="single" w:sz="4" w:space="0" w:color="000000"/>
              <w:bottom w:val="single" w:sz="4" w:space="0" w:color="000000"/>
              <w:right w:val="single" w:sz="4" w:space="0" w:color="000000"/>
            </w:tcBorders>
            <w:shd w:val="clear" w:color="auto" w:fill="E5E5E5"/>
          </w:tcPr>
          <w:p w14:paraId="6D33D2C4" w14:textId="77777777" w:rsidR="007B2516" w:rsidRPr="007A3223" w:rsidRDefault="007B2516" w:rsidP="005F3F00">
            <w:pPr>
              <w:pStyle w:val="TableParagraph"/>
              <w:spacing w:before="88" w:line="249" w:lineRule="auto"/>
              <w:ind w:left="81" w:right="262"/>
              <w:rPr>
                <w:rFonts w:ascii="Times New Roman" w:eastAsia="Times New Roman" w:hAnsi="Times New Roman" w:cs="Times New Roman"/>
              </w:rPr>
            </w:pPr>
            <w:r w:rsidRPr="007A3223">
              <w:rPr>
                <w:rFonts w:ascii="Times New Roman"/>
                <w:b/>
              </w:rPr>
              <w:t>Type</w:t>
            </w:r>
            <w:r w:rsidRPr="007A3223">
              <w:rPr>
                <w:rFonts w:ascii="Times New Roman"/>
                <w:b/>
                <w:spacing w:val="-13"/>
              </w:rPr>
              <w:t xml:space="preserve"> </w:t>
            </w:r>
            <w:r w:rsidRPr="007A3223">
              <w:rPr>
                <w:rFonts w:ascii="Times New Roman"/>
                <w:b/>
              </w:rPr>
              <w:t>of</w:t>
            </w:r>
            <w:r w:rsidRPr="007A3223">
              <w:rPr>
                <w:rFonts w:ascii="Times New Roman"/>
                <w:b/>
                <w:w w:val="98"/>
              </w:rPr>
              <w:t xml:space="preserve"> </w:t>
            </w:r>
            <w:r w:rsidRPr="007A3223">
              <w:rPr>
                <w:rFonts w:ascii="Times New Roman"/>
                <w:b/>
              </w:rPr>
              <w:t>tube</w:t>
            </w:r>
          </w:p>
        </w:tc>
        <w:tc>
          <w:tcPr>
            <w:tcW w:w="1009" w:type="pct"/>
            <w:tcBorders>
              <w:top w:val="single" w:sz="4" w:space="0" w:color="000000"/>
              <w:left w:val="single" w:sz="4" w:space="0" w:color="000000"/>
              <w:bottom w:val="single" w:sz="4" w:space="0" w:color="000000"/>
              <w:right w:val="single" w:sz="4" w:space="0" w:color="000000"/>
            </w:tcBorders>
            <w:shd w:val="clear" w:color="auto" w:fill="E5E5E5"/>
          </w:tcPr>
          <w:p w14:paraId="7829A774" w14:textId="77777777" w:rsidR="007B2516" w:rsidRPr="007A3223" w:rsidRDefault="007B2516" w:rsidP="005F3F00">
            <w:pPr>
              <w:pStyle w:val="TableParagraph"/>
              <w:spacing w:before="88" w:line="249" w:lineRule="auto"/>
              <w:ind w:left="77" w:right="176"/>
              <w:rPr>
                <w:rFonts w:ascii="Times New Roman" w:eastAsia="Times New Roman" w:hAnsi="Times New Roman" w:cs="Times New Roman"/>
              </w:rPr>
            </w:pPr>
            <w:r w:rsidRPr="007A3223">
              <w:rPr>
                <w:rFonts w:ascii="Times New Roman"/>
                <w:b/>
              </w:rPr>
              <w:t>Collection</w:t>
            </w:r>
            <w:r w:rsidRPr="007A3223">
              <w:rPr>
                <w:rFonts w:ascii="Times New Roman"/>
                <w:b/>
                <w:spacing w:val="-26"/>
              </w:rPr>
              <w:t xml:space="preserve"> </w:t>
            </w:r>
            <w:r w:rsidRPr="007A3223">
              <w:rPr>
                <w:rFonts w:ascii="Times New Roman"/>
                <w:b/>
              </w:rPr>
              <w:t>point</w:t>
            </w:r>
            <w:r w:rsidRPr="007A3223">
              <w:rPr>
                <w:rFonts w:ascii="Times New Roman"/>
                <w:b/>
                <w:w w:val="98"/>
              </w:rPr>
              <w:t xml:space="preserve"> </w:t>
            </w:r>
            <w:r w:rsidRPr="007A3223">
              <w:rPr>
                <w:rFonts w:ascii="Times New Roman"/>
                <w:b/>
              </w:rPr>
              <w:t>(+/-</w:t>
            </w:r>
            <w:r w:rsidRPr="007A3223">
              <w:rPr>
                <w:rFonts w:ascii="Times New Roman"/>
                <w:b/>
                <w:spacing w:val="32"/>
              </w:rPr>
              <w:t xml:space="preserve"> </w:t>
            </w:r>
            <w:r w:rsidRPr="007A3223">
              <w:rPr>
                <w:rFonts w:ascii="Times New Roman"/>
                <w:b/>
              </w:rPr>
              <w:t>48hrs)</w:t>
            </w:r>
          </w:p>
        </w:tc>
        <w:tc>
          <w:tcPr>
            <w:tcW w:w="1289" w:type="pct"/>
            <w:tcBorders>
              <w:top w:val="single" w:sz="4" w:space="0" w:color="000000"/>
              <w:left w:val="single" w:sz="4" w:space="0" w:color="000000"/>
              <w:bottom w:val="single" w:sz="4" w:space="0" w:color="000000"/>
              <w:right w:val="single" w:sz="4" w:space="0" w:color="auto"/>
            </w:tcBorders>
            <w:shd w:val="clear" w:color="auto" w:fill="E5E5E5"/>
          </w:tcPr>
          <w:p w14:paraId="710A0FE3" w14:textId="77777777" w:rsidR="007B2516" w:rsidRPr="007A3223" w:rsidRDefault="007B2516" w:rsidP="005F3F00">
            <w:pPr>
              <w:pStyle w:val="TableParagraph"/>
              <w:spacing w:before="88" w:line="249" w:lineRule="auto"/>
              <w:ind w:left="81" w:right="331"/>
              <w:rPr>
                <w:rFonts w:ascii="Times New Roman" w:eastAsia="Times New Roman" w:hAnsi="Times New Roman" w:cs="Times New Roman"/>
              </w:rPr>
            </w:pPr>
            <w:r w:rsidRPr="007A3223">
              <w:rPr>
                <w:rFonts w:ascii="Times New Roman"/>
                <w:b/>
              </w:rPr>
              <w:t>Location</w:t>
            </w:r>
            <w:r w:rsidRPr="007A3223">
              <w:rPr>
                <w:rFonts w:ascii="Times New Roman"/>
                <w:b/>
                <w:spacing w:val="-19"/>
              </w:rPr>
              <w:t xml:space="preserve"> </w:t>
            </w:r>
            <w:r w:rsidRPr="007A3223">
              <w:rPr>
                <w:rFonts w:ascii="Times New Roman"/>
                <w:b/>
              </w:rPr>
              <w:t>of</w:t>
            </w:r>
            <w:r w:rsidRPr="007A3223">
              <w:rPr>
                <w:rFonts w:ascii="Times New Roman"/>
                <w:b/>
                <w:w w:val="98"/>
              </w:rPr>
              <w:t xml:space="preserve"> </w:t>
            </w:r>
            <w:r w:rsidRPr="007A3223">
              <w:rPr>
                <w:rFonts w:ascii="Times New Roman"/>
                <w:b/>
              </w:rPr>
              <w:t xml:space="preserve">specimen </w:t>
            </w:r>
            <w:r w:rsidRPr="007A3223">
              <w:rPr>
                <w:rFonts w:ascii="Times New Roman"/>
                <w:b/>
                <w:spacing w:val="9"/>
              </w:rPr>
              <w:t xml:space="preserve"> </w:t>
            </w:r>
            <w:r w:rsidRPr="007A3223">
              <w:rPr>
                <w:rFonts w:ascii="Times New Roman"/>
                <w:b/>
              </w:rPr>
              <w:t>analysis</w:t>
            </w:r>
          </w:p>
        </w:tc>
      </w:tr>
      <w:tr w:rsidR="007B2516" w:rsidRPr="007A3223" w14:paraId="4EB53AD8" w14:textId="77777777" w:rsidTr="000232A0">
        <w:trPr>
          <w:trHeight w:hRule="exact" w:val="1009"/>
        </w:trPr>
        <w:tc>
          <w:tcPr>
            <w:tcW w:w="1040" w:type="pct"/>
            <w:vMerge w:val="restart"/>
            <w:tcBorders>
              <w:top w:val="single" w:sz="4" w:space="0" w:color="000000"/>
              <w:left w:val="single" w:sz="4" w:space="0" w:color="000000"/>
              <w:right w:val="single" w:sz="4" w:space="0" w:color="000000"/>
            </w:tcBorders>
          </w:tcPr>
          <w:p w14:paraId="5497EF32"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spacing w:val="1"/>
              </w:rPr>
              <w:t>Immune-</w:t>
            </w:r>
            <w:r w:rsidRPr="007A3223">
              <w:rPr>
                <w:rFonts w:ascii="Times New Roman"/>
                <w:spacing w:val="-14"/>
              </w:rPr>
              <w:t xml:space="preserve"> </w:t>
            </w:r>
            <w:r w:rsidRPr="007A3223">
              <w:rPr>
                <w:rFonts w:ascii="Times New Roman"/>
              </w:rPr>
              <w:t>monitoring</w:t>
            </w:r>
          </w:p>
        </w:tc>
        <w:tc>
          <w:tcPr>
            <w:tcW w:w="923" w:type="pct"/>
            <w:tcBorders>
              <w:top w:val="single" w:sz="4" w:space="0" w:color="000000"/>
              <w:left w:val="single" w:sz="4" w:space="0" w:color="000000"/>
              <w:bottom w:val="single" w:sz="4" w:space="0" w:color="000000"/>
              <w:right w:val="single" w:sz="4" w:space="0" w:color="000000"/>
            </w:tcBorders>
          </w:tcPr>
          <w:p w14:paraId="63C02EF9" w14:textId="77777777" w:rsidR="007B2516" w:rsidRPr="007A3223" w:rsidRDefault="007B2516" w:rsidP="005F3F00">
            <w:pPr>
              <w:pStyle w:val="TableParagraph"/>
              <w:spacing w:line="244" w:lineRule="auto"/>
              <w:ind w:left="81" w:right="545"/>
              <w:rPr>
                <w:rFonts w:ascii="Times New Roman" w:eastAsia="Times New Roman" w:hAnsi="Times New Roman" w:cs="Times New Roman"/>
              </w:rPr>
            </w:pPr>
            <w:r w:rsidRPr="007A3223">
              <w:rPr>
                <w:rFonts w:ascii="Times New Roman"/>
              </w:rPr>
              <w:t>120</w:t>
            </w:r>
            <w:r w:rsidRPr="007A3223">
              <w:rPr>
                <w:rFonts w:ascii="Times New Roman"/>
                <w:spacing w:val="-2"/>
              </w:rPr>
              <w:t xml:space="preserve"> </w:t>
            </w:r>
            <w:r w:rsidRPr="007A3223">
              <w:rPr>
                <w:rFonts w:ascii="Times New Roman"/>
                <w:spacing w:val="1"/>
              </w:rPr>
              <w:t>mL</w:t>
            </w:r>
            <w:r w:rsidRPr="007A3223">
              <w:rPr>
                <w:rFonts w:ascii="Times New Roman"/>
                <w:spacing w:val="-2"/>
              </w:rPr>
              <w:t xml:space="preserve"> </w:t>
            </w:r>
            <w:r w:rsidRPr="007A3223">
              <w:rPr>
                <w:rFonts w:ascii="Times New Roman"/>
                <w:spacing w:val="1"/>
              </w:rPr>
              <w:t>(for</w:t>
            </w:r>
            <w:r w:rsidRPr="007A3223">
              <w:rPr>
                <w:rFonts w:ascii="Times New Roman"/>
                <w:spacing w:val="23"/>
                <w:w w:val="99"/>
              </w:rPr>
              <w:t xml:space="preserve"> </w:t>
            </w:r>
            <w:r w:rsidRPr="007A3223">
              <w:rPr>
                <w:rFonts w:ascii="Times New Roman"/>
                <w:spacing w:val="1"/>
              </w:rPr>
              <w:t>PBMC)</w:t>
            </w:r>
          </w:p>
        </w:tc>
        <w:tc>
          <w:tcPr>
            <w:tcW w:w="739" w:type="pct"/>
            <w:tcBorders>
              <w:top w:val="single" w:sz="4" w:space="0" w:color="000000"/>
              <w:left w:val="single" w:sz="4" w:space="0" w:color="000000"/>
              <w:bottom w:val="single" w:sz="4" w:space="0" w:color="000000"/>
              <w:right w:val="single" w:sz="4" w:space="0" w:color="000000"/>
            </w:tcBorders>
          </w:tcPr>
          <w:p w14:paraId="5ED6F02E" w14:textId="77777777" w:rsidR="007B2516" w:rsidRPr="007A3223" w:rsidRDefault="007B2516" w:rsidP="005F3F00">
            <w:pPr>
              <w:pStyle w:val="TableParagraph"/>
              <w:spacing w:line="244" w:lineRule="auto"/>
              <w:ind w:left="81" w:right="357"/>
              <w:rPr>
                <w:rFonts w:ascii="Times New Roman" w:eastAsia="Times New Roman" w:hAnsi="Times New Roman" w:cs="Times New Roman"/>
              </w:rPr>
            </w:pPr>
            <w:r w:rsidRPr="007A3223">
              <w:rPr>
                <w:rFonts w:ascii="Times New Roman"/>
              </w:rPr>
              <w:t>Twelve</w:t>
            </w:r>
            <w:r w:rsidRPr="007A3223">
              <w:rPr>
                <w:rFonts w:ascii="Times New Roman"/>
                <w:spacing w:val="25"/>
                <w:w w:val="99"/>
              </w:rPr>
              <w:t xml:space="preserve"> </w:t>
            </w:r>
            <w:r w:rsidRPr="007A3223">
              <w:rPr>
                <w:rFonts w:ascii="Times New Roman"/>
              </w:rPr>
              <w:t>10</w:t>
            </w:r>
            <w:r w:rsidRPr="007A3223">
              <w:rPr>
                <w:rFonts w:ascii="Times New Roman"/>
                <w:spacing w:val="-3"/>
              </w:rPr>
              <w:t xml:space="preserve"> </w:t>
            </w:r>
            <w:r w:rsidRPr="007A3223">
              <w:rPr>
                <w:rFonts w:ascii="Times New Roman"/>
                <w:spacing w:val="2"/>
              </w:rPr>
              <w:t>mL</w:t>
            </w:r>
            <w:r w:rsidRPr="007A3223">
              <w:rPr>
                <w:rFonts w:ascii="Times New Roman"/>
                <w:spacing w:val="23"/>
                <w:w w:val="99"/>
              </w:rPr>
              <w:t xml:space="preserve"> </w:t>
            </w:r>
            <w:r w:rsidRPr="007A3223">
              <w:rPr>
                <w:rFonts w:ascii="Times New Roman"/>
                <w:spacing w:val="1"/>
              </w:rPr>
              <w:t>EDTA</w:t>
            </w:r>
          </w:p>
          <w:p w14:paraId="76C8F9DC" w14:textId="0962C45B" w:rsidR="007B2516" w:rsidRPr="007A3223" w:rsidRDefault="002074EA" w:rsidP="005F3F00">
            <w:pPr>
              <w:pStyle w:val="TableParagraph"/>
              <w:spacing w:line="192" w:lineRule="exact"/>
              <w:ind w:left="81"/>
              <w:rPr>
                <w:rFonts w:ascii="Times New Roman" w:eastAsia="Times New Roman" w:hAnsi="Times New Roman" w:cs="Times New Roman"/>
              </w:rPr>
            </w:pPr>
            <w:r w:rsidRPr="007A3223">
              <w:rPr>
                <w:rFonts w:ascii="Times New Roman"/>
              </w:rPr>
              <w:t>T</w:t>
            </w:r>
            <w:r w:rsidR="007B2516" w:rsidRPr="007A3223">
              <w:rPr>
                <w:rFonts w:ascii="Times New Roman"/>
              </w:rPr>
              <w:t>ubes</w:t>
            </w:r>
          </w:p>
        </w:tc>
        <w:tc>
          <w:tcPr>
            <w:tcW w:w="1009" w:type="pct"/>
            <w:vMerge w:val="restart"/>
            <w:tcBorders>
              <w:top w:val="single" w:sz="4" w:space="0" w:color="000000"/>
              <w:left w:val="single" w:sz="4" w:space="0" w:color="000000"/>
              <w:right w:val="single" w:sz="4" w:space="0" w:color="000000"/>
            </w:tcBorders>
          </w:tcPr>
          <w:p w14:paraId="1726755E" w14:textId="77777777" w:rsidR="007B2516" w:rsidRPr="007A3223" w:rsidRDefault="007B2516" w:rsidP="005F3F00">
            <w:pPr>
              <w:pStyle w:val="TableParagraph"/>
              <w:spacing w:line="194" w:lineRule="exact"/>
              <w:ind w:left="77"/>
              <w:rPr>
                <w:rFonts w:ascii="Times New Roman" w:eastAsia="Times New Roman" w:hAnsi="Times New Roman" w:cs="Times New Roman"/>
              </w:rPr>
            </w:pPr>
            <w:r w:rsidRPr="007A3223">
              <w:rPr>
                <w:rFonts w:ascii="Times New Roman"/>
                <w:spacing w:val="2"/>
              </w:rPr>
              <w:t>Q</w:t>
            </w:r>
            <w:r w:rsidRPr="007A3223">
              <w:rPr>
                <w:rFonts w:ascii="Times New Roman"/>
                <w:spacing w:val="1"/>
              </w:rPr>
              <w:t>28</w:t>
            </w:r>
            <w:r w:rsidRPr="007A3223">
              <w:rPr>
                <w:rFonts w:ascii="Times New Roman"/>
              </w:rPr>
              <w:t>d</w:t>
            </w:r>
          </w:p>
        </w:tc>
        <w:tc>
          <w:tcPr>
            <w:tcW w:w="1289" w:type="pct"/>
            <w:vMerge w:val="restart"/>
            <w:tcBorders>
              <w:top w:val="single" w:sz="4" w:space="0" w:color="000000"/>
              <w:left w:val="single" w:sz="4" w:space="0" w:color="000000"/>
              <w:right w:val="single" w:sz="4" w:space="0" w:color="auto"/>
            </w:tcBorders>
          </w:tcPr>
          <w:p w14:paraId="39716826"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rPr>
              <w:t>Greten</w:t>
            </w:r>
            <w:r w:rsidRPr="007A3223">
              <w:rPr>
                <w:rFonts w:ascii="Times New Roman"/>
                <w:spacing w:val="-6"/>
              </w:rPr>
              <w:t xml:space="preserve"> </w:t>
            </w:r>
            <w:r w:rsidRPr="007A3223">
              <w:rPr>
                <w:rFonts w:ascii="Times New Roman"/>
              </w:rPr>
              <w:t>Lab</w:t>
            </w:r>
          </w:p>
        </w:tc>
      </w:tr>
      <w:tr w:rsidR="007B2516" w:rsidRPr="007A3223" w14:paraId="75DB5F64" w14:textId="77777777" w:rsidTr="000232A0">
        <w:trPr>
          <w:trHeight w:hRule="exact" w:val="901"/>
        </w:trPr>
        <w:tc>
          <w:tcPr>
            <w:tcW w:w="1040" w:type="pct"/>
            <w:vMerge/>
            <w:tcBorders>
              <w:left w:val="single" w:sz="4" w:space="0" w:color="000000"/>
              <w:bottom w:val="single" w:sz="4" w:space="0" w:color="000000"/>
              <w:right w:val="single" w:sz="4" w:space="0" w:color="000000"/>
            </w:tcBorders>
          </w:tcPr>
          <w:p w14:paraId="199F3D6C" w14:textId="77777777" w:rsidR="007B2516" w:rsidRPr="007A3223" w:rsidRDefault="007B2516" w:rsidP="005F3F00">
            <w:pPr>
              <w:rPr>
                <w:sz w:val="22"/>
              </w:rPr>
            </w:pPr>
          </w:p>
        </w:tc>
        <w:tc>
          <w:tcPr>
            <w:tcW w:w="923" w:type="pct"/>
            <w:tcBorders>
              <w:top w:val="single" w:sz="4" w:space="0" w:color="000000"/>
              <w:left w:val="single" w:sz="4" w:space="0" w:color="000000"/>
              <w:bottom w:val="single" w:sz="4" w:space="0" w:color="000000"/>
              <w:right w:val="single" w:sz="4" w:space="0" w:color="000000"/>
            </w:tcBorders>
          </w:tcPr>
          <w:p w14:paraId="0D04209E" w14:textId="77777777" w:rsidR="007B2516" w:rsidRPr="007A3223" w:rsidRDefault="007B2516" w:rsidP="005F3F00">
            <w:pPr>
              <w:pStyle w:val="TableParagraph"/>
              <w:spacing w:line="244" w:lineRule="auto"/>
              <w:ind w:left="81" w:right="489"/>
              <w:rPr>
                <w:rFonts w:ascii="Times New Roman" w:eastAsia="Times New Roman" w:hAnsi="Times New Roman" w:cs="Times New Roman"/>
              </w:rPr>
            </w:pPr>
            <w:r w:rsidRPr="007A3223">
              <w:rPr>
                <w:rFonts w:ascii="Times New Roman"/>
                <w:spacing w:val="1"/>
              </w:rPr>
              <w:t>5-10</w:t>
            </w:r>
            <w:r w:rsidRPr="007A3223">
              <w:rPr>
                <w:rFonts w:ascii="Times New Roman"/>
                <w:spacing w:val="-5"/>
              </w:rPr>
              <w:t xml:space="preserve"> </w:t>
            </w:r>
            <w:r w:rsidRPr="007A3223">
              <w:rPr>
                <w:rFonts w:ascii="Times New Roman"/>
                <w:spacing w:val="2"/>
              </w:rPr>
              <w:t>m</w:t>
            </w:r>
            <w:r w:rsidRPr="007A3223">
              <w:rPr>
                <w:rFonts w:ascii="Times New Roman"/>
              </w:rPr>
              <w:t>L</w:t>
            </w:r>
            <w:r w:rsidRPr="007A3223">
              <w:rPr>
                <w:rFonts w:ascii="Times New Roman"/>
                <w:spacing w:val="-2"/>
              </w:rPr>
              <w:t xml:space="preserve"> </w:t>
            </w:r>
            <w:r w:rsidRPr="007A3223">
              <w:rPr>
                <w:rFonts w:ascii="Times New Roman"/>
                <w:spacing w:val="1"/>
              </w:rPr>
              <w:t>(for</w:t>
            </w:r>
            <w:r w:rsidRPr="007A3223">
              <w:rPr>
                <w:rFonts w:ascii="Times New Roman"/>
                <w:spacing w:val="1"/>
                <w:w w:val="99"/>
              </w:rPr>
              <w:t xml:space="preserve"> </w:t>
            </w:r>
            <w:r w:rsidRPr="007A3223">
              <w:rPr>
                <w:rFonts w:ascii="Times New Roman"/>
                <w:spacing w:val="1"/>
              </w:rPr>
              <w:t>seru</w:t>
            </w:r>
            <w:r w:rsidRPr="007A3223">
              <w:rPr>
                <w:rFonts w:ascii="Times New Roman"/>
                <w:spacing w:val="2"/>
              </w:rPr>
              <w:t>m</w:t>
            </w:r>
            <w:r w:rsidRPr="007A3223">
              <w:rPr>
                <w:rFonts w:ascii="Times New Roman"/>
              </w:rPr>
              <w:t>)</w:t>
            </w:r>
          </w:p>
        </w:tc>
        <w:tc>
          <w:tcPr>
            <w:tcW w:w="739" w:type="pct"/>
            <w:tcBorders>
              <w:top w:val="single" w:sz="4" w:space="0" w:color="000000"/>
              <w:left w:val="single" w:sz="4" w:space="0" w:color="000000"/>
              <w:bottom w:val="single" w:sz="4" w:space="0" w:color="000000"/>
              <w:right w:val="single" w:sz="4" w:space="0" w:color="000000"/>
            </w:tcBorders>
          </w:tcPr>
          <w:p w14:paraId="726412B4" w14:textId="77777777" w:rsidR="007B2516" w:rsidRPr="007A3223" w:rsidRDefault="007B2516" w:rsidP="000232A0">
            <w:pPr>
              <w:pStyle w:val="TableParagraph"/>
              <w:spacing w:before="0" w:line="244" w:lineRule="auto"/>
              <w:ind w:left="86" w:right="275"/>
              <w:rPr>
                <w:rFonts w:ascii="Times New Roman"/>
                <w:spacing w:val="2"/>
              </w:rPr>
            </w:pPr>
            <w:r w:rsidRPr="007A3223">
              <w:rPr>
                <w:rFonts w:ascii="Times New Roman"/>
                <w:spacing w:val="2"/>
              </w:rPr>
              <w:t>One 10 mL EDTA</w:t>
            </w:r>
          </w:p>
          <w:p w14:paraId="042E8445" w14:textId="627712C6" w:rsidR="007B2516" w:rsidRPr="007A3223" w:rsidRDefault="002074EA" w:rsidP="000232A0">
            <w:pPr>
              <w:pStyle w:val="TableParagraph"/>
              <w:spacing w:before="0" w:line="244" w:lineRule="auto"/>
              <w:ind w:left="86" w:right="275"/>
              <w:rPr>
                <w:rFonts w:ascii="Times New Roman" w:eastAsia="Times New Roman" w:hAnsi="Times New Roman" w:cs="Times New Roman"/>
              </w:rPr>
            </w:pPr>
            <w:r w:rsidRPr="007A3223">
              <w:rPr>
                <w:rFonts w:ascii="Times New Roman"/>
                <w:spacing w:val="2"/>
              </w:rPr>
              <w:t>T</w:t>
            </w:r>
            <w:r w:rsidR="007B2516" w:rsidRPr="007A3223">
              <w:rPr>
                <w:rFonts w:ascii="Times New Roman"/>
                <w:spacing w:val="2"/>
              </w:rPr>
              <w:t>ube</w:t>
            </w:r>
          </w:p>
        </w:tc>
        <w:tc>
          <w:tcPr>
            <w:tcW w:w="1009" w:type="pct"/>
            <w:vMerge/>
            <w:tcBorders>
              <w:left w:val="single" w:sz="4" w:space="0" w:color="000000"/>
              <w:bottom w:val="single" w:sz="4" w:space="0" w:color="000000"/>
              <w:right w:val="single" w:sz="4" w:space="0" w:color="000000"/>
            </w:tcBorders>
          </w:tcPr>
          <w:p w14:paraId="07950EBB" w14:textId="77777777" w:rsidR="007B2516" w:rsidRPr="007A3223" w:rsidRDefault="007B2516" w:rsidP="005F3F00">
            <w:pPr>
              <w:rPr>
                <w:sz w:val="22"/>
              </w:rPr>
            </w:pPr>
          </w:p>
        </w:tc>
        <w:tc>
          <w:tcPr>
            <w:tcW w:w="1289" w:type="pct"/>
            <w:vMerge/>
            <w:tcBorders>
              <w:left w:val="single" w:sz="4" w:space="0" w:color="000000"/>
              <w:bottom w:val="single" w:sz="4" w:space="0" w:color="000000"/>
              <w:right w:val="single" w:sz="4" w:space="0" w:color="auto"/>
            </w:tcBorders>
          </w:tcPr>
          <w:p w14:paraId="7C62D03B" w14:textId="77777777" w:rsidR="007B2516" w:rsidRPr="007A3223" w:rsidRDefault="007B2516" w:rsidP="005F3F00">
            <w:pPr>
              <w:rPr>
                <w:sz w:val="22"/>
              </w:rPr>
            </w:pPr>
          </w:p>
        </w:tc>
      </w:tr>
      <w:tr w:rsidR="007B2516" w:rsidRPr="007A3223" w14:paraId="3316D7DF" w14:textId="77777777" w:rsidTr="000232A0">
        <w:trPr>
          <w:trHeight w:hRule="exact" w:val="1477"/>
        </w:trPr>
        <w:tc>
          <w:tcPr>
            <w:tcW w:w="1040" w:type="pct"/>
            <w:tcBorders>
              <w:top w:val="single" w:sz="4" w:space="0" w:color="000000"/>
              <w:left w:val="single" w:sz="4" w:space="0" w:color="000000"/>
              <w:bottom w:val="single" w:sz="4" w:space="0" w:color="000000"/>
              <w:right w:val="single" w:sz="4" w:space="0" w:color="000000"/>
            </w:tcBorders>
          </w:tcPr>
          <w:p w14:paraId="7BE7782F" w14:textId="77777777" w:rsidR="007B2516" w:rsidRPr="007A3223" w:rsidRDefault="007B2516" w:rsidP="005F3F00">
            <w:pPr>
              <w:pStyle w:val="TableParagraph"/>
              <w:spacing w:line="243" w:lineRule="auto"/>
              <w:ind w:left="81" w:right="458"/>
              <w:rPr>
                <w:rFonts w:ascii="Times New Roman" w:eastAsia="Times New Roman" w:hAnsi="Times New Roman" w:cs="Times New Roman"/>
              </w:rPr>
            </w:pPr>
            <w:r w:rsidRPr="007A3223">
              <w:rPr>
                <w:rFonts w:ascii="Times New Roman"/>
              </w:rPr>
              <w:t>T</w:t>
            </w:r>
            <w:r w:rsidRPr="007A3223">
              <w:rPr>
                <w:rFonts w:ascii="Times New Roman"/>
                <w:spacing w:val="-2"/>
              </w:rPr>
              <w:t xml:space="preserve"> </w:t>
            </w:r>
            <w:r w:rsidRPr="007A3223">
              <w:rPr>
                <w:rFonts w:ascii="Times New Roman"/>
              </w:rPr>
              <w:t>cell</w:t>
            </w:r>
            <w:r w:rsidRPr="007A3223">
              <w:rPr>
                <w:rFonts w:ascii="Times New Roman"/>
                <w:spacing w:val="22"/>
                <w:w w:val="99"/>
              </w:rPr>
              <w:t xml:space="preserve"> </w:t>
            </w:r>
            <w:r w:rsidRPr="007A3223">
              <w:rPr>
                <w:rFonts w:ascii="Times New Roman"/>
              </w:rPr>
              <w:t>activation/ICOS</w:t>
            </w:r>
            <w:r w:rsidRPr="007A3223">
              <w:rPr>
                <w:rFonts w:ascii="Times New Roman"/>
                <w:spacing w:val="22"/>
                <w:w w:val="99"/>
              </w:rPr>
              <w:t xml:space="preserve"> </w:t>
            </w:r>
            <w:r w:rsidRPr="007A3223">
              <w:rPr>
                <w:rFonts w:ascii="Times New Roman"/>
              </w:rPr>
              <w:t>expression</w:t>
            </w:r>
            <w:r w:rsidRPr="007A3223">
              <w:rPr>
                <w:rFonts w:ascii="Times New Roman"/>
                <w:spacing w:val="28"/>
                <w:w w:val="99"/>
              </w:rPr>
              <w:t xml:space="preserve"> </w:t>
            </w:r>
            <w:r w:rsidRPr="007A3223">
              <w:rPr>
                <w:rFonts w:ascii="Times New Roman"/>
                <w:spacing w:val="1"/>
              </w:rPr>
              <w:t>(PBMC)</w:t>
            </w:r>
          </w:p>
        </w:tc>
        <w:tc>
          <w:tcPr>
            <w:tcW w:w="923" w:type="pct"/>
            <w:tcBorders>
              <w:top w:val="single" w:sz="4" w:space="0" w:color="000000"/>
              <w:left w:val="single" w:sz="4" w:space="0" w:color="000000"/>
              <w:bottom w:val="single" w:sz="4" w:space="0" w:color="000000"/>
              <w:right w:val="single" w:sz="4" w:space="0" w:color="000000"/>
            </w:tcBorders>
          </w:tcPr>
          <w:p w14:paraId="79FAA2D3"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spacing w:val="1"/>
              </w:rPr>
              <w:t>12</w:t>
            </w:r>
            <w:r w:rsidRPr="007A3223">
              <w:rPr>
                <w:rFonts w:ascii="Times New Roman"/>
                <w:spacing w:val="-5"/>
              </w:rPr>
              <w:t xml:space="preserve"> </w:t>
            </w:r>
            <w:r w:rsidRPr="007A3223">
              <w:rPr>
                <w:rFonts w:ascii="Times New Roman"/>
                <w:spacing w:val="2"/>
              </w:rPr>
              <w:t>m</w:t>
            </w:r>
            <w:r w:rsidRPr="007A3223">
              <w:rPr>
                <w:rFonts w:ascii="Times New Roman"/>
              </w:rPr>
              <w:t>L</w:t>
            </w:r>
          </w:p>
        </w:tc>
        <w:tc>
          <w:tcPr>
            <w:tcW w:w="739" w:type="pct"/>
            <w:tcBorders>
              <w:top w:val="single" w:sz="4" w:space="0" w:color="000000"/>
              <w:left w:val="single" w:sz="4" w:space="0" w:color="000000"/>
              <w:bottom w:val="single" w:sz="4" w:space="0" w:color="000000"/>
              <w:right w:val="single" w:sz="4" w:space="0" w:color="000000"/>
            </w:tcBorders>
          </w:tcPr>
          <w:p w14:paraId="457F8F39" w14:textId="5E853F78" w:rsidR="007B2516" w:rsidRPr="007A3223" w:rsidRDefault="007B2516" w:rsidP="00180629">
            <w:pPr>
              <w:pStyle w:val="TableParagraph"/>
              <w:spacing w:line="194" w:lineRule="exact"/>
              <w:ind w:left="81"/>
              <w:rPr>
                <w:rFonts w:ascii="Times New Roman" w:eastAsia="Times New Roman" w:hAnsi="Times New Roman" w:cs="Times New Roman"/>
              </w:rPr>
            </w:pPr>
            <w:r w:rsidRPr="007A3223">
              <w:rPr>
                <w:rFonts w:ascii="Times New Roman"/>
                <w:spacing w:val="1"/>
              </w:rPr>
              <w:t>Two</w:t>
            </w:r>
            <w:r w:rsidRPr="007A3223">
              <w:rPr>
                <w:rFonts w:ascii="Times New Roman"/>
                <w:spacing w:val="-6"/>
              </w:rPr>
              <w:t xml:space="preserve"> </w:t>
            </w:r>
            <w:r w:rsidRPr="007A3223">
              <w:rPr>
                <w:rFonts w:ascii="Times New Roman"/>
              </w:rPr>
              <w:t>6</w:t>
            </w:r>
            <w:r w:rsidRPr="007A3223">
              <w:rPr>
                <w:rFonts w:ascii="Times New Roman"/>
                <w:spacing w:val="-1"/>
              </w:rPr>
              <w:t xml:space="preserve"> </w:t>
            </w:r>
            <w:r w:rsidRPr="007A3223">
              <w:rPr>
                <w:rFonts w:ascii="Times New Roman"/>
                <w:spacing w:val="2"/>
              </w:rPr>
              <w:t>m</w:t>
            </w:r>
            <w:r w:rsidRPr="007A3223">
              <w:rPr>
                <w:rFonts w:ascii="Times New Roman"/>
              </w:rPr>
              <w:t>L</w:t>
            </w:r>
            <w:r w:rsidRPr="007A3223">
              <w:rPr>
                <w:rFonts w:ascii="Times New Roman"/>
                <w:w w:val="99"/>
              </w:rPr>
              <w:t xml:space="preserve"> </w:t>
            </w:r>
            <w:r w:rsidR="00F178A2" w:rsidRPr="007A3223">
              <w:rPr>
                <w:rFonts w:ascii="Times New Roman"/>
                <w:w w:val="99"/>
              </w:rPr>
              <w:t xml:space="preserve">EDTA </w:t>
            </w:r>
            <w:r w:rsidRPr="007A3223">
              <w:rPr>
                <w:rFonts w:ascii="Times New Roman"/>
              </w:rPr>
              <w:t>collection</w:t>
            </w:r>
            <w:r w:rsidRPr="007A3223">
              <w:rPr>
                <w:rFonts w:ascii="Times New Roman"/>
                <w:spacing w:val="25"/>
                <w:w w:val="99"/>
              </w:rPr>
              <w:t xml:space="preserve"> </w:t>
            </w:r>
            <w:r w:rsidRPr="007A3223">
              <w:rPr>
                <w:rFonts w:ascii="Times New Roman"/>
              </w:rPr>
              <w:t>tubes</w:t>
            </w:r>
          </w:p>
        </w:tc>
        <w:tc>
          <w:tcPr>
            <w:tcW w:w="1009" w:type="pct"/>
            <w:tcBorders>
              <w:top w:val="single" w:sz="4" w:space="0" w:color="000000"/>
              <w:left w:val="single" w:sz="4" w:space="0" w:color="000000"/>
              <w:bottom w:val="single" w:sz="4" w:space="0" w:color="000000"/>
              <w:right w:val="single" w:sz="4" w:space="0" w:color="000000"/>
            </w:tcBorders>
          </w:tcPr>
          <w:p w14:paraId="49A64C88" w14:textId="77777777" w:rsidR="007B2516" w:rsidRPr="007A3223" w:rsidRDefault="007B2516" w:rsidP="005F3F00">
            <w:pPr>
              <w:pStyle w:val="TableParagraph"/>
              <w:spacing w:line="194" w:lineRule="exact"/>
              <w:ind w:left="77"/>
              <w:rPr>
                <w:rFonts w:ascii="Times New Roman" w:eastAsia="Times New Roman" w:hAnsi="Times New Roman" w:cs="Times New Roman"/>
              </w:rPr>
            </w:pPr>
            <w:r w:rsidRPr="007A3223">
              <w:rPr>
                <w:rFonts w:ascii="Times New Roman"/>
                <w:spacing w:val="2"/>
              </w:rPr>
              <w:t>Q</w:t>
            </w:r>
            <w:r w:rsidRPr="007A3223">
              <w:rPr>
                <w:rFonts w:ascii="Times New Roman"/>
                <w:spacing w:val="1"/>
              </w:rPr>
              <w:t>28</w:t>
            </w:r>
            <w:r w:rsidRPr="007A3223">
              <w:rPr>
                <w:rFonts w:ascii="Times New Roman"/>
              </w:rPr>
              <w:t>d</w:t>
            </w:r>
          </w:p>
        </w:tc>
        <w:tc>
          <w:tcPr>
            <w:tcW w:w="1289" w:type="pct"/>
            <w:tcBorders>
              <w:top w:val="single" w:sz="4" w:space="0" w:color="000000"/>
              <w:left w:val="single" w:sz="4" w:space="0" w:color="000000"/>
              <w:bottom w:val="single" w:sz="4" w:space="0" w:color="000000"/>
              <w:right w:val="single" w:sz="4" w:space="0" w:color="auto"/>
            </w:tcBorders>
          </w:tcPr>
          <w:p w14:paraId="0BD2DA8C" w14:textId="77777777" w:rsidR="007B2516" w:rsidRPr="007A3223" w:rsidRDefault="007B2516" w:rsidP="005F3F00">
            <w:pPr>
              <w:pStyle w:val="TableParagraph"/>
              <w:spacing w:line="244" w:lineRule="auto"/>
              <w:ind w:left="81" w:right="155"/>
              <w:rPr>
                <w:rFonts w:ascii="Times New Roman" w:eastAsia="Times New Roman" w:hAnsi="Times New Roman" w:cs="Times New Roman"/>
              </w:rPr>
            </w:pPr>
            <w:r w:rsidRPr="007A3223">
              <w:rPr>
                <w:rFonts w:ascii="Times New Roman"/>
              </w:rPr>
              <w:t>Greten</w:t>
            </w:r>
            <w:r w:rsidRPr="007A3223">
              <w:rPr>
                <w:rFonts w:ascii="Times New Roman"/>
                <w:spacing w:val="-3"/>
              </w:rPr>
              <w:t xml:space="preserve"> </w:t>
            </w:r>
            <w:r w:rsidRPr="007A3223">
              <w:rPr>
                <w:rFonts w:ascii="Times New Roman"/>
              </w:rPr>
              <w:t>Lab</w:t>
            </w:r>
            <w:r w:rsidRPr="007A3223">
              <w:rPr>
                <w:rFonts w:ascii="Times New Roman"/>
                <w:spacing w:val="-3"/>
              </w:rPr>
              <w:t xml:space="preserve"> </w:t>
            </w:r>
            <w:r w:rsidRPr="007A3223">
              <w:rPr>
                <w:rFonts w:ascii="Times New Roman"/>
              </w:rPr>
              <w:t>or</w:t>
            </w:r>
            <w:r w:rsidRPr="007A3223">
              <w:rPr>
                <w:rFonts w:ascii="Times New Roman"/>
                <w:w w:val="99"/>
              </w:rPr>
              <w:t xml:space="preserve">  </w:t>
            </w:r>
            <w:r w:rsidRPr="007A3223">
              <w:rPr>
                <w:rFonts w:ascii="Times New Roman"/>
                <w:spacing w:val="1"/>
              </w:rPr>
              <w:t>Medimmune/</w:t>
            </w:r>
            <w:r w:rsidRPr="007A3223">
              <w:rPr>
                <w:rFonts w:ascii="Times New Roman"/>
                <w:spacing w:val="-15"/>
              </w:rPr>
              <w:t xml:space="preserve"> </w:t>
            </w:r>
            <w:r w:rsidRPr="007A3223">
              <w:rPr>
                <w:rFonts w:ascii="Times New Roman"/>
              </w:rPr>
              <w:t>Quintiles</w:t>
            </w:r>
          </w:p>
        </w:tc>
      </w:tr>
      <w:tr w:rsidR="007B2516" w:rsidRPr="007A3223" w14:paraId="691FCA26" w14:textId="77777777" w:rsidTr="000232A0">
        <w:trPr>
          <w:trHeight w:hRule="exact" w:val="1702"/>
        </w:trPr>
        <w:tc>
          <w:tcPr>
            <w:tcW w:w="1040" w:type="pct"/>
            <w:tcBorders>
              <w:top w:val="single" w:sz="4" w:space="0" w:color="000000"/>
              <w:left w:val="single" w:sz="4" w:space="0" w:color="000000"/>
              <w:bottom w:val="single" w:sz="4" w:space="0" w:color="000000"/>
              <w:right w:val="single" w:sz="4" w:space="0" w:color="000000"/>
            </w:tcBorders>
          </w:tcPr>
          <w:p w14:paraId="0E644388" w14:textId="77777777" w:rsidR="007B2516" w:rsidRPr="007A3223" w:rsidRDefault="007B2516" w:rsidP="005F3F00">
            <w:pPr>
              <w:pStyle w:val="TableParagraph"/>
              <w:spacing w:line="243" w:lineRule="auto"/>
              <w:ind w:left="81" w:right="107"/>
              <w:rPr>
                <w:rFonts w:ascii="Times New Roman" w:eastAsia="Times New Roman" w:hAnsi="Times New Roman" w:cs="Times New Roman"/>
              </w:rPr>
            </w:pPr>
            <w:r w:rsidRPr="007A3223">
              <w:rPr>
                <w:rFonts w:ascii="Times New Roman"/>
              </w:rPr>
              <w:t>Plasma-based</w:t>
            </w:r>
            <w:r w:rsidRPr="007A3223">
              <w:rPr>
                <w:rFonts w:ascii="Times New Roman"/>
                <w:spacing w:val="-13"/>
              </w:rPr>
              <w:t xml:space="preserve"> </w:t>
            </w:r>
            <w:r w:rsidRPr="007A3223">
              <w:rPr>
                <w:rFonts w:ascii="Times New Roman"/>
                <w:spacing w:val="1"/>
              </w:rPr>
              <w:t>assays</w:t>
            </w:r>
            <w:r w:rsidRPr="007A3223">
              <w:rPr>
                <w:rFonts w:ascii="Times New Roman"/>
                <w:spacing w:val="23"/>
                <w:w w:val="99"/>
              </w:rPr>
              <w:t xml:space="preserve"> </w:t>
            </w:r>
            <w:r w:rsidRPr="007A3223">
              <w:rPr>
                <w:rFonts w:ascii="Times New Roman"/>
              </w:rPr>
              <w:t>for</w:t>
            </w:r>
            <w:r w:rsidRPr="007A3223">
              <w:rPr>
                <w:rFonts w:ascii="Times New Roman"/>
                <w:spacing w:val="-9"/>
              </w:rPr>
              <w:t xml:space="preserve"> </w:t>
            </w:r>
            <w:r w:rsidRPr="007A3223">
              <w:rPr>
                <w:rFonts w:ascii="Times New Roman"/>
              </w:rPr>
              <w:t>circulating</w:t>
            </w:r>
            <w:r w:rsidRPr="007A3223">
              <w:rPr>
                <w:rFonts w:ascii="Times New Roman"/>
                <w:spacing w:val="27"/>
                <w:w w:val="99"/>
              </w:rPr>
              <w:t xml:space="preserve"> </w:t>
            </w:r>
            <w:r w:rsidRPr="007A3223">
              <w:rPr>
                <w:rFonts w:ascii="Times New Roman"/>
              </w:rPr>
              <w:t>receptors/ligands</w:t>
            </w:r>
            <w:r w:rsidRPr="007A3223">
              <w:rPr>
                <w:rFonts w:ascii="Times New Roman"/>
                <w:spacing w:val="-14"/>
              </w:rPr>
              <w:t xml:space="preserve"> </w:t>
            </w:r>
            <w:r w:rsidRPr="007A3223">
              <w:rPr>
                <w:rFonts w:ascii="Times New Roman"/>
              </w:rPr>
              <w:t>e.g.</w:t>
            </w:r>
            <w:r w:rsidRPr="007A3223">
              <w:rPr>
                <w:rFonts w:ascii="Times New Roman"/>
                <w:spacing w:val="28"/>
                <w:w w:val="99"/>
              </w:rPr>
              <w:t xml:space="preserve"> </w:t>
            </w:r>
            <w:r w:rsidRPr="007A3223">
              <w:rPr>
                <w:rFonts w:ascii="Times New Roman"/>
                <w:spacing w:val="1"/>
              </w:rPr>
              <w:t>P</w:t>
            </w:r>
            <w:r w:rsidRPr="007A3223">
              <w:rPr>
                <w:rFonts w:ascii="Times New Roman"/>
                <w:spacing w:val="2"/>
              </w:rPr>
              <w:t>D</w:t>
            </w:r>
            <w:r w:rsidRPr="007A3223">
              <w:rPr>
                <w:rFonts w:ascii="Times New Roman"/>
                <w:spacing w:val="1"/>
              </w:rPr>
              <w:t>L</w:t>
            </w:r>
            <w:r w:rsidRPr="007A3223">
              <w:rPr>
                <w:rFonts w:ascii="Times New Roman"/>
              </w:rPr>
              <w:t>1</w:t>
            </w:r>
          </w:p>
        </w:tc>
        <w:tc>
          <w:tcPr>
            <w:tcW w:w="923" w:type="pct"/>
            <w:tcBorders>
              <w:top w:val="single" w:sz="4" w:space="0" w:color="000000"/>
              <w:left w:val="single" w:sz="4" w:space="0" w:color="000000"/>
              <w:bottom w:val="single" w:sz="4" w:space="0" w:color="000000"/>
              <w:right w:val="single" w:sz="4" w:space="0" w:color="000000"/>
            </w:tcBorders>
          </w:tcPr>
          <w:p w14:paraId="377F70C1"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rPr>
              <w:t>6</w:t>
            </w:r>
            <w:r w:rsidRPr="007A3223">
              <w:rPr>
                <w:rFonts w:ascii="Times New Roman"/>
                <w:spacing w:val="-2"/>
              </w:rPr>
              <w:t xml:space="preserve"> </w:t>
            </w:r>
            <w:r w:rsidRPr="007A3223">
              <w:rPr>
                <w:rFonts w:ascii="Times New Roman"/>
                <w:spacing w:val="2"/>
              </w:rPr>
              <w:t>m</w:t>
            </w:r>
            <w:r w:rsidRPr="007A3223">
              <w:rPr>
                <w:rFonts w:ascii="Times New Roman"/>
              </w:rPr>
              <w:t>L</w:t>
            </w:r>
          </w:p>
        </w:tc>
        <w:tc>
          <w:tcPr>
            <w:tcW w:w="739" w:type="pct"/>
            <w:tcBorders>
              <w:top w:val="single" w:sz="4" w:space="0" w:color="000000"/>
              <w:left w:val="single" w:sz="4" w:space="0" w:color="000000"/>
              <w:bottom w:val="single" w:sz="4" w:space="0" w:color="000000"/>
              <w:right w:val="single" w:sz="4" w:space="0" w:color="000000"/>
            </w:tcBorders>
          </w:tcPr>
          <w:p w14:paraId="6304FE36" w14:textId="2475445B" w:rsidR="007B2516" w:rsidRPr="007A3223" w:rsidRDefault="007B2516" w:rsidP="008F63A9">
            <w:pPr>
              <w:pStyle w:val="TableParagraph"/>
              <w:spacing w:before="0"/>
              <w:ind w:left="86"/>
              <w:rPr>
                <w:rFonts w:ascii="Times New Roman" w:eastAsia="Times New Roman" w:hAnsi="Times New Roman" w:cs="Times New Roman"/>
              </w:rPr>
            </w:pPr>
            <w:r w:rsidRPr="007A3223">
              <w:rPr>
                <w:rFonts w:ascii="Times New Roman"/>
                <w:spacing w:val="2"/>
              </w:rPr>
              <w:t>O</w:t>
            </w:r>
            <w:r w:rsidRPr="007A3223">
              <w:rPr>
                <w:rFonts w:ascii="Times New Roman"/>
                <w:spacing w:val="1"/>
              </w:rPr>
              <w:t>n</w:t>
            </w:r>
            <w:r w:rsidRPr="007A3223">
              <w:rPr>
                <w:rFonts w:ascii="Times New Roman"/>
              </w:rPr>
              <w:t>e</w:t>
            </w:r>
            <w:r w:rsidRPr="007A3223">
              <w:rPr>
                <w:rFonts w:ascii="Times New Roman"/>
                <w:spacing w:val="-4"/>
              </w:rPr>
              <w:t xml:space="preserve"> </w:t>
            </w:r>
            <w:r w:rsidRPr="007A3223">
              <w:rPr>
                <w:rFonts w:ascii="Times New Roman"/>
                <w:spacing w:val="1"/>
              </w:rPr>
              <w:t>6</w:t>
            </w:r>
            <w:r w:rsidRPr="007A3223">
              <w:rPr>
                <w:rFonts w:ascii="Times New Roman"/>
                <w:spacing w:val="2"/>
              </w:rPr>
              <w:t>m</w:t>
            </w:r>
            <w:r w:rsidRPr="007A3223">
              <w:rPr>
                <w:rFonts w:ascii="Times New Roman"/>
              </w:rPr>
              <w:t>l</w:t>
            </w:r>
            <w:r w:rsidRPr="007A3223">
              <w:rPr>
                <w:rFonts w:ascii="Times New Roman"/>
                <w:w w:val="99"/>
              </w:rPr>
              <w:t xml:space="preserve"> </w:t>
            </w:r>
            <w:r w:rsidRPr="007A3223">
              <w:rPr>
                <w:rFonts w:ascii="Times New Roman"/>
                <w:spacing w:val="1"/>
              </w:rPr>
              <w:t>EDTA</w:t>
            </w:r>
            <w:r w:rsidRPr="007A3223">
              <w:rPr>
                <w:rFonts w:ascii="Times New Roman"/>
              </w:rPr>
              <w:t>tube</w:t>
            </w:r>
          </w:p>
        </w:tc>
        <w:tc>
          <w:tcPr>
            <w:tcW w:w="1009" w:type="pct"/>
            <w:tcBorders>
              <w:top w:val="single" w:sz="4" w:space="0" w:color="000000"/>
              <w:left w:val="single" w:sz="4" w:space="0" w:color="000000"/>
              <w:bottom w:val="single" w:sz="4" w:space="0" w:color="000000"/>
              <w:right w:val="single" w:sz="4" w:space="0" w:color="000000"/>
            </w:tcBorders>
          </w:tcPr>
          <w:p w14:paraId="51994431" w14:textId="77777777" w:rsidR="007B2516" w:rsidRPr="007A3223" w:rsidRDefault="007B2516" w:rsidP="005F3F00">
            <w:pPr>
              <w:pStyle w:val="TableParagraph"/>
              <w:spacing w:line="194" w:lineRule="exact"/>
              <w:ind w:left="77"/>
              <w:rPr>
                <w:rFonts w:ascii="Times New Roman" w:eastAsia="Times New Roman" w:hAnsi="Times New Roman" w:cs="Times New Roman"/>
              </w:rPr>
            </w:pPr>
            <w:r w:rsidRPr="007A3223">
              <w:rPr>
                <w:rFonts w:ascii="Times New Roman"/>
                <w:spacing w:val="2"/>
              </w:rPr>
              <w:t>Q</w:t>
            </w:r>
            <w:r w:rsidRPr="007A3223">
              <w:rPr>
                <w:rFonts w:ascii="Times New Roman"/>
                <w:spacing w:val="1"/>
              </w:rPr>
              <w:t>28</w:t>
            </w:r>
            <w:r w:rsidRPr="007A3223">
              <w:rPr>
                <w:rFonts w:ascii="Times New Roman"/>
              </w:rPr>
              <w:t>d</w:t>
            </w:r>
          </w:p>
        </w:tc>
        <w:tc>
          <w:tcPr>
            <w:tcW w:w="1289" w:type="pct"/>
            <w:tcBorders>
              <w:top w:val="single" w:sz="4" w:space="0" w:color="000000"/>
              <w:left w:val="single" w:sz="4" w:space="0" w:color="000000"/>
              <w:bottom w:val="single" w:sz="4" w:space="0" w:color="000000"/>
              <w:right w:val="single" w:sz="4" w:space="0" w:color="auto"/>
            </w:tcBorders>
          </w:tcPr>
          <w:p w14:paraId="7FD9FF30" w14:textId="77777777" w:rsidR="007B2516" w:rsidRPr="007A3223" w:rsidRDefault="007B2516" w:rsidP="005F3F00">
            <w:pPr>
              <w:pStyle w:val="TableParagraph"/>
              <w:spacing w:line="244" w:lineRule="auto"/>
              <w:ind w:left="81" w:right="791"/>
              <w:rPr>
                <w:rFonts w:ascii="Times New Roman" w:eastAsia="Times New Roman" w:hAnsi="Times New Roman" w:cs="Times New Roman"/>
              </w:rPr>
            </w:pPr>
            <w:r w:rsidRPr="007A3223">
              <w:rPr>
                <w:rFonts w:ascii="Times New Roman"/>
              </w:rPr>
              <w:t>Greten</w:t>
            </w:r>
            <w:r w:rsidRPr="007A3223">
              <w:rPr>
                <w:rFonts w:ascii="Times New Roman"/>
                <w:spacing w:val="-3"/>
              </w:rPr>
              <w:t xml:space="preserve"> </w:t>
            </w:r>
            <w:r w:rsidRPr="007A3223">
              <w:rPr>
                <w:rFonts w:ascii="Times New Roman"/>
              </w:rPr>
              <w:t>Lab</w:t>
            </w:r>
            <w:r w:rsidRPr="007A3223">
              <w:rPr>
                <w:rFonts w:ascii="Times New Roman"/>
                <w:spacing w:val="-3"/>
              </w:rPr>
              <w:t xml:space="preserve"> </w:t>
            </w:r>
            <w:r w:rsidRPr="007A3223">
              <w:rPr>
                <w:rFonts w:ascii="Times New Roman"/>
              </w:rPr>
              <w:t>or</w:t>
            </w:r>
            <w:r w:rsidRPr="007A3223">
              <w:rPr>
                <w:rFonts w:ascii="Times New Roman"/>
                <w:w w:val="99"/>
              </w:rPr>
              <w:t xml:space="preserve">  </w:t>
            </w:r>
            <w:r w:rsidRPr="007A3223">
              <w:rPr>
                <w:rFonts w:ascii="Times New Roman"/>
                <w:spacing w:val="1"/>
              </w:rPr>
              <w:t>Medimmune</w:t>
            </w:r>
          </w:p>
        </w:tc>
      </w:tr>
      <w:tr w:rsidR="007B2516" w:rsidRPr="007A3223" w14:paraId="5D3BA36F" w14:textId="77777777" w:rsidTr="000232A0">
        <w:trPr>
          <w:trHeight w:hRule="exact" w:val="3061"/>
        </w:trPr>
        <w:tc>
          <w:tcPr>
            <w:tcW w:w="1040" w:type="pct"/>
            <w:tcBorders>
              <w:top w:val="single" w:sz="4" w:space="0" w:color="000000"/>
              <w:left w:val="single" w:sz="4" w:space="0" w:color="000000"/>
              <w:bottom w:val="single" w:sz="4" w:space="0" w:color="000000"/>
              <w:right w:val="single" w:sz="4" w:space="0" w:color="000000"/>
            </w:tcBorders>
          </w:tcPr>
          <w:p w14:paraId="039AFB6F"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spacing w:val="1"/>
              </w:rPr>
              <w:lastRenderedPageBreak/>
              <w:t>Tumor</w:t>
            </w:r>
            <w:r w:rsidRPr="007A3223">
              <w:rPr>
                <w:rFonts w:ascii="Times New Roman"/>
                <w:spacing w:val="-9"/>
              </w:rPr>
              <w:t xml:space="preserve"> </w:t>
            </w:r>
            <w:r w:rsidRPr="007A3223">
              <w:rPr>
                <w:rFonts w:ascii="Times New Roman"/>
              </w:rPr>
              <w:t>biopsy</w:t>
            </w:r>
          </w:p>
        </w:tc>
        <w:tc>
          <w:tcPr>
            <w:tcW w:w="923" w:type="pct"/>
            <w:tcBorders>
              <w:top w:val="single" w:sz="4" w:space="0" w:color="000000"/>
              <w:left w:val="single" w:sz="4" w:space="0" w:color="000000"/>
              <w:bottom w:val="single" w:sz="4" w:space="0" w:color="000000"/>
              <w:right w:val="single" w:sz="4" w:space="0" w:color="000000"/>
            </w:tcBorders>
          </w:tcPr>
          <w:p w14:paraId="6BAC8CD1"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spacing w:val="2"/>
              </w:rPr>
              <w:t>NA</w:t>
            </w:r>
          </w:p>
        </w:tc>
        <w:tc>
          <w:tcPr>
            <w:tcW w:w="739" w:type="pct"/>
            <w:tcBorders>
              <w:top w:val="single" w:sz="4" w:space="0" w:color="000000"/>
              <w:left w:val="single" w:sz="4" w:space="0" w:color="000000"/>
              <w:bottom w:val="single" w:sz="4" w:space="0" w:color="000000"/>
              <w:right w:val="single" w:sz="4" w:space="0" w:color="000000"/>
            </w:tcBorders>
          </w:tcPr>
          <w:p w14:paraId="55A3104E" w14:textId="77777777" w:rsidR="007B2516" w:rsidRPr="007A3223" w:rsidRDefault="007B2516" w:rsidP="005F3F00">
            <w:pPr>
              <w:pStyle w:val="TableParagraph"/>
              <w:spacing w:line="194" w:lineRule="exact"/>
              <w:ind w:left="81"/>
              <w:rPr>
                <w:rFonts w:ascii="Times New Roman" w:eastAsia="Times New Roman" w:hAnsi="Times New Roman" w:cs="Times New Roman"/>
              </w:rPr>
            </w:pPr>
            <w:r w:rsidRPr="007A3223">
              <w:rPr>
                <w:rFonts w:ascii="Times New Roman"/>
                <w:spacing w:val="2"/>
              </w:rPr>
              <w:t>NA</w:t>
            </w:r>
          </w:p>
        </w:tc>
        <w:tc>
          <w:tcPr>
            <w:tcW w:w="1009" w:type="pct"/>
            <w:tcBorders>
              <w:top w:val="single" w:sz="4" w:space="0" w:color="000000"/>
              <w:left w:val="single" w:sz="4" w:space="0" w:color="000000"/>
              <w:bottom w:val="single" w:sz="4" w:space="0" w:color="000000"/>
              <w:right w:val="single" w:sz="4" w:space="0" w:color="000000"/>
            </w:tcBorders>
          </w:tcPr>
          <w:p w14:paraId="6BB56D34" w14:textId="77777777" w:rsidR="007B2516" w:rsidRPr="007A3223" w:rsidRDefault="007B2516" w:rsidP="00951FE0">
            <w:pPr>
              <w:pStyle w:val="TableParagraph"/>
              <w:spacing w:line="243" w:lineRule="auto"/>
              <w:ind w:left="77" w:right="270"/>
              <w:rPr>
                <w:rFonts w:ascii="Times New Roman" w:eastAsia="Times New Roman" w:hAnsi="Times New Roman" w:cs="Times New Roman"/>
              </w:rPr>
            </w:pPr>
            <w:r w:rsidRPr="007A3223">
              <w:rPr>
                <w:rFonts w:ascii="Times New Roman"/>
              </w:rPr>
              <w:t>Mandatory</w:t>
            </w:r>
            <w:r w:rsidRPr="007A3223">
              <w:rPr>
                <w:rFonts w:ascii="Times New Roman"/>
                <w:spacing w:val="28"/>
                <w:w w:val="99"/>
              </w:rPr>
              <w:t xml:space="preserve"> </w:t>
            </w:r>
            <w:r w:rsidRPr="007A3223">
              <w:rPr>
                <w:rFonts w:ascii="Times New Roman"/>
              </w:rPr>
              <w:t>Baseline</w:t>
            </w:r>
            <w:r w:rsidRPr="007A3223">
              <w:rPr>
                <w:rFonts w:ascii="Times New Roman"/>
                <w:spacing w:val="-4"/>
              </w:rPr>
              <w:t xml:space="preserve"> </w:t>
            </w:r>
            <w:r w:rsidR="002A22CC" w:rsidRPr="007A3223">
              <w:rPr>
                <w:rFonts w:ascii="Times New Roman"/>
                <w:spacing w:val="-4"/>
              </w:rPr>
              <w:t>(cycle 1 day -1</w:t>
            </w:r>
            <w:r w:rsidR="00951FE0" w:rsidRPr="007A3223">
              <w:rPr>
                <w:rFonts w:ascii="Times New Roman"/>
                <w:spacing w:val="-4"/>
              </w:rPr>
              <w:t>4</w:t>
            </w:r>
            <w:r w:rsidR="002A22CC" w:rsidRPr="007A3223">
              <w:rPr>
                <w:rFonts w:ascii="Times New Roman"/>
                <w:spacing w:val="-4"/>
              </w:rPr>
              <w:t xml:space="preserve"> </w:t>
            </w:r>
            <w:r w:rsidRPr="007A3223">
              <w:rPr>
                <w:rFonts w:ascii="Times New Roman"/>
              </w:rPr>
              <w:t>and</w:t>
            </w:r>
            <w:r w:rsidRPr="007A3223">
              <w:rPr>
                <w:rFonts w:ascii="Times New Roman"/>
                <w:spacing w:val="-4"/>
              </w:rPr>
              <w:t xml:space="preserve"> </w:t>
            </w:r>
            <w:r w:rsidRPr="007A3223">
              <w:rPr>
                <w:rFonts w:ascii="Times New Roman"/>
              </w:rPr>
              <w:t>two</w:t>
            </w:r>
            <w:r w:rsidRPr="007A3223">
              <w:rPr>
                <w:rFonts w:ascii="Times New Roman"/>
                <w:spacing w:val="30"/>
                <w:w w:val="99"/>
              </w:rPr>
              <w:t xml:space="preserve"> </w:t>
            </w:r>
            <w:r w:rsidRPr="007A3223">
              <w:rPr>
                <w:rFonts w:ascii="Times New Roman"/>
              </w:rPr>
              <w:t>optional</w:t>
            </w:r>
            <w:r w:rsidRPr="007A3223">
              <w:rPr>
                <w:rFonts w:ascii="Times New Roman"/>
                <w:spacing w:val="-11"/>
              </w:rPr>
              <w:t xml:space="preserve"> </w:t>
            </w:r>
            <w:r w:rsidRPr="007A3223">
              <w:rPr>
                <w:rFonts w:ascii="Times New Roman"/>
              </w:rPr>
              <w:t>biopsies</w:t>
            </w:r>
            <w:r w:rsidRPr="007A3223">
              <w:rPr>
                <w:rFonts w:ascii="Times New Roman"/>
                <w:spacing w:val="30"/>
                <w:w w:val="99"/>
              </w:rPr>
              <w:t xml:space="preserve"> </w:t>
            </w:r>
            <w:r w:rsidRPr="007A3223">
              <w:rPr>
                <w:rFonts w:ascii="Times New Roman"/>
              </w:rPr>
              <w:t>(prior</w:t>
            </w:r>
            <w:r w:rsidRPr="007A3223">
              <w:rPr>
                <w:rFonts w:ascii="Times New Roman"/>
                <w:spacing w:val="-4"/>
              </w:rPr>
              <w:t xml:space="preserve"> </w:t>
            </w:r>
            <w:r w:rsidRPr="007A3223">
              <w:rPr>
                <w:rFonts w:ascii="Times New Roman"/>
              </w:rPr>
              <w:t>to</w:t>
            </w:r>
            <w:r w:rsidRPr="007A3223">
              <w:rPr>
                <w:rFonts w:ascii="Times New Roman"/>
                <w:spacing w:val="-2"/>
              </w:rPr>
              <w:t xml:space="preserve"> </w:t>
            </w:r>
            <w:r w:rsidRPr="007A3223">
              <w:rPr>
                <w:rFonts w:ascii="Times New Roman"/>
              </w:rPr>
              <w:t>cycle</w:t>
            </w:r>
            <w:r w:rsidRPr="007A3223">
              <w:rPr>
                <w:rFonts w:ascii="Times New Roman"/>
                <w:spacing w:val="-1"/>
              </w:rPr>
              <w:t xml:space="preserve"> </w:t>
            </w:r>
            <w:r w:rsidRPr="007A3223">
              <w:rPr>
                <w:rFonts w:ascii="Times New Roman"/>
              </w:rPr>
              <w:t>1</w:t>
            </w:r>
            <w:r w:rsidRPr="007A3223">
              <w:rPr>
                <w:rFonts w:ascii="Times New Roman"/>
                <w:spacing w:val="28"/>
                <w:w w:val="99"/>
              </w:rPr>
              <w:t xml:space="preserve"> </w:t>
            </w:r>
            <w:r w:rsidRPr="007A3223">
              <w:rPr>
                <w:rFonts w:ascii="Times New Roman"/>
              </w:rPr>
              <w:t>day</w:t>
            </w:r>
            <w:r w:rsidRPr="007A3223">
              <w:rPr>
                <w:rFonts w:ascii="Times New Roman"/>
                <w:spacing w:val="-2"/>
              </w:rPr>
              <w:t xml:space="preserve"> </w:t>
            </w:r>
            <w:r w:rsidRPr="007A3223">
              <w:rPr>
                <w:rFonts w:ascii="Times New Roman"/>
                <w:spacing w:val="1"/>
              </w:rPr>
              <w:t>1</w:t>
            </w:r>
            <w:r w:rsidRPr="007A3223">
              <w:rPr>
                <w:rFonts w:ascii="Times New Roman"/>
                <w:spacing w:val="-3"/>
              </w:rPr>
              <w:t xml:space="preserve"> </w:t>
            </w:r>
            <w:r w:rsidRPr="007A3223">
              <w:rPr>
                <w:rFonts w:ascii="Times New Roman"/>
                <w:spacing w:val="1"/>
              </w:rPr>
              <w:t>and</w:t>
            </w:r>
            <w:r w:rsidRPr="007A3223">
              <w:rPr>
                <w:rFonts w:ascii="Times New Roman"/>
                <w:spacing w:val="-3"/>
              </w:rPr>
              <w:t xml:space="preserve"> </w:t>
            </w:r>
            <w:r w:rsidRPr="007A3223">
              <w:rPr>
                <w:rFonts w:ascii="Times New Roman"/>
                <w:spacing w:val="1"/>
              </w:rPr>
              <w:t>at</w:t>
            </w:r>
            <w:r w:rsidRPr="007A3223">
              <w:rPr>
                <w:rFonts w:ascii="Times New Roman"/>
                <w:spacing w:val="23"/>
                <w:w w:val="99"/>
              </w:rPr>
              <w:t xml:space="preserve"> </w:t>
            </w:r>
            <w:r w:rsidRPr="007A3223">
              <w:rPr>
                <w:rFonts w:ascii="Times New Roman"/>
              </w:rPr>
              <w:t>progression)</w:t>
            </w:r>
          </w:p>
        </w:tc>
        <w:tc>
          <w:tcPr>
            <w:tcW w:w="1289" w:type="pct"/>
            <w:tcBorders>
              <w:top w:val="single" w:sz="4" w:space="0" w:color="000000"/>
              <w:left w:val="single" w:sz="4" w:space="0" w:color="000000"/>
              <w:bottom w:val="single" w:sz="4" w:space="0" w:color="000000"/>
              <w:right w:val="single" w:sz="4" w:space="0" w:color="auto"/>
            </w:tcBorders>
          </w:tcPr>
          <w:p w14:paraId="2A2B612C" w14:textId="77777777" w:rsidR="007B2516" w:rsidRPr="007A3223" w:rsidRDefault="007B2516" w:rsidP="005F3F00">
            <w:pPr>
              <w:pStyle w:val="TableParagraph"/>
              <w:spacing w:line="244" w:lineRule="auto"/>
              <w:ind w:left="81" w:right="806"/>
              <w:rPr>
                <w:rFonts w:ascii="Times New Roman" w:eastAsia="Times New Roman" w:hAnsi="Times New Roman" w:cs="Times New Roman"/>
              </w:rPr>
            </w:pPr>
            <w:r w:rsidRPr="007A3223">
              <w:rPr>
                <w:rFonts w:ascii="Times New Roman"/>
              </w:rPr>
              <w:t>Laboratory</w:t>
            </w:r>
            <w:r w:rsidRPr="007A3223">
              <w:rPr>
                <w:rFonts w:ascii="Times New Roman"/>
                <w:spacing w:val="-8"/>
              </w:rPr>
              <w:t xml:space="preserve"> </w:t>
            </w:r>
            <w:r w:rsidRPr="007A3223">
              <w:rPr>
                <w:rFonts w:ascii="Times New Roman"/>
              </w:rPr>
              <w:t>of</w:t>
            </w:r>
            <w:r w:rsidRPr="007A3223">
              <w:rPr>
                <w:rFonts w:ascii="Times New Roman"/>
                <w:spacing w:val="29"/>
                <w:w w:val="99"/>
              </w:rPr>
              <w:t xml:space="preserve"> </w:t>
            </w:r>
            <w:r w:rsidRPr="007A3223">
              <w:rPr>
                <w:rFonts w:ascii="Times New Roman"/>
              </w:rPr>
              <w:t>Pathology</w:t>
            </w:r>
          </w:p>
        </w:tc>
      </w:tr>
    </w:tbl>
    <w:p w14:paraId="53F9B9FB" w14:textId="4CB26957" w:rsidR="007B2516" w:rsidRPr="00BF79D2" w:rsidRDefault="007B2516" w:rsidP="00162A64"/>
    <w:p w14:paraId="62FB807F" w14:textId="460BA652" w:rsidR="00D2520F" w:rsidRPr="00BF79D2" w:rsidRDefault="00D2520F" w:rsidP="00162A64"/>
    <w:p w14:paraId="47F86FD4" w14:textId="6FD664B0" w:rsidR="00D2520F" w:rsidRPr="007A3223" w:rsidRDefault="00D2520F" w:rsidP="00162A64">
      <w:r w:rsidRPr="007A3223">
        <w:rPr>
          <w:b/>
        </w:rPr>
        <w:t xml:space="preserve">Table </w:t>
      </w:r>
      <w:hyperlink w:anchor="_Table_of_Tables" w:history="1">
        <w:r w:rsidRPr="007A3223">
          <w:rPr>
            <w:rStyle w:val="Hyperlink"/>
            <w:b/>
          </w:rPr>
          <w:t>29</w:t>
        </w:r>
      </w:hyperlink>
      <w:r w:rsidRPr="007A3223">
        <w:t>: Correlative studies for phase II mCRPC cohort 4</w:t>
      </w:r>
    </w:p>
    <w:tbl>
      <w:tblPr>
        <w:tblStyle w:val="TableGrid"/>
        <w:tblW w:w="10255" w:type="dxa"/>
        <w:tblLook w:val="04A0" w:firstRow="1" w:lastRow="0" w:firstColumn="1" w:lastColumn="0" w:noHBand="0" w:noVBand="1"/>
      </w:tblPr>
      <w:tblGrid>
        <w:gridCol w:w="1739"/>
        <w:gridCol w:w="1528"/>
        <w:gridCol w:w="1569"/>
        <w:gridCol w:w="1560"/>
        <w:gridCol w:w="1671"/>
        <w:gridCol w:w="2188"/>
      </w:tblGrid>
      <w:tr w:rsidR="00D2520F" w:rsidRPr="007A3223" w14:paraId="47317017" w14:textId="77777777" w:rsidTr="008F63A9">
        <w:trPr>
          <w:tblHeader/>
        </w:trPr>
        <w:tc>
          <w:tcPr>
            <w:tcW w:w="1739" w:type="dxa"/>
            <w:shd w:val="pct5" w:color="auto" w:fill="auto"/>
          </w:tcPr>
          <w:p w14:paraId="5961E6EF" w14:textId="77777777" w:rsidR="00D2520F" w:rsidRPr="00F33908" w:rsidRDefault="00D2520F" w:rsidP="00B462BC">
            <w:pPr>
              <w:rPr>
                <w:b/>
              </w:rPr>
            </w:pPr>
            <w:r w:rsidRPr="00F33908">
              <w:rPr>
                <w:b/>
              </w:rPr>
              <w:t>Test/Assay</w:t>
            </w:r>
          </w:p>
        </w:tc>
        <w:tc>
          <w:tcPr>
            <w:tcW w:w="1528" w:type="dxa"/>
            <w:shd w:val="pct5" w:color="auto" w:fill="auto"/>
          </w:tcPr>
          <w:p w14:paraId="1BE54CD2" w14:textId="77777777" w:rsidR="00D2520F" w:rsidRPr="007A3223" w:rsidRDefault="00D2520F" w:rsidP="00B462BC">
            <w:pPr>
              <w:rPr>
                <w:b/>
              </w:rPr>
            </w:pPr>
            <w:r w:rsidRPr="007A3223">
              <w:rPr>
                <w:b/>
              </w:rPr>
              <w:t>Volume blood (approx.)</w:t>
            </w:r>
          </w:p>
        </w:tc>
        <w:tc>
          <w:tcPr>
            <w:tcW w:w="1569" w:type="dxa"/>
            <w:shd w:val="pct5" w:color="auto" w:fill="auto"/>
          </w:tcPr>
          <w:p w14:paraId="46C0E0A4" w14:textId="77777777" w:rsidR="00D2520F" w:rsidRPr="007A3223" w:rsidRDefault="00D2520F" w:rsidP="00B462BC">
            <w:pPr>
              <w:rPr>
                <w:b/>
              </w:rPr>
            </w:pPr>
            <w:r w:rsidRPr="007A3223">
              <w:rPr>
                <w:b/>
              </w:rPr>
              <w:t>Type of Tube</w:t>
            </w:r>
          </w:p>
        </w:tc>
        <w:tc>
          <w:tcPr>
            <w:tcW w:w="1560" w:type="dxa"/>
            <w:shd w:val="pct5" w:color="auto" w:fill="auto"/>
          </w:tcPr>
          <w:p w14:paraId="7076D0F0" w14:textId="77777777" w:rsidR="00D2520F" w:rsidRPr="007A3223" w:rsidRDefault="00D2520F" w:rsidP="00B462BC">
            <w:pPr>
              <w:rPr>
                <w:b/>
              </w:rPr>
            </w:pPr>
            <w:r w:rsidRPr="007A3223">
              <w:rPr>
                <w:b/>
              </w:rPr>
              <w:t>Number of Tubes</w:t>
            </w:r>
          </w:p>
        </w:tc>
        <w:tc>
          <w:tcPr>
            <w:tcW w:w="1671" w:type="dxa"/>
            <w:shd w:val="pct5" w:color="auto" w:fill="auto"/>
          </w:tcPr>
          <w:p w14:paraId="193A6D78" w14:textId="77777777" w:rsidR="00D2520F" w:rsidRPr="007A3223" w:rsidRDefault="00D2520F" w:rsidP="00B462BC">
            <w:pPr>
              <w:rPr>
                <w:b/>
              </w:rPr>
            </w:pPr>
            <w:r w:rsidRPr="007A3223">
              <w:rPr>
                <w:b/>
              </w:rPr>
              <w:t>Location of specimen analysis</w:t>
            </w:r>
          </w:p>
        </w:tc>
        <w:tc>
          <w:tcPr>
            <w:tcW w:w="2188" w:type="dxa"/>
            <w:shd w:val="pct5" w:color="auto" w:fill="auto"/>
          </w:tcPr>
          <w:p w14:paraId="718645D2" w14:textId="77777777" w:rsidR="00D2520F" w:rsidRPr="007A3223" w:rsidRDefault="00D2520F" w:rsidP="00B462BC">
            <w:pPr>
              <w:rPr>
                <w:b/>
              </w:rPr>
            </w:pPr>
            <w:r w:rsidRPr="007A3223">
              <w:rPr>
                <w:b/>
              </w:rPr>
              <w:t>Collection Time Point</w:t>
            </w:r>
          </w:p>
        </w:tc>
      </w:tr>
      <w:tr w:rsidR="00D2520F" w:rsidRPr="007A3223" w14:paraId="01AC59D0" w14:textId="77777777" w:rsidTr="00B462BC">
        <w:tc>
          <w:tcPr>
            <w:tcW w:w="1739" w:type="dxa"/>
          </w:tcPr>
          <w:p w14:paraId="4EA60449" w14:textId="77777777" w:rsidR="00D2520F" w:rsidRPr="007A3223" w:rsidRDefault="00D2520F" w:rsidP="00B462BC">
            <w:pPr>
              <w:jc w:val="center"/>
            </w:pPr>
            <w:r w:rsidRPr="007A3223">
              <w:t>Chemokine and cytokine analysis</w:t>
            </w:r>
          </w:p>
        </w:tc>
        <w:tc>
          <w:tcPr>
            <w:tcW w:w="1528" w:type="dxa"/>
          </w:tcPr>
          <w:p w14:paraId="51FF4DDE" w14:textId="77777777" w:rsidR="00D2520F" w:rsidRPr="007A3223" w:rsidRDefault="00D2520F" w:rsidP="00B462BC">
            <w:pPr>
              <w:jc w:val="center"/>
            </w:pPr>
            <w:r w:rsidRPr="007A3223">
              <w:t>10 cc</w:t>
            </w:r>
          </w:p>
        </w:tc>
        <w:tc>
          <w:tcPr>
            <w:tcW w:w="1569" w:type="dxa"/>
          </w:tcPr>
          <w:p w14:paraId="4A5B2653" w14:textId="77777777" w:rsidR="00D2520F" w:rsidRPr="007A3223" w:rsidRDefault="00D2520F" w:rsidP="00B462BC">
            <w:pPr>
              <w:jc w:val="center"/>
            </w:pPr>
            <w:r w:rsidRPr="007A3223">
              <w:t>Purple</w:t>
            </w:r>
          </w:p>
        </w:tc>
        <w:tc>
          <w:tcPr>
            <w:tcW w:w="1560" w:type="dxa"/>
          </w:tcPr>
          <w:p w14:paraId="25DA0E7A" w14:textId="77777777" w:rsidR="00D2520F" w:rsidRPr="007A3223" w:rsidRDefault="00D2520F" w:rsidP="00B462BC">
            <w:pPr>
              <w:jc w:val="center"/>
            </w:pPr>
            <w:r w:rsidRPr="007A3223">
              <w:t>2</w:t>
            </w:r>
          </w:p>
        </w:tc>
        <w:tc>
          <w:tcPr>
            <w:tcW w:w="1671" w:type="dxa"/>
          </w:tcPr>
          <w:p w14:paraId="396A2D5F" w14:textId="77777777" w:rsidR="00D2520F" w:rsidRPr="007A3223" w:rsidRDefault="00D2520F" w:rsidP="00B462BC">
            <w:pPr>
              <w:jc w:val="center"/>
            </w:pPr>
            <w:r w:rsidRPr="007A3223">
              <w:t xml:space="preserve">Blood Processing Core </w:t>
            </w:r>
          </w:p>
        </w:tc>
        <w:tc>
          <w:tcPr>
            <w:tcW w:w="2188" w:type="dxa"/>
          </w:tcPr>
          <w:p w14:paraId="395B6131" w14:textId="77777777" w:rsidR="00D2520F" w:rsidRPr="007A3223" w:rsidRDefault="00D2520F" w:rsidP="00B462BC">
            <w:r w:rsidRPr="007A3223">
              <w:t>C1D1, C1D15, C3D1, Progression/end of treatment</w:t>
            </w:r>
          </w:p>
        </w:tc>
      </w:tr>
      <w:tr w:rsidR="00D2520F" w:rsidRPr="007A3223" w14:paraId="3C62AAB9" w14:textId="77777777" w:rsidTr="00B462BC">
        <w:tc>
          <w:tcPr>
            <w:tcW w:w="1739" w:type="dxa"/>
          </w:tcPr>
          <w:p w14:paraId="4BFE3F34" w14:textId="77777777" w:rsidR="00D2520F" w:rsidRPr="007A3223" w:rsidRDefault="00D2520F" w:rsidP="00B462BC">
            <w:pPr>
              <w:jc w:val="center"/>
            </w:pPr>
            <w:r w:rsidRPr="007A3223">
              <w:t>PBMC</w:t>
            </w:r>
          </w:p>
        </w:tc>
        <w:tc>
          <w:tcPr>
            <w:tcW w:w="1528" w:type="dxa"/>
          </w:tcPr>
          <w:p w14:paraId="73CB8209" w14:textId="77777777" w:rsidR="00D2520F" w:rsidRPr="007A3223" w:rsidRDefault="00D2520F" w:rsidP="00B462BC">
            <w:pPr>
              <w:jc w:val="center"/>
            </w:pPr>
            <w:r w:rsidRPr="007A3223">
              <w:t>8 cc</w:t>
            </w:r>
          </w:p>
        </w:tc>
        <w:tc>
          <w:tcPr>
            <w:tcW w:w="1569" w:type="dxa"/>
          </w:tcPr>
          <w:p w14:paraId="6148836F" w14:textId="77777777" w:rsidR="00D2520F" w:rsidRPr="007A3223" w:rsidRDefault="00D2520F" w:rsidP="00B462BC">
            <w:pPr>
              <w:jc w:val="center"/>
            </w:pPr>
            <w:r w:rsidRPr="007A3223">
              <w:t>Blue/Black</w:t>
            </w:r>
          </w:p>
        </w:tc>
        <w:tc>
          <w:tcPr>
            <w:tcW w:w="1560" w:type="dxa"/>
          </w:tcPr>
          <w:p w14:paraId="35E73661" w14:textId="77777777" w:rsidR="00D2520F" w:rsidRPr="007A3223" w:rsidRDefault="00D2520F" w:rsidP="00B462BC">
            <w:pPr>
              <w:jc w:val="center"/>
            </w:pPr>
            <w:r w:rsidRPr="007A3223">
              <w:t>2</w:t>
            </w:r>
          </w:p>
        </w:tc>
        <w:tc>
          <w:tcPr>
            <w:tcW w:w="1671" w:type="dxa"/>
          </w:tcPr>
          <w:p w14:paraId="021E0727" w14:textId="77777777" w:rsidR="00D2520F" w:rsidRPr="007A3223" w:rsidRDefault="00D2520F" w:rsidP="00B462BC">
            <w:pPr>
              <w:jc w:val="center"/>
            </w:pPr>
            <w:r w:rsidRPr="007A3223">
              <w:t>Trepel lab</w:t>
            </w:r>
          </w:p>
        </w:tc>
        <w:tc>
          <w:tcPr>
            <w:tcW w:w="2188" w:type="dxa"/>
          </w:tcPr>
          <w:p w14:paraId="55050376" w14:textId="77777777" w:rsidR="00D2520F" w:rsidRPr="007A3223" w:rsidRDefault="00D2520F" w:rsidP="00B462BC">
            <w:r w:rsidRPr="007A3223">
              <w:t>C1D1, C1D15, C3D1, Progression/end of treatment</w:t>
            </w:r>
          </w:p>
        </w:tc>
      </w:tr>
      <w:tr w:rsidR="00D2520F" w:rsidRPr="007A3223" w14:paraId="48B2DD5E" w14:textId="77777777" w:rsidTr="00B462BC">
        <w:tc>
          <w:tcPr>
            <w:tcW w:w="1739" w:type="dxa"/>
          </w:tcPr>
          <w:p w14:paraId="303C586B" w14:textId="77777777" w:rsidR="00D2520F" w:rsidRPr="007A3223" w:rsidRDefault="00D2520F" w:rsidP="00B462BC">
            <w:pPr>
              <w:jc w:val="center"/>
            </w:pPr>
            <w:r w:rsidRPr="007A3223">
              <w:t>CTC</w:t>
            </w:r>
          </w:p>
        </w:tc>
        <w:tc>
          <w:tcPr>
            <w:tcW w:w="1528" w:type="dxa"/>
          </w:tcPr>
          <w:p w14:paraId="1618D937" w14:textId="77777777" w:rsidR="00D2520F" w:rsidRPr="007A3223" w:rsidRDefault="00D2520F" w:rsidP="00B462BC">
            <w:pPr>
              <w:jc w:val="center"/>
            </w:pPr>
            <w:r w:rsidRPr="007A3223">
              <w:t>10 cc</w:t>
            </w:r>
          </w:p>
        </w:tc>
        <w:tc>
          <w:tcPr>
            <w:tcW w:w="1569" w:type="dxa"/>
          </w:tcPr>
          <w:p w14:paraId="5251CC60" w14:textId="77777777" w:rsidR="00D2520F" w:rsidRPr="007A3223" w:rsidRDefault="00D2520F" w:rsidP="00B462BC">
            <w:pPr>
              <w:jc w:val="center"/>
            </w:pPr>
            <w:r w:rsidRPr="007A3223">
              <w:t>Purple</w:t>
            </w:r>
          </w:p>
        </w:tc>
        <w:tc>
          <w:tcPr>
            <w:tcW w:w="1560" w:type="dxa"/>
          </w:tcPr>
          <w:p w14:paraId="271A5DF6" w14:textId="77777777" w:rsidR="00D2520F" w:rsidRPr="007A3223" w:rsidRDefault="00D2520F" w:rsidP="00B462BC">
            <w:pPr>
              <w:jc w:val="center"/>
            </w:pPr>
            <w:r w:rsidRPr="007A3223">
              <w:t>2</w:t>
            </w:r>
          </w:p>
        </w:tc>
        <w:tc>
          <w:tcPr>
            <w:tcW w:w="1671" w:type="dxa"/>
          </w:tcPr>
          <w:p w14:paraId="39936D1A" w14:textId="77777777" w:rsidR="00D2520F" w:rsidRPr="007A3223" w:rsidRDefault="00D2520F" w:rsidP="00B462BC">
            <w:pPr>
              <w:jc w:val="center"/>
            </w:pPr>
            <w:r w:rsidRPr="007A3223">
              <w:t>Trepel lab</w:t>
            </w:r>
          </w:p>
        </w:tc>
        <w:tc>
          <w:tcPr>
            <w:tcW w:w="2188" w:type="dxa"/>
          </w:tcPr>
          <w:p w14:paraId="67CD43E7" w14:textId="77777777" w:rsidR="00D2520F" w:rsidRPr="007A3223" w:rsidRDefault="00D2520F" w:rsidP="00B462BC">
            <w:r w:rsidRPr="007A3223">
              <w:t>C1D1, C1D15, C3D1, Progression/end of treatment</w:t>
            </w:r>
          </w:p>
        </w:tc>
      </w:tr>
      <w:tr w:rsidR="00D2520F" w:rsidRPr="007A3223" w14:paraId="0FEC736C" w14:textId="77777777" w:rsidTr="00B462BC">
        <w:tc>
          <w:tcPr>
            <w:tcW w:w="1739" w:type="dxa"/>
          </w:tcPr>
          <w:p w14:paraId="10E340EF" w14:textId="77777777" w:rsidR="00D2520F" w:rsidRPr="007A3223" w:rsidRDefault="00D2520F" w:rsidP="00B462BC">
            <w:pPr>
              <w:jc w:val="center"/>
            </w:pPr>
            <w:r w:rsidRPr="007A3223">
              <w:t>Nanostring Immune Panel</w:t>
            </w:r>
          </w:p>
        </w:tc>
        <w:tc>
          <w:tcPr>
            <w:tcW w:w="1528" w:type="dxa"/>
          </w:tcPr>
          <w:p w14:paraId="793EC5DF" w14:textId="77777777" w:rsidR="00D2520F" w:rsidRPr="007A3223" w:rsidRDefault="00D2520F" w:rsidP="00B462BC">
            <w:pPr>
              <w:jc w:val="center"/>
            </w:pPr>
            <w:r w:rsidRPr="007A3223">
              <w:t>2.5 cc</w:t>
            </w:r>
          </w:p>
        </w:tc>
        <w:tc>
          <w:tcPr>
            <w:tcW w:w="1569" w:type="dxa"/>
          </w:tcPr>
          <w:p w14:paraId="7839ECED" w14:textId="77777777" w:rsidR="00D2520F" w:rsidRPr="007A3223" w:rsidRDefault="00D2520F" w:rsidP="00B462BC">
            <w:pPr>
              <w:jc w:val="center"/>
            </w:pPr>
            <w:r w:rsidRPr="007A3223">
              <w:t>PAX red</w:t>
            </w:r>
          </w:p>
        </w:tc>
        <w:tc>
          <w:tcPr>
            <w:tcW w:w="1560" w:type="dxa"/>
          </w:tcPr>
          <w:p w14:paraId="6143361C" w14:textId="77777777" w:rsidR="00D2520F" w:rsidRPr="007A3223" w:rsidRDefault="00D2520F" w:rsidP="00B462BC">
            <w:pPr>
              <w:jc w:val="center"/>
            </w:pPr>
            <w:r w:rsidRPr="007A3223">
              <w:t>1</w:t>
            </w:r>
          </w:p>
        </w:tc>
        <w:tc>
          <w:tcPr>
            <w:tcW w:w="1671" w:type="dxa"/>
          </w:tcPr>
          <w:p w14:paraId="6A7FAD4E" w14:textId="77777777" w:rsidR="00D2520F" w:rsidRPr="007A3223" w:rsidRDefault="00D2520F" w:rsidP="00B462BC">
            <w:pPr>
              <w:jc w:val="center"/>
            </w:pPr>
            <w:r w:rsidRPr="007A3223">
              <w:t>Trepel lab</w:t>
            </w:r>
          </w:p>
        </w:tc>
        <w:tc>
          <w:tcPr>
            <w:tcW w:w="2188" w:type="dxa"/>
          </w:tcPr>
          <w:p w14:paraId="3F288112" w14:textId="77777777" w:rsidR="00D2520F" w:rsidRPr="007A3223" w:rsidRDefault="00D2520F" w:rsidP="00B462BC">
            <w:r w:rsidRPr="007A3223">
              <w:t>C1D1, C1D15, C3D1, Progression/end of treatment</w:t>
            </w:r>
          </w:p>
        </w:tc>
      </w:tr>
      <w:tr w:rsidR="00D2520F" w:rsidRPr="007A3223" w14:paraId="03BBF037" w14:textId="77777777" w:rsidTr="00B462BC">
        <w:tc>
          <w:tcPr>
            <w:tcW w:w="1739" w:type="dxa"/>
          </w:tcPr>
          <w:p w14:paraId="7D14AE94" w14:textId="77777777" w:rsidR="00D2520F" w:rsidRPr="007A3223" w:rsidRDefault="00D2520F" w:rsidP="00B462BC">
            <w:pPr>
              <w:jc w:val="center"/>
            </w:pPr>
            <w:r w:rsidRPr="007A3223">
              <w:t>PAXgene</w:t>
            </w:r>
          </w:p>
        </w:tc>
        <w:tc>
          <w:tcPr>
            <w:tcW w:w="1528" w:type="dxa"/>
          </w:tcPr>
          <w:p w14:paraId="1D7A5463" w14:textId="77777777" w:rsidR="00D2520F" w:rsidRPr="007A3223" w:rsidRDefault="00D2520F" w:rsidP="00B462BC">
            <w:pPr>
              <w:jc w:val="center"/>
            </w:pPr>
            <w:r w:rsidRPr="007A3223">
              <w:t>2.5 cc</w:t>
            </w:r>
          </w:p>
        </w:tc>
        <w:tc>
          <w:tcPr>
            <w:tcW w:w="1569" w:type="dxa"/>
          </w:tcPr>
          <w:p w14:paraId="79040DBD" w14:textId="77777777" w:rsidR="00D2520F" w:rsidRPr="007A3223" w:rsidRDefault="00D2520F" w:rsidP="00B462BC">
            <w:pPr>
              <w:jc w:val="center"/>
            </w:pPr>
            <w:r w:rsidRPr="007A3223">
              <w:t>PAX red</w:t>
            </w:r>
          </w:p>
        </w:tc>
        <w:tc>
          <w:tcPr>
            <w:tcW w:w="1560" w:type="dxa"/>
          </w:tcPr>
          <w:p w14:paraId="2B8FF935" w14:textId="77777777" w:rsidR="00D2520F" w:rsidRPr="007A3223" w:rsidRDefault="00D2520F" w:rsidP="00B462BC">
            <w:pPr>
              <w:jc w:val="center"/>
            </w:pPr>
            <w:r w:rsidRPr="007A3223">
              <w:t>1</w:t>
            </w:r>
          </w:p>
        </w:tc>
        <w:tc>
          <w:tcPr>
            <w:tcW w:w="1671" w:type="dxa"/>
          </w:tcPr>
          <w:p w14:paraId="4D582F4F" w14:textId="77777777" w:rsidR="00D2520F" w:rsidRPr="007A3223" w:rsidRDefault="00D2520F" w:rsidP="00B462BC">
            <w:pPr>
              <w:jc w:val="center"/>
            </w:pPr>
            <w:r w:rsidRPr="007A3223">
              <w:t xml:space="preserve">Trepel lab </w:t>
            </w:r>
          </w:p>
        </w:tc>
        <w:tc>
          <w:tcPr>
            <w:tcW w:w="2188" w:type="dxa"/>
          </w:tcPr>
          <w:p w14:paraId="4B1BC75C" w14:textId="77777777" w:rsidR="00D2520F" w:rsidRPr="007A3223" w:rsidRDefault="00D2520F" w:rsidP="00B462BC">
            <w:r w:rsidRPr="007A3223">
              <w:t>On-study, post cycle 2</w:t>
            </w:r>
          </w:p>
        </w:tc>
      </w:tr>
      <w:tr w:rsidR="00D2520F" w:rsidRPr="007A3223" w14:paraId="3F55F871" w14:textId="77777777" w:rsidTr="00B462BC">
        <w:tc>
          <w:tcPr>
            <w:tcW w:w="1739" w:type="dxa"/>
          </w:tcPr>
          <w:p w14:paraId="43FE7B4E" w14:textId="77777777" w:rsidR="00D2520F" w:rsidRPr="007A3223" w:rsidRDefault="00D2520F" w:rsidP="00B462BC">
            <w:pPr>
              <w:jc w:val="center"/>
            </w:pPr>
            <w:r w:rsidRPr="007A3223">
              <w:t>Tumor biopsy</w:t>
            </w:r>
          </w:p>
        </w:tc>
        <w:tc>
          <w:tcPr>
            <w:tcW w:w="1528" w:type="dxa"/>
          </w:tcPr>
          <w:p w14:paraId="14CD37C1" w14:textId="77777777" w:rsidR="00D2520F" w:rsidRPr="007A3223" w:rsidRDefault="00D2520F" w:rsidP="00B462BC">
            <w:pPr>
              <w:jc w:val="center"/>
            </w:pPr>
            <w:r w:rsidRPr="007A3223">
              <w:t>NA</w:t>
            </w:r>
          </w:p>
        </w:tc>
        <w:tc>
          <w:tcPr>
            <w:tcW w:w="1569" w:type="dxa"/>
          </w:tcPr>
          <w:p w14:paraId="1FE0A77B" w14:textId="77777777" w:rsidR="00D2520F" w:rsidRPr="007A3223" w:rsidRDefault="00D2520F" w:rsidP="00B462BC">
            <w:pPr>
              <w:jc w:val="center"/>
            </w:pPr>
            <w:r w:rsidRPr="007A3223">
              <w:t>NA</w:t>
            </w:r>
          </w:p>
        </w:tc>
        <w:tc>
          <w:tcPr>
            <w:tcW w:w="1560" w:type="dxa"/>
          </w:tcPr>
          <w:p w14:paraId="0885CE49" w14:textId="77777777" w:rsidR="00D2520F" w:rsidRPr="007A3223" w:rsidRDefault="00D2520F" w:rsidP="00B462BC">
            <w:pPr>
              <w:jc w:val="center"/>
            </w:pPr>
            <w:r w:rsidRPr="007A3223">
              <w:t>NA</w:t>
            </w:r>
          </w:p>
        </w:tc>
        <w:tc>
          <w:tcPr>
            <w:tcW w:w="1671" w:type="dxa"/>
          </w:tcPr>
          <w:p w14:paraId="10478DA1" w14:textId="77777777" w:rsidR="00D2520F" w:rsidRPr="007A3223" w:rsidRDefault="00D2520F" w:rsidP="00B462BC">
            <w:pPr>
              <w:jc w:val="center"/>
            </w:pPr>
            <w:r w:rsidRPr="007A3223">
              <w:t xml:space="preserve">Laboratory of Pathology,  and Meltzer lab (if sufficient </w:t>
            </w:r>
            <w:r w:rsidRPr="007A3223">
              <w:lastRenderedPageBreak/>
              <w:t>sample) and/or Kelly lab (if sufficient sample)</w:t>
            </w:r>
          </w:p>
        </w:tc>
        <w:tc>
          <w:tcPr>
            <w:tcW w:w="2188" w:type="dxa"/>
          </w:tcPr>
          <w:p w14:paraId="24111B6D" w14:textId="77777777" w:rsidR="00D2520F" w:rsidRPr="007A3223" w:rsidRDefault="00D2520F" w:rsidP="00B462BC">
            <w:r w:rsidRPr="007A3223">
              <w:lastRenderedPageBreak/>
              <w:t>Mandatory baseline</w:t>
            </w:r>
          </w:p>
        </w:tc>
      </w:tr>
      <w:tr w:rsidR="00D2520F" w:rsidRPr="007A3223" w14:paraId="489C92BF" w14:textId="77777777" w:rsidTr="00B462BC">
        <w:tc>
          <w:tcPr>
            <w:tcW w:w="1739" w:type="dxa"/>
          </w:tcPr>
          <w:p w14:paraId="6028EAB4" w14:textId="77777777" w:rsidR="00D2520F" w:rsidRPr="007A3223" w:rsidRDefault="00D2520F" w:rsidP="00B462BC">
            <w:pPr>
              <w:jc w:val="center"/>
            </w:pPr>
            <w:r w:rsidRPr="007A3223">
              <w:t>Oragene Saliva Kit</w:t>
            </w:r>
          </w:p>
        </w:tc>
        <w:tc>
          <w:tcPr>
            <w:tcW w:w="1528" w:type="dxa"/>
          </w:tcPr>
          <w:p w14:paraId="1CC0EB90" w14:textId="77777777" w:rsidR="00D2520F" w:rsidRPr="007A3223" w:rsidRDefault="00D2520F" w:rsidP="00B462BC">
            <w:pPr>
              <w:jc w:val="center"/>
            </w:pPr>
            <w:r w:rsidRPr="007A3223">
              <w:t>NA</w:t>
            </w:r>
          </w:p>
        </w:tc>
        <w:tc>
          <w:tcPr>
            <w:tcW w:w="1569" w:type="dxa"/>
          </w:tcPr>
          <w:p w14:paraId="3019A391" w14:textId="77777777" w:rsidR="00D2520F" w:rsidRPr="007A3223" w:rsidRDefault="00D2520F" w:rsidP="00B462BC">
            <w:pPr>
              <w:jc w:val="center"/>
            </w:pPr>
            <w:r w:rsidRPr="007A3223">
              <w:t>NA</w:t>
            </w:r>
          </w:p>
        </w:tc>
        <w:tc>
          <w:tcPr>
            <w:tcW w:w="1560" w:type="dxa"/>
          </w:tcPr>
          <w:p w14:paraId="62A4CA9D" w14:textId="77777777" w:rsidR="00D2520F" w:rsidRPr="007A3223" w:rsidRDefault="00D2520F" w:rsidP="00B462BC">
            <w:pPr>
              <w:jc w:val="center"/>
            </w:pPr>
            <w:r w:rsidRPr="007A3223">
              <w:t>NA</w:t>
            </w:r>
          </w:p>
        </w:tc>
        <w:tc>
          <w:tcPr>
            <w:tcW w:w="1671" w:type="dxa"/>
          </w:tcPr>
          <w:p w14:paraId="66FDDA2D" w14:textId="77777777" w:rsidR="00D2520F" w:rsidRPr="007A3223" w:rsidRDefault="00D2520F" w:rsidP="00B462BC">
            <w:pPr>
              <w:jc w:val="center"/>
            </w:pPr>
            <w:r w:rsidRPr="007A3223">
              <w:t>Meltzer lab</w:t>
            </w:r>
          </w:p>
        </w:tc>
        <w:tc>
          <w:tcPr>
            <w:tcW w:w="2188" w:type="dxa"/>
          </w:tcPr>
          <w:p w14:paraId="33A7D4D4" w14:textId="77777777" w:rsidR="00D2520F" w:rsidRPr="007A3223" w:rsidRDefault="00D2520F" w:rsidP="00B462BC">
            <w:r w:rsidRPr="007A3223">
              <w:t xml:space="preserve">One time sample on-study or during treatment </w:t>
            </w:r>
          </w:p>
        </w:tc>
      </w:tr>
    </w:tbl>
    <w:p w14:paraId="5722763C" w14:textId="70484C78" w:rsidR="00D2520F" w:rsidRPr="00BF79D2" w:rsidRDefault="00D2520F" w:rsidP="00162A64"/>
    <w:p w14:paraId="5A4F9901" w14:textId="7F98FC76" w:rsidR="00D2520F" w:rsidRPr="00BF79D2" w:rsidRDefault="00D2520F" w:rsidP="00162A64"/>
    <w:p w14:paraId="2E60B82A" w14:textId="77777777" w:rsidR="00162A64" w:rsidRPr="00F33908" w:rsidRDefault="00162A64" w:rsidP="00ED703B">
      <w:pPr>
        <w:pStyle w:val="Heading2"/>
      </w:pPr>
      <w:bookmarkStart w:id="235" w:name="_Toc82444366"/>
      <w:r w:rsidRPr="007A3223">
        <w:t>Rationale for Selected Endpoints</w:t>
      </w:r>
      <w:bookmarkEnd w:id="235"/>
      <w:r w:rsidRPr="007A3223">
        <w:t xml:space="preserve"> </w:t>
      </w:r>
    </w:p>
    <w:p w14:paraId="4F85DEE6" w14:textId="636D762F" w:rsidR="00162A64" w:rsidRPr="00F33908" w:rsidRDefault="00162A64" w:rsidP="00162A64">
      <w:pPr>
        <w:rPr>
          <w:szCs w:val="24"/>
        </w:rPr>
      </w:pPr>
      <w:r w:rsidRPr="00F33908">
        <w:rPr>
          <w:szCs w:val="24"/>
        </w:rPr>
        <w:t xml:space="preserve">See section </w:t>
      </w:r>
      <w:r w:rsidR="00307B04" w:rsidRPr="007A3223">
        <w:fldChar w:fldCharType="begin"/>
      </w:r>
      <w:r w:rsidR="00307B04" w:rsidRPr="007A3223">
        <w:instrText xml:space="preserve"> REF _Ref405283777 \r \h  \* MERGEFORMAT </w:instrText>
      </w:r>
      <w:r w:rsidR="00307B04" w:rsidRPr="007A3223">
        <w:fldChar w:fldCharType="separate"/>
      </w:r>
      <w:r w:rsidR="00E47ACA" w:rsidRPr="00E47ACA">
        <w:rPr>
          <w:b/>
          <w:color w:val="0000FF"/>
          <w:szCs w:val="24"/>
        </w:rPr>
        <w:t>1.3</w:t>
      </w:r>
      <w:r w:rsidR="00307B04" w:rsidRPr="007A3223">
        <w:fldChar w:fldCharType="end"/>
      </w:r>
      <w:r w:rsidR="00783250" w:rsidRPr="007A3223">
        <w:rPr>
          <w:b/>
          <w:color w:val="0000FF"/>
          <w:szCs w:val="24"/>
        </w:rPr>
        <w:t xml:space="preserve"> </w:t>
      </w:r>
      <w:r w:rsidRPr="007A3223">
        <w:rPr>
          <w:szCs w:val="24"/>
        </w:rPr>
        <w:t xml:space="preserve">for details. </w:t>
      </w:r>
    </w:p>
    <w:p w14:paraId="5DC50DDF" w14:textId="77777777" w:rsidR="00162A64" w:rsidRPr="007A3223" w:rsidRDefault="00162A64" w:rsidP="00ED703B">
      <w:pPr>
        <w:pStyle w:val="Heading2"/>
      </w:pPr>
      <w:bookmarkStart w:id="236" w:name="_Ref39047634"/>
      <w:bookmarkStart w:id="237" w:name="_Toc82444367"/>
      <w:r w:rsidRPr="007A3223">
        <w:t xml:space="preserve">Tumor biopsies </w:t>
      </w:r>
      <w:bookmarkStart w:id="238" w:name="_Hlk43738435"/>
      <w:r w:rsidRPr="007A3223">
        <w:t xml:space="preserve">(phase </w:t>
      </w:r>
      <w:r w:rsidR="002F2BD0" w:rsidRPr="007A3223">
        <w:t>II</w:t>
      </w:r>
      <w:r w:rsidRPr="007A3223">
        <w:t xml:space="preserve"> study only)</w:t>
      </w:r>
      <w:bookmarkEnd w:id="236"/>
      <w:bookmarkEnd w:id="237"/>
    </w:p>
    <w:bookmarkEnd w:id="238"/>
    <w:p w14:paraId="6BB20890" w14:textId="77777777" w:rsidR="00162A64" w:rsidRPr="007A3223" w:rsidRDefault="00162A64" w:rsidP="00F95D4B">
      <w:pPr>
        <w:rPr>
          <w:u w:val="single"/>
        </w:rPr>
      </w:pPr>
      <w:r w:rsidRPr="007A3223">
        <w:rPr>
          <w:u w:val="single"/>
        </w:rPr>
        <w:t xml:space="preserve">Timing* </w:t>
      </w:r>
    </w:p>
    <w:p w14:paraId="27FF7360" w14:textId="77777777" w:rsidR="00162A64" w:rsidRPr="007A3223" w:rsidRDefault="00162A64" w:rsidP="00162A64">
      <w:pPr>
        <w:spacing w:after="0"/>
      </w:pPr>
      <w:r w:rsidRPr="007A3223">
        <w:t>Biopsies will be performed at the following times:</w:t>
      </w:r>
    </w:p>
    <w:p w14:paraId="0DF9F57B" w14:textId="77777777" w:rsidR="00162A64" w:rsidRPr="007A3223" w:rsidRDefault="00162A64" w:rsidP="00162A64">
      <w:pPr>
        <w:tabs>
          <w:tab w:val="left" w:pos="360"/>
        </w:tabs>
        <w:spacing w:after="0"/>
      </w:pPr>
      <w:r w:rsidRPr="007A3223">
        <w:t>•</w:t>
      </w:r>
      <w:r w:rsidRPr="007A3223">
        <w:tab/>
        <w:t>Mandatory – after consent, prior to treatment on cycle 1 day 1</w:t>
      </w:r>
      <w:r w:rsidR="00350331" w:rsidRPr="007A3223">
        <w:t xml:space="preserve"> </w:t>
      </w:r>
    </w:p>
    <w:p w14:paraId="494B2DB9" w14:textId="77777777" w:rsidR="008D2AC2" w:rsidRPr="007A3223" w:rsidRDefault="00162A64" w:rsidP="00162A64">
      <w:pPr>
        <w:tabs>
          <w:tab w:val="left" w:pos="360"/>
        </w:tabs>
        <w:spacing w:after="0"/>
        <w:rPr>
          <w:szCs w:val="24"/>
        </w:rPr>
      </w:pPr>
      <w:r w:rsidRPr="007A3223">
        <w:t>•</w:t>
      </w:r>
      <w:r w:rsidRPr="007A3223">
        <w:tab/>
        <w:t xml:space="preserve">Optional - </w:t>
      </w:r>
      <w:r w:rsidR="004D0093" w:rsidRPr="007A3223">
        <w:rPr>
          <w:szCs w:val="24"/>
        </w:rPr>
        <w:t xml:space="preserve">prior to </w:t>
      </w:r>
      <w:r w:rsidR="00AF7142" w:rsidRPr="007A3223">
        <w:rPr>
          <w:szCs w:val="24"/>
        </w:rPr>
        <w:t>cycle 1 day 15</w:t>
      </w:r>
      <w:r w:rsidR="008F26EF" w:rsidRPr="007A3223">
        <w:rPr>
          <w:szCs w:val="24"/>
        </w:rPr>
        <w:t xml:space="preserve"> +/- 48 hours</w:t>
      </w:r>
    </w:p>
    <w:p w14:paraId="6425FB54" w14:textId="77777777" w:rsidR="00162A64" w:rsidRPr="007A3223" w:rsidRDefault="00162A64" w:rsidP="00162A64">
      <w:pPr>
        <w:tabs>
          <w:tab w:val="left" w:pos="360"/>
        </w:tabs>
        <w:spacing w:after="0"/>
      </w:pPr>
      <w:r w:rsidRPr="007A3223">
        <w:t>•</w:t>
      </w:r>
      <w:r w:rsidRPr="007A3223">
        <w:tab/>
        <w:t xml:space="preserve">Optional - at the time of progression </w:t>
      </w:r>
    </w:p>
    <w:p w14:paraId="2027BFA7" w14:textId="77777777" w:rsidR="00162A64" w:rsidRPr="007A3223" w:rsidRDefault="00162A64" w:rsidP="00162A64">
      <w:pPr>
        <w:spacing w:after="0"/>
      </w:pPr>
    </w:p>
    <w:p w14:paraId="2FF01FFE" w14:textId="77777777" w:rsidR="00162A64" w:rsidRPr="007A3223" w:rsidRDefault="00162A64" w:rsidP="00162A64">
      <w:pPr>
        <w:spacing w:after="0"/>
      </w:pPr>
      <w:r w:rsidRPr="007A3223">
        <w:t>*Biopsies may be not performed on the specific dates and times due to the following reasons, including but not limited to, delayed recovery of hematologic toxicities, delayed clinic schedule, or national holidays.</w:t>
      </w:r>
    </w:p>
    <w:p w14:paraId="2A082133" w14:textId="21AD8FA7" w:rsidR="00634653" w:rsidRPr="007A3223" w:rsidRDefault="00634653" w:rsidP="00162A64">
      <w:pPr>
        <w:spacing w:after="0"/>
      </w:pPr>
      <w:bookmarkStart w:id="239" w:name="_Hlk43475370"/>
      <w:r w:rsidRPr="007A3223">
        <w:t>*</w:t>
      </w:r>
      <w:r w:rsidR="00891FFC" w:rsidRPr="007A3223">
        <w:t xml:space="preserve"> See </w:t>
      </w:r>
      <w:r w:rsidR="001154EF" w:rsidRPr="007A3223">
        <w:rPr>
          <w:b/>
          <w:color w:val="0000FF"/>
        </w:rPr>
        <w:fldChar w:fldCharType="begin"/>
      </w:r>
      <w:r w:rsidR="001154EF" w:rsidRPr="007A3223">
        <w:rPr>
          <w:b/>
          <w:color w:val="0000FF"/>
        </w:rPr>
        <w:instrText xml:space="preserve"> REF _Ref456702530 \h </w:instrText>
      </w:r>
      <w:r w:rsidR="00FC337A" w:rsidRPr="007A3223">
        <w:rPr>
          <w:b/>
          <w:color w:val="0000FF"/>
        </w:rPr>
        <w:instrText xml:space="preserve"> \* MERGEFORMAT </w:instrText>
      </w:r>
      <w:r w:rsidR="001154EF" w:rsidRPr="007A3223">
        <w:rPr>
          <w:b/>
          <w:color w:val="0000FF"/>
        </w:rPr>
      </w:r>
      <w:r w:rsidR="001154EF" w:rsidRPr="007A3223">
        <w:rPr>
          <w:b/>
          <w:color w:val="0000FF"/>
        </w:rPr>
        <w:fldChar w:fldCharType="separate"/>
      </w:r>
      <w:r w:rsidR="00E47ACA" w:rsidRPr="00E47ACA">
        <w:rPr>
          <w:b/>
          <w:color w:val="0000FF"/>
        </w:rPr>
        <w:t xml:space="preserve">Figure </w:t>
      </w:r>
      <w:r w:rsidR="00E47ACA" w:rsidRPr="00E47ACA">
        <w:rPr>
          <w:b/>
          <w:noProof/>
          <w:color w:val="0000FF"/>
        </w:rPr>
        <w:t>9</w:t>
      </w:r>
      <w:r w:rsidR="001154EF" w:rsidRPr="007A3223">
        <w:rPr>
          <w:b/>
          <w:color w:val="0000FF"/>
        </w:rPr>
        <w:fldChar w:fldCharType="end"/>
      </w:r>
      <w:r w:rsidR="00FC337A" w:rsidRPr="007A3223">
        <w:t xml:space="preserve"> </w:t>
      </w:r>
      <w:r w:rsidR="00891FFC" w:rsidRPr="007A3223">
        <w:t xml:space="preserve">for </w:t>
      </w:r>
      <w:r w:rsidR="000E6D5A" w:rsidRPr="00F33908">
        <w:t xml:space="preserve">the </w:t>
      </w:r>
      <w:r w:rsidR="00891FFC" w:rsidRPr="00F33908">
        <w:t xml:space="preserve">biopsy time points </w:t>
      </w:r>
      <w:r w:rsidR="000E6D5A" w:rsidRPr="007A3223">
        <w:t>of</w:t>
      </w:r>
      <w:r w:rsidR="00891FFC" w:rsidRPr="007A3223">
        <w:t xml:space="preserve"> CRC cohort. </w:t>
      </w:r>
    </w:p>
    <w:bookmarkEnd w:id="239"/>
    <w:p w14:paraId="14EE77C6" w14:textId="77777777" w:rsidR="00162A64" w:rsidRPr="007A3223" w:rsidRDefault="00162A64" w:rsidP="00162A64">
      <w:pPr>
        <w:spacing w:after="0"/>
      </w:pPr>
    </w:p>
    <w:p w14:paraId="1B759D08" w14:textId="77777777" w:rsidR="00162A64" w:rsidRPr="007A3223" w:rsidRDefault="00162A64" w:rsidP="00F95D4B">
      <w:pPr>
        <w:rPr>
          <w:u w:val="single"/>
        </w:rPr>
      </w:pPr>
      <w:r w:rsidRPr="007A3223">
        <w:rPr>
          <w:u w:val="single"/>
        </w:rPr>
        <w:t>Tissue Sampling and Handling</w:t>
      </w:r>
    </w:p>
    <w:p w14:paraId="0A15F4EE" w14:textId="77777777" w:rsidR="00162A64" w:rsidRPr="007A3223" w:rsidRDefault="00162A64" w:rsidP="00FB66BA">
      <w:pPr>
        <w:pStyle w:val="ListParagraph"/>
        <w:numPr>
          <w:ilvl w:val="0"/>
          <w:numId w:val="27"/>
        </w:numPr>
        <w:ind w:left="360"/>
      </w:pPr>
      <w:r w:rsidRPr="007A3223">
        <w:t>Attempts will be made to obtain up to four cores if safe and feasible, which will be frozen for research studies. These tumor core biopsies will be obtained percutaneously or per vagina through interventional radiology as long as considered minimal surgical risk. Two 3-millimeter punch biopsies of skin will be acceptable in lieu of 18 gauge core biopsies for patients with skin involvement. Inability to get tissue with a reasonable attempt will not preclude treatment and the patient will remain eligible for all other translational components.</w:t>
      </w:r>
    </w:p>
    <w:p w14:paraId="574176BA" w14:textId="77777777" w:rsidR="00162A64" w:rsidRPr="007A3223" w:rsidRDefault="00162A64" w:rsidP="00FB66BA">
      <w:pPr>
        <w:pStyle w:val="ListParagraph"/>
        <w:numPr>
          <w:ilvl w:val="0"/>
          <w:numId w:val="27"/>
        </w:numPr>
        <w:ind w:left="360"/>
      </w:pPr>
      <w:r w:rsidRPr="007A3223">
        <w:t>The use of imaging to facilitate biopsies will be decided upon by members of the interventional radiology team. Should CT scans be needed for biopsy, a limit of 10 scans for each procedure will be observed to minimize radiation exposure to the patient.</w:t>
      </w:r>
    </w:p>
    <w:p w14:paraId="0574A786" w14:textId="269AAA16" w:rsidR="00162A64" w:rsidRPr="007A3223" w:rsidRDefault="00644618" w:rsidP="00FB66BA">
      <w:pPr>
        <w:pStyle w:val="ListParagraph"/>
        <w:numPr>
          <w:ilvl w:val="0"/>
          <w:numId w:val="27"/>
        </w:numPr>
        <w:ind w:left="360"/>
      </w:pPr>
      <w:r w:rsidRPr="007A3223">
        <w:rPr>
          <w:u w:val="single"/>
        </w:rPr>
        <w:lastRenderedPageBreak/>
        <w:t>For Phase II OvCa and TNBC cohorts</w:t>
      </w:r>
      <w:r w:rsidR="0089253C" w:rsidRPr="007A3223">
        <w:rPr>
          <w:u w:val="single"/>
        </w:rPr>
        <w:t xml:space="preserve"> 1 and 5</w:t>
      </w:r>
      <w:r w:rsidRPr="007A3223">
        <w:t>: t</w:t>
      </w:r>
      <w:r w:rsidR="00162A64" w:rsidRPr="007A3223">
        <w:t xml:space="preserve">he schedule for the biopsies will be made with Special Procedures (Dr. Brad Wood). Members of the Lee lab will be on call to receive and embed biopsies: </w:t>
      </w:r>
      <w:r w:rsidR="00A13B7A" w:rsidRPr="007A3223">
        <w:t>jayakumar.nair@nih.gov</w:t>
      </w:r>
      <w:r w:rsidR="00162A64" w:rsidRPr="007A3223">
        <w:t xml:space="preserve">, Phone (301) </w:t>
      </w:r>
      <w:r w:rsidR="00A13B7A" w:rsidRPr="007A3223">
        <w:t>451-8403</w:t>
      </w:r>
      <w:r w:rsidR="00162A64" w:rsidRPr="007A3223">
        <w:t>, beeper 102-11155. The biopsies are to be immediately embedded, frozen, and stored</w:t>
      </w:r>
      <w:r w:rsidR="007E2667" w:rsidRPr="007A3223">
        <w:t>, barcoded,</w:t>
      </w:r>
      <w:r w:rsidR="00162A64" w:rsidRPr="007A3223">
        <w:t xml:space="preserve"> in the Lee lab at -80 </w:t>
      </w:r>
      <w:r w:rsidR="00162A64" w:rsidRPr="007A3223">
        <w:rPr>
          <w:vertAlign w:val="superscript"/>
        </w:rPr>
        <w:t>o</w:t>
      </w:r>
      <w:r w:rsidR="00162A64" w:rsidRPr="007A3223">
        <w:t xml:space="preserve">C on site </w:t>
      </w:r>
      <w:r w:rsidR="007E2667" w:rsidRPr="007A3223">
        <w:t xml:space="preserve">until use </w:t>
      </w:r>
      <w:r w:rsidR="00162A64" w:rsidRPr="007A3223">
        <w:t>according to our laboratory SOP</w:t>
      </w:r>
      <w:r w:rsidR="007A608F" w:rsidRPr="007A3223">
        <w:rPr>
          <w:lang w:val="en-US"/>
        </w:rPr>
        <w:t xml:space="preserve"> (</w:t>
      </w:r>
      <w:r w:rsidR="007A608F" w:rsidRPr="007A3223">
        <w:rPr>
          <w:b/>
          <w:color w:val="0000FF"/>
          <w:lang w:val="en-US"/>
        </w:rPr>
        <w:fldChar w:fldCharType="begin"/>
      </w:r>
      <w:r w:rsidR="007A608F" w:rsidRPr="007A3223">
        <w:rPr>
          <w:b/>
          <w:color w:val="0000FF"/>
          <w:lang w:val="en-US"/>
        </w:rPr>
        <w:instrText xml:space="preserve"> REF _Ref3299321 \h  \* MERGEFORMAT </w:instrText>
      </w:r>
      <w:r w:rsidR="007A608F" w:rsidRPr="007A3223">
        <w:rPr>
          <w:b/>
          <w:color w:val="0000FF"/>
          <w:lang w:val="en-US"/>
        </w:rPr>
      </w:r>
      <w:r w:rsidR="007A608F" w:rsidRPr="007A3223">
        <w:rPr>
          <w:b/>
          <w:color w:val="0000FF"/>
          <w:lang w:val="en-US"/>
        </w:rPr>
        <w:fldChar w:fldCharType="separate"/>
      </w:r>
      <w:r w:rsidR="00E47ACA" w:rsidRPr="00E47ACA">
        <w:rPr>
          <w:b/>
          <w:color w:val="0000FF"/>
        </w:rPr>
        <w:t xml:space="preserve">Appendix </w:t>
      </w:r>
      <w:r w:rsidR="00E47ACA" w:rsidRPr="00E47ACA">
        <w:rPr>
          <w:b/>
          <w:noProof/>
          <w:color w:val="0000FF"/>
        </w:rPr>
        <w:t>G</w:t>
      </w:r>
      <w:r w:rsidR="007A608F" w:rsidRPr="007A3223">
        <w:rPr>
          <w:b/>
          <w:color w:val="0000FF"/>
          <w:lang w:val="en-US"/>
        </w:rPr>
        <w:fldChar w:fldCharType="end"/>
      </w:r>
      <w:r w:rsidR="007A608F" w:rsidRPr="007A3223">
        <w:rPr>
          <w:lang w:val="en-US"/>
        </w:rPr>
        <w:t>)</w:t>
      </w:r>
      <w:r w:rsidR="00162A64" w:rsidRPr="00F33908">
        <w:t>.</w:t>
      </w:r>
      <w:r w:rsidR="00F62020" w:rsidRPr="00F33908">
        <w:t xml:space="preserve"> </w:t>
      </w:r>
      <w:r w:rsidR="00312805" w:rsidRPr="007A3223">
        <w:t>At least one tissue core</w:t>
      </w:r>
      <w:r w:rsidR="008836FA" w:rsidRPr="007A3223">
        <w:t xml:space="preserve"> will be paraffin-embedded</w:t>
      </w:r>
      <w:r w:rsidR="00312805" w:rsidRPr="007A3223">
        <w:t>,</w:t>
      </w:r>
      <w:r w:rsidR="008836FA" w:rsidRPr="007A3223">
        <w:t xml:space="preserve"> barcoded</w:t>
      </w:r>
      <w:r w:rsidR="00312805" w:rsidRPr="007A3223">
        <w:t xml:space="preserve"> and stored</w:t>
      </w:r>
      <w:r w:rsidR="008836FA" w:rsidRPr="007A3223">
        <w:t xml:space="preserve"> in the Lee lab until use (</w:t>
      </w:r>
      <w:r w:rsidR="00C17400" w:rsidRPr="007A3223">
        <w:rPr>
          <w:b/>
          <w:color w:val="0000FF"/>
        </w:rPr>
        <w:fldChar w:fldCharType="begin"/>
      </w:r>
      <w:r w:rsidR="00C17400" w:rsidRPr="007A3223">
        <w:rPr>
          <w:b/>
          <w:color w:val="0000FF"/>
        </w:rPr>
        <w:instrText xml:space="preserve"> REF H \h  \* MERGEFORMAT </w:instrText>
      </w:r>
      <w:r w:rsidR="00C17400" w:rsidRPr="007A3223">
        <w:rPr>
          <w:b/>
          <w:color w:val="0000FF"/>
        </w:rPr>
      </w:r>
      <w:r w:rsidR="00C17400" w:rsidRPr="007A3223">
        <w:rPr>
          <w:b/>
          <w:color w:val="0000FF"/>
        </w:rPr>
        <w:fldChar w:fldCharType="separate"/>
      </w:r>
      <w:r w:rsidR="00E47ACA" w:rsidRPr="00E47ACA">
        <w:rPr>
          <w:b/>
          <w:color w:val="0000FF"/>
        </w:rPr>
        <w:t>APPENDIX H</w:t>
      </w:r>
      <w:r w:rsidR="00C17400" w:rsidRPr="007A3223">
        <w:rPr>
          <w:b/>
          <w:color w:val="0000FF"/>
        </w:rPr>
        <w:fldChar w:fldCharType="end"/>
      </w:r>
      <w:r w:rsidR="008836FA" w:rsidRPr="007A3223">
        <w:t>).</w:t>
      </w:r>
    </w:p>
    <w:p w14:paraId="674B6D02" w14:textId="7DF23E31" w:rsidR="00644618" w:rsidRPr="007A3223" w:rsidRDefault="00644618" w:rsidP="00FB66BA">
      <w:pPr>
        <w:pStyle w:val="ListParagraph"/>
        <w:numPr>
          <w:ilvl w:val="0"/>
          <w:numId w:val="27"/>
        </w:numPr>
        <w:ind w:left="360"/>
      </w:pPr>
      <w:r w:rsidRPr="00F33908">
        <w:rPr>
          <w:u w:val="single"/>
        </w:rPr>
        <w:t>For Phase II NSCLC or SCLC cohorts</w:t>
      </w:r>
      <w:r w:rsidR="0089253C" w:rsidRPr="00F33908">
        <w:rPr>
          <w:u w:val="single"/>
        </w:rPr>
        <w:t xml:space="preserve"> 2 an</w:t>
      </w:r>
      <w:r w:rsidR="0089253C" w:rsidRPr="007A3223">
        <w:rPr>
          <w:u w:val="single"/>
        </w:rPr>
        <w:t>d 3</w:t>
      </w:r>
      <w:r w:rsidRPr="007A3223">
        <w:t>: the Trepel lab will be contacted by email to trepel@helix.nih.gov and Sunmin Lee</w:t>
      </w:r>
      <w:r w:rsidR="00FE0CFC" w:rsidRPr="007A3223">
        <w:t>;</w:t>
      </w:r>
      <w:r w:rsidRPr="007A3223">
        <w:t xml:space="preserve"> lees@pop.nci.nih.gov. Interventional Radiology will call the lab at </w:t>
      </w:r>
      <w:r w:rsidR="00096537" w:rsidRPr="007A3223">
        <w:t>240-760-6330</w:t>
      </w:r>
      <w:r w:rsidRPr="007A3223">
        <w:t xml:space="preserve"> when the patient arrives in IR and a lab member will be present at Interventional Radiology for the procedure. The cores will be flash frozen, 2D barcoded, and stored in liquid nitrogen. Additional core biopsies in liquid nitrogen will be obtained at each biopsy time point if deemed safe and feasible to study changes in the tumor microenvironment and gene expression after treatment with </w:t>
      </w:r>
      <w:r w:rsidR="00F41446">
        <w:rPr>
          <w:lang w:val="en-US"/>
        </w:rPr>
        <w:t>Durvalumab</w:t>
      </w:r>
      <w:r w:rsidRPr="007A3223">
        <w:t xml:space="preserve"> and olaparib. These samples will be used for future correlative studies including whole exome and transcriptome sequencing.</w:t>
      </w:r>
    </w:p>
    <w:p w14:paraId="53A1E1CF" w14:textId="067FD50C" w:rsidR="00644618" w:rsidRPr="007A3223" w:rsidRDefault="00644618" w:rsidP="00FB66BA">
      <w:pPr>
        <w:pStyle w:val="ListParagraph"/>
        <w:numPr>
          <w:ilvl w:val="0"/>
          <w:numId w:val="27"/>
        </w:numPr>
        <w:ind w:left="360"/>
      </w:pPr>
      <w:r w:rsidRPr="007A3223">
        <w:rPr>
          <w:u w:val="single"/>
        </w:rPr>
        <w:t>For Phase II mCRPC cohort</w:t>
      </w:r>
      <w:r w:rsidR="0089253C" w:rsidRPr="007A3223">
        <w:rPr>
          <w:u w:val="single"/>
        </w:rPr>
        <w:t xml:space="preserve"> 4</w:t>
      </w:r>
      <w:r w:rsidRPr="007A3223">
        <w:t xml:space="preserve">: core biopsies will be obtained via Interventional Radiology and members of the Kelly lab will be on call to receive the biopsies: </w:t>
      </w:r>
      <w:hyperlink r:id="rId47" w:history="1">
        <w:r w:rsidRPr="007A3223">
          <w:rPr>
            <w:rStyle w:val="Hyperlink"/>
          </w:rPr>
          <w:t>mike.beshiri@nih.gov, phon</w:t>
        </w:r>
        <w:r w:rsidRPr="00F33908">
          <w:rPr>
            <w:rStyle w:val="Hyperlink"/>
          </w:rPr>
          <w:t>e</w:t>
        </w:r>
      </w:hyperlink>
      <w:r w:rsidRPr="007A3223">
        <w:t xml:space="preserve"> 301.594.2529</w:t>
      </w:r>
      <w:r w:rsidRPr="007A3223">
        <w:rPr>
          <w:lang w:val="en-US"/>
        </w:rPr>
        <w:t xml:space="preserve">, </w:t>
      </w:r>
      <w:r w:rsidRPr="00F33908">
        <w:t>pager 102-12110</w:t>
      </w:r>
      <w:r w:rsidRPr="00F33908">
        <w:rPr>
          <w:color w:val="1F497D"/>
        </w:rPr>
        <w:t>.</w:t>
      </w:r>
      <w:r w:rsidRPr="007A3223">
        <w:t xml:space="preserve"> </w:t>
      </w:r>
    </w:p>
    <w:p w14:paraId="04609440" w14:textId="711CDE23" w:rsidR="0082499E" w:rsidRPr="00F33908" w:rsidRDefault="00CB635C" w:rsidP="00FB66BA">
      <w:pPr>
        <w:pStyle w:val="ListParagraph"/>
        <w:numPr>
          <w:ilvl w:val="0"/>
          <w:numId w:val="27"/>
        </w:numPr>
        <w:ind w:left="360"/>
      </w:pPr>
      <w:r w:rsidRPr="007A3223">
        <w:rPr>
          <w:u w:val="single"/>
        </w:rPr>
        <w:t>For Phase II CRC cohort</w:t>
      </w:r>
      <w:r w:rsidR="0089253C" w:rsidRPr="007A3223">
        <w:rPr>
          <w:u w:val="single"/>
        </w:rPr>
        <w:t xml:space="preserve"> 6</w:t>
      </w:r>
      <w:r w:rsidRPr="007A3223">
        <w:t xml:space="preserve">: </w:t>
      </w:r>
      <w:r w:rsidR="008F26EF" w:rsidRPr="007A3223">
        <w:t xml:space="preserve">core biopsies will be obtained via Interventional Radiology and </w:t>
      </w:r>
      <w:r w:rsidR="00622294" w:rsidRPr="007A3223">
        <w:t xml:space="preserve">Milan Sandhu </w:t>
      </w:r>
      <w:r w:rsidR="008F26EF" w:rsidRPr="007A3223">
        <w:t xml:space="preserve">will be on call to receive the biopsies:  </w:t>
      </w:r>
      <w:hyperlink r:id="rId48" w:history="1">
        <w:r w:rsidR="00622294" w:rsidRPr="007A3223">
          <w:rPr>
            <w:rStyle w:val="Hyperlink"/>
          </w:rPr>
          <w:t>milan.sandhu@nih.gov</w:t>
        </w:r>
      </w:hyperlink>
      <w:r w:rsidR="00622294" w:rsidRPr="007A3223">
        <w:rPr>
          <w:color w:val="000000"/>
        </w:rPr>
        <w:t>, phone 603-714-9453 (page 109)</w:t>
      </w:r>
      <w:r w:rsidR="008F26EF" w:rsidRPr="007A3223">
        <w:t>.  For CRC correlative studies please refer to section 5.3.2.1.</w:t>
      </w:r>
    </w:p>
    <w:p w14:paraId="08240AC2" w14:textId="77777777" w:rsidR="00162A64" w:rsidRPr="007A3223" w:rsidRDefault="00162A64" w:rsidP="00162A64">
      <w:pPr>
        <w:spacing w:after="0"/>
        <w:rPr>
          <w:szCs w:val="24"/>
        </w:rPr>
      </w:pPr>
    </w:p>
    <w:p w14:paraId="69BD6E18" w14:textId="77777777" w:rsidR="00162A64" w:rsidRPr="007A3223" w:rsidRDefault="00C6631B" w:rsidP="00B620D5">
      <w:pPr>
        <w:pStyle w:val="Heading2"/>
      </w:pPr>
      <w:bookmarkStart w:id="240" w:name="_Toc82444368"/>
      <w:r w:rsidRPr="007A3223">
        <w:t>Studies Performed</w:t>
      </w:r>
      <w:bookmarkEnd w:id="240"/>
    </w:p>
    <w:p w14:paraId="233582B6" w14:textId="77777777" w:rsidR="00162A64" w:rsidRPr="007A3223" w:rsidRDefault="00162A64" w:rsidP="00821A3D">
      <w:pPr>
        <w:pStyle w:val="Heading3"/>
      </w:pPr>
      <w:r w:rsidRPr="007A3223">
        <w:t>PD-L1 expression</w:t>
      </w:r>
      <w:r w:rsidR="00B67CB4" w:rsidRPr="007A3223">
        <w:t xml:space="preserve"> </w:t>
      </w:r>
      <w:r w:rsidR="004A2308" w:rsidRPr="007A3223">
        <w:t xml:space="preserve">by IHC </w:t>
      </w:r>
      <w:r w:rsidR="00B67CB4" w:rsidRPr="007A3223">
        <w:t>and</w:t>
      </w:r>
      <w:r w:rsidR="0073459E" w:rsidRPr="007A3223">
        <w:t>/or</w:t>
      </w:r>
      <w:r w:rsidR="00B67CB4" w:rsidRPr="007A3223">
        <w:t xml:space="preserve"> other immune subset markers by IHC</w:t>
      </w:r>
      <w:r w:rsidR="004A2308" w:rsidRPr="007A3223">
        <w:t xml:space="preserve"> or RNAseq</w:t>
      </w:r>
      <w:r w:rsidR="0073459E" w:rsidRPr="007A3223">
        <w:t xml:space="preserve"> (</w:t>
      </w:r>
      <w:r w:rsidR="00023C9C" w:rsidRPr="007A3223">
        <w:t>A</w:t>
      </w:r>
      <w:r w:rsidR="0073459E" w:rsidRPr="007A3223">
        <w:t>ll patients)</w:t>
      </w:r>
    </w:p>
    <w:p w14:paraId="56E43A7C" w14:textId="6711885C" w:rsidR="00162A64" w:rsidRPr="007A3223" w:rsidRDefault="00162A64" w:rsidP="008F63A9">
      <w:pPr>
        <w:rPr>
          <w:rFonts w:eastAsia="Times New Roman"/>
        </w:rPr>
      </w:pPr>
      <w:r w:rsidRPr="007A3223">
        <w:t>Preliminary biomarker data suggest tumor PD-L1 expression by IHC status in the tumor microenvironment may be associated with anti-tumor response to PD-1 or PD-L1 inhibitor</w:t>
      </w:r>
      <w:r w:rsidR="008E630D" w:rsidRPr="007A3223">
        <w:t>s</w:t>
      </w:r>
      <w:r w:rsidRPr="007A3223">
        <w:t xml:space="preserve">. Daud </w:t>
      </w:r>
      <w:r w:rsidRPr="007A3223">
        <w:rPr>
          <w:i/>
        </w:rPr>
        <w:t>et al.</w:t>
      </w:r>
      <w:r w:rsidRPr="007A3223">
        <w:t xml:space="preserve"> reported preliminary findings on PD-L1 expression in 135 evaluable patients with advanced melanoma at 2014 AACR, from the ongoing study of MK-3475, a PD-1 inhibitor</w:t>
      </w:r>
      <w:hyperlink w:anchor="_ENREF_161" w:tooltip="Daud A, 2014 #80" w:history="1">
        <w:r w:rsidR="00F77861" w:rsidRPr="00244551">
          <w:rPr>
            <w:rStyle w:val="Hyperlink"/>
            <w:szCs w:val="24"/>
          </w:rPr>
          <w:fldChar w:fldCharType="begin"/>
        </w:r>
        <w:r w:rsidR="00E27C67" w:rsidRPr="00244551">
          <w:rPr>
            <w:rStyle w:val="Hyperlink"/>
            <w:szCs w:val="24"/>
          </w:rPr>
          <w:instrText xml:space="preserve"> ADDIN EN.CITE &lt;EndNote&gt;&lt;Cite&gt;&lt;Author&gt;Daud A&lt;/Author&gt;&lt;Year&gt;2014&lt;/Year&gt;&lt;RecNum&gt;80&lt;/RecNum&gt;&lt;DisplayText&gt;&lt;style face="superscript"&gt;161&lt;/style&gt;&lt;/DisplayText&gt;&lt;record&gt;&lt;rec-number&gt;80&lt;/rec-number&gt;&lt;foreign-keys&gt;&lt;key app="EN" db-id="fd5pzdff0z5dt7er5swxsd2m2te2fd9saae5" timestamp="1426604767"&gt;80&lt;/key&gt;&lt;/foreign-keys&gt;&lt;ref-type name="Journal Article"&gt;17&lt;/ref-type&gt;&lt;contributors&gt;&lt;authors&gt;&lt;author&gt;Daud A, Hamid O, Ribas A, Hodi FS, Hwu WJ, Kefford R, Wolchok J, Hersey P, Weber JS, Joseph R, Gangadhar TC, Dronca RS, Patnaik A, Zarour H, Joshua AM, Gergich K, Wu D, Lunceford JK, Emancipator K, Dolled-Filhart M, Li N, Ebbinghaus S, Kang SP, Robert C &lt;/author&gt;&lt;/authors&gt;&lt;/contributors&gt;&lt;titles&gt;&lt;title&gt;Antitumor activity of the anti-PD-1 monoclonal antibody MK-3475 in melanoma(MEL): Correlation of tumor PD-L1 expression with outcome &lt;/title&gt;&lt;secondary-title&gt;AACR (Abst CT104)&lt;/secondary-title&gt;&lt;/titles&gt;&lt;periodical&gt;&lt;full-title&gt;AACR (Abst CT104)&lt;/full-title&gt;&lt;/periodical&gt;&lt;dates&gt;&lt;year&gt;2014&lt;/year&gt;&lt;/dates&gt;&lt;urls&gt;&lt;/urls&gt;&lt;/record&gt;&lt;/Cite&gt;&lt;/EndNote&gt;</w:instrText>
        </w:r>
        <w:r w:rsidR="00F77861" w:rsidRPr="00244551">
          <w:rPr>
            <w:rStyle w:val="Hyperlink"/>
            <w:szCs w:val="24"/>
          </w:rPr>
          <w:fldChar w:fldCharType="separate"/>
        </w:r>
        <w:r w:rsidR="00E27C67" w:rsidRPr="00244551">
          <w:rPr>
            <w:rStyle w:val="Hyperlink"/>
            <w:noProof/>
            <w:szCs w:val="24"/>
            <w:vertAlign w:val="superscript"/>
          </w:rPr>
          <w:t>161</w:t>
        </w:r>
        <w:r w:rsidR="00F77861" w:rsidRPr="00244551">
          <w:rPr>
            <w:rStyle w:val="Hyperlink"/>
            <w:szCs w:val="24"/>
          </w:rPr>
          <w:fldChar w:fldCharType="end"/>
        </w:r>
      </w:hyperlink>
      <w:r w:rsidRPr="007A3223">
        <w:t xml:space="preserve">. </w:t>
      </w:r>
      <w:r w:rsidRPr="00F33908">
        <w:t xml:space="preserve">Tumor PD-L1 expression was assessed by IHC. A preliminary cutoff of 1% of stained </w:t>
      </w:r>
      <w:r w:rsidRPr="007A3223">
        <w:t xml:space="preserve">cells was used to define PD-L1 positivity. Overall </w:t>
      </w:r>
      <w:r w:rsidRPr="007A3223">
        <w:rPr>
          <w:rFonts w:eastAsia="Times New Roman"/>
        </w:rPr>
        <w:t xml:space="preserve">RR was 41% in the 116 patients with measurable disease. Among 71 patients with measurable disease and interpretable IHC results, PFS and RR were significantly associated with tumor PD-L1 expression (median PFS of 10.6 months v. 2.9 months, p=0.034 RR=53% (29/55) v. 6% (1/16), p&lt;0.004 in PD-L1 positive group compared to negative group, respectively). </w:t>
      </w:r>
    </w:p>
    <w:p w14:paraId="0CA493FF" w14:textId="77777777" w:rsidR="00841259" w:rsidRPr="007A3223" w:rsidRDefault="00162A64" w:rsidP="008F63A9">
      <w:r w:rsidRPr="007A3223">
        <w:t>The express</w:t>
      </w:r>
      <w:r w:rsidR="00FD1CB2" w:rsidRPr="007A3223">
        <w:t xml:space="preserve">ion of PD-L1 </w:t>
      </w:r>
      <w:r w:rsidR="00B67CB4" w:rsidRPr="007A3223">
        <w:t xml:space="preserve">and/or other immune subsets including but not necessarily limited to </w:t>
      </w:r>
      <w:r w:rsidR="00C83C25" w:rsidRPr="007A3223">
        <w:t>CD3+, CD4+, CD8+ and Foxp3</w:t>
      </w:r>
      <w:r w:rsidR="00B67CB4" w:rsidRPr="007A3223">
        <w:t xml:space="preserve"> </w:t>
      </w:r>
      <w:r w:rsidR="00FD1CB2" w:rsidRPr="007A3223">
        <w:t>by IHC</w:t>
      </w:r>
      <w:r w:rsidR="004A2308" w:rsidRPr="007A3223">
        <w:t xml:space="preserve"> and/or by RNAseq</w:t>
      </w:r>
      <w:r w:rsidR="00FD1CB2" w:rsidRPr="007A3223">
        <w:t xml:space="preserve"> at pretreatment </w:t>
      </w:r>
      <w:r w:rsidR="00635958" w:rsidRPr="007A3223">
        <w:t xml:space="preserve">core biopsy </w:t>
      </w:r>
      <w:r w:rsidR="00FD1CB2" w:rsidRPr="007A3223">
        <w:t xml:space="preserve">or archival tissue samples </w:t>
      </w:r>
      <w:r w:rsidRPr="007A3223">
        <w:t xml:space="preserve">to correlate with response </w:t>
      </w:r>
      <w:r w:rsidR="003E68A4" w:rsidRPr="007A3223">
        <w:t xml:space="preserve">for </w:t>
      </w:r>
      <w:r w:rsidR="00EA7FE1" w:rsidRPr="007A3223">
        <w:t xml:space="preserve">Phase I study and </w:t>
      </w:r>
      <w:r w:rsidR="003E68A4" w:rsidRPr="007A3223">
        <w:t xml:space="preserve">OvCa and TNBC cohorts of Phase II study </w:t>
      </w:r>
      <w:r w:rsidRPr="007A3223">
        <w:t>w</w:t>
      </w:r>
      <w:r w:rsidR="00FD1CB2" w:rsidRPr="007A3223">
        <w:t xml:space="preserve">ill be studied </w:t>
      </w:r>
      <w:r w:rsidRPr="007A3223">
        <w:t xml:space="preserve">in collaboration with </w:t>
      </w:r>
      <w:r w:rsidR="00C5729B" w:rsidRPr="007A3223">
        <w:t xml:space="preserve">Dr. </w:t>
      </w:r>
      <w:r w:rsidR="00841259" w:rsidRPr="007A3223">
        <w:t>Cimino-Mathews</w:t>
      </w:r>
      <w:r w:rsidR="00C5729B" w:rsidRPr="007A3223">
        <w:t xml:space="preserve"> at Johns Hopkins University</w:t>
      </w:r>
      <w:r w:rsidR="002C701C" w:rsidRPr="007A3223">
        <w:t xml:space="preserve"> Hospital</w:t>
      </w:r>
      <w:r w:rsidR="00C5729B" w:rsidRPr="007A3223">
        <w:t xml:space="preserve">. </w:t>
      </w:r>
    </w:p>
    <w:p w14:paraId="20CE5529" w14:textId="77777777" w:rsidR="00732CAF" w:rsidRPr="007A3223" w:rsidRDefault="00732CAF" w:rsidP="00162A64">
      <w:pPr>
        <w:spacing w:after="0"/>
        <w:ind w:firstLine="360"/>
        <w:rPr>
          <w:bCs/>
          <w:szCs w:val="24"/>
        </w:rPr>
      </w:pPr>
    </w:p>
    <w:p w14:paraId="26A5D03A" w14:textId="77777777" w:rsidR="00F33CA3" w:rsidRPr="007A3223" w:rsidRDefault="00732CAF" w:rsidP="00162A64">
      <w:pPr>
        <w:spacing w:after="0"/>
        <w:ind w:firstLine="360"/>
        <w:rPr>
          <w:bCs/>
          <w:szCs w:val="24"/>
        </w:rPr>
      </w:pPr>
      <w:r w:rsidRPr="007A3223">
        <w:rPr>
          <w:bCs/>
          <w:szCs w:val="24"/>
        </w:rPr>
        <w:lastRenderedPageBreak/>
        <w:t>Coded patient samples will be batched to</w:t>
      </w:r>
    </w:p>
    <w:p w14:paraId="4231FBBD" w14:textId="77777777" w:rsidR="00841259" w:rsidRPr="007A3223" w:rsidRDefault="00841259" w:rsidP="00162A64">
      <w:pPr>
        <w:spacing w:after="0"/>
        <w:ind w:firstLine="360"/>
        <w:rPr>
          <w:bCs/>
          <w:szCs w:val="24"/>
        </w:rPr>
      </w:pPr>
      <w:r w:rsidRPr="007A3223">
        <w:rPr>
          <w:bCs/>
          <w:szCs w:val="24"/>
        </w:rPr>
        <w:t>Ashley Cimino-Mathews, MD</w:t>
      </w:r>
    </w:p>
    <w:p w14:paraId="1293641E" w14:textId="77777777" w:rsidR="00841259" w:rsidRPr="007A3223" w:rsidRDefault="00787151" w:rsidP="00732CAF">
      <w:pPr>
        <w:spacing w:after="0"/>
        <w:ind w:firstLine="360"/>
        <w:rPr>
          <w:bCs/>
          <w:szCs w:val="24"/>
        </w:rPr>
      </w:pPr>
      <w:r w:rsidRPr="007A3223">
        <w:rPr>
          <w:bCs/>
          <w:szCs w:val="24"/>
        </w:rPr>
        <w:t>Assistant Professor</w:t>
      </w:r>
      <w:r w:rsidR="00732CAF" w:rsidRPr="007A3223">
        <w:rPr>
          <w:bCs/>
          <w:szCs w:val="24"/>
        </w:rPr>
        <w:t xml:space="preserve">, Department </w:t>
      </w:r>
      <w:r w:rsidRPr="007A3223">
        <w:rPr>
          <w:bCs/>
          <w:szCs w:val="24"/>
        </w:rPr>
        <w:t xml:space="preserve">of </w:t>
      </w:r>
      <w:r w:rsidR="00841259" w:rsidRPr="007A3223">
        <w:rPr>
          <w:bCs/>
          <w:szCs w:val="24"/>
        </w:rPr>
        <w:t xml:space="preserve">Pathology </w:t>
      </w:r>
    </w:p>
    <w:p w14:paraId="3B74A04D" w14:textId="77777777" w:rsidR="00841259" w:rsidRPr="007A3223" w:rsidRDefault="00841259" w:rsidP="00162A64">
      <w:pPr>
        <w:spacing w:after="0"/>
        <w:ind w:firstLine="360"/>
        <w:rPr>
          <w:bCs/>
          <w:szCs w:val="24"/>
        </w:rPr>
      </w:pPr>
      <w:r w:rsidRPr="007A3223">
        <w:rPr>
          <w:bCs/>
          <w:szCs w:val="24"/>
        </w:rPr>
        <w:t>The Johns Hopkins Hospital</w:t>
      </w:r>
    </w:p>
    <w:p w14:paraId="043675CE" w14:textId="77777777" w:rsidR="00841259" w:rsidRPr="007A3223" w:rsidRDefault="00841259" w:rsidP="00162A64">
      <w:pPr>
        <w:spacing w:after="0"/>
        <w:ind w:firstLine="360"/>
        <w:rPr>
          <w:bCs/>
          <w:szCs w:val="24"/>
        </w:rPr>
      </w:pPr>
      <w:r w:rsidRPr="007A3223">
        <w:rPr>
          <w:bCs/>
          <w:szCs w:val="24"/>
        </w:rPr>
        <w:t>401 N. Broadway St, Rm 2242</w:t>
      </w:r>
    </w:p>
    <w:p w14:paraId="38520C6B" w14:textId="77777777" w:rsidR="00841259" w:rsidRPr="007A3223" w:rsidRDefault="00841259" w:rsidP="00162A64">
      <w:pPr>
        <w:spacing w:after="0"/>
        <w:ind w:firstLine="360"/>
        <w:rPr>
          <w:bCs/>
          <w:szCs w:val="24"/>
        </w:rPr>
      </w:pPr>
      <w:r w:rsidRPr="007A3223">
        <w:rPr>
          <w:bCs/>
          <w:szCs w:val="24"/>
        </w:rPr>
        <w:t>Baltimore, MD21287</w:t>
      </w:r>
    </w:p>
    <w:p w14:paraId="3EB341A2" w14:textId="77777777" w:rsidR="00841259" w:rsidRPr="007A3223" w:rsidRDefault="00841259" w:rsidP="00162A64">
      <w:pPr>
        <w:spacing w:after="0"/>
        <w:ind w:firstLine="360"/>
        <w:rPr>
          <w:bCs/>
          <w:szCs w:val="24"/>
        </w:rPr>
      </w:pPr>
      <w:r w:rsidRPr="007A3223">
        <w:rPr>
          <w:bCs/>
          <w:szCs w:val="24"/>
        </w:rPr>
        <w:t>Phone; 410-955-3580</w:t>
      </w:r>
    </w:p>
    <w:p w14:paraId="7DE9B8BE" w14:textId="77777777" w:rsidR="00841259" w:rsidRPr="007A3223" w:rsidRDefault="00841259" w:rsidP="00162A64">
      <w:pPr>
        <w:spacing w:after="0"/>
        <w:ind w:firstLine="360"/>
        <w:rPr>
          <w:bCs/>
          <w:szCs w:val="24"/>
        </w:rPr>
      </w:pPr>
      <w:r w:rsidRPr="007A3223">
        <w:rPr>
          <w:bCs/>
          <w:szCs w:val="24"/>
        </w:rPr>
        <w:t xml:space="preserve">Email: </w:t>
      </w:r>
      <w:hyperlink r:id="rId49" w:history="1">
        <w:r w:rsidRPr="00F33908">
          <w:rPr>
            <w:rStyle w:val="Hyperlink"/>
            <w:bCs/>
            <w:szCs w:val="24"/>
          </w:rPr>
          <w:t>acimino@jhmi.edu</w:t>
        </w:r>
      </w:hyperlink>
    </w:p>
    <w:p w14:paraId="0A614983" w14:textId="77777777" w:rsidR="00AF7142" w:rsidRPr="00F33908" w:rsidRDefault="00AF7142" w:rsidP="00162A64">
      <w:pPr>
        <w:spacing w:after="0"/>
        <w:ind w:firstLine="360"/>
        <w:rPr>
          <w:bCs/>
          <w:szCs w:val="24"/>
        </w:rPr>
      </w:pPr>
    </w:p>
    <w:p w14:paraId="514DDD10" w14:textId="4F06A7BE" w:rsidR="00162A64" w:rsidRPr="007A3223" w:rsidRDefault="00AF7142" w:rsidP="008F63A9">
      <w:pPr>
        <w:rPr>
          <w:bCs/>
        </w:rPr>
      </w:pPr>
      <w:r w:rsidRPr="007A3223">
        <w:t>Collaborator(s) for SCLC</w:t>
      </w:r>
      <w:r w:rsidR="0073459E" w:rsidRPr="007A3223">
        <w:t xml:space="preserve">, </w:t>
      </w:r>
      <w:r w:rsidRPr="007A3223">
        <w:t>NSCLC</w:t>
      </w:r>
      <w:r w:rsidR="0073459E" w:rsidRPr="007A3223">
        <w:t>, mCRPC</w:t>
      </w:r>
      <w:r w:rsidRPr="007A3223">
        <w:t xml:space="preserve"> </w:t>
      </w:r>
      <w:r w:rsidR="001326DC" w:rsidRPr="007A3223">
        <w:t>and</w:t>
      </w:r>
      <w:r w:rsidRPr="007A3223">
        <w:t xml:space="preserve"> </w:t>
      </w:r>
      <w:r w:rsidR="003E68A4" w:rsidRPr="007A3223">
        <w:t xml:space="preserve">CRC </w:t>
      </w:r>
      <w:r w:rsidRPr="007A3223">
        <w:t>cohorts has yet to be determined, but will be submitted for IRB approval via a future amendment prior to the assignment of any samples</w:t>
      </w:r>
      <w:r w:rsidRPr="007A3223">
        <w:rPr>
          <w:rFonts w:eastAsia="Times New Roman"/>
          <w:bCs/>
        </w:rPr>
        <w:t xml:space="preserve"> </w:t>
      </w:r>
      <w:r w:rsidRPr="007A3223">
        <w:rPr>
          <w:bCs/>
        </w:rPr>
        <w:t>during the Phase II portion of the trial</w:t>
      </w:r>
      <w:r w:rsidRPr="007A3223">
        <w:t>.</w:t>
      </w:r>
    </w:p>
    <w:p w14:paraId="33268AAD" w14:textId="77777777" w:rsidR="00FD1CB2" w:rsidRPr="007A3223" w:rsidRDefault="00FD1CB2" w:rsidP="00C83C25">
      <w:pPr>
        <w:spacing w:after="0"/>
        <w:rPr>
          <w:bCs/>
          <w:szCs w:val="24"/>
        </w:rPr>
      </w:pPr>
    </w:p>
    <w:p w14:paraId="68A2DCD9" w14:textId="7BD051F0" w:rsidR="0056119E" w:rsidRPr="007A3223" w:rsidRDefault="0056119E" w:rsidP="00EA69AB">
      <w:pPr>
        <w:pStyle w:val="Heading4"/>
        <w:rPr>
          <w:noProof w:val="0"/>
        </w:rPr>
      </w:pPr>
      <w:r w:rsidRPr="007A3223">
        <w:rPr>
          <w:noProof w:val="0"/>
        </w:rPr>
        <w:t xml:space="preserve">BROCA-HR </w:t>
      </w:r>
      <w:r w:rsidR="00E557EE" w:rsidRPr="007A3223">
        <w:rPr>
          <w:noProof w:val="0"/>
        </w:rPr>
        <w:t xml:space="preserve">next gene sequencing </w:t>
      </w:r>
      <w:r w:rsidRPr="007A3223">
        <w:rPr>
          <w:noProof w:val="0"/>
        </w:rPr>
        <w:t xml:space="preserve">and </w:t>
      </w:r>
      <w:r w:rsidR="00E557EE" w:rsidRPr="007A3223">
        <w:rPr>
          <w:noProof w:val="0"/>
        </w:rPr>
        <w:t xml:space="preserve">whole </w:t>
      </w:r>
      <w:r w:rsidRPr="007A3223">
        <w:rPr>
          <w:noProof w:val="0"/>
        </w:rPr>
        <w:t xml:space="preserve">exome sequencing </w:t>
      </w:r>
      <w:r w:rsidR="0073459E" w:rsidRPr="007A3223">
        <w:rPr>
          <w:noProof w:val="0"/>
        </w:rPr>
        <w:t>(All</w:t>
      </w:r>
      <w:r w:rsidR="00023C9C" w:rsidRPr="007A3223">
        <w:rPr>
          <w:noProof w:val="0"/>
        </w:rPr>
        <w:t xml:space="preserve"> </w:t>
      </w:r>
      <w:r w:rsidR="0073459E" w:rsidRPr="007A3223">
        <w:rPr>
          <w:noProof w:val="0"/>
        </w:rPr>
        <w:t>Phase II except CRC patients)</w:t>
      </w:r>
    </w:p>
    <w:p w14:paraId="4AFF4E0B" w14:textId="0025CF4F" w:rsidR="005C2679" w:rsidRPr="007A3223" w:rsidRDefault="0056119E" w:rsidP="008F63A9">
      <w:pPr>
        <w:rPr>
          <w:szCs w:val="24"/>
        </w:rPr>
      </w:pPr>
      <w:r w:rsidRPr="007A3223">
        <w:t xml:space="preserve">Emerging data suggest </w:t>
      </w:r>
      <w:r w:rsidR="001B1C76" w:rsidRPr="007A3223">
        <w:t xml:space="preserve">that tumor </w:t>
      </w:r>
      <w:r w:rsidRPr="007A3223">
        <w:t xml:space="preserve">mutational loads </w:t>
      </w:r>
      <w:r w:rsidR="00DD2541" w:rsidRPr="007A3223">
        <w:t xml:space="preserve">and neo-antigens </w:t>
      </w:r>
      <w:r w:rsidRPr="007A3223">
        <w:t>may correlate with clinical response to immune checkpoint inhibition</w:t>
      </w:r>
      <w:hyperlink w:anchor="_ENREF_162" w:tooltip="Snyder, 2014 #28" w:history="1">
        <w:r w:rsidR="00F77861" w:rsidRPr="00244551">
          <w:rPr>
            <w:rStyle w:val="Hyperlink"/>
          </w:rPr>
          <w:fldChar w:fldCharType="begin">
            <w:fldData xml:space="preserve">PEVuZE5vdGU+PENpdGU+PEF1dGhvcj5TbnlkZXI8L0F1dGhvcj48WWVhcj4yMDE0PC9ZZWFyPjxS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bHQtcGVyaW9kaWNhbD48cGFnZXM+MjE4OS05OTwvcGFnZXM+PHZvbHVtZT4zNzE8L3ZvbHVtZT48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==
</w:fldData>
          </w:fldChar>
        </w:r>
        <w:r w:rsidR="00E27C67" w:rsidRPr="00244551">
          <w:rPr>
            <w:rStyle w:val="Hyperlink"/>
          </w:rPr>
          <w:instrText xml:space="preserve"> ADDIN EN.CITE </w:instrText>
        </w:r>
        <w:r w:rsidR="00E27C67" w:rsidRPr="00BF79D2">
          <w:rPr>
            <w:rStyle w:val="Hyperlink"/>
          </w:rPr>
          <w:fldChar w:fldCharType="begin">
            <w:fldData xml:space="preserve">PEVuZE5vdGU+PENpdGU+PEF1dGhvcj5TbnlkZXI8L0F1dGhvcj48WWVhcj4yMDE0PC9ZZWFyPjxS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bHQtcGVyaW9kaWNhbD48cGFnZXM+MjE4OS05OTwvcGFnZXM+PHZvbHVtZT4zNzE8L3ZvbHVtZT48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==
</w:fldData>
          </w:fldChar>
        </w:r>
        <w:r w:rsidR="00E27C67" w:rsidRPr="00244551">
          <w:rPr>
            <w:rStyle w:val="Hyperlink"/>
          </w:rPr>
          <w:instrText xml:space="preserve"> ADDIN EN.CITE.DATA </w:instrText>
        </w:r>
        <w:r w:rsidR="00E27C67" w:rsidRPr="00BF79D2">
          <w:rPr>
            <w:rStyle w:val="Hyperlink"/>
          </w:rPr>
        </w:r>
        <w:r w:rsidR="00E27C67" w:rsidRPr="00BF79D2">
          <w:rPr>
            <w:rStyle w:val="Hyperlink"/>
          </w:rPr>
          <w:fldChar w:fldCharType="end"/>
        </w:r>
        <w:r w:rsidR="00F77861" w:rsidRPr="00244551">
          <w:rPr>
            <w:rStyle w:val="Hyperlink"/>
          </w:rPr>
        </w:r>
        <w:r w:rsidR="00F77861" w:rsidRPr="00244551">
          <w:rPr>
            <w:rStyle w:val="Hyperlink"/>
          </w:rPr>
          <w:fldChar w:fldCharType="separate"/>
        </w:r>
        <w:r w:rsidR="00E27C67" w:rsidRPr="00244551">
          <w:rPr>
            <w:rStyle w:val="Hyperlink"/>
            <w:noProof/>
            <w:vertAlign w:val="superscript"/>
          </w:rPr>
          <w:t>162</w:t>
        </w:r>
        <w:r w:rsidR="00F77861" w:rsidRPr="00244551">
          <w:rPr>
            <w:rStyle w:val="Hyperlink"/>
          </w:rPr>
          <w:fldChar w:fldCharType="end"/>
        </w:r>
      </w:hyperlink>
      <w:r w:rsidR="00DD2541" w:rsidRPr="007A3223">
        <w:t xml:space="preserve"> </w:t>
      </w:r>
      <w:hyperlink w:anchor="_ENREF_29" w:tooltip="Le, 2015 #27" w:history="1">
        <w:r w:rsidR="00F77861" w:rsidRPr="00244551">
          <w:rPr>
            <w:rStyle w:val="Hyperlink"/>
          </w:rPr>
          <w:fldChar w:fldCharType="begin">
            <w:fldData xml:space="preserve">PEVuZE5vdGU+PENpdGU+PEF1dGhvcj5MZTwvQXV0aG9yPjxZZWFyPjIwMTU8L1llYXI+PFJlY051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PGRhdGVzPjx5ZWFyPjIwMTU8L3llYXI+PHB1Yi1kYXRlcz48ZGF0ZT5NYXkgMzA8L2RhdGU+PC9w
dWItZGF0ZXM+PC9kYXRlcz48aXNibj4xNTMzLTQ0MDYgKEVsZWN0cm9uaWMpJiN4RDswMDI4LTQ3
OTMgKExpbmtpbmcpPC9pc2JuPjxhY2Nlc3Npb24tbnVtPjI2MDI4MjU1PC9hY2Nlc3Npb24tbnVt
Pjx1cmxzPjxyZWxhdGVkLXVybHM+PHVybD5odHRwOi8vd3d3Lm5jYmkubmxtLm5paC5nb3YvcHVi
bWVkLzI2MDI4MjU1PC91cmw+PC9yZWxhdGVkLXVybHM+PC91cmxzPjxlbGVjdHJvbmljLXJlc291
cmNlLW51bT4xMC4xMDU2L05FSk1vYTE1MDA1OTY8L2VsZWN0cm9uaWMtcmVzb3VyY2UtbnVtPjwv
cmVjb3JkPjwvQ2l0ZT48L0VuZE5vdGU+AG==
</w:fldData>
          </w:fldChar>
        </w:r>
        <w:r w:rsidR="00F77861" w:rsidRPr="00244551">
          <w:rPr>
            <w:rStyle w:val="Hyperlink"/>
          </w:rPr>
          <w:instrText xml:space="preserve"> ADDIN EN.CITE </w:instrText>
        </w:r>
        <w:r w:rsidR="00F77861" w:rsidRPr="00BF79D2">
          <w:rPr>
            <w:rStyle w:val="Hyperlink"/>
          </w:rPr>
          <w:fldChar w:fldCharType="begin">
            <w:fldData xml:space="preserve">PEVuZE5vdGU+PENpdGU+PEF1dGhvcj5MZTwvQXV0aG9yPjxZZWFyPjIwMTU8L1llYXI+PFJlY051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PGRhdGVzPjx5ZWFyPjIwMTU8L3llYXI+PHB1Yi1kYXRlcz48ZGF0ZT5NYXkgMzA8L2RhdGU+PC9w
dWItZGF0ZXM+PC9kYXRlcz48aXNibj4xNTMzLTQ0MDYgKEVsZWN0cm9uaWMpJiN4RDswMDI4LTQ3
OTMgKExpbmtpbmcpPC9pc2JuPjxhY2Nlc3Npb24tbnVtPjI2MDI4MjU1PC9hY2Nlc3Npb24tbnVt
Pjx1cmxzPjxyZWxhdGVkLXVybHM+PHVybD5odHRwOi8vd3d3Lm5jYmkubmxtLm5paC5nb3YvcHVi
bWVkLzI2MDI4MjU1PC91cmw+PC9yZWxhdGVkLXVybHM+PC91cmxzPjxlbGVjdHJvbmljLXJlc291
cmNlLW51bT4xMC4xMDU2L05FSk1vYTE1MDA1OTY8L2VsZWN0cm9uaWMtcmVzb3VyY2UtbnVtPjwv
cmVjb3JkPjwvQ2l0ZT48L0VuZE5vdGU+AG==
</w:fldData>
          </w:fldChar>
        </w:r>
        <w:r w:rsidR="00F77861" w:rsidRPr="00244551">
          <w:rPr>
            <w:rStyle w:val="Hyperlink"/>
          </w:rPr>
          <w:instrText xml:space="preserve"> ADDIN EN.CITE.DATA </w:instrText>
        </w:r>
        <w:r w:rsidR="00F77861" w:rsidRPr="00BF79D2">
          <w:rPr>
            <w:rStyle w:val="Hyperlink"/>
          </w:rPr>
        </w:r>
        <w:r w:rsidR="00F77861" w:rsidRPr="00BF79D2">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29</w:t>
        </w:r>
        <w:r w:rsidR="00F77861" w:rsidRPr="00244551">
          <w:rPr>
            <w:rStyle w:val="Hyperlink"/>
          </w:rPr>
          <w:fldChar w:fldCharType="end"/>
        </w:r>
      </w:hyperlink>
      <w:r w:rsidRPr="007A3223">
        <w:t xml:space="preserve">. </w:t>
      </w:r>
      <w:r w:rsidR="00DD2541" w:rsidRPr="00F33908">
        <w:t>It has</w:t>
      </w:r>
      <w:r w:rsidR="00DD2541" w:rsidRPr="007A3223">
        <w:t xml:space="preserve"> been reported that mutated peptides resulting from DNA </w:t>
      </w:r>
      <w:r w:rsidR="00DD2541" w:rsidRPr="007A3223">
        <w:rPr>
          <w:szCs w:val="24"/>
        </w:rPr>
        <w:t>mutations</w:t>
      </w:r>
      <w:r w:rsidR="00DD2541" w:rsidRPr="007A3223">
        <w:t xml:space="preserve"> are recognized by CD8+ T-cells and CD4+ T-cells in a large fraction of melanoma patients, and these neo-antigen-specific T cell responses are likely to contribute to the clinical effects of cancer immunotherapy</w:t>
      </w:r>
      <w:hyperlink w:anchor="_ENREF_162" w:tooltip="Snyder, 2014 #28" w:history="1">
        <w:r w:rsidR="00F77861" w:rsidRPr="00244551">
          <w:rPr>
            <w:rStyle w:val="Hyperlink"/>
          </w:rPr>
          <w:fldChar w:fldCharType="begin">
            <w:fldData xml:space="preserve">PEVuZE5vdGU+PENpdGU+PEF1dGhvcj5TbnlkZXI8L0F1dGhvcj48WWVhcj4yMDE0PC9ZZWFyPjxS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bHQtcGVyaW9kaWNhbD48cGFnZXM+MjE4OS05OTwvcGFnZXM+PHZvbHVtZT4zNzE8L3ZvbHVtZT48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==
</w:fldData>
          </w:fldChar>
        </w:r>
        <w:r w:rsidR="00E27C67" w:rsidRPr="00244551">
          <w:rPr>
            <w:rStyle w:val="Hyperlink"/>
          </w:rPr>
          <w:instrText xml:space="preserve"> ADDIN EN.CITE </w:instrText>
        </w:r>
        <w:r w:rsidR="00E27C67" w:rsidRPr="00BF79D2">
          <w:rPr>
            <w:rStyle w:val="Hyperlink"/>
          </w:rPr>
          <w:fldChar w:fldCharType="begin">
            <w:fldData xml:space="preserve">PEVuZE5vdGU+PENpdGU+PEF1dGhvcj5TbnlkZXI8L0F1dGhvcj48WWVhcj4yMDE0PC9ZZWFyPjxS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bHQtcGVyaW9kaWNhbD48cGFnZXM+MjE4OS05OTwvcGFnZXM+PHZvbHVtZT4zNzE8L3ZvbHVtZT48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==
</w:fldData>
          </w:fldChar>
        </w:r>
        <w:r w:rsidR="00E27C67" w:rsidRPr="00244551">
          <w:rPr>
            <w:rStyle w:val="Hyperlink"/>
          </w:rPr>
          <w:instrText xml:space="preserve"> ADDIN EN.CITE.DATA </w:instrText>
        </w:r>
        <w:r w:rsidR="00E27C67" w:rsidRPr="00BF79D2">
          <w:rPr>
            <w:rStyle w:val="Hyperlink"/>
          </w:rPr>
        </w:r>
        <w:r w:rsidR="00E27C67" w:rsidRPr="00BF79D2">
          <w:rPr>
            <w:rStyle w:val="Hyperlink"/>
          </w:rPr>
          <w:fldChar w:fldCharType="end"/>
        </w:r>
        <w:r w:rsidR="00F77861" w:rsidRPr="00244551">
          <w:rPr>
            <w:rStyle w:val="Hyperlink"/>
          </w:rPr>
        </w:r>
        <w:r w:rsidR="00F77861" w:rsidRPr="00244551">
          <w:rPr>
            <w:rStyle w:val="Hyperlink"/>
          </w:rPr>
          <w:fldChar w:fldCharType="separate"/>
        </w:r>
        <w:r w:rsidR="00E27C67" w:rsidRPr="00244551">
          <w:rPr>
            <w:rStyle w:val="Hyperlink"/>
            <w:noProof/>
            <w:vertAlign w:val="superscript"/>
          </w:rPr>
          <w:t>162</w:t>
        </w:r>
        <w:r w:rsidR="00F77861" w:rsidRPr="00244551">
          <w:rPr>
            <w:rStyle w:val="Hyperlink"/>
          </w:rPr>
          <w:fldChar w:fldCharType="end"/>
        </w:r>
      </w:hyperlink>
      <w:r w:rsidR="00075DAC" w:rsidRPr="007A3223">
        <w:t xml:space="preserve"> </w:t>
      </w:r>
      <w:hyperlink w:anchor="_ENREF_163" w:tooltip="van Rooij, 2013 #87" w:history="1">
        <w:r w:rsidR="00F77861" w:rsidRPr="00244551">
          <w:rPr>
            <w:rStyle w:val="Hyperlink"/>
          </w:rPr>
          <w:fldChar w:fldCharType="begin">
            <w:fldData xml:space="preserve">PEVuZE5vdGU+PENpdGU+PEF1dGhvcj52YW4gUm9vaWo8L0F1dGhvcj48WWVhcj4yMDEzPC9ZZWFy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bHQtcGVyaW9kaWNhbD48cGFnZXM+ZTQzOS00MjwvcGFnZXM+PHZvbHVtZT4zMTwvdm9sdW1lPjxu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</w:fldData>
          </w:fldChar>
        </w:r>
        <w:r w:rsidR="00E27C67" w:rsidRPr="00244551">
          <w:rPr>
            <w:rStyle w:val="Hyperlink"/>
          </w:rPr>
          <w:instrText xml:space="preserve"> ADDIN EN.CITE </w:instrText>
        </w:r>
        <w:r w:rsidR="00E27C67" w:rsidRPr="00BF79D2">
          <w:rPr>
            <w:rStyle w:val="Hyperlink"/>
          </w:rPr>
          <w:fldChar w:fldCharType="begin">
            <w:fldData xml:space="preserve">PEVuZE5vdGU+PENpdGU+PEF1dGhvcj52YW4gUm9vaWo8L0F1dGhvcj48WWVhcj4yMDEzPC9ZZWFy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bHQtcGVyaW9kaWNhbD48cGFnZXM+ZTQzOS00MjwvcGFnZXM+PHZvbHVtZT4zMTwvdm9sdW1lPjxu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</w:fldData>
          </w:fldChar>
        </w:r>
        <w:r w:rsidR="00E27C67" w:rsidRPr="00244551">
          <w:rPr>
            <w:rStyle w:val="Hyperlink"/>
          </w:rPr>
          <w:instrText xml:space="preserve"> ADDIN EN.CITE.DATA </w:instrText>
        </w:r>
        <w:r w:rsidR="00E27C67" w:rsidRPr="00BF79D2">
          <w:rPr>
            <w:rStyle w:val="Hyperlink"/>
          </w:rPr>
        </w:r>
        <w:r w:rsidR="00E27C67" w:rsidRPr="00BF79D2">
          <w:rPr>
            <w:rStyle w:val="Hyperlink"/>
          </w:rPr>
          <w:fldChar w:fldCharType="end"/>
        </w:r>
        <w:r w:rsidR="00F77861" w:rsidRPr="00244551">
          <w:rPr>
            <w:rStyle w:val="Hyperlink"/>
          </w:rPr>
        </w:r>
        <w:r w:rsidR="00F77861" w:rsidRPr="00244551">
          <w:rPr>
            <w:rStyle w:val="Hyperlink"/>
          </w:rPr>
          <w:fldChar w:fldCharType="separate"/>
        </w:r>
        <w:r w:rsidR="00E27C67" w:rsidRPr="00244551">
          <w:rPr>
            <w:rStyle w:val="Hyperlink"/>
            <w:noProof/>
            <w:vertAlign w:val="superscript"/>
          </w:rPr>
          <w:t>163</w:t>
        </w:r>
        <w:r w:rsidR="00F77861" w:rsidRPr="00244551">
          <w:rPr>
            <w:rStyle w:val="Hyperlink"/>
          </w:rPr>
          <w:fldChar w:fldCharType="end"/>
        </w:r>
      </w:hyperlink>
      <w:r w:rsidR="00DD2541" w:rsidRPr="007A3223">
        <w:t xml:space="preserve"> </w:t>
      </w:r>
      <w:hyperlink w:anchor="_ENREF_164" w:tooltip="Heemskerk, 2013 #89" w:history="1">
        <w:r w:rsidR="00F77861" w:rsidRPr="00244551">
          <w:rPr>
            <w:rStyle w:val="Hyperlink"/>
          </w:rPr>
          <w:fldChar w:fldCharType="begin"/>
        </w:r>
        <w:r w:rsidR="00E27C67" w:rsidRPr="00244551">
          <w:rPr>
            <w:rStyle w:val="Hyperlink"/>
          </w:rPr>
          <w:instrText xml:space="preserve"> ADDIN EN.CITE &lt;EndNote&gt;&lt;Cite&gt;&lt;Author&gt;Heemskerk&lt;/Author&gt;&lt;Year&gt;2013&lt;/Year&gt;&lt;RecNum&gt;89&lt;/RecNum&gt;&lt;DisplayText&gt;&lt;style face="superscript"&gt;164&lt;/style&gt;&lt;/DisplayText&gt;&lt;record&gt;&lt;rec-number&gt;89&lt;/rec-number&gt;&lt;foreign-keys&gt;&lt;key app="EN" db-id="drtd2stf29f5sdewr9av2wendxv229z2fspt"&gt;89&lt;/key&gt;&lt;/foreign-keys&gt;&lt;ref-type name="Journal Article"&gt;17&lt;/ref-type&gt;&lt;contributors&gt;&lt;authors&gt;&lt;author&gt;Heemskerk, B.&lt;/author&gt;&lt;author&gt;Kvistborg, P.&lt;/author&gt;&lt;author&gt;Schumacher, T. N.&lt;/author&gt;&lt;/authors&gt;&lt;/contributors&gt;&lt;auth-address&gt;Department of Immunology, The Netherlands Cancer Institute, Amsterdam, The Netherlands.&lt;/auth-address&gt;&lt;titles&gt;&lt;title&gt;The cancer antigenome&lt;/title&gt;&lt;secondary-title&gt;EMBO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journal&lt;/abbr-1&gt;&lt;/alt-periodical&gt;&lt;pages&gt;194-203&lt;/pages&gt;&lt;volume&gt;32&lt;/volume&gt;&lt;number&gt;2&lt;/number&gt;&lt;edition&gt;2012/12/22&lt;/edition&gt;&lt;keywords&gt;&lt;keyword&gt;Animals&lt;/keyword&gt;&lt;keyword&gt;Antigens, Neoplasm/*genetics&lt;/keyword&gt;&lt;keyword&gt;Cancer Vaccines/genetics/immunology&lt;/keyword&gt;&lt;keyword&gt;Cell Transformation, Neoplastic/genetics/immunology&lt;/keyword&gt;&lt;keyword&gt;*Genome, Human/immunology/physiology&lt;/keyword&gt;&lt;keyword&gt;Humans&lt;/keyword&gt;&lt;keyword&gt;Immunotherapy/methods/trends&lt;/keyword&gt;&lt;keyword&gt;Models, Biological&lt;/keyword&gt;&lt;keyword&gt;Neoplasm Proteins/genetics/*immunology&lt;/keyword&gt;&lt;keyword&gt;Neoplasms/*genetics/*immunology&lt;/keyword&gt;&lt;/keywords&gt;&lt;dates&gt;&lt;year&gt;2013&lt;/year&gt;&lt;pub-dates&gt;&lt;date&gt;Jan 23&lt;/date&gt;&lt;/pub-dates&gt;&lt;/dates&gt;&lt;isbn&gt;1460-2075 (Electronic)&amp;#xD;0261-4189 (Linking)&lt;/isbn&gt;&lt;accession-num&gt;23258224&lt;/accession-num&gt;&lt;work-type&gt;Review&lt;/work-type&gt;&lt;urls&gt;&lt;related-urls&gt;&lt;url&gt;http://www.ncbi.nlm.nih.gov/pubmed/23258224&lt;/url&gt;&lt;/related-urls&gt;&lt;/urls&gt;&lt;custom2&gt;3553384&lt;/custom2&gt;&lt;electronic-resource-num&gt;10.1038/emboj.2012.333&lt;/electronic-resource-num&gt;&lt;language&gt;eng&lt;/language&gt;&lt;/record&gt;&lt;/Cite&gt;&lt;/EndNote&gt;</w:instrText>
        </w:r>
        <w:r w:rsidR="00F77861" w:rsidRPr="00244551">
          <w:rPr>
            <w:rStyle w:val="Hyperlink"/>
          </w:rPr>
          <w:fldChar w:fldCharType="separate"/>
        </w:r>
        <w:r w:rsidR="00E27C67" w:rsidRPr="00244551">
          <w:rPr>
            <w:rStyle w:val="Hyperlink"/>
            <w:noProof/>
            <w:vertAlign w:val="superscript"/>
          </w:rPr>
          <w:t>164</w:t>
        </w:r>
        <w:r w:rsidR="00F77861" w:rsidRPr="00244551">
          <w:rPr>
            <w:rStyle w:val="Hyperlink"/>
          </w:rPr>
          <w:fldChar w:fldCharType="end"/>
        </w:r>
      </w:hyperlink>
      <w:r w:rsidR="00DD2541" w:rsidRPr="007A3223">
        <w:t xml:space="preserve">. </w:t>
      </w:r>
      <w:r w:rsidR="0013325F" w:rsidRPr="00F33908">
        <w:t xml:space="preserve"> </w:t>
      </w:r>
      <w:r w:rsidR="0055278B" w:rsidRPr="007A3223">
        <w:t>Anonymized patient samples will be provided to a collaborator</w:t>
      </w:r>
      <w:r w:rsidR="001B1C76" w:rsidRPr="007A3223">
        <w:t xml:space="preserve"> </w:t>
      </w:r>
      <w:r w:rsidR="00FC6C9D" w:rsidRPr="007A3223">
        <w:t xml:space="preserve">or core lab/company for a fee-for-service </w:t>
      </w:r>
      <w:r w:rsidR="001B1C76" w:rsidRPr="007A3223">
        <w:t>for</w:t>
      </w:r>
      <w:r w:rsidR="00E557EE" w:rsidRPr="007A3223">
        <w:t xml:space="preserve"> </w:t>
      </w:r>
      <w:r w:rsidR="001B1C76" w:rsidRPr="007A3223">
        <w:t xml:space="preserve">next generation sequencing </w:t>
      </w:r>
      <w:r w:rsidR="00023C9C" w:rsidRPr="007A3223">
        <w:t>or</w:t>
      </w:r>
      <w:r w:rsidR="001B1C76" w:rsidRPr="007A3223">
        <w:t xml:space="preserve"> </w:t>
      </w:r>
      <w:r w:rsidR="00E557EE" w:rsidRPr="007A3223">
        <w:t xml:space="preserve">whole </w:t>
      </w:r>
      <w:r w:rsidR="001B1C76" w:rsidRPr="007A3223">
        <w:t xml:space="preserve">exome sequencing to elucidate </w:t>
      </w:r>
      <w:r w:rsidR="005D3D8E" w:rsidRPr="007A3223">
        <w:t xml:space="preserve">other DNA damage repair genes, </w:t>
      </w:r>
      <w:r w:rsidR="001B1C76" w:rsidRPr="007A3223">
        <w:t>the mutation</w:t>
      </w:r>
      <w:r w:rsidR="00E557EE" w:rsidRPr="007A3223">
        <w:t>al loads</w:t>
      </w:r>
      <w:r w:rsidR="001B1C76" w:rsidRPr="007A3223">
        <w:t xml:space="preserve"> </w:t>
      </w:r>
      <w:r w:rsidR="00E557EE" w:rsidRPr="007A3223">
        <w:t>resulting from mutations in genes involved in</w:t>
      </w:r>
      <w:r w:rsidR="001B1C76" w:rsidRPr="007A3223">
        <w:t xml:space="preserve"> DNA damage repair pathways and potential neo</w:t>
      </w:r>
      <w:r w:rsidR="00E557EE" w:rsidRPr="007A3223">
        <w:t>-</w:t>
      </w:r>
      <w:r w:rsidR="001B1C76" w:rsidRPr="007A3223">
        <w:t>antigens as an exploratory endpoint.</w:t>
      </w:r>
      <w:r w:rsidR="001B1C76" w:rsidRPr="007A3223">
        <w:rPr>
          <w:szCs w:val="24"/>
        </w:rPr>
        <w:t xml:space="preserve"> </w:t>
      </w:r>
    </w:p>
    <w:p w14:paraId="271BC701" w14:textId="2E698519" w:rsidR="005D3D8E" w:rsidRPr="007A3223" w:rsidRDefault="00CE7A62" w:rsidP="00FB66BA">
      <w:pPr>
        <w:pStyle w:val="ListParagraph"/>
        <w:numPr>
          <w:ilvl w:val="0"/>
          <w:numId w:val="70"/>
        </w:numPr>
        <w:ind w:left="720"/>
      </w:pPr>
      <w:r w:rsidRPr="007A3223">
        <w:rPr>
          <w:bCs/>
          <w:lang w:val="en-US"/>
        </w:rPr>
        <w:t>C</w:t>
      </w:r>
      <w:r w:rsidR="00023C9C" w:rsidRPr="007A3223">
        <w:rPr>
          <w:bCs/>
        </w:rPr>
        <w:t xml:space="preserve">ore biopsy samples from </w:t>
      </w:r>
      <w:r w:rsidR="005C2679" w:rsidRPr="007A3223">
        <w:rPr>
          <w:bCs/>
        </w:rPr>
        <w:t xml:space="preserve">OvCa and TNBC cohorts of Phase II study will be </w:t>
      </w:r>
      <w:r w:rsidR="00C15CF7" w:rsidRPr="007A3223">
        <w:rPr>
          <w:bCs/>
        </w:rPr>
        <w:t>processed for BROCA panel by</w:t>
      </w:r>
      <w:r w:rsidR="005C2679" w:rsidRPr="007A3223">
        <w:rPr>
          <w:bCs/>
        </w:rPr>
        <w:t xml:space="preserve"> </w:t>
      </w:r>
      <w:r w:rsidR="00C15CF7" w:rsidRPr="007A3223">
        <w:rPr>
          <w:bCs/>
        </w:rPr>
        <w:t xml:space="preserve">Laboratory Medicine </w:t>
      </w:r>
      <w:r w:rsidR="005C2679" w:rsidRPr="007A3223">
        <w:rPr>
          <w:bCs/>
        </w:rPr>
        <w:t xml:space="preserve">at </w:t>
      </w:r>
      <w:r w:rsidR="00023C9C" w:rsidRPr="007A3223">
        <w:rPr>
          <w:bCs/>
        </w:rPr>
        <w:t xml:space="preserve">University of </w:t>
      </w:r>
      <w:r w:rsidR="00502500" w:rsidRPr="007A3223">
        <w:rPr>
          <w:bCs/>
        </w:rPr>
        <w:t>Washington</w:t>
      </w:r>
      <w:r w:rsidR="00C15CF7" w:rsidRPr="007A3223">
        <w:rPr>
          <w:bCs/>
        </w:rPr>
        <w:t xml:space="preserve"> in a fee-for-service transaction</w:t>
      </w:r>
      <w:r w:rsidR="00502500" w:rsidRPr="007A3223">
        <w:rPr>
          <w:bCs/>
        </w:rPr>
        <w:t>.</w:t>
      </w:r>
      <w:r w:rsidR="005C2679" w:rsidRPr="007A3223">
        <w:rPr>
          <w:bCs/>
        </w:rPr>
        <w:t xml:space="preserve"> </w:t>
      </w:r>
    </w:p>
    <w:p w14:paraId="4010E853" w14:textId="5148D7DC" w:rsidR="004F0D9D" w:rsidRPr="007A3223" w:rsidRDefault="0010610E" w:rsidP="00FB66BA">
      <w:pPr>
        <w:pStyle w:val="ListParagraph"/>
        <w:numPr>
          <w:ilvl w:val="0"/>
          <w:numId w:val="70"/>
        </w:numPr>
        <w:ind w:left="720"/>
      </w:pPr>
      <w:r w:rsidRPr="007A3223">
        <w:rPr>
          <w:bCs/>
        </w:rPr>
        <w:t>Recent data also</w:t>
      </w:r>
      <w:r w:rsidRPr="007A3223">
        <w:t xml:space="preserve"> indicate subsets of mCRPC and lung cancers have dysfunctions in genes related to DNA damage repair pathways. The purpose of the expansion cohorts is to test the hypothesis that the PD-L1 inhibitor, </w:t>
      </w:r>
      <w:r w:rsidR="00F41446">
        <w:rPr>
          <w:lang w:val="en-US"/>
        </w:rPr>
        <w:t>Durvalumab</w:t>
      </w:r>
      <w:r w:rsidRPr="007A3223">
        <w:t xml:space="preserve"> in combination with olaparib can be safely administered and may yield clinical benefit in patients with these diseases. Exome sequencing will be done for mCRPC cohort to investigate potential predictive biomarkers in responders and non-responders in collaboration with Javed Khan and Paul Meltzer in the Genetics Branch/CCR/NCI.</w:t>
      </w:r>
      <w:r w:rsidRPr="007A3223">
        <w:rPr>
          <w:rFonts w:eastAsia="Cambria"/>
        </w:rPr>
        <w:t xml:space="preserve"> </w:t>
      </w:r>
      <w:r w:rsidR="004F0D9D" w:rsidRPr="007A3223">
        <w:rPr>
          <w:rFonts w:eastAsia="Cambria"/>
        </w:rPr>
        <w:t>Additionally, culturing of patient-derived organoids (cell lines) will be performed in collaboration with Kathleen Kelly Siebenlist in the Laboratory of Genitourinary Cancer Pathogenesis/CCR/NCI, if there is biopsy core specimen available.</w:t>
      </w:r>
    </w:p>
    <w:p w14:paraId="6FAE2A15" w14:textId="3F5F61F3" w:rsidR="0010610E" w:rsidRPr="007A3223" w:rsidRDefault="0010610E" w:rsidP="00FB66BA">
      <w:pPr>
        <w:pStyle w:val="ListParagraph"/>
        <w:numPr>
          <w:ilvl w:val="0"/>
          <w:numId w:val="70"/>
        </w:numPr>
        <w:ind w:left="720"/>
      </w:pPr>
      <w:r w:rsidRPr="007A3223">
        <w:t>Collaborator(s) for SCLC</w:t>
      </w:r>
      <w:r w:rsidR="0030401B" w:rsidRPr="007A3223">
        <w:t xml:space="preserve">, </w:t>
      </w:r>
      <w:r w:rsidRPr="007A3223">
        <w:t>NSCLC</w:t>
      </w:r>
      <w:r w:rsidR="0030401B" w:rsidRPr="007A3223">
        <w:t xml:space="preserve"> or CRC</w:t>
      </w:r>
      <w:r w:rsidRPr="007A3223">
        <w:t xml:space="preserve"> cohorts has yet to be determined, but will be submitted for IRB approval via a future amendment prior to the shipment of any samples</w:t>
      </w:r>
      <w:r w:rsidRPr="007A3223">
        <w:rPr>
          <w:rFonts w:eastAsia="Times New Roman"/>
          <w:bCs/>
        </w:rPr>
        <w:t xml:space="preserve"> </w:t>
      </w:r>
      <w:r w:rsidRPr="007A3223">
        <w:rPr>
          <w:bCs/>
        </w:rPr>
        <w:t xml:space="preserve">during the Phase II portion of the </w:t>
      </w:r>
      <w:r w:rsidR="0016568C" w:rsidRPr="007A3223">
        <w:rPr>
          <w:bCs/>
        </w:rPr>
        <w:t>trial</w:t>
      </w:r>
      <w:r w:rsidR="0016568C" w:rsidRPr="007A3223">
        <w:t xml:space="preserve">. </w:t>
      </w:r>
    </w:p>
    <w:p w14:paraId="6E06A913" w14:textId="640BCC6D" w:rsidR="00724A7F" w:rsidRPr="00752C3E" w:rsidRDefault="00724A7F" w:rsidP="00724A7F">
      <w:pPr>
        <w:rPr>
          <w:szCs w:val="24"/>
        </w:rPr>
      </w:pPr>
      <w:r w:rsidRPr="00752C3E">
        <w:rPr>
          <w:szCs w:val="24"/>
        </w:rPr>
        <w:lastRenderedPageBreak/>
        <w:t xml:space="preserve">All samples sent to the Blood Processing Core (BPC) will be barcoded, with data entered and stored in </w:t>
      </w:r>
      <w:r>
        <w:rPr>
          <w:szCs w:val="24"/>
        </w:rPr>
        <w:t>Labmatrix</w:t>
      </w:r>
      <w:r w:rsidRPr="00752C3E">
        <w:rPr>
          <w:szCs w:val="24"/>
        </w:rPr>
        <w:t xml:space="preserve"> utilized by the BPC. This is a secure program, with access to L</w:t>
      </w:r>
      <w:r>
        <w:rPr>
          <w:szCs w:val="24"/>
        </w:rPr>
        <w:t>abmatrix</w:t>
      </w:r>
      <w:r w:rsidRPr="00752C3E">
        <w:rPr>
          <w:szCs w:val="24"/>
        </w:rPr>
        <w:t xml:space="preserve"> limited to defined Figg lab personnel, who are issued individual user accounts. Installation of L</w:t>
      </w:r>
      <w:r>
        <w:rPr>
          <w:szCs w:val="24"/>
        </w:rPr>
        <w:t>abmatrix</w:t>
      </w:r>
      <w:r w:rsidRPr="00752C3E">
        <w:rPr>
          <w:szCs w:val="24"/>
        </w:rPr>
        <w:t xml:space="preserve"> is limited to computers specified by Dr. Figg. These computers all have a password restricted login screen. </w:t>
      </w:r>
    </w:p>
    <w:p w14:paraId="109125E8" w14:textId="77777777" w:rsidR="00724A7F" w:rsidRPr="00752C3E" w:rsidRDefault="00724A7F" w:rsidP="00724A7F">
      <w:pPr>
        <w:rPr>
          <w:szCs w:val="24"/>
        </w:rPr>
      </w:pPr>
      <w:r w:rsidRPr="00752C3E">
        <w:rPr>
          <w:szCs w:val="24"/>
        </w:rPr>
        <w:t>L</w:t>
      </w:r>
      <w:r>
        <w:rPr>
          <w:szCs w:val="24"/>
        </w:rPr>
        <w:t>abmatrix</w:t>
      </w:r>
      <w:r w:rsidRPr="00752C3E">
        <w:rPr>
          <w:szCs w:val="24"/>
        </w:rPr>
        <w:t xml:space="preserve"> creates a unique barcode ID for every sample and sample box, which cannot be traced back to patients without L</w:t>
      </w:r>
      <w:r>
        <w:rPr>
          <w:szCs w:val="24"/>
        </w:rPr>
        <w:t>abmatrix</w:t>
      </w:r>
      <w:r w:rsidRPr="00752C3E">
        <w:rPr>
          <w:szCs w:val="24"/>
        </w:rPr>
        <w:t xml:space="preserve"> access. The data recorded for each sample includes the patient ID, name, trial name/protocol number, time drawn, cycle time point, dose, material type, as well as box and freezer location. Patient demographics associated with the clinical center patient number are provided in the system. For each sample, there are notes associated with the processing method (delay in sample processing, storage conditions on the ward, etc.).</w:t>
      </w:r>
    </w:p>
    <w:p w14:paraId="6D6C2907" w14:textId="77777777" w:rsidR="006A5679" w:rsidRPr="007A3223" w:rsidRDefault="006A5679" w:rsidP="006570B8">
      <w:pPr>
        <w:rPr>
          <w:rFonts w:eastAsia="Times New Roman"/>
        </w:rPr>
      </w:pPr>
      <w:r w:rsidRPr="007A3223">
        <w:rPr>
          <w:rFonts w:eastAsia="Times New Roman"/>
        </w:rPr>
        <w:t xml:space="preserve">The results of molecular studies conducted using specimens are for research purposes only and will not be disclosed to individual subjects. The exception to this is potential incidental findings that are deemed </w:t>
      </w:r>
      <w:r w:rsidR="005D3D8E" w:rsidRPr="007A3223">
        <w:rPr>
          <w:rFonts w:eastAsia="Times New Roman"/>
        </w:rPr>
        <w:t>clinically</w:t>
      </w:r>
      <w:r w:rsidRPr="007A3223">
        <w:rPr>
          <w:rFonts w:eastAsia="Times New Roman"/>
        </w:rPr>
        <w:t xml:space="preserve"> significant and actionable. </w:t>
      </w:r>
      <w:r w:rsidR="00381764" w:rsidRPr="007A3223">
        <w:rPr>
          <w:rFonts w:eastAsia="Times New Roman"/>
        </w:rPr>
        <w:t xml:space="preserve">A scientific collaborator will notify these findings to the PI. </w:t>
      </w:r>
      <w:r w:rsidRPr="007A3223">
        <w:rPr>
          <w:rFonts w:eastAsia="Times New Roman"/>
        </w:rPr>
        <w:t xml:space="preserve">The </w:t>
      </w:r>
      <w:r w:rsidRPr="007A3223">
        <w:t>policy</w:t>
      </w:r>
      <w:r w:rsidRPr="007A3223">
        <w:rPr>
          <w:rFonts w:eastAsia="Times New Roman"/>
        </w:rPr>
        <w:t xml:space="preserve"> for this disclosure</w:t>
      </w:r>
      <w:r w:rsidR="00381764" w:rsidRPr="007A3223">
        <w:rPr>
          <w:rFonts w:eastAsia="Times New Roman"/>
        </w:rPr>
        <w:t xml:space="preserve"> from the PI to the patient</w:t>
      </w:r>
      <w:r w:rsidRPr="007A3223">
        <w:rPr>
          <w:rFonts w:eastAsia="Times New Roman"/>
        </w:rPr>
        <w:t xml:space="preserve"> is outlined below and in the </w:t>
      </w:r>
      <w:r w:rsidR="00565A21" w:rsidRPr="007A3223">
        <w:rPr>
          <w:rFonts w:eastAsia="Times New Roman"/>
        </w:rPr>
        <w:t xml:space="preserve">Phase II </w:t>
      </w:r>
      <w:r w:rsidRPr="007A3223">
        <w:rPr>
          <w:rFonts w:eastAsia="Times New Roman"/>
        </w:rPr>
        <w:t>consent form for this study.</w:t>
      </w:r>
    </w:p>
    <w:p w14:paraId="696ED9FE" w14:textId="77777777" w:rsidR="007A0F03" w:rsidRPr="007A3223" w:rsidRDefault="00F053D8" w:rsidP="00FB66BA">
      <w:pPr>
        <w:pStyle w:val="ListParagraph"/>
        <w:numPr>
          <w:ilvl w:val="0"/>
          <w:numId w:val="58"/>
        </w:numPr>
        <w:rPr>
          <w:rFonts w:eastAsia="Times New Roman"/>
        </w:rPr>
      </w:pPr>
      <w:r w:rsidRPr="007A3223">
        <w:rPr>
          <w:rFonts w:eastAsia="Times New Roman"/>
          <w:lang w:val="en-US"/>
        </w:rPr>
        <w:t>Subjects will be contacted if a clinically actionable gene variant is discovered</w:t>
      </w:r>
      <w:r w:rsidR="004928D1" w:rsidRPr="007A3223">
        <w:rPr>
          <w:rFonts w:eastAsia="Times New Roman"/>
          <w:lang w:val="en-US"/>
        </w:rPr>
        <w:t xml:space="preserve">. </w:t>
      </w:r>
      <w:r w:rsidRPr="007A3223" w:rsidDel="00F053D8">
        <w:rPr>
          <w:rFonts w:eastAsia="Times New Roman"/>
          <w:lang w:val="en-US"/>
        </w:rPr>
        <w:t xml:space="preserve"> </w:t>
      </w:r>
      <w:r w:rsidR="006A5679" w:rsidRPr="007A3223">
        <w:rPr>
          <w:rFonts w:eastAsia="Times New Roman"/>
        </w:rPr>
        <w:t xml:space="preserve">Clinically actionable findings for the purpose of this study are defined as disorders appearing in the American College of Medical Genetics and Genomics recommendations for the return of incidental findings that is current at the time of primary analysis. (A list of current guidelines is maintained on the CCR intranet: </w:t>
      </w:r>
      <w:hyperlink r:id="rId50" w:history="1">
        <w:r w:rsidR="00E3070D" w:rsidRPr="00F33908">
          <w:rPr>
            <w:rStyle w:val="Hyperlink"/>
            <w:rFonts w:eastAsia="Times New Roman"/>
          </w:rPr>
          <w:t>htt</w:t>
        </w:r>
        <w:r w:rsidR="00E3070D" w:rsidRPr="007A3223">
          <w:rPr>
            <w:rStyle w:val="Hyperlink"/>
            <w:rFonts w:eastAsia="Times New Roman"/>
          </w:rPr>
          <w:t>ps://ccrod.cancer.gov/confluence/display/CCRCRO/Incidental+Findings+Lists</w:t>
        </w:r>
      </w:hyperlink>
      <w:r w:rsidR="006A5679" w:rsidRPr="007A3223">
        <w:rPr>
          <w:rFonts w:eastAsia="Times New Roman"/>
        </w:rPr>
        <w:t>)</w:t>
      </w:r>
      <w:r w:rsidR="00E3070D" w:rsidRPr="00F33908">
        <w:rPr>
          <w:rFonts w:eastAsia="Times New Roman"/>
          <w:lang w:val="en-US"/>
        </w:rPr>
        <w:t xml:space="preserve"> </w:t>
      </w:r>
    </w:p>
    <w:p w14:paraId="5CADC734" w14:textId="77777777" w:rsidR="007A0F03" w:rsidRPr="007A3223" w:rsidRDefault="007A0F03" w:rsidP="007A0F03">
      <w:pPr>
        <w:pStyle w:val="ListParagraph"/>
        <w:rPr>
          <w:rFonts w:eastAsia="Times New Roman"/>
          <w:lang w:val="en-US"/>
        </w:rPr>
      </w:pPr>
    </w:p>
    <w:p w14:paraId="11BFFF3E" w14:textId="2123D4DE" w:rsidR="007A0F03" w:rsidRPr="007A3223" w:rsidRDefault="007A0F03" w:rsidP="007A0F03">
      <w:pPr>
        <w:pStyle w:val="ListParagraph"/>
        <w:rPr>
          <w:rFonts w:eastAsia="Times New Roman"/>
        </w:rPr>
      </w:pPr>
      <w:r w:rsidRPr="007A3223">
        <w:rPr>
          <w:rFonts w:eastAsia="Times New Roman"/>
        </w:rPr>
        <w:t>Subjects will be contacted at this time with a request to provide a blood sample to be sent to a CLIA certified laboratory. If the research findings are verified in the CLIA certified lab, the subj</w:t>
      </w:r>
      <w:r w:rsidR="004928D1" w:rsidRPr="007A3223">
        <w:rPr>
          <w:rFonts w:eastAsia="Times New Roman"/>
        </w:rPr>
        <w:t>ect will be referred to</w:t>
      </w:r>
      <w:r w:rsidR="004928D1" w:rsidRPr="007A3223">
        <w:rPr>
          <w:rFonts w:eastAsia="Times New Roman"/>
          <w:lang w:val="en-US"/>
        </w:rPr>
        <w:t xml:space="preserve"> a </w:t>
      </w:r>
      <w:r w:rsidRPr="007A3223">
        <w:rPr>
          <w:rFonts w:eastAsia="Times New Roman"/>
        </w:rPr>
        <w:t xml:space="preserve">genetics counseling service for the disclosure of the results.  </w:t>
      </w:r>
    </w:p>
    <w:p w14:paraId="0DAFAFD7" w14:textId="77777777" w:rsidR="007A0F03" w:rsidRPr="007A3223" w:rsidRDefault="007A0F03" w:rsidP="007A0F03">
      <w:pPr>
        <w:pStyle w:val="ListParagraph"/>
        <w:rPr>
          <w:rFonts w:eastAsia="Times New Roman"/>
          <w:lang w:val="en-US"/>
        </w:rPr>
      </w:pPr>
    </w:p>
    <w:p w14:paraId="27F97511" w14:textId="77777777" w:rsidR="006A5679" w:rsidRPr="007A3223" w:rsidRDefault="007A0F03" w:rsidP="007A0F03">
      <w:pPr>
        <w:pStyle w:val="ListParagraph"/>
        <w:rPr>
          <w:rFonts w:eastAsia="Times New Roman"/>
          <w:lang w:val="en-US"/>
        </w:rPr>
      </w:pPr>
      <w:r w:rsidRPr="007A3223">
        <w:rPr>
          <w:rFonts w:eastAsia="Times New Roman"/>
        </w:rPr>
        <w:t>This is the only time during the course of the study that incidental findings will be returned. No interrogations regarding clinically actionable findings will be made after the primary analysis.</w:t>
      </w:r>
    </w:p>
    <w:p w14:paraId="280CDC3A" w14:textId="77777777" w:rsidR="007A0F03" w:rsidRPr="007A3223" w:rsidRDefault="007A0F03" w:rsidP="007A0F03">
      <w:pPr>
        <w:pStyle w:val="ListParagraph"/>
        <w:rPr>
          <w:rFonts w:eastAsia="Times New Roman"/>
          <w:lang w:val="en-US"/>
        </w:rPr>
      </w:pPr>
    </w:p>
    <w:p w14:paraId="106968C0" w14:textId="77777777" w:rsidR="00565A21" w:rsidRPr="007A3223" w:rsidRDefault="00565A21" w:rsidP="00FB66BA">
      <w:pPr>
        <w:pStyle w:val="ListParagraph"/>
        <w:numPr>
          <w:ilvl w:val="0"/>
          <w:numId w:val="58"/>
        </w:numPr>
        <w:rPr>
          <w:rFonts w:eastAsia="Times New Roman"/>
        </w:rPr>
      </w:pPr>
      <w:r w:rsidRPr="007A3223">
        <w:rPr>
          <w:rFonts w:eastAsia="Times New Roman"/>
        </w:rPr>
        <w:t>Funding</w:t>
      </w:r>
      <w:r w:rsidR="00B42D29" w:rsidRPr="007A3223">
        <w:rPr>
          <w:rFonts w:eastAsia="Times New Roman"/>
        </w:rPr>
        <w:t xml:space="preserve"> mechanism</w:t>
      </w:r>
      <w:r w:rsidRPr="007A3223">
        <w:rPr>
          <w:rFonts w:eastAsia="Times New Roman"/>
        </w:rPr>
        <w:t xml:space="preserve"> for the CLIA</w:t>
      </w:r>
      <w:r w:rsidR="00B42D29" w:rsidRPr="007A3223">
        <w:rPr>
          <w:rFonts w:eastAsia="Times New Roman"/>
        </w:rPr>
        <w:t xml:space="preserve"> laboratory</w:t>
      </w:r>
      <w:r w:rsidRPr="007A3223">
        <w:rPr>
          <w:rFonts w:eastAsia="Times New Roman"/>
        </w:rPr>
        <w:t xml:space="preserve"> </w:t>
      </w:r>
      <w:r w:rsidR="00B42D29" w:rsidRPr="007A3223">
        <w:rPr>
          <w:rFonts w:eastAsia="Times New Roman"/>
        </w:rPr>
        <w:t>confirmation</w:t>
      </w:r>
      <w:r w:rsidRPr="007A3223">
        <w:rPr>
          <w:rFonts w:eastAsia="Times New Roman"/>
        </w:rPr>
        <w:t xml:space="preserve"> will be </w:t>
      </w:r>
      <w:r w:rsidR="00B37FB2" w:rsidRPr="007A3223">
        <w:rPr>
          <w:rFonts w:eastAsia="Times New Roman"/>
        </w:rPr>
        <w:t xml:space="preserve">decided upon discussion with the patients, and/or appropriate funding resources at CCR. </w:t>
      </w:r>
    </w:p>
    <w:p w14:paraId="36E452C3" w14:textId="77777777" w:rsidR="006A5679" w:rsidRPr="007A3223" w:rsidRDefault="006A5679" w:rsidP="00FB66BA">
      <w:pPr>
        <w:pStyle w:val="ListParagraph"/>
        <w:numPr>
          <w:ilvl w:val="0"/>
          <w:numId w:val="58"/>
        </w:numPr>
      </w:pPr>
      <w:r w:rsidRPr="007A3223">
        <w:t xml:space="preserve">Subject’s genetic data </w:t>
      </w:r>
      <w:r w:rsidR="00B05ABE" w:rsidRPr="007A3223">
        <w:rPr>
          <w:lang w:val="en-US"/>
        </w:rPr>
        <w:t>will</w:t>
      </w:r>
      <w:r w:rsidR="00B05ABE" w:rsidRPr="007A3223">
        <w:t xml:space="preserve"> </w:t>
      </w:r>
      <w:r w:rsidRPr="007A3223">
        <w:t xml:space="preserve">be deposited in a database such as </w:t>
      </w:r>
      <w:r w:rsidR="00B42D29" w:rsidRPr="007A3223">
        <w:t>database of Genotypes and Phenotypes (</w:t>
      </w:r>
      <w:r w:rsidRPr="007A3223">
        <w:t>dbGaP</w:t>
      </w:r>
      <w:r w:rsidR="00B42D29" w:rsidRPr="007A3223">
        <w:t>)</w:t>
      </w:r>
      <w:r w:rsidRPr="007A3223">
        <w:t>. Although there is controlled access to such a database, such a submission carries theoretical risks of revealing the identity of the subject. This is discussed in the</w:t>
      </w:r>
      <w:r w:rsidR="00B37FB2" w:rsidRPr="007A3223">
        <w:t xml:space="preserve"> Phase II</w:t>
      </w:r>
      <w:r w:rsidRPr="007A3223">
        <w:t xml:space="preserve"> consent.</w:t>
      </w:r>
    </w:p>
    <w:p w14:paraId="7047C17A" w14:textId="77777777" w:rsidR="000A2871" w:rsidRPr="007A3223" w:rsidRDefault="000A2871" w:rsidP="000A2871">
      <w:pPr>
        <w:tabs>
          <w:tab w:val="left" w:pos="2160"/>
        </w:tabs>
      </w:pPr>
    </w:p>
    <w:p w14:paraId="0BD65FD5" w14:textId="77777777" w:rsidR="00162A64" w:rsidRPr="007A3223" w:rsidRDefault="00162A64" w:rsidP="00EA69AB">
      <w:pPr>
        <w:pStyle w:val="Heading4"/>
        <w:rPr>
          <w:noProof w:val="0"/>
        </w:rPr>
      </w:pPr>
      <w:r w:rsidRPr="007A3223">
        <w:rPr>
          <w:noProof w:val="0"/>
        </w:rPr>
        <w:t>NF-κB activity</w:t>
      </w:r>
      <w:r w:rsidR="0030401B" w:rsidRPr="007A3223">
        <w:rPr>
          <w:noProof w:val="0"/>
        </w:rPr>
        <w:t xml:space="preserve"> (Phase II ovarian cancer only)</w:t>
      </w:r>
    </w:p>
    <w:p w14:paraId="3A272142" w14:textId="77777777" w:rsidR="00162A64" w:rsidRPr="007A3223" w:rsidRDefault="00162A64" w:rsidP="006570B8">
      <w:r w:rsidRPr="007A3223">
        <w:t xml:space="preserve">NF-kB activity in ovarian cancer can be assessed by presence of tumor-infiltrating lymphocytes and nuclear NF-kB p65 in tumor cells by IHC, or expression of the 9-gene NF-kB signature and the Immunoreactive gene panel by gene expression profiling. We hypothesize that these markers </w:t>
      </w:r>
      <w:r w:rsidRPr="007A3223">
        <w:lastRenderedPageBreak/>
        <w:t xml:space="preserve">could serve as biomarkers predictive of response in future clinical trials with immune checkpoint inhibitors. </w:t>
      </w:r>
    </w:p>
    <w:p w14:paraId="0A33A145" w14:textId="44952EDD" w:rsidR="00A75E68" w:rsidRPr="007A3223" w:rsidRDefault="00162A64" w:rsidP="006570B8">
      <w:pPr>
        <w:rPr>
          <w:bCs/>
        </w:rPr>
      </w:pPr>
      <w:r w:rsidRPr="007A3223">
        <w:rPr>
          <w:bCs/>
        </w:rPr>
        <w:t>Archived tumor tissue will be evaluated by IHC for the presence of nuclear NF-kB p65 as an estimate of NF-kB activation, in collaboration with Dr. Annunziata, WMB/CCR. If sufficient material from archived tumor samples, RNA will be extracted and gene expression profiled on Affymetrix U133 arrays, in order to classify cases into pre-defined subsets</w:t>
      </w:r>
      <w:r w:rsidR="002457B0" w:rsidRPr="008854E2">
        <w:rPr>
          <w:bCs/>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bCs/>
        </w:rPr>
        <w:instrText xml:space="preserve"> ADDIN EN.CITE </w:instrText>
      </w:r>
      <w:r w:rsidR="00F77861" w:rsidRPr="00BF79D2">
        <w:rPr>
          <w:bCs/>
        </w:rPr>
        <w:fldChar w:fldCharType="begin">
          <w:fldData xml:space="preserve">PEVuZE5vdGU+PENpdGU+PFllYXI+MjAxMTwvWWVhcj48UmVjTnVtPjU8L1JlY051bT48RGlzcGxh
eVRleHQ+PHN0eWxlIGZhY2U9InN1cGVyc2NyaXB0Ij41LDE1Mzwvc3R5bGU+PC9EaXNwbGF5VGV4
dD48cmVjb3JkPjxyZWMtbnVtYmVyPjU8L3JlYy1udW1iZXI+PGZvcmVpZ24ta2V5cz48a2V5IGFw
cD0iRU4iIGRiLWlkPSJmZDVwemRmZjB6NWR0N2VyNXN3eHNkMm0ydGUyZmQ5c2FhZTUiIHRpbWVz
dGFtcD0iMTQyNjYwNDc0NSI+NTwva2V5PjwvZm9yZWlnbi1rZXlzPjxyZWYtdHlwZSBuYW1lPSJK
b3VybmFsIEFydGljbGUiPjE3PC9yZWYtdHlwZT48Y29udHJpYnV0b3JzPjwvY29udHJpYnV0b3Jz
Pjx0aXRsZXM+PHRpdGxlPkludGVncmF0ZWQgZ2Vub21pYyBhbmFseXNlcyBvZiBvdmFyaWFuIGNh
cmNpbm9tYTwvdGl0bGU+PHNlY29uZGFyeS10aXRsZT5OYXR1cmU8L3NlY29uZGFyeS10aXRsZT48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TmF0dXJlPC9hYmJyLTE+PC9hbHQtcGVyaW9kaWNhbD48cGFnZXM+NjA5LTE1PC9wYWdlcz48dm9s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IENhbmNlciBSZXNlYXJjaDwvYWJici0xPjwvYWx0LXBlcmlvZGljYWw+PHBhZ2VzPjM0NzQtODQ8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</w:fldData>
        </w:fldChar>
      </w:r>
      <w:r w:rsidR="00F77861" w:rsidRPr="007A3223">
        <w:rPr>
          <w:bCs/>
        </w:rPr>
        <w:instrText xml:space="preserve"> ADDIN EN.CITE.DATA </w:instrText>
      </w:r>
      <w:r w:rsidR="00F77861" w:rsidRPr="00BF79D2">
        <w:rPr>
          <w:bCs/>
        </w:rPr>
      </w:r>
      <w:r w:rsidR="00F77861" w:rsidRPr="00BF79D2">
        <w:rPr>
          <w:bCs/>
        </w:rPr>
        <w:fldChar w:fldCharType="end"/>
      </w:r>
      <w:r w:rsidR="002457B0" w:rsidRPr="008854E2">
        <w:rPr>
          <w:bCs/>
        </w:rPr>
      </w:r>
      <w:r w:rsidR="002457B0" w:rsidRPr="008854E2">
        <w:rPr>
          <w:bCs/>
        </w:rPr>
        <w:fldChar w:fldCharType="separate"/>
      </w:r>
      <w:hyperlink w:anchor="_ENREF_5" w:tooltip=", 2011 #5" w:history="1">
        <w:r w:rsidR="00F77861" w:rsidRPr="00244551">
          <w:rPr>
            <w:rStyle w:val="Hyperlink"/>
            <w:noProof/>
            <w:szCs w:val="24"/>
            <w:vertAlign w:val="superscript"/>
          </w:rPr>
          <w:t>5</w:t>
        </w:r>
      </w:hyperlink>
      <w:r w:rsidR="00F77861" w:rsidRPr="00F33908">
        <w:rPr>
          <w:bCs/>
          <w:noProof/>
          <w:vertAlign w:val="superscript"/>
        </w:rPr>
        <w:t>,</w:t>
      </w:r>
      <w:hyperlink w:anchor="_ENREF_153" w:tooltip="George, 2013 #73" w:history="1">
        <w:r w:rsidR="00F77861" w:rsidRPr="00244551">
          <w:rPr>
            <w:rStyle w:val="Hyperlink"/>
            <w:noProof/>
            <w:szCs w:val="24"/>
            <w:vertAlign w:val="superscript"/>
          </w:rPr>
          <w:t>153</w:t>
        </w:r>
      </w:hyperlink>
      <w:r w:rsidR="002457B0" w:rsidRPr="008854E2">
        <w:rPr>
          <w:bCs/>
        </w:rPr>
        <w:fldChar w:fldCharType="end"/>
      </w:r>
      <w:r w:rsidRPr="007A3223">
        <w:t xml:space="preserve"> </w:t>
      </w:r>
      <w:r w:rsidRPr="00F33908">
        <w:rPr>
          <w:bCs/>
        </w:rPr>
        <w:t>and quantify expression of the NF-kB gene signature. Alternatively, quantitative PCR will be used. Freshly obtained tumor biopsies wi</w:t>
      </w:r>
      <w:r w:rsidRPr="007A3223">
        <w:rPr>
          <w:bCs/>
        </w:rPr>
        <w:t>ll be formalin-fixed and paraffin-embedded, and subjected to similar analyses.</w:t>
      </w:r>
    </w:p>
    <w:p w14:paraId="79BE81B2" w14:textId="77777777" w:rsidR="00162A64" w:rsidRPr="007A3223" w:rsidRDefault="00162A64" w:rsidP="006C6A96">
      <w:pPr>
        <w:spacing w:after="0"/>
        <w:ind w:firstLine="360"/>
        <w:rPr>
          <w:bCs/>
          <w:szCs w:val="24"/>
        </w:rPr>
      </w:pPr>
    </w:p>
    <w:p w14:paraId="1C827B42" w14:textId="77777777" w:rsidR="00162A64" w:rsidRPr="007A3223" w:rsidRDefault="00162A64" w:rsidP="00ED703B">
      <w:pPr>
        <w:pStyle w:val="Heading2"/>
      </w:pPr>
      <w:bookmarkStart w:id="241" w:name="_Ref39047904"/>
      <w:bookmarkStart w:id="242" w:name="_Toc82444369"/>
      <w:r w:rsidRPr="007A3223">
        <w:t>Blood samples</w:t>
      </w:r>
      <w:bookmarkEnd w:id="241"/>
      <w:bookmarkEnd w:id="242"/>
      <w:r w:rsidRPr="007A3223">
        <w:t xml:space="preserve"> </w:t>
      </w:r>
    </w:p>
    <w:p w14:paraId="54BF548A" w14:textId="49258D7F" w:rsidR="00162A64" w:rsidRPr="007A3223" w:rsidRDefault="00162A64" w:rsidP="00162A64">
      <w:pPr>
        <w:rPr>
          <w:szCs w:val="24"/>
        </w:rPr>
      </w:pPr>
      <w:r w:rsidRPr="007A3223">
        <w:rPr>
          <w:szCs w:val="24"/>
        </w:rPr>
        <w:t>The following tests will be performed on patients’ peripheral blood samples, in order of priority (</w:t>
      </w:r>
      <w:r w:rsidR="00EB3328" w:rsidRPr="007A3223">
        <w:rPr>
          <w:szCs w:val="24"/>
        </w:rPr>
        <w:t xml:space="preserve">Phase I </w:t>
      </w:r>
      <w:r w:rsidR="00F41446">
        <w:rPr>
          <w:szCs w:val="24"/>
        </w:rPr>
        <w:t>Durvalumab</w:t>
      </w:r>
      <w:r w:rsidR="00EB3328" w:rsidRPr="007A3223">
        <w:rPr>
          <w:szCs w:val="24"/>
        </w:rPr>
        <w:t>+C intermittent schedule</w:t>
      </w:r>
      <w:r w:rsidR="00FA0195" w:rsidRPr="007A3223">
        <w:rPr>
          <w:szCs w:val="24"/>
        </w:rPr>
        <w:t xml:space="preserve"> cohort, </w:t>
      </w:r>
      <w:r w:rsidR="00861E1B" w:rsidRPr="007A3223">
        <w:rPr>
          <w:szCs w:val="24"/>
        </w:rPr>
        <w:t xml:space="preserve">Phase I </w:t>
      </w:r>
      <w:r w:rsidR="00F41446">
        <w:rPr>
          <w:szCs w:val="24"/>
        </w:rPr>
        <w:t>Durvalumab</w:t>
      </w:r>
      <w:r w:rsidR="00861E1B" w:rsidRPr="007A3223">
        <w:rPr>
          <w:szCs w:val="24"/>
        </w:rPr>
        <w:t>+O+C</w:t>
      </w:r>
      <w:r w:rsidR="00EB3328" w:rsidRPr="007A3223">
        <w:rPr>
          <w:szCs w:val="24"/>
        </w:rPr>
        <w:t xml:space="preserve"> cohort and </w:t>
      </w:r>
      <w:r w:rsidRPr="007A3223">
        <w:rPr>
          <w:szCs w:val="24"/>
        </w:rPr>
        <w:t xml:space="preserve">Phase II </w:t>
      </w:r>
      <w:r w:rsidR="00AF7142" w:rsidRPr="007A3223">
        <w:rPr>
          <w:szCs w:val="24"/>
        </w:rPr>
        <w:t>study only</w:t>
      </w:r>
      <w:r w:rsidRPr="007A3223">
        <w:rPr>
          <w:szCs w:val="24"/>
        </w:rPr>
        <w:t xml:space="preserve">). These correlative studies will be done in an exploratory fashion. </w:t>
      </w:r>
    </w:p>
    <w:p w14:paraId="4B1B0980" w14:textId="77777777" w:rsidR="00C6631B" w:rsidRPr="007A3223" w:rsidRDefault="00C6631B" w:rsidP="00D14B07">
      <w:pPr>
        <w:rPr>
          <w:u w:val="single"/>
        </w:rPr>
      </w:pPr>
      <w:r w:rsidRPr="007A3223">
        <w:rPr>
          <w:u w:val="single"/>
        </w:rPr>
        <w:t>Timing</w:t>
      </w:r>
    </w:p>
    <w:p w14:paraId="67484565" w14:textId="77777777" w:rsidR="00AF7142" w:rsidRPr="007A3223" w:rsidRDefault="00162A64" w:rsidP="00162A64">
      <w:pPr>
        <w:rPr>
          <w:szCs w:val="24"/>
        </w:rPr>
      </w:pPr>
      <w:r w:rsidRPr="007A3223">
        <w:rPr>
          <w:szCs w:val="24"/>
        </w:rPr>
        <w:t>Blood samples will be collected prior to treatment on cycle 1 day</w:t>
      </w:r>
      <w:r w:rsidR="003C2A51" w:rsidRPr="007A3223">
        <w:rPr>
          <w:szCs w:val="24"/>
        </w:rPr>
        <w:t xml:space="preserve"> 1</w:t>
      </w:r>
      <w:r w:rsidRPr="007A3223">
        <w:rPr>
          <w:szCs w:val="24"/>
        </w:rPr>
        <w:t xml:space="preserve">, </w:t>
      </w:r>
      <w:r w:rsidR="00271287" w:rsidRPr="007A3223">
        <w:rPr>
          <w:szCs w:val="24"/>
        </w:rPr>
        <w:t xml:space="preserve">prior to </w:t>
      </w:r>
      <w:r w:rsidR="00AF7142" w:rsidRPr="007A3223">
        <w:rPr>
          <w:szCs w:val="24"/>
        </w:rPr>
        <w:t>cycle 1 day 15</w:t>
      </w:r>
      <w:r w:rsidR="0073459E" w:rsidRPr="007A3223">
        <w:rPr>
          <w:szCs w:val="24"/>
        </w:rPr>
        <w:t xml:space="preserve"> +/- 48 hours</w:t>
      </w:r>
      <w:r w:rsidRPr="007A3223">
        <w:rPr>
          <w:szCs w:val="24"/>
        </w:rPr>
        <w:t>,</w:t>
      </w:r>
      <w:r w:rsidR="003C2A51" w:rsidRPr="007A3223">
        <w:rPr>
          <w:szCs w:val="24"/>
        </w:rPr>
        <w:t xml:space="preserve"> </w:t>
      </w:r>
      <w:r w:rsidR="008055BE" w:rsidRPr="007A3223">
        <w:rPr>
          <w:szCs w:val="24"/>
        </w:rPr>
        <w:t>cycle 3 day 1</w:t>
      </w:r>
      <w:r w:rsidR="00EC2498" w:rsidRPr="007A3223">
        <w:rPr>
          <w:szCs w:val="24"/>
        </w:rPr>
        <w:t>, and at progression</w:t>
      </w:r>
      <w:r w:rsidRPr="007A3223">
        <w:rPr>
          <w:szCs w:val="24"/>
        </w:rPr>
        <w:t xml:space="preserve">. </w:t>
      </w:r>
    </w:p>
    <w:p w14:paraId="5A9B21FC" w14:textId="77777777" w:rsidR="00162A64" w:rsidRPr="007A3223" w:rsidRDefault="00A57D06" w:rsidP="00162A64">
      <w:pPr>
        <w:rPr>
          <w:szCs w:val="24"/>
        </w:rPr>
      </w:pPr>
      <w:r w:rsidRPr="007A3223">
        <w:rPr>
          <w:szCs w:val="24"/>
        </w:rPr>
        <w:t xml:space="preserve">For colorectal cancer patients, blood for immune subsets monitoring will be collected every 28 days until off-treatment. </w:t>
      </w:r>
    </w:p>
    <w:p w14:paraId="0C73A8C7" w14:textId="77777777" w:rsidR="00162A64" w:rsidRPr="007A3223" w:rsidRDefault="00C6631B" w:rsidP="00821A3D">
      <w:pPr>
        <w:pStyle w:val="Heading3"/>
      </w:pPr>
      <w:r w:rsidRPr="007A3223">
        <w:t>Studies Performed</w:t>
      </w:r>
    </w:p>
    <w:p w14:paraId="4C1E80CE" w14:textId="0A8B4877" w:rsidR="00162A64" w:rsidRPr="007A3223" w:rsidRDefault="00162A64" w:rsidP="00B458AF">
      <w:pPr>
        <w:pStyle w:val="Heading4"/>
      </w:pPr>
      <w:bookmarkStart w:id="243" w:name="_Hlk37349334"/>
      <w:r w:rsidRPr="007A3223">
        <w:t>Immune subset markers</w:t>
      </w:r>
      <w:r w:rsidR="00AF7142" w:rsidRPr="007A3223">
        <w:t xml:space="preserve"> (</w:t>
      </w:r>
      <w:r w:rsidR="00EB3328" w:rsidRPr="007A3223">
        <w:rPr>
          <w:lang w:val="en-US"/>
        </w:rPr>
        <w:t xml:space="preserve">Phase I </w:t>
      </w:r>
      <w:r w:rsidR="006479A2">
        <w:rPr>
          <w:lang w:val="en-US"/>
        </w:rPr>
        <w:t>Durvalumab</w:t>
      </w:r>
      <w:r w:rsidR="00EB3328" w:rsidRPr="007A3223">
        <w:rPr>
          <w:lang w:val="en-US"/>
        </w:rPr>
        <w:t>+C intermittent schedule</w:t>
      </w:r>
      <w:r w:rsidR="00FA0195" w:rsidRPr="007A3223">
        <w:rPr>
          <w:szCs w:val="24"/>
        </w:rPr>
        <w:t xml:space="preserve"> </w:t>
      </w:r>
      <w:r w:rsidR="00154D59" w:rsidRPr="007A3223">
        <w:rPr>
          <w:szCs w:val="24"/>
        </w:rPr>
        <w:t>arm</w:t>
      </w:r>
      <w:r w:rsidR="00FA0195" w:rsidRPr="007A3223">
        <w:rPr>
          <w:szCs w:val="24"/>
        </w:rPr>
        <w:t xml:space="preserve">, Phase I </w:t>
      </w:r>
      <w:r w:rsidR="006479A2">
        <w:rPr>
          <w:szCs w:val="24"/>
          <w:lang w:val="en-US"/>
        </w:rPr>
        <w:t>Durvalumab</w:t>
      </w:r>
      <w:r w:rsidR="00FA0195" w:rsidRPr="007A3223">
        <w:rPr>
          <w:szCs w:val="24"/>
        </w:rPr>
        <w:t xml:space="preserve">+O+C </w:t>
      </w:r>
      <w:r w:rsidR="001B633D" w:rsidRPr="007A3223">
        <w:rPr>
          <w:lang w:val="en-US"/>
        </w:rPr>
        <w:t>arm</w:t>
      </w:r>
      <w:r w:rsidR="001B633D" w:rsidRPr="007A3223">
        <w:t xml:space="preserve"> </w:t>
      </w:r>
      <w:r w:rsidR="00EB3328" w:rsidRPr="007A3223">
        <w:t xml:space="preserve">and </w:t>
      </w:r>
      <w:r w:rsidR="00AF7142" w:rsidRPr="007A3223">
        <w:t>all Phase II participants</w:t>
      </w:r>
      <w:r w:rsidR="0073459E" w:rsidRPr="007A3223">
        <w:t xml:space="preserve"> except CRC </w:t>
      </w:r>
      <w:r w:rsidR="00AA5EA0" w:rsidRPr="007A3223">
        <w:rPr>
          <w:lang w:val="en-US"/>
        </w:rPr>
        <w:t>cohort</w:t>
      </w:r>
      <w:r w:rsidR="00AF7142" w:rsidRPr="007A3223">
        <w:t>)</w:t>
      </w:r>
    </w:p>
    <w:bookmarkEnd w:id="243"/>
    <w:p w14:paraId="4940469D" w14:textId="6B0A84BD" w:rsidR="00162A64" w:rsidRPr="007A3223" w:rsidRDefault="00162A64" w:rsidP="00C34EB9">
      <w:pPr>
        <w:rPr>
          <w:lang w:eastAsia="ja-JP"/>
        </w:rPr>
      </w:pPr>
      <w:r w:rsidRPr="007A3223">
        <w:rPr>
          <w:lang w:eastAsia="ja-JP"/>
        </w:rPr>
        <w:t xml:space="preserve">Emerging data suggest there is </w:t>
      </w:r>
      <w:r w:rsidR="00750874" w:rsidRPr="007A3223">
        <w:rPr>
          <w:lang w:eastAsia="ja-JP"/>
        </w:rPr>
        <w:t>interplay</w:t>
      </w:r>
      <w:r w:rsidRPr="007A3223">
        <w:rPr>
          <w:lang w:eastAsia="ja-JP"/>
        </w:rPr>
        <w:t xml:space="preserve"> between chemotherapies and the host immune system</w:t>
      </w:r>
      <w:r w:rsidR="002457B0" w:rsidRPr="008854E2">
        <w:rPr>
          <w:lang w:eastAsia="ja-JP"/>
        </w:rPr>
        <w:fldChar w:fldCharType="begin">
          <w:fldData xml:space="preserve">PEVuZE5vdGU+PENpdGU+PEF1dGhvcj5HYWxsdXp6aTwvQXV0aG9yPjxZZWFyPjIwMTI8L1llYXI+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==
</w:fldData>
        </w:fldChar>
      </w:r>
      <w:r w:rsidR="00E27C67" w:rsidRPr="007A3223">
        <w:rPr>
          <w:lang w:eastAsia="ja-JP"/>
        </w:rPr>
        <w:instrText xml:space="preserve"> ADDIN EN.CITE </w:instrText>
      </w:r>
      <w:r w:rsidR="00E27C67" w:rsidRPr="00BF79D2">
        <w:rPr>
          <w:lang w:eastAsia="ja-JP"/>
        </w:rPr>
        <w:fldChar w:fldCharType="begin">
          <w:fldData xml:space="preserve">PEVuZE5vdGU+PENpdGU+PEF1dGhvcj5HYWxsdXp6aTwvQXV0aG9yPjxZZWFyPjIwMTI8L1llYXI+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==
</w:fldData>
        </w:fldChar>
      </w:r>
      <w:r w:rsidR="00E27C67" w:rsidRPr="007A3223">
        <w:rPr>
          <w:lang w:eastAsia="ja-JP"/>
        </w:rPr>
        <w:instrText xml:space="preserve"> ADDIN EN.CITE.DATA </w:instrText>
      </w:r>
      <w:r w:rsidR="00E27C67" w:rsidRPr="00BF79D2">
        <w:rPr>
          <w:lang w:eastAsia="ja-JP"/>
        </w:rPr>
      </w:r>
      <w:r w:rsidR="00E27C67" w:rsidRPr="00BF79D2">
        <w:rPr>
          <w:lang w:eastAsia="ja-JP"/>
        </w:rPr>
        <w:fldChar w:fldCharType="end"/>
      </w:r>
      <w:r w:rsidR="002457B0" w:rsidRPr="008854E2">
        <w:rPr>
          <w:lang w:eastAsia="ja-JP"/>
        </w:rPr>
      </w:r>
      <w:r w:rsidR="002457B0" w:rsidRPr="008854E2">
        <w:rPr>
          <w:lang w:eastAsia="ja-JP"/>
        </w:rPr>
        <w:fldChar w:fldCharType="separate"/>
      </w:r>
      <w:hyperlink w:anchor="_ENREF_30" w:tooltip="Galluzzi, 2012 #29" w:history="1">
        <w:r w:rsidR="00E27C67" w:rsidRPr="00244551">
          <w:rPr>
            <w:rStyle w:val="Hyperlink"/>
            <w:noProof/>
            <w:vertAlign w:val="superscript"/>
            <w:lang w:eastAsia="ja-JP"/>
          </w:rPr>
          <w:t>30</w:t>
        </w:r>
      </w:hyperlink>
      <w:r w:rsidR="00E27C67" w:rsidRPr="00F33908">
        <w:rPr>
          <w:noProof/>
          <w:vertAlign w:val="superscript"/>
          <w:lang w:eastAsia="ja-JP"/>
        </w:rPr>
        <w:t>,</w:t>
      </w:r>
      <w:hyperlink w:anchor="_ENREF_165" w:tooltip="Mantia-Smaldone, 2014 #81" w:history="1">
        <w:r w:rsidR="00E27C67" w:rsidRPr="00244551">
          <w:rPr>
            <w:rStyle w:val="Hyperlink"/>
            <w:noProof/>
            <w:vertAlign w:val="superscript"/>
            <w:lang w:eastAsia="ja-JP"/>
          </w:rPr>
          <w:t>165</w:t>
        </w:r>
      </w:hyperlink>
      <w:r w:rsidR="002457B0" w:rsidRPr="008854E2">
        <w:rPr>
          <w:lang w:eastAsia="ja-JP"/>
        </w:rPr>
        <w:fldChar w:fldCharType="end"/>
      </w:r>
      <w:r w:rsidRPr="007A3223">
        <w:rPr>
          <w:lang w:eastAsia="ja-JP"/>
        </w:rPr>
        <w:t>. Further, tumors with high genomic insta</w:t>
      </w:r>
      <w:r w:rsidRPr="00F33908">
        <w:rPr>
          <w:lang w:eastAsia="ja-JP"/>
        </w:rPr>
        <w:t>bility, such as ovarian cancer, may trigger host immune reaction, which may correlate with patient clinical outcome</w:t>
      </w:r>
      <w:hyperlink w:anchor="_ENREF_56" w:tooltip="McAlpine, 2012 #56" w:history="1">
        <w:r w:rsidR="00F77861" w:rsidRPr="00244551">
          <w:rPr>
            <w:rStyle w:val="Hyperlink"/>
            <w:lang w:eastAsia="ja-JP"/>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lang w:eastAsia="ja-JP"/>
          </w:rPr>
          <w:instrText xml:space="preserve"> ADDIN EN.CITE </w:instrText>
        </w:r>
        <w:r w:rsidR="00F77861" w:rsidRPr="00BF79D2">
          <w:rPr>
            <w:rStyle w:val="Hyperlink"/>
            <w:lang w:eastAsia="ja-JP"/>
          </w:rPr>
          <w:fldChar w:fldCharType="begin">
            <w:fldData xml:space="preserve">PEVuZE5vdGU+PENpdGU+PEF1dGhvcj5NY0FscGluZTwvQXV0aG9yPjxZZWFyPjIwMTI8L1llYXI+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cGVyaW9kaWNhbD48cGFnZXM+NzQwLTUwPC9wYWdlcz48dm9sdW1lPjI1PC92b2x1bWU+PG51bWJl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</w:fldData>
          </w:fldChar>
        </w:r>
        <w:r w:rsidR="00F77861" w:rsidRPr="00244551">
          <w:rPr>
            <w:rStyle w:val="Hyperlink"/>
            <w:lang w:eastAsia="ja-JP"/>
          </w:rPr>
          <w:instrText xml:space="preserve"> ADDIN EN.CITE.DATA </w:instrText>
        </w:r>
        <w:r w:rsidR="00F77861" w:rsidRPr="00BF79D2">
          <w:rPr>
            <w:rStyle w:val="Hyperlink"/>
            <w:lang w:eastAsia="ja-JP"/>
          </w:rPr>
        </w:r>
        <w:r w:rsidR="00F77861" w:rsidRPr="00BF79D2">
          <w:rPr>
            <w:rStyle w:val="Hyperlink"/>
            <w:lang w:eastAsia="ja-JP"/>
          </w:rPr>
          <w:fldChar w:fldCharType="end"/>
        </w:r>
        <w:r w:rsidR="00F77861" w:rsidRPr="00244551">
          <w:rPr>
            <w:rStyle w:val="Hyperlink"/>
            <w:lang w:eastAsia="ja-JP"/>
          </w:rPr>
        </w:r>
        <w:r w:rsidR="00F77861" w:rsidRPr="00244551">
          <w:rPr>
            <w:rStyle w:val="Hyperlink"/>
            <w:lang w:eastAsia="ja-JP"/>
          </w:rPr>
          <w:fldChar w:fldCharType="separate"/>
        </w:r>
        <w:r w:rsidR="00F77861" w:rsidRPr="00244551">
          <w:rPr>
            <w:rStyle w:val="Hyperlink"/>
            <w:noProof/>
            <w:vertAlign w:val="superscript"/>
            <w:lang w:eastAsia="ja-JP"/>
          </w:rPr>
          <w:t>56</w:t>
        </w:r>
        <w:r w:rsidR="00F77861" w:rsidRPr="00244551">
          <w:rPr>
            <w:rStyle w:val="Hyperlink"/>
            <w:lang w:eastAsia="ja-JP"/>
          </w:rPr>
          <w:fldChar w:fldCharType="end"/>
        </w:r>
      </w:hyperlink>
      <w:r w:rsidRPr="007A3223">
        <w:rPr>
          <w:lang w:eastAsia="ja-JP"/>
        </w:rPr>
        <w:t xml:space="preserve">. </w:t>
      </w:r>
      <w:r w:rsidRPr="00F33908">
        <w:rPr>
          <w:color w:val="141413"/>
        </w:rPr>
        <w:t>Hence</w:t>
      </w:r>
      <w:r w:rsidRPr="007A3223">
        <w:rPr>
          <w:lang w:eastAsia="ja-JP"/>
        </w:rPr>
        <w:t xml:space="preserve">, monitoring immune subsets in ovarian cancer patients may facilitate the establishment of personalized therapy in ovarian cancer. </w:t>
      </w:r>
    </w:p>
    <w:p w14:paraId="41E1BE77" w14:textId="71777C59" w:rsidR="00162A64" w:rsidRPr="007A3223" w:rsidRDefault="00162A64" w:rsidP="00C34EB9">
      <w:pPr>
        <w:rPr>
          <w:lang w:eastAsia="ja-JP"/>
        </w:rPr>
      </w:pPr>
      <w:r w:rsidRPr="007A3223">
        <w:rPr>
          <w:bCs/>
        </w:rPr>
        <w:t xml:space="preserve">PBMCs </w:t>
      </w:r>
      <w:r w:rsidR="000F136B" w:rsidRPr="007A3223">
        <w:rPr>
          <w:bCs/>
        </w:rPr>
        <w:t xml:space="preserve">will be processed and stored at Trepel Lab </w:t>
      </w:r>
      <w:r w:rsidR="00D24295" w:rsidRPr="007A3223">
        <w:rPr>
          <w:bCs/>
        </w:rPr>
        <w:t>except colorectal cancer patients</w:t>
      </w:r>
      <w:r w:rsidR="000F136B" w:rsidRPr="007A3223">
        <w:rPr>
          <w:bCs/>
        </w:rPr>
        <w:t xml:space="preserve">, and </w:t>
      </w:r>
      <w:r w:rsidRPr="007A3223">
        <w:rPr>
          <w:bCs/>
        </w:rPr>
        <w:t>will be assessed using multi-parameter flow cytometry</w:t>
      </w:r>
      <w:r w:rsidR="002107DB" w:rsidRPr="007A3223">
        <w:rPr>
          <w:bCs/>
        </w:rPr>
        <w:t xml:space="preserve"> </w:t>
      </w:r>
      <w:r w:rsidRPr="007A3223">
        <w:rPr>
          <w:bCs/>
        </w:rPr>
        <w:t>for immune subsets including but not necessarily limited to Tregs, MDSC, effector and exhausted CD8+ T-cells. Assessment will include functional markers, i.e. PD-1, TIM3, CTLA-4 and/or CD40. This study will be done in collaboration with Jane Trepel of</w:t>
      </w:r>
      <w:r w:rsidRPr="007A3223">
        <w:t xml:space="preserve"> Developmental Therapeutics Branch</w:t>
      </w:r>
      <w:r w:rsidRPr="007A3223">
        <w:rPr>
          <w:bCs/>
        </w:rPr>
        <w:t xml:space="preserve">/CCR/NCI. </w:t>
      </w:r>
    </w:p>
    <w:p w14:paraId="0C54B55F" w14:textId="77777777" w:rsidR="00162A64" w:rsidRPr="007A3223" w:rsidRDefault="003A63D8" w:rsidP="00FB66BA">
      <w:pPr>
        <w:widowControl w:val="0"/>
        <w:numPr>
          <w:ilvl w:val="0"/>
          <w:numId w:val="39"/>
        </w:numPr>
        <w:autoSpaceDE w:val="0"/>
        <w:autoSpaceDN w:val="0"/>
        <w:adjustRightInd w:val="0"/>
        <w:spacing w:after="0"/>
        <w:ind w:left="360"/>
        <w:rPr>
          <w:rFonts w:cs="Calibri"/>
          <w:szCs w:val="24"/>
        </w:rPr>
      </w:pPr>
      <w:r w:rsidRPr="007A3223">
        <w:t xml:space="preserve">PBMC </w:t>
      </w:r>
      <w:r w:rsidR="00162A64" w:rsidRPr="007A3223">
        <w:t>Collection of Specimen(s): T</w:t>
      </w:r>
      <w:r w:rsidR="00162A64" w:rsidRPr="007A3223">
        <w:rPr>
          <w:rFonts w:cs="Arial"/>
          <w:szCs w:val="24"/>
        </w:rPr>
        <w:t>wo 8-ml BD Vacutainer Cell Preparation Tubes (CPT</w:t>
      </w:r>
      <w:r w:rsidR="00162A64" w:rsidRPr="007A3223">
        <w:t>; blue and black top</w:t>
      </w:r>
      <w:r w:rsidR="00162A64" w:rsidRPr="007A3223">
        <w:rPr>
          <w:rFonts w:cs="Arial"/>
          <w:szCs w:val="24"/>
        </w:rPr>
        <w:t>) will be collected from each patient.</w:t>
      </w:r>
      <w:r w:rsidR="002107DB" w:rsidRPr="007A3223">
        <w:rPr>
          <w:rFonts w:cs="Arial"/>
          <w:szCs w:val="24"/>
        </w:rPr>
        <w:t xml:space="preserve"> </w:t>
      </w:r>
      <w:r w:rsidR="00162A64" w:rsidRPr="007A3223">
        <w:rPr>
          <w:rFonts w:cs="Arial"/>
          <w:szCs w:val="24"/>
        </w:rPr>
        <w:t>Immediately after collection, mix the blood sample by gentle inversion several times.</w:t>
      </w:r>
      <w:r w:rsidR="00162A64" w:rsidRPr="007A3223">
        <w:rPr>
          <w:rFonts w:cs="Calibri"/>
          <w:szCs w:val="24"/>
        </w:rPr>
        <w:t xml:space="preserve"> </w:t>
      </w:r>
      <w:r w:rsidR="00162A64" w:rsidRPr="007A3223">
        <w:rPr>
          <w:rFonts w:cs="Arial"/>
          <w:szCs w:val="24"/>
        </w:rPr>
        <w:t>The date and exact time of each blood draw should be recorded on the tube.</w:t>
      </w:r>
      <w:r w:rsidR="00162A64" w:rsidRPr="007A3223">
        <w:rPr>
          <w:rFonts w:cs="Calibri"/>
          <w:szCs w:val="24"/>
        </w:rPr>
        <w:t xml:space="preserve">  </w:t>
      </w:r>
    </w:p>
    <w:p w14:paraId="398CA992" w14:textId="33574E3D" w:rsidR="00A57D06" w:rsidRPr="007A3223" w:rsidRDefault="00162A64" w:rsidP="00FB66BA">
      <w:pPr>
        <w:widowControl w:val="0"/>
        <w:numPr>
          <w:ilvl w:val="0"/>
          <w:numId w:val="39"/>
        </w:numPr>
        <w:autoSpaceDE w:val="0"/>
        <w:autoSpaceDN w:val="0"/>
        <w:adjustRightInd w:val="0"/>
        <w:spacing w:after="0"/>
        <w:ind w:left="360"/>
        <w:rPr>
          <w:rFonts w:cs="Calibri"/>
          <w:szCs w:val="24"/>
        </w:rPr>
      </w:pPr>
      <w:r w:rsidRPr="007A3223">
        <w:t>Notification and Handling of Samples</w:t>
      </w:r>
      <w:r w:rsidR="00AF7142" w:rsidRPr="007A3223">
        <w:t xml:space="preserve"> for all patients in Phase II study except colorectal cancer patients</w:t>
      </w:r>
      <w:r w:rsidRPr="007A3223">
        <w:t xml:space="preserve">: as soon as possible after the patient is scheduled please send email notification to the Trepel lab at </w:t>
      </w:r>
      <w:hyperlink r:id="rId51" w:history="1">
        <w:r w:rsidRPr="00F33908">
          <w:rPr>
            <w:rFonts w:cs="Arial"/>
            <w:color w:val="0000E9"/>
            <w:szCs w:val="24"/>
            <w:u w:val="single" w:color="0000E9"/>
          </w:rPr>
          <w:t>trepel@helix.nih.gov</w:t>
        </w:r>
      </w:hyperlink>
      <w:r w:rsidRPr="007A3223">
        <w:rPr>
          <w:rFonts w:cs="Arial"/>
          <w:color w:val="0000E9"/>
          <w:szCs w:val="24"/>
          <w:u w:val="single" w:color="0000E9"/>
        </w:rPr>
        <w:t xml:space="preserve">; Min-Jung Lee at </w:t>
      </w:r>
      <w:r w:rsidRPr="00F33908">
        <w:rPr>
          <w:rFonts w:cs="Arial"/>
          <w:szCs w:val="24"/>
        </w:rPr>
        <w:t xml:space="preserve"> </w:t>
      </w:r>
      <w:hyperlink r:id="rId52" w:history="1">
        <w:r w:rsidRPr="00F33908">
          <w:rPr>
            <w:rFonts w:cs="Arial"/>
            <w:color w:val="0000E9"/>
            <w:szCs w:val="24"/>
            <w:u w:val="single" w:color="0000E9"/>
          </w:rPr>
          <w:t>leemin@mail.nih.gov</w:t>
        </w:r>
      </w:hyperlink>
      <w:r w:rsidRPr="007A3223">
        <w:rPr>
          <w:rFonts w:cs="Arial"/>
          <w:szCs w:val="24"/>
        </w:rPr>
        <w:t xml:space="preserve"> </w:t>
      </w:r>
      <w:r w:rsidRPr="007A3223">
        <w:rPr>
          <w:rFonts w:cs="Arial"/>
          <w:szCs w:val="24"/>
        </w:rPr>
        <w:lastRenderedPageBreak/>
        <w:t xml:space="preserve">and </w:t>
      </w:r>
      <w:hyperlink r:id="rId53" w:history="1">
        <w:r w:rsidRPr="00F33908">
          <w:rPr>
            <w:rFonts w:cs="Arial"/>
            <w:color w:val="0000E9"/>
            <w:szCs w:val="24"/>
            <w:u w:val="single" w:color="0000E9"/>
          </w:rPr>
          <w:t>yusuke.tomita@nih.gov</w:t>
        </w:r>
      </w:hyperlink>
      <w:r w:rsidRPr="007A3223">
        <w:rPr>
          <w:rFonts w:cs="Arial"/>
          <w:szCs w:val="24"/>
        </w:rPr>
        <w:t xml:space="preserve">) and call the Trepel lab at </w:t>
      </w:r>
      <w:r w:rsidR="00096537" w:rsidRPr="00F33908">
        <w:rPr>
          <w:rFonts w:cs="Arial"/>
          <w:szCs w:val="24"/>
        </w:rPr>
        <w:t>240-760-6330</w:t>
      </w:r>
      <w:r w:rsidRPr="007A3223">
        <w:rPr>
          <w:rFonts w:cs="Arial"/>
          <w:szCs w:val="24"/>
        </w:rPr>
        <w:t xml:space="preserve"> to arrange for immediate pick-up when the sample is drawn.</w:t>
      </w:r>
    </w:p>
    <w:p w14:paraId="645215C3" w14:textId="1C67A0F9" w:rsidR="00C95017" w:rsidRPr="007A3223" w:rsidRDefault="00A57D06" w:rsidP="00FB66BA">
      <w:pPr>
        <w:pStyle w:val="ListParagraph"/>
        <w:numPr>
          <w:ilvl w:val="0"/>
          <w:numId w:val="27"/>
        </w:numPr>
        <w:ind w:left="360"/>
      </w:pPr>
      <w:r w:rsidRPr="007A3223">
        <w:rPr>
          <w:rFonts w:cs="Calibri"/>
          <w:u w:val="single"/>
        </w:rPr>
        <w:t>For colorectal cancer patients</w:t>
      </w:r>
      <w:r w:rsidR="00AF7142" w:rsidRPr="007A3223">
        <w:rPr>
          <w:rFonts w:cs="Calibri"/>
          <w:u w:val="single"/>
        </w:rPr>
        <w:t xml:space="preserve"> </w:t>
      </w:r>
      <w:r w:rsidR="00154D59" w:rsidRPr="007A3223">
        <w:rPr>
          <w:rFonts w:cs="Calibri"/>
          <w:u w:val="single"/>
        </w:rPr>
        <w:t xml:space="preserve">(cohort 6) </w:t>
      </w:r>
      <w:r w:rsidR="00AF7142" w:rsidRPr="007A3223">
        <w:rPr>
          <w:rFonts w:cs="Calibri"/>
          <w:u w:val="single"/>
        </w:rPr>
        <w:t xml:space="preserve">on </w:t>
      </w:r>
      <w:r w:rsidR="006479A2">
        <w:rPr>
          <w:rFonts w:cs="Calibri"/>
          <w:u w:val="single"/>
          <w:lang w:val="en-US"/>
        </w:rPr>
        <w:t>Durvalumab</w:t>
      </w:r>
      <w:r w:rsidR="00EB3328" w:rsidRPr="007A3223">
        <w:rPr>
          <w:rFonts w:cs="Calibri"/>
          <w:u w:val="single"/>
        </w:rPr>
        <w:t>+</w:t>
      </w:r>
      <w:r w:rsidR="00AF7142" w:rsidRPr="007A3223">
        <w:rPr>
          <w:rFonts w:cs="Calibri"/>
          <w:u w:val="single"/>
        </w:rPr>
        <w:t>C arm</w:t>
      </w:r>
      <w:r w:rsidRPr="007A3223">
        <w:rPr>
          <w:rFonts w:cs="Calibri"/>
        </w:rPr>
        <w:t xml:space="preserve">, </w:t>
      </w:r>
    </w:p>
    <w:p w14:paraId="3C19BDDF" w14:textId="77777777" w:rsidR="00D24295" w:rsidRPr="007A3223" w:rsidRDefault="00A57D06" w:rsidP="00FB66BA">
      <w:pPr>
        <w:pStyle w:val="ListParagraph"/>
        <w:numPr>
          <w:ilvl w:val="1"/>
          <w:numId w:val="27"/>
        </w:numPr>
        <w:ind w:left="720"/>
      </w:pPr>
      <w:r w:rsidRPr="007A3223">
        <w:t xml:space="preserve">Notification and Handling of Samples: as soon as possible after the patient is scheduled please send email notification to </w:t>
      </w:r>
      <w:r w:rsidR="00C95017" w:rsidRPr="007A3223">
        <w:t xml:space="preserve">Melissa Walker RN: email: </w:t>
      </w:r>
      <w:r w:rsidR="00142131" w:rsidRPr="007A3223">
        <w:t xml:space="preserve">walkerme@mail.nih.gov phone </w:t>
      </w:r>
      <w:r w:rsidR="00142131" w:rsidRPr="007A3223">
        <w:rPr>
          <w:color w:val="434343"/>
        </w:rPr>
        <w:t>301.827.3456</w:t>
      </w:r>
      <w:r w:rsidR="00C95017" w:rsidRPr="007A3223">
        <w:rPr>
          <w:color w:val="1F497D"/>
        </w:rPr>
        <w:t>.</w:t>
      </w:r>
      <w:r w:rsidR="00C95017" w:rsidRPr="007A3223">
        <w:t xml:space="preserve"> </w:t>
      </w:r>
    </w:p>
    <w:p w14:paraId="4295DA4B" w14:textId="06F1B30D" w:rsidR="00D24295" w:rsidRPr="00F33908" w:rsidRDefault="00D24295" w:rsidP="00FB66BA">
      <w:pPr>
        <w:pStyle w:val="ListParagraph"/>
        <w:numPr>
          <w:ilvl w:val="1"/>
          <w:numId w:val="27"/>
        </w:numPr>
        <w:ind w:left="720"/>
      </w:pPr>
      <w:r w:rsidRPr="007A3223">
        <w:t xml:space="preserve">PBMC Collection of Specimen(s): </w:t>
      </w:r>
      <w:r w:rsidR="003D743A" w:rsidRPr="007A3223">
        <w:rPr>
          <w:lang w:val="en-US"/>
        </w:rPr>
        <w:t xml:space="preserve">Thirteen 10-ml EDTA tubes, </w:t>
      </w:r>
      <w:r w:rsidR="00FC36FE" w:rsidRPr="007A3223">
        <w:rPr>
          <w:lang w:val="en-US"/>
        </w:rPr>
        <w:t xml:space="preserve">three </w:t>
      </w:r>
      <w:r w:rsidR="003D743A" w:rsidRPr="007A3223">
        <w:rPr>
          <w:lang w:val="en-US"/>
        </w:rPr>
        <w:t>6mL EDTA tube</w:t>
      </w:r>
      <w:r w:rsidR="00FC36FE" w:rsidRPr="007A3223">
        <w:rPr>
          <w:lang w:val="en-US"/>
        </w:rPr>
        <w:t>s</w:t>
      </w:r>
      <w:r w:rsidR="003D743A" w:rsidRPr="007A3223">
        <w:rPr>
          <w:lang w:val="en-US"/>
        </w:rPr>
        <w:t>, will be collected from each patient (</w:t>
      </w:r>
      <w:r w:rsidR="001E598B" w:rsidRPr="00F33908">
        <w:rPr>
          <w:b/>
          <w:color w:val="0000FF"/>
          <w:lang w:val="en-US"/>
        </w:rPr>
        <w:fldChar w:fldCharType="begin"/>
      </w:r>
      <w:r w:rsidR="001E598B" w:rsidRPr="007A3223">
        <w:rPr>
          <w:b/>
          <w:color w:val="0000FF"/>
          <w:lang w:val="en-US"/>
        </w:rPr>
        <w:instrText xml:space="preserve"> REF _Ref450559094 \h  \* MERGEFORMAT </w:instrText>
      </w:r>
      <w:r w:rsidR="001E598B" w:rsidRPr="00F33908">
        <w:rPr>
          <w:b/>
          <w:color w:val="0000FF"/>
          <w:lang w:val="en-US"/>
        </w:rPr>
      </w:r>
      <w:r w:rsidR="001E598B" w:rsidRPr="00F33908">
        <w:rPr>
          <w:b/>
          <w:color w:val="0000FF"/>
          <w:lang w:val="en-US"/>
        </w:rPr>
        <w:fldChar w:fldCharType="separate"/>
      </w:r>
      <w:r w:rsidR="00E47ACA" w:rsidRPr="00E47ACA">
        <w:rPr>
          <w:b/>
          <w:color w:val="0000FF"/>
        </w:rPr>
        <w:t xml:space="preserve">Table </w:t>
      </w:r>
      <w:r w:rsidR="00E47ACA" w:rsidRPr="00E47ACA">
        <w:rPr>
          <w:b/>
          <w:noProof/>
          <w:color w:val="0000FF"/>
        </w:rPr>
        <w:t>28</w:t>
      </w:r>
      <w:r w:rsidR="001E598B" w:rsidRPr="00F33908">
        <w:rPr>
          <w:b/>
          <w:color w:val="0000FF"/>
          <w:lang w:val="en-US"/>
        </w:rPr>
        <w:fldChar w:fldCharType="end"/>
      </w:r>
      <w:r w:rsidR="003D743A" w:rsidRPr="007A3223">
        <w:rPr>
          <w:lang w:val="en-US"/>
        </w:rPr>
        <w:t>).</w:t>
      </w:r>
    </w:p>
    <w:p w14:paraId="09E457A0" w14:textId="77777777" w:rsidR="0073459E" w:rsidRPr="007A3223" w:rsidRDefault="0073459E" w:rsidP="00FB66BA">
      <w:pPr>
        <w:pStyle w:val="ListParagraph"/>
        <w:numPr>
          <w:ilvl w:val="1"/>
          <w:numId w:val="27"/>
        </w:numPr>
        <w:ind w:left="720"/>
      </w:pPr>
      <w:r w:rsidRPr="007A3223">
        <w:t>Tumor biospies will be tested in by IHC and nanostring array. PBMC will be tested for a immune cell subsets including but not limited to CD4/CD8 effector and memory, Tregs, Th subsets, activation markers, myeloid subsets including MDSC and DC, NKs.</w:t>
      </w:r>
    </w:p>
    <w:p w14:paraId="18024994" w14:textId="77777777" w:rsidR="00162A64" w:rsidRPr="007A3223" w:rsidRDefault="00162A64" w:rsidP="00D24295">
      <w:pPr>
        <w:widowControl w:val="0"/>
        <w:autoSpaceDE w:val="0"/>
        <w:autoSpaceDN w:val="0"/>
        <w:adjustRightInd w:val="0"/>
        <w:spacing w:after="0"/>
        <w:ind w:left="360"/>
        <w:rPr>
          <w:rFonts w:cs="Calibri"/>
          <w:szCs w:val="24"/>
          <w:lang w:eastAsia="ko-KR"/>
        </w:rPr>
      </w:pPr>
    </w:p>
    <w:p w14:paraId="2ACD6BF0" w14:textId="1AFC0EF3" w:rsidR="00162A64" w:rsidRPr="007A3223" w:rsidRDefault="00162A64" w:rsidP="006E0CC3">
      <w:pPr>
        <w:pStyle w:val="Heading4"/>
        <w:rPr>
          <w:noProof w:val="0"/>
        </w:rPr>
      </w:pPr>
      <w:r w:rsidRPr="007A3223">
        <w:rPr>
          <w:noProof w:val="0"/>
        </w:rPr>
        <w:t>Comprehensive chemokine and cytokine analysis</w:t>
      </w:r>
      <w:r w:rsidR="00AF7142" w:rsidRPr="007A3223">
        <w:rPr>
          <w:noProof w:val="0"/>
        </w:rPr>
        <w:t xml:space="preserve"> (</w:t>
      </w:r>
      <w:r w:rsidR="00EB3328" w:rsidRPr="007A3223">
        <w:rPr>
          <w:noProof w:val="0"/>
          <w:lang w:val="en-US"/>
        </w:rPr>
        <w:t xml:space="preserve">Phase I </w:t>
      </w:r>
      <w:r w:rsidR="006479A2">
        <w:rPr>
          <w:noProof w:val="0"/>
          <w:lang w:val="en-US"/>
        </w:rPr>
        <w:t>Durvalumab</w:t>
      </w:r>
      <w:r w:rsidR="00EB3328" w:rsidRPr="007A3223">
        <w:rPr>
          <w:noProof w:val="0"/>
          <w:lang w:val="en-US"/>
        </w:rPr>
        <w:t xml:space="preserve">+C intermittent schedule </w:t>
      </w:r>
      <w:r w:rsidR="00154D59" w:rsidRPr="007A3223">
        <w:rPr>
          <w:szCs w:val="24"/>
        </w:rPr>
        <w:t>arm</w:t>
      </w:r>
      <w:r w:rsidR="00BF2266" w:rsidRPr="007A3223">
        <w:rPr>
          <w:szCs w:val="24"/>
        </w:rPr>
        <w:t xml:space="preserve">, Phase I </w:t>
      </w:r>
      <w:r w:rsidR="006479A2">
        <w:rPr>
          <w:szCs w:val="24"/>
          <w:lang w:val="en-US"/>
        </w:rPr>
        <w:t>Durvalumab</w:t>
      </w:r>
      <w:r w:rsidR="00BF2266" w:rsidRPr="007A3223">
        <w:rPr>
          <w:szCs w:val="24"/>
        </w:rPr>
        <w:t xml:space="preserve">+O+C </w:t>
      </w:r>
      <w:r w:rsidR="00154D59" w:rsidRPr="007A3223">
        <w:rPr>
          <w:noProof w:val="0"/>
          <w:lang w:val="en-US"/>
        </w:rPr>
        <w:t xml:space="preserve">arm </w:t>
      </w:r>
      <w:r w:rsidR="00EB3328" w:rsidRPr="007A3223">
        <w:rPr>
          <w:noProof w:val="0"/>
        </w:rPr>
        <w:t xml:space="preserve">and </w:t>
      </w:r>
      <w:r w:rsidR="00AF7142" w:rsidRPr="007A3223">
        <w:rPr>
          <w:noProof w:val="0"/>
        </w:rPr>
        <w:t>all Phase II participants</w:t>
      </w:r>
      <w:r w:rsidR="0073459E" w:rsidRPr="007A3223">
        <w:rPr>
          <w:noProof w:val="0"/>
        </w:rPr>
        <w:t xml:space="preserve"> except CRC </w:t>
      </w:r>
      <w:r w:rsidR="00C24099" w:rsidRPr="007A3223">
        <w:rPr>
          <w:noProof w:val="0"/>
          <w:lang w:val="en-US"/>
        </w:rPr>
        <w:t>cohort</w:t>
      </w:r>
      <w:r w:rsidR="00AF7142" w:rsidRPr="007A3223">
        <w:rPr>
          <w:noProof w:val="0"/>
        </w:rPr>
        <w:t>)</w:t>
      </w:r>
    </w:p>
    <w:p w14:paraId="25B2A05E" w14:textId="0243B9FB" w:rsidR="00B82E48" w:rsidRPr="007A3223" w:rsidRDefault="00B82E48" w:rsidP="00FB66BA">
      <w:pPr>
        <w:pStyle w:val="ListParagraph"/>
        <w:numPr>
          <w:ilvl w:val="0"/>
          <w:numId w:val="40"/>
        </w:numPr>
      </w:pPr>
      <w:r w:rsidRPr="007A3223">
        <w:t xml:space="preserve">The cytokine analysis may be done for Phase 1 </w:t>
      </w:r>
      <w:r w:rsidR="006479A2">
        <w:rPr>
          <w:lang w:val="en-US"/>
        </w:rPr>
        <w:t>Durvalumab</w:t>
      </w:r>
      <w:r w:rsidRPr="007A3223">
        <w:t xml:space="preserve">+O and </w:t>
      </w:r>
      <w:r w:rsidR="006479A2">
        <w:rPr>
          <w:lang w:val="en-US"/>
        </w:rPr>
        <w:t>Durvalumab</w:t>
      </w:r>
      <w:r w:rsidRPr="007A3223">
        <w:t xml:space="preserve">+C </w:t>
      </w:r>
      <w:r w:rsidR="005029A5" w:rsidRPr="007A3223">
        <w:t xml:space="preserve">daily schedule </w:t>
      </w:r>
      <w:r w:rsidRPr="007A3223">
        <w:t xml:space="preserve">cohorts if </w:t>
      </w:r>
      <w:r w:rsidR="005029A5" w:rsidRPr="007A3223">
        <w:t xml:space="preserve">remaining </w:t>
      </w:r>
      <w:r w:rsidRPr="007A3223">
        <w:t xml:space="preserve">plasma samples </w:t>
      </w:r>
      <w:r w:rsidR="005029A5" w:rsidRPr="007A3223">
        <w:t xml:space="preserve">from PK draws </w:t>
      </w:r>
      <w:r w:rsidRPr="007A3223">
        <w:t xml:space="preserve">are available. </w:t>
      </w:r>
    </w:p>
    <w:p w14:paraId="37128A0B" w14:textId="77777777" w:rsidR="003B7B22" w:rsidRPr="007A3223" w:rsidRDefault="00162A64" w:rsidP="00FB66BA">
      <w:pPr>
        <w:pStyle w:val="ListParagraph"/>
        <w:numPr>
          <w:ilvl w:val="0"/>
          <w:numId w:val="40"/>
        </w:numPr>
      </w:pPr>
      <w:r w:rsidRPr="007A3223">
        <w:t xml:space="preserve">The MSD platform chemokine and cytokine panel study will be done in collaboration with Dr. Liang Cao of Molecular Targets Core (Clinical Biomarker Core)/Genetics Branch/CCR/NCI. </w:t>
      </w:r>
    </w:p>
    <w:p w14:paraId="274E9460" w14:textId="4C76DE08" w:rsidR="003B7B22" w:rsidRPr="007A3223" w:rsidRDefault="005918AC" w:rsidP="00FB66BA">
      <w:pPr>
        <w:pStyle w:val="ListParagraph"/>
        <w:numPr>
          <w:ilvl w:val="0"/>
          <w:numId w:val="40"/>
        </w:numPr>
      </w:pPr>
      <w:r w:rsidRPr="007A3223">
        <w:rPr>
          <w:lang w:val="en-US"/>
        </w:rPr>
        <w:t>P</w:t>
      </w:r>
      <w:r w:rsidR="00812B5E" w:rsidRPr="007A3223">
        <w:rPr>
          <w:lang w:val="en-US"/>
        </w:rPr>
        <w:t xml:space="preserve">lasma samples will be processed </w:t>
      </w:r>
      <w:r w:rsidR="00F54252" w:rsidRPr="007A3223">
        <w:rPr>
          <w:lang w:val="en-US"/>
        </w:rPr>
        <w:t>using</w:t>
      </w:r>
      <w:r w:rsidR="00812B5E" w:rsidRPr="007A3223">
        <w:rPr>
          <w:lang w:val="en-US"/>
        </w:rPr>
        <w:t xml:space="preserve"> a Duke Angiome </w:t>
      </w:r>
      <w:r w:rsidRPr="007A3223">
        <w:rPr>
          <w:lang w:val="en-US"/>
        </w:rPr>
        <w:t>P</w:t>
      </w:r>
      <w:r w:rsidR="00812B5E" w:rsidRPr="007A3223">
        <w:rPr>
          <w:lang w:val="en-US"/>
        </w:rPr>
        <w:t xml:space="preserve">anel by Phase I Biomarker Laboratory at Duke University in a fee-for-service transaction. </w:t>
      </w:r>
      <w:r w:rsidR="003B7B22" w:rsidRPr="007A3223">
        <w:rPr>
          <w:lang w:val="en-US"/>
        </w:rPr>
        <w:t>Coded</w:t>
      </w:r>
      <w:r w:rsidR="003D5506" w:rsidRPr="007A3223">
        <w:rPr>
          <w:lang w:val="en-US"/>
        </w:rPr>
        <w:t xml:space="preserve"> and linked</w:t>
      </w:r>
      <w:r w:rsidR="00005F44" w:rsidRPr="007A3223">
        <w:rPr>
          <w:lang w:val="en-US"/>
        </w:rPr>
        <w:t xml:space="preserve"> frozen plamsa</w:t>
      </w:r>
      <w:r w:rsidR="003B7B22" w:rsidRPr="007A3223">
        <w:rPr>
          <w:lang w:val="en-US"/>
        </w:rPr>
        <w:t xml:space="preserve"> samples will be batched to</w:t>
      </w:r>
    </w:p>
    <w:p w14:paraId="121085AC" w14:textId="77777777" w:rsidR="009626B2" w:rsidRPr="007A3223" w:rsidRDefault="009626B2" w:rsidP="000616E6">
      <w:pPr>
        <w:pStyle w:val="ListParagraph"/>
        <w:rPr>
          <w:rFonts w:eastAsia="Times New Roman"/>
        </w:rPr>
      </w:pPr>
    </w:p>
    <w:p w14:paraId="4EE226D7" w14:textId="0899DF19" w:rsidR="00EE2318" w:rsidRPr="007A3223" w:rsidRDefault="009333ED" w:rsidP="000616E6">
      <w:pPr>
        <w:pStyle w:val="ListParagraph"/>
        <w:rPr>
          <w:rFonts w:eastAsia="Times New Roman"/>
        </w:rPr>
      </w:pPr>
      <w:r w:rsidRPr="007A3223">
        <w:rPr>
          <w:rFonts w:eastAsia="Times New Roman"/>
        </w:rPr>
        <w:t>Andrew B. Nixon, Ph.D., M.B.A</w:t>
      </w:r>
    </w:p>
    <w:p w14:paraId="7ACF9571" w14:textId="77777777" w:rsidR="00EE2318" w:rsidRPr="007A3223" w:rsidRDefault="009333ED" w:rsidP="000616E6">
      <w:pPr>
        <w:pStyle w:val="ListParagraph"/>
        <w:rPr>
          <w:rFonts w:eastAsia="Times New Roman"/>
        </w:rPr>
      </w:pPr>
      <w:r w:rsidRPr="007A3223">
        <w:rPr>
          <w:rFonts w:eastAsia="Times New Roman"/>
        </w:rPr>
        <w:t>Director, Phase I Biomarker Laboratory</w:t>
      </w:r>
    </w:p>
    <w:p w14:paraId="1243A23A" w14:textId="77777777" w:rsidR="00005F44" w:rsidRPr="007A3223" w:rsidRDefault="00005F44" w:rsidP="00005F44">
      <w:pPr>
        <w:pStyle w:val="ListParagraph"/>
        <w:rPr>
          <w:lang w:val="en-US"/>
        </w:rPr>
      </w:pPr>
      <w:r w:rsidRPr="007A3223">
        <w:rPr>
          <w:lang w:val="en-US"/>
        </w:rPr>
        <w:t>Duke University Medical Center</w:t>
      </w:r>
    </w:p>
    <w:p w14:paraId="47B34630" w14:textId="77777777" w:rsidR="00005F44" w:rsidRPr="007A3223" w:rsidRDefault="00005F44" w:rsidP="00005F44">
      <w:pPr>
        <w:pStyle w:val="ListParagraph"/>
        <w:rPr>
          <w:lang w:val="en-US"/>
        </w:rPr>
      </w:pPr>
      <w:r w:rsidRPr="007A3223">
        <w:rPr>
          <w:lang w:val="en-US"/>
        </w:rPr>
        <w:t>395 MSRB Building</w:t>
      </w:r>
    </w:p>
    <w:p w14:paraId="43988557" w14:textId="77777777" w:rsidR="00005F44" w:rsidRPr="007A3223" w:rsidRDefault="00005F44" w:rsidP="00005F44">
      <w:pPr>
        <w:pStyle w:val="ListParagraph"/>
        <w:rPr>
          <w:lang w:val="en-US"/>
        </w:rPr>
      </w:pPr>
      <w:r w:rsidRPr="007A3223">
        <w:rPr>
          <w:lang w:val="en-US"/>
        </w:rPr>
        <w:t>Research Dr.</w:t>
      </w:r>
    </w:p>
    <w:p w14:paraId="4D4035A5" w14:textId="77777777" w:rsidR="00005F44" w:rsidRPr="007A3223" w:rsidRDefault="00005F44" w:rsidP="00005F44">
      <w:pPr>
        <w:pStyle w:val="ListParagraph"/>
        <w:rPr>
          <w:lang w:val="en-US"/>
        </w:rPr>
      </w:pPr>
      <w:r w:rsidRPr="007A3223">
        <w:rPr>
          <w:lang w:val="en-US"/>
        </w:rPr>
        <w:t>Durham, NC 27710</w:t>
      </w:r>
    </w:p>
    <w:p w14:paraId="3356C905" w14:textId="77777777" w:rsidR="00005F44" w:rsidRPr="007A3223" w:rsidRDefault="00005F44" w:rsidP="00005F44">
      <w:pPr>
        <w:pStyle w:val="ListParagraph"/>
        <w:rPr>
          <w:lang w:val="en-US"/>
        </w:rPr>
      </w:pPr>
      <w:r w:rsidRPr="007A3223">
        <w:rPr>
          <w:lang w:val="en-US"/>
        </w:rPr>
        <w:t>Phone: 919-613-7883</w:t>
      </w:r>
    </w:p>
    <w:p w14:paraId="236A82A2" w14:textId="77777777" w:rsidR="00005F44" w:rsidRPr="007A3223" w:rsidRDefault="00005F44" w:rsidP="00005F44">
      <w:pPr>
        <w:pStyle w:val="ListParagraph"/>
        <w:rPr>
          <w:lang w:val="en-US"/>
        </w:rPr>
      </w:pPr>
      <w:r w:rsidRPr="007A3223">
        <w:rPr>
          <w:lang w:val="en-US"/>
        </w:rPr>
        <w:t>FAX: 919-668-3925</w:t>
      </w:r>
    </w:p>
    <w:p w14:paraId="440AB81F" w14:textId="7929D658" w:rsidR="003B7B22" w:rsidRPr="007A3223" w:rsidRDefault="00005F44" w:rsidP="00005F44">
      <w:pPr>
        <w:pStyle w:val="ListParagraph"/>
        <w:rPr>
          <w:lang w:val="en-US"/>
        </w:rPr>
      </w:pPr>
      <w:r w:rsidRPr="007A3223">
        <w:rPr>
          <w:lang w:val="en-US"/>
        </w:rPr>
        <w:t xml:space="preserve">Email: </w:t>
      </w:r>
      <w:hyperlink r:id="rId54" w:history="1">
        <w:r w:rsidRPr="00F33908">
          <w:rPr>
            <w:rStyle w:val="Hyperlink"/>
            <w:lang w:val="en-US"/>
          </w:rPr>
          <w:t>anixon@duke.edu</w:t>
        </w:r>
      </w:hyperlink>
    </w:p>
    <w:p w14:paraId="2C767419" w14:textId="77777777" w:rsidR="00005F44" w:rsidRPr="00F33908" w:rsidRDefault="00005F44" w:rsidP="00005F44">
      <w:pPr>
        <w:pStyle w:val="ListParagraph"/>
      </w:pPr>
    </w:p>
    <w:p w14:paraId="4BD27A39" w14:textId="77777777" w:rsidR="00162A64" w:rsidRPr="007A3223" w:rsidRDefault="00162A64" w:rsidP="00FB66BA">
      <w:pPr>
        <w:pStyle w:val="ListParagraph"/>
        <w:widowControl w:val="0"/>
        <w:numPr>
          <w:ilvl w:val="0"/>
          <w:numId w:val="29"/>
        </w:numPr>
        <w:autoSpaceDE w:val="0"/>
        <w:autoSpaceDN w:val="0"/>
        <w:adjustRightInd w:val="0"/>
        <w:ind w:left="360"/>
      </w:pPr>
      <w:r w:rsidRPr="007A3223">
        <w:t xml:space="preserve">Two </w:t>
      </w:r>
      <w:r w:rsidR="0087296A" w:rsidRPr="007A3223">
        <w:t xml:space="preserve">10 </w:t>
      </w:r>
      <w:r w:rsidRPr="007A3223">
        <w:t xml:space="preserve">ml-EDTA lavender top tubes will be collected </w:t>
      </w:r>
      <w:r w:rsidRPr="007A3223">
        <w:rPr>
          <w:rFonts w:cs="Arial"/>
        </w:rPr>
        <w:t>from each patient</w:t>
      </w:r>
      <w:r w:rsidR="00EA25D7" w:rsidRPr="007A3223">
        <w:rPr>
          <w:rFonts w:cs="Arial"/>
        </w:rPr>
        <w:t>.</w:t>
      </w:r>
      <w:r w:rsidRPr="007A3223">
        <w:t xml:space="preserve"> </w:t>
      </w:r>
    </w:p>
    <w:p w14:paraId="03F14EE5" w14:textId="5D9043A6" w:rsidR="00304D44" w:rsidRPr="007A3223" w:rsidRDefault="00162A64" w:rsidP="00FB66BA">
      <w:pPr>
        <w:pStyle w:val="ListParagraph"/>
        <w:widowControl w:val="0"/>
        <w:numPr>
          <w:ilvl w:val="0"/>
          <w:numId w:val="29"/>
        </w:numPr>
        <w:adjustRightInd w:val="0"/>
        <w:ind w:left="360"/>
        <w:rPr>
          <w:lang w:val="en-US"/>
        </w:rPr>
      </w:pPr>
      <w:r w:rsidRPr="007A3223">
        <w:t xml:space="preserve">The tubes will be immediately packed on wet ice and picked up by the Clinical Pharmacology Core (CPC). </w:t>
      </w:r>
      <w:r w:rsidR="00304D44" w:rsidRPr="007A3223">
        <w:rPr>
          <w:lang w:val="en-US"/>
        </w:rPr>
        <w:t xml:space="preserve">Please e-mail </w:t>
      </w:r>
      <w:hyperlink r:id="rId55" w:history="1">
        <w:r w:rsidR="00066EC3" w:rsidRPr="00F33908">
          <w:rPr>
            <w:rFonts w:ascii="Times" w:eastAsia="Times New Roman" w:hAnsi="Times"/>
            <w:color w:val="0563C1"/>
            <w:szCs w:val="20"/>
            <w:u w:val="single"/>
            <w:lang w:val="en-US" w:eastAsia="en-US"/>
          </w:rPr>
          <w:t>NCIBloodcore@mail.nih.gov</w:t>
        </w:r>
      </w:hyperlink>
      <w:r w:rsidR="00066EC3" w:rsidRPr="007A3223">
        <w:rPr>
          <w:rFonts w:ascii="Times" w:eastAsia="Times New Roman" w:hAnsi="Times"/>
          <w:szCs w:val="20"/>
          <w:lang w:val="en-US" w:eastAsia="en-US"/>
        </w:rPr>
        <w:t xml:space="preserve"> </w:t>
      </w:r>
      <w:r w:rsidR="00304D44" w:rsidRPr="00F33908">
        <w:rPr>
          <w:lang w:val="en-US"/>
        </w:rPr>
        <w:t>at least 24 hours before transporting samples (the Friday before</w:t>
      </w:r>
      <w:r w:rsidR="00304D44" w:rsidRPr="007A3223">
        <w:rPr>
          <w:lang w:val="en-US"/>
        </w:rPr>
        <w:t xml:space="preserve"> is preferred).</w:t>
      </w:r>
    </w:p>
    <w:p w14:paraId="1DB52FB9" w14:textId="77777777" w:rsidR="00304D44" w:rsidRPr="007A3223" w:rsidRDefault="00304D44" w:rsidP="00304D44">
      <w:pPr>
        <w:pStyle w:val="ListParagraph"/>
        <w:widowControl w:val="0"/>
        <w:adjustRightInd w:val="0"/>
        <w:ind w:left="360"/>
        <w:rPr>
          <w:lang w:val="en-US"/>
        </w:rPr>
      </w:pPr>
    </w:p>
    <w:p w14:paraId="5B6C556C" w14:textId="77777777" w:rsidR="00304D44" w:rsidRPr="007A3223" w:rsidRDefault="00304D44" w:rsidP="00304D44">
      <w:pPr>
        <w:widowControl w:val="0"/>
        <w:adjustRightInd w:val="0"/>
        <w:ind w:firstLine="360"/>
      </w:pPr>
      <w:r w:rsidRPr="007A3223">
        <w:t>For sample pickup, page 102-11964.</w:t>
      </w:r>
    </w:p>
    <w:p w14:paraId="6615ECD8" w14:textId="77777777" w:rsidR="00304D44" w:rsidRPr="007A3223" w:rsidRDefault="00304D44" w:rsidP="00304D44">
      <w:pPr>
        <w:widowControl w:val="0"/>
        <w:adjustRightInd w:val="0"/>
        <w:ind w:left="360"/>
      </w:pPr>
      <w:r w:rsidRPr="007A3223">
        <w:t>For immediate help, call 240-760-6180 (main blood processing core number) or, if no answer, 240-760-6190 (main clinical pharmacology lab number).</w:t>
      </w:r>
    </w:p>
    <w:p w14:paraId="722C07C9" w14:textId="0829B294" w:rsidR="00304D44" w:rsidRPr="00F33908" w:rsidRDefault="00304D44" w:rsidP="00304D44">
      <w:pPr>
        <w:widowControl w:val="0"/>
        <w:adjustRightInd w:val="0"/>
        <w:ind w:left="360"/>
      </w:pPr>
      <w:r w:rsidRPr="007A3223">
        <w:lastRenderedPageBreak/>
        <w:t xml:space="preserve">For questions regarding sample processing, contact </w:t>
      </w:r>
      <w:hyperlink r:id="rId56" w:history="1">
        <w:r w:rsidR="00066EC3" w:rsidRPr="00F33908">
          <w:rPr>
            <w:rFonts w:ascii="Times" w:eastAsia="Times New Roman" w:hAnsi="Times"/>
            <w:color w:val="0563C1"/>
            <w:szCs w:val="20"/>
            <w:u w:val="single"/>
          </w:rPr>
          <w:t>NCIBloodcore@mail.nih.go</w:t>
        </w:r>
        <w:r w:rsidR="00066EC3" w:rsidRPr="007A3223">
          <w:rPr>
            <w:rFonts w:ascii="Times" w:eastAsia="Times New Roman" w:hAnsi="Times"/>
            <w:color w:val="0563C1"/>
            <w:szCs w:val="20"/>
            <w:u w:val="single"/>
          </w:rPr>
          <w:t>v</w:t>
        </w:r>
      </w:hyperlink>
      <w:r w:rsidRPr="007A3223">
        <w:t>.</w:t>
      </w:r>
    </w:p>
    <w:p w14:paraId="64A7A95B" w14:textId="4C9F9268" w:rsidR="00162A64" w:rsidRPr="007A3223" w:rsidRDefault="00162A64" w:rsidP="00304D44">
      <w:pPr>
        <w:widowControl w:val="0"/>
        <w:adjustRightInd w:val="0"/>
        <w:ind w:left="360"/>
      </w:pPr>
      <w:r w:rsidRPr="007A3223">
        <w:t>Serum and plasma will be separated and aliquoted according to the CPC SOPs and stored, barcoded, in the CPC repository until use. </w:t>
      </w:r>
    </w:p>
    <w:p w14:paraId="0F19014C" w14:textId="77777777" w:rsidR="00162A64" w:rsidRPr="007A3223" w:rsidRDefault="00162A64" w:rsidP="00162A64">
      <w:pPr>
        <w:pStyle w:val="ListParagraph"/>
        <w:widowControl w:val="0"/>
        <w:autoSpaceDE w:val="0"/>
        <w:autoSpaceDN w:val="0"/>
        <w:adjustRightInd w:val="0"/>
        <w:ind w:left="360"/>
      </w:pPr>
    </w:p>
    <w:p w14:paraId="4D53700A" w14:textId="4489B97D" w:rsidR="00162A64" w:rsidRPr="007A3223" w:rsidRDefault="00162A64" w:rsidP="006E0CC3">
      <w:pPr>
        <w:pStyle w:val="Heading4"/>
        <w:rPr>
          <w:noProof w:val="0"/>
        </w:rPr>
      </w:pPr>
      <w:r w:rsidRPr="007A3223">
        <w:rPr>
          <w:noProof w:val="0"/>
        </w:rPr>
        <w:t>Circulating Endothelial Cells (CEC</w:t>
      </w:r>
      <w:r w:rsidR="00AF7142" w:rsidRPr="007A3223">
        <w:rPr>
          <w:noProof w:val="0"/>
        </w:rPr>
        <w:t xml:space="preserve">: </w:t>
      </w:r>
      <w:r w:rsidR="00EB3328" w:rsidRPr="007A3223">
        <w:rPr>
          <w:noProof w:val="0"/>
          <w:lang w:val="en-US"/>
        </w:rPr>
        <w:t xml:space="preserve">Phase I </w:t>
      </w:r>
      <w:r w:rsidR="006479A2">
        <w:rPr>
          <w:noProof w:val="0"/>
          <w:lang w:val="en-US"/>
        </w:rPr>
        <w:t>Durvalumab</w:t>
      </w:r>
      <w:r w:rsidR="00EB3328" w:rsidRPr="007A3223">
        <w:rPr>
          <w:noProof w:val="0"/>
          <w:lang w:val="en-US"/>
        </w:rPr>
        <w:t xml:space="preserve">+C intermittent schedule </w:t>
      </w:r>
      <w:r w:rsidR="00154D59" w:rsidRPr="007A3223">
        <w:rPr>
          <w:szCs w:val="24"/>
        </w:rPr>
        <w:t>arm</w:t>
      </w:r>
      <w:r w:rsidR="00BF2266" w:rsidRPr="007A3223">
        <w:rPr>
          <w:szCs w:val="24"/>
        </w:rPr>
        <w:t xml:space="preserve">, Phase I </w:t>
      </w:r>
      <w:r w:rsidR="006479A2">
        <w:rPr>
          <w:szCs w:val="24"/>
          <w:lang w:val="en-US"/>
        </w:rPr>
        <w:t>Durvalumab</w:t>
      </w:r>
      <w:r w:rsidR="00BF2266" w:rsidRPr="007A3223">
        <w:rPr>
          <w:szCs w:val="24"/>
        </w:rPr>
        <w:t xml:space="preserve">+O+C </w:t>
      </w:r>
      <w:r w:rsidR="00154D59" w:rsidRPr="007A3223">
        <w:rPr>
          <w:noProof w:val="0"/>
          <w:lang w:val="en-US"/>
        </w:rPr>
        <w:t xml:space="preserve">arm </w:t>
      </w:r>
      <w:r w:rsidR="00EB3328" w:rsidRPr="007A3223">
        <w:rPr>
          <w:noProof w:val="0"/>
        </w:rPr>
        <w:t xml:space="preserve">and </w:t>
      </w:r>
      <w:r w:rsidR="00AF7142" w:rsidRPr="007A3223">
        <w:rPr>
          <w:noProof w:val="0"/>
        </w:rPr>
        <w:t>Phase II ovarian cancer cohort only</w:t>
      </w:r>
      <w:r w:rsidRPr="007A3223">
        <w:rPr>
          <w:noProof w:val="0"/>
        </w:rPr>
        <w:t>)</w:t>
      </w:r>
      <w:r w:rsidR="00733545" w:rsidRPr="007A3223">
        <w:rPr>
          <w:noProof w:val="0"/>
        </w:rPr>
        <w:t xml:space="preserve"> </w:t>
      </w:r>
    </w:p>
    <w:p w14:paraId="14FE08A7" w14:textId="77777777" w:rsidR="00162A64" w:rsidRPr="007A3223" w:rsidRDefault="00162A64" w:rsidP="00FB66BA">
      <w:pPr>
        <w:widowControl w:val="0"/>
        <w:numPr>
          <w:ilvl w:val="0"/>
          <w:numId w:val="39"/>
        </w:numPr>
        <w:autoSpaceDE w:val="0"/>
        <w:autoSpaceDN w:val="0"/>
        <w:adjustRightInd w:val="0"/>
        <w:spacing w:after="0"/>
        <w:ind w:left="360"/>
        <w:rPr>
          <w:rFonts w:cs="Calibri"/>
          <w:szCs w:val="24"/>
        </w:rPr>
      </w:pPr>
      <w:r w:rsidRPr="007A3223">
        <w:t>Two 8</w:t>
      </w:r>
      <w:r w:rsidR="000F136B" w:rsidRPr="007A3223">
        <w:t xml:space="preserve"> </w:t>
      </w:r>
      <w:r w:rsidRPr="007A3223">
        <w:t>ml- CPT (blue and black top) will</w:t>
      </w:r>
      <w:r w:rsidRPr="007A3223">
        <w:rPr>
          <w:rFonts w:cs="Arial"/>
          <w:szCs w:val="24"/>
        </w:rPr>
        <w:t xml:space="preserve"> be collected from each patient. </w:t>
      </w:r>
    </w:p>
    <w:p w14:paraId="709E9A0C" w14:textId="0330D47C" w:rsidR="00162A64" w:rsidRPr="007A3223" w:rsidRDefault="00162A64" w:rsidP="00FB66BA">
      <w:pPr>
        <w:widowControl w:val="0"/>
        <w:numPr>
          <w:ilvl w:val="0"/>
          <w:numId w:val="39"/>
        </w:numPr>
        <w:autoSpaceDE w:val="0"/>
        <w:autoSpaceDN w:val="0"/>
        <w:adjustRightInd w:val="0"/>
        <w:spacing w:after="0"/>
        <w:ind w:left="360"/>
        <w:rPr>
          <w:rFonts w:cs="Calibri"/>
          <w:szCs w:val="24"/>
        </w:rPr>
      </w:pPr>
      <w:r w:rsidRPr="007A3223">
        <w:t xml:space="preserve">Notification and Handling of Samples: as soon as possible after the patient is scheduled please send email notification to the Trepel lab at </w:t>
      </w:r>
      <w:hyperlink r:id="rId57" w:history="1">
        <w:r w:rsidRPr="00F33908">
          <w:rPr>
            <w:rFonts w:cs="Arial"/>
            <w:color w:val="0000E9"/>
            <w:szCs w:val="24"/>
            <w:u w:val="single" w:color="0000E9"/>
          </w:rPr>
          <w:t>trepel@helix.nih.gov</w:t>
        </w:r>
      </w:hyperlink>
      <w:r w:rsidRPr="007A3223">
        <w:rPr>
          <w:rFonts w:cs="Arial"/>
          <w:color w:val="0000E9"/>
          <w:szCs w:val="24"/>
          <w:u w:val="single" w:color="0000E9"/>
        </w:rPr>
        <w:t xml:space="preserve">; Min-Jung Lee at </w:t>
      </w:r>
      <w:r w:rsidRPr="00F33908">
        <w:rPr>
          <w:rFonts w:cs="Arial"/>
          <w:szCs w:val="24"/>
        </w:rPr>
        <w:t xml:space="preserve"> </w:t>
      </w:r>
      <w:hyperlink r:id="rId58" w:history="1">
        <w:r w:rsidRPr="00F33908">
          <w:rPr>
            <w:rFonts w:cs="Arial"/>
            <w:color w:val="0000E9"/>
            <w:szCs w:val="24"/>
            <w:u w:val="single" w:color="0000E9"/>
          </w:rPr>
          <w:t>leemin@mail.nih.gov</w:t>
        </w:r>
      </w:hyperlink>
      <w:r w:rsidR="003367B9" w:rsidRPr="007A3223">
        <w:rPr>
          <w:rFonts w:cs="Arial"/>
          <w:color w:val="0000E9"/>
          <w:szCs w:val="24"/>
          <w:u w:val="single" w:color="0000E9"/>
        </w:rPr>
        <w:t>)</w:t>
      </w:r>
      <w:r w:rsidRPr="00F33908">
        <w:rPr>
          <w:rFonts w:cs="Arial"/>
          <w:szCs w:val="24"/>
        </w:rPr>
        <w:t xml:space="preserve"> and call the Trepel lab at </w:t>
      </w:r>
      <w:r w:rsidR="00096537" w:rsidRPr="007A3223">
        <w:rPr>
          <w:rFonts w:cs="Arial"/>
          <w:szCs w:val="24"/>
        </w:rPr>
        <w:t>240-760-6330</w:t>
      </w:r>
      <w:r w:rsidRPr="007A3223">
        <w:rPr>
          <w:rFonts w:cs="Arial"/>
          <w:szCs w:val="24"/>
        </w:rPr>
        <w:t xml:space="preserve"> to arrange for immediate pick-up when the sample is drawn.</w:t>
      </w:r>
    </w:p>
    <w:p w14:paraId="0F88C515" w14:textId="77777777" w:rsidR="00162A64" w:rsidRPr="007A3223" w:rsidRDefault="00162A64" w:rsidP="00FB66BA">
      <w:pPr>
        <w:pStyle w:val="ListParagraph"/>
        <w:widowControl w:val="0"/>
        <w:numPr>
          <w:ilvl w:val="0"/>
          <w:numId w:val="39"/>
        </w:numPr>
        <w:autoSpaceDE w:val="0"/>
        <w:autoSpaceDN w:val="0"/>
        <w:adjustRightInd w:val="0"/>
        <w:ind w:left="360"/>
      </w:pPr>
      <w:r w:rsidRPr="007A3223">
        <w:t>The sample is to be kept at room temperature until pick up. </w:t>
      </w:r>
    </w:p>
    <w:p w14:paraId="0CFD80E3" w14:textId="77777777" w:rsidR="00E526AE" w:rsidRPr="007A3223" w:rsidRDefault="00E526AE" w:rsidP="00EA25D7">
      <w:pPr>
        <w:widowControl w:val="0"/>
        <w:autoSpaceDE w:val="0"/>
        <w:autoSpaceDN w:val="0"/>
        <w:adjustRightInd w:val="0"/>
      </w:pPr>
    </w:p>
    <w:p w14:paraId="7446382A" w14:textId="29849503" w:rsidR="00E526AE" w:rsidRPr="007A3223" w:rsidRDefault="00E526AE" w:rsidP="00AF7142">
      <w:pPr>
        <w:pStyle w:val="Heading4"/>
        <w:rPr>
          <w:noProof w:val="0"/>
        </w:rPr>
      </w:pPr>
      <w:r w:rsidRPr="007A3223">
        <w:rPr>
          <w:noProof w:val="0"/>
        </w:rPr>
        <w:t>Circulating tumor cells (CTC)</w:t>
      </w:r>
      <w:r w:rsidR="00733545" w:rsidRPr="007A3223">
        <w:rPr>
          <w:noProof w:val="0"/>
        </w:rPr>
        <w:t xml:space="preserve"> </w:t>
      </w:r>
      <w:r w:rsidR="00AF7142" w:rsidRPr="007A3223">
        <w:rPr>
          <w:noProof w:val="0"/>
        </w:rPr>
        <w:t>(</w:t>
      </w:r>
      <w:r w:rsidR="00EB3328" w:rsidRPr="007A3223">
        <w:rPr>
          <w:noProof w:val="0"/>
          <w:lang w:val="en-US"/>
        </w:rPr>
        <w:t xml:space="preserve">Phase I </w:t>
      </w:r>
      <w:r w:rsidR="00F77BB7">
        <w:rPr>
          <w:noProof w:val="0"/>
          <w:lang w:val="en-US"/>
        </w:rPr>
        <w:t>Durvalumab</w:t>
      </w:r>
      <w:r w:rsidR="00EB3328" w:rsidRPr="007A3223">
        <w:rPr>
          <w:noProof w:val="0"/>
          <w:lang w:val="en-US"/>
        </w:rPr>
        <w:t xml:space="preserve">+C intermittent schedule </w:t>
      </w:r>
      <w:r w:rsidR="00154D59" w:rsidRPr="007A3223">
        <w:rPr>
          <w:szCs w:val="24"/>
        </w:rPr>
        <w:t>arm</w:t>
      </w:r>
      <w:r w:rsidR="00BF2266" w:rsidRPr="007A3223">
        <w:rPr>
          <w:szCs w:val="24"/>
        </w:rPr>
        <w:t xml:space="preserve">, Phase I </w:t>
      </w:r>
      <w:r w:rsidR="00F77BB7">
        <w:rPr>
          <w:szCs w:val="24"/>
          <w:lang w:val="en-US"/>
        </w:rPr>
        <w:t>Durvalumab</w:t>
      </w:r>
      <w:r w:rsidR="00BF2266" w:rsidRPr="007A3223">
        <w:rPr>
          <w:szCs w:val="24"/>
        </w:rPr>
        <w:t xml:space="preserve">+O+C </w:t>
      </w:r>
      <w:r w:rsidR="00154D59" w:rsidRPr="007A3223">
        <w:rPr>
          <w:noProof w:val="0"/>
          <w:lang w:val="en-US"/>
        </w:rPr>
        <w:t xml:space="preserve">arm </w:t>
      </w:r>
      <w:r w:rsidR="00EB3328" w:rsidRPr="007A3223">
        <w:rPr>
          <w:noProof w:val="0"/>
        </w:rPr>
        <w:t xml:space="preserve">and </w:t>
      </w:r>
      <w:r w:rsidR="00AF7142" w:rsidRPr="007A3223">
        <w:rPr>
          <w:noProof w:val="0"/>
        </w:rPr>
        <w:t>all Phase II participants</w:t>
      </w:r>
      <w:r w:rsidR="00D01F81" w:rsidRPr="007A3223">
        <w:rPr>
          <w:noProof w:val="0"/>
          <w:lang w:val="en-US"/>
        </w:rPr>
        <w:t xml:space="preserve"> except CRC cohort</w:t>
      </w:r>
      <w:r w:rsidR="00AF7142" w:rsidRPr="007A3223">
        <w:rPr>
          <w:noProof w:val="0"/>
        </w:rPr>
        <w:t>)</w:t>
      </w:r>
    </w:p>
    <w:p w14:paraId="44E589D6" w14:textId="681B26D2" w:rsidR="00E526AE" w:rsidRPr="007A3223" w:rsidRDefault="00E526AE" w:rsidP="00FB66BA">
      <w:pPr>
        <w:pStyle w:val="xmsoplaintext"/>
        <w:numPr>
          <w:ilvl w:val="0"/>
          <w:numId w:val="39"/>
        </w:numPr>
        <w:spacing w:before="0" w:after="0"/>
        <w:ind w:left="360"/>
      </w:pPr>
      <w:r w:rsidRPr="007A3223">
        <w:t>Blood will be collected to correlate changes in CTC</w:t>
      </w:r>
      <w:hyperlink w:anchor="_ENREF_166" w:tooltip="Pecot, 2011 #82" w:history="1">
        <w:r w:rsidR="00F77861" w:rsidRPr="00244551">
          <w:rPr>
            <w:rStyle w:val="Hyperlink"/>
          </w:rPr>
          <w:fldChar w:fldCharType="begin">
            <w:fldData xml:space="preserve">PEVuZE5vdGU+PENpdGU+PEF1dGhvcj5QZWNvdDwvQXV0aG9yPjxZZWFyPjIwMTE8L1llYXI+PFJl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bmNiaS5ubG0ubmloLmdvdi9wdWJtZWQvMjIxODA4NTM8L3VybD48L3JlbGF0ZWQtdXJscz48L3Vy
bHM+PGN1c3RvbTI+MzIzNzYzNTwvY3VzdG9tMj48ZWxlY3Ryb25pYy1yZXNvdXJjZS1udW0+MTAu
MTE1OC8yMTU5LTgyOTAuQ0QtMTEtMDIxNTwvZWxlY3Ryb25pYy1yZXNvdXJjZS1udW0+PGxhbmd1
YWdlPmVuZzwvbGFuZ3VhZ2U+PC9yZWNvcmQ+PC9DaXRlPjwvRW5kTm90ZT5=
</w:fldData>
          </w:fldChar>
        </w:r>
        <w:r w:rsidR="00E27C67" w:rsidRPr="00244551">
          <w:rPr>
            <w:rStyle w:val="Hyperlink"/>
          </w:rPr>
          <w:instrText xml:space="preserve"> ADDIN EN.CITE </w:instrText>
        </w:r>
        <w:r w:rsidR="00E27C67" w:rsidRPr="000B7092">
          <w:rPr>
            <w:rStyle w:val="Hyperlink"/>
          </w:rPr>
          <w:fldChar w:fldCharType="begin">
            <w:fldData xml:space="preserve">PEVuZE5vdGU+PENpdGU+PEF1dGhvcj5QZWNvdDwvQXV0aG9yPjxZZWFyPjIwMTE8L1llYXI+PFJl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bmNiaS5ubG0ubmloLmdvdi9wdWJtZWQvMjIxODA4NTM8L3VybD48L3JlbGF0ZWQtdXJscz48L3Vy
bHM+PGN1c3RvbTI+MzIzNzYzNTwvY3VzdG9tMj48ZWxlY3Ryb25pYy1yZXNvdXJjZS1udW0+MTAu
MTE1OC8yMTU5LTgyOTAuQ0QtMTEtMDIxNTwvZWxlY3Ryb25pYy1yZXNvdXJjZS1udW0+PGxhbmd1
YWdlPmVuZzwvbGFuZ3VhZ2U+PC9yZWNvcmQ+PC9DaXRlPjwvRW5kTm90ZT5=
</w:fldData>
          </w:fldChar>
        </w:r>
        <w:r w:rsidR="00E27C67" w:rsidRPr="00244551">
          <w:rPr>
            <w:rStyle w:val="Hyperlink"/>
          </w:rPr>
          <w:instrText xml:space="preserve"> ADDIN EN.CITE.DATA </w:instrText>
        </w:r>
        <w:r w:rsidR="00E27C67" w:rsidRPr="000B7092">
          <w:rPr>
            <w:rStyle w:val="Hyperlink"/>
          </w:rPr>
        </w:r>
        <w:r w:rsidR="00E27C67" w:rsidRPr="000B7092">
          <w:rPr>
            <w:rStyle w:val="Hyperlink"/>
          </w:rPr>
          <w:fldChar w:fldCharType="end"/>
        </w:r>
        <w:r w:rsidR="00F77861" w:rsidRPr="00244551">
          <w:rPr>
            <w:rStyle w:val="Hyperlink"/>
          </w:rPr>
        </w:r>
        <w:r w:rsidR="00F77861" w:rsidRPr="00244551">
          <w:rPr>
            <w:rStyle w:val="Hyperlink"/>
          </w:rPr>
          <w:fldChar w:fldCharType="separate"/>
        </w:r>
        <w:r w:rsidR="00E27C67" w:rsidRPr="00244551">
          <w:rPr>
            <w:rStyle w:val="Hyperlink"/>
            <w:noProof/>
            <w:vertAlign w:val="superscript"/>
          </w:rPr>
          <w:t>166</w:t>
        </w:r>
        <w:r w:rsidR="00F77861" w:rsidRPr="00244551">
          <w:rPr>
            <w:rStyle w:val="Hyperlink"/>
          </w:rPr>
          <w:fldChar w:fldCharType="end"/>
        </w:r>
      </w:hyperlink>
      <w:r w:rsidRPr="007A3223">
        <w:t xml:space="preserve"> </w:t>
      </w:r>
      <w:r w:rsidR="00453ECF" w:rsidRPr="00F33908">
        <w:t xml:space="preserve">enumeration </w:t>
      </w:r>
      <w:r w:rsidRPr="007A3223">
        <w:t xml:space="preserve">with clinical response. CTC will be investigated using ferrofluidic enrichment and multi-parameter flow cytometric detection. CTCs are identified by positive expression of epithelial markers and a viability marker and negative expression of hematopoietic markers. </w:t>
      </w:r>
      <w:r w:rsidRPr="007A3223">
        <w:rPr>
          <w:bCs/>
        </w:rPr>
        <w:t xml:space="preserve">Immune markers </w:t>
      </w:r>
      <w:r w:rsidR="00115727" w:rsidRPr="007A3223">
        <w:rPr>
          <w:bCs/>
        </w:rPr>
        <w:t>including</w:t>
      </w:r>
      <w:r w:rsidRPr="007A3223">
        <w:rPr>
          <w:bCs/>
        </w:rPr>
        <w:t xml:space="preserve"> but not limited to functional markers, i.e. PD-1 or PD-L1 in CTC will be studied.</w:t>
      </w:r>
    </w:p>
    <w:p w14:paraId="34E5A3D8" w14:textId="77777777" w:rsidR="00E526AE" w:rsidRPr="007A3223" w:rsidRDefault="00E526AE" w:rsidP="00FB66BA">
      <w:pPr>
        <w:pStyle w:val="xmsoplaintext"/>
        <w:numPr>
          <w:ilvl w:val="0"/>
          <w:numId w:val="39"/>
        </w:numPr>
        <w:spacing w:before="0" w:after="0"/>
        <w:ind w:left="360"/>
      </w:pPr>
      <w:r w:rsidRPr="007A3223">
        <w:t xml:space="preserve">Two </w:t>
      </w:r>
      <w:r w:rsidR="007C2D7C" w:rsidRPr="007A3223">
        <w:t>10</w:t>
      </w:r>
      <w:r w:rsidRPr="007A3223">
        <w:t>-mL EDTA tubes (lavender top tubes) will be collected from each patient</w:t>
      </w:r>
      <w:r w:rsidR="00EA25D7" w:rsidRPr="007A3223">
        <w:t xml:space="preserve">. </w:t>
      </w:r>
      <w:r w:rsidRPr="007A3223">
        <w:rPr>
          <w:rFonts w:eastAsia="Calibri"/>
          <w:szCs w:val="22"/>
        </w:rPr>
        <w:t>Plasma from these samples will be stored at Trepel lab after CTCs are harvested.</w:t>
      </w:r>
    </w:p>
    <w:p w14:paraId="68CB6BC9" w14:textId="77777777" w:rsidR="00E526AE" w:rsidRPr="007A3223" w:rsidRDefault="00E526AE" w:rsidP="00FB66BA">
      <w:pPr>
        <w:pStyle w:val="xmsoplaintext"/>
        <w:numPr>
          <w:ilvl w:val="0"/>
          <w:numId w:val="39"/>
        </w:numPr>
        <w:spacing w:before="0" w:after="0"/>
        <w:ind w:left="360"/>
      </w:pPr>
      <w:r w:rsidRPr="007A3223">
        <w:t>Immediately after collection, invert the blood tubes 3-4 times.</w:t>
      </w:r>
    </w:p>
    <w:p w14:paraId="5EF2E173" w14:textId="03545BE3" w:rsidR="00A3228D" w:rsidRPr="007A3223" w:rsidRDefault="00E526AE" w:rsidP="00FB66BA">
      <w:pPr>
        <w:pStyle w:val="xmsoplaintext"/>
        <w:numPr>
          <w:ilvl w:val="0"/>
          <w:numId w:val="39"/>
        </w:numPr>
        <w:spacing w:before="0" w:after="0"/>
        <w:ind w:left="360"/>
      </w:pPr>
      <w:r w:rsidRPr="007A3223">
        <w:t xml:space="preserve">Notification and Handling of Samples: as soon as possible after the patient is scheduled please send email notification to the Trepel lab: Jane Trepel at </w:t>
      </w:r>
      <w:r w:rsidRPr="007A3223">
        <w:rPr>
          <w:color w:val="0000FF"/>
        </w:rPr>
        <w:t>trepel@helix.nih.gov</w:t>
      </w:r>
      <w:r w:rsidRPr="007A3223">
        <w:t xml:space="preserve">; Min-Jung Lee at </w:t>
      </w:r>
      <w:r w:rsidRPr="007A3223">
        <w:rPr>
          <w:color w:val="0000FF"/>
        </w:rPr>
        <w:t xml:space="preserve">leemin@mail.nih.gov </w:t>
      </w:r>
      <w:r w:rsidRPr="007A3223">
        <w:t xml:space="preserve">that the sample is scheduled. As soon as the sample is drawn, please call the Trepel lab at </w:t>
      </w:r>
      <w:r w:rsidR="000D71CB" w:rsidRPr="007A3223">
        <w:t>240-760-6330</w:t>
      </w:r>
      <w:r w:rsidRPr="007A3223">
        <w:t xml:space="preserve"> to communicate that the sample is ready. Keep the sample on the unit at room temperature. The sample will be picked up by the lab and processed for CTC enumeration.</w:t>
      </w:r>
    </w:p>
    <w:p w14:paraId="26BFD40B" w14:textId="77777777" w:rsidR="00F61858" w:rsidRPr="007A3223" w:rsidRDefault="00F06E03" w:rsidP="00F06E03">
      <w:pPr>
        <w:pStyle w:val="Heading4"/>
      </w:pPr>
      <w:r w:rsidRPr="007A3223">
        <w:rPr>
          <w:lang w:val="en-US"/>
        </w:rPr>
        <w:t>C</w:t>
      </w:r>
      <w:r w:rsidR="009A4296" w:rsidRPr="007A3223">
        <w:t>ell free</w:t>
      </w:r>
      <w:r w:rsidR="00F61858" w:rsidRPr="007A3223">
        <w:t xml:space="preserve"> DNA (Phase II ovarian and TNBC cohorts only)</w:t>
      </w:r>
    </w:p>
    <w:p w14:paraId="2836669D" w14:textId="77777777" w:rsidR="00733545" w:rsidRPr="007A3223" w:rsidRDefault="00F61858" w:rsidP="00FB66BA">
      <w:pPr>
        <w:pStyle w:val="ListParagraph"/>
        <w:numPr>
          <w:ilvl w:val="0"/>
          <w:numId w:val="39"/>
        </w:numPr>
        <w:ind w:left="360"/>
        <w:rPr>
          <w:rFonts w:ascii="Arial" w:hAnsi="Arial" w:cs="Arial"/>
        </w:rPr>
      </w:pPr>
      <w:r w:rsidRPr="007A3223">
        <w:t>One 10 ml cell free DNA BCT Streck® tube will be collected from each patient. DNA will be isolated and assessed by QIAamp Circulating Nucleic Acid Kit or other platform as appropriate in the Lee Lab.</w:t>
      </w:r>
      <w:r w:rsidRPr="007A3223">
        <w:rPr>
          <w:rFonts w:ascii="Arial" w:hAnsi="Arial" w:cs="Arial"/>
        </w:rPr>
        <w:t xml:space="preserve">  </w:t>
      </w:r>
    </w:p>
    <w:p w14:paraId="4A0B6CDA" w14:textId="77777777" w:rsidR="00733545" w:rsidRPr="007A3223" w:rsidRDefault="00733545" w:rsidP="00FB66BA">
      <w:pPr>
        <w:pStyle w:val="ListParagraph"/>
        <w:numPr>
          <w:ilvl w:val="0"/>
          <w:numId w:val="39"/>
        </w:numPr>
        <w:ind w:left="360"/>
      </w:pPr>
      <w:r w:rsidRPr="007A3223">
        <w:t>The key is to maximize removal of contaminating cells and genomic DNA from these cells as large genomic DNA fragments hinder plasma DNA analysis.</w:t>
      </w:r>
    </w:p>
    <w:p w14:paraId="335BBC8A" w14:textId="77777777" w:rsidR="00733545" w:rsidRPr="007A3223" w:rsidRDefault="00733545" w:rsidP="00FB66BA">
      <w:pPr>
        <w:pStyle w:val="ListParagraph"/>
        <w:numPr>
          <w:ilvl w:val="0"/>
          <w:numId w:val="39"/>
        </w:numPr>
        <w:ind w:left="360"/>
      </w:pPr>
      <w:r w:rsidRPr="007A3223">
        <w:rPr>
          <w:b/>
        </w:rPr>
        <w:t>CRITICAL STEP</w:t>
      </w:r>
      <w:r w:rsidRPr="007A3223">
        <w:t xml:space="preserve">: Time between blood draw and processing should be </w:t>
      </w:r>
      <w:r w:rsidRPr="007A3223">
        <w:rPr>
          <w:b/>
        </w:rPr>
        <w:t>less than 1 hour</w:t>
      </w:r>
      <w:r w:rsidRPr="007A3223">
        <w:t xml:space="preserve">. Gently invert tubes after blood draw. Do not shake or vortex tubes as cellular lysis could occur. </w:t>
      </w:r>
    </w:p>
    <w:p w14:paraId="615CCFB3" w14:textId="5655C7D7" w:rsidR="00F61858" w:rsidRPr="007A3223" w:rsidRDefault="00F61858" w:rsidP="00FB66BA">
      <w:pPr>
        <w:pStyle w:val="ListParagraph"/>
        <w:numPr>
          <w:ilvl w:val="0"/>
          <w:numId w:val="39"/>
        </w:numPr>
        <w:ind w:left="360"/>
        <w:rPr>
          <w:rFonts w:ascii="Arial" w:hAnsi="Arial" w:cs="Arial"/>
        </w:rPr>
      </w:pPr>
      <w:r w:rsidRPr="007A3223">
        <w:rPr>
          <w:bCs/>
        </w:rPr>
        <w:lastRenderedPageBreak/>
        <w:t xml:space="preserve">Notification and Handling of Samples: members of the Lee lab on call to receive specimens: </w:t>
      </w:r>
      <w:r w:rsidR="00DB4E57" w:rsidRPr="007A3223">
        <w:t>jayakumar.nair@nih.gov, Phone (301) 451-8403</w:t>
      </w:r>
      <w:r w:rsidRPr="007A3223">
        <w:rPr>
          <w:bCs/>
        </w:rPr>
        <w:t>, beeper 102-11155.</w:t>
      </w:r>
    </w:p>
    <w:p w14:paraId="4098F080" w14:textId="77777777" w:rsidR="00DE209C" w:rsidRPr="007A3223" w:rsidRDefault="00DE209C" w:rsidP="00DE209C">
      <w:pPr>
        <w:pStyle w:val="ListParagraph"/>
        <w:ind w:left="360"/>
        <w:rPr>
          <w:rFonts w:ascii="Arial" w:hAnsi="Arial" w:cs="Arial"/>
        </w:rPr>
      </w:pPr>
    </w:p>
    <w:p w14:paraId="464F3C9C" w14:textId="77777777" w:rsidR="00A3228D" w:rsidRPr="007A3223" w:rsidRDefault="00A3228D" w:rsidP="00DE209C">
      <w:pPr>
        <w:pStyle w:val="Heading4"/>
        <w:spacing w:before="0" w:after="0"/>
        <w:ind w:left="0" w:firstLine="0"/>
      </w:pPr>
      <w:r w:rsidRPr="007A3223">
        <w:t>SCLC transcriptome (Phase II SCLC cohort only)</w:t>
      </w:r>
    </w:p>
    <w:p w14:paraId="68D50BE7" w14:textId="77777777" w:rsidR="00A3228D" w:rsidRPr="007A3223" w:rsidRDefault="00A3228D" w:rsidP="00FB66BA">
      <w:pPr>
        <w:numPr>
          <w:ilvl w:val="0"/>
          <w:numId w:val="39"/>
        </w:numPr>
        <w:spacing w:after="0"/>
        <w:ind w:left="360"/>
        <w:rPr>
          <w:szCs w:val="24"/>
        </w:rPr>
      </w:pPr>
      <w:r w:rsidRPr="007A3223">
        <w:rPr>
          <w:szCs w:val="24"/>
        </w:rPr>
        <w:t xml:space="preserve">Peripheral blood will be drawn into </w:t>
      </w:r>
      <w:r w:rsidR="00DE209C" w:rsidRPr="007A3223">
        <w:rPr>
          <w:szCs w:val="24"/>
        </w:rPr>
        <w:t xml:space="preserve">one </w:t>
      </w:r>
      <w:r w:rsidRPr="007A3223">
        <w:rPr>
          <w:szCs w:val="24"/>
        </w:rPr>
        <w:t xml:space="preserve">2.5 ml PAXgene RNA tube at baseline, after 2 cycles of treatment and at disease progression. RNA will be isolated and assessed by NanoString, droplet digital PCR, RNA-Seq or other platform </w:t>
      </w:r>
      <w:r w:rsidR="00DE209C" w:rsidRPr="007A3223">
        <w:rPr>
          <w:szCs w:val="24"/>
        </w:rPr>
        <w:t xml:space="preserve">for DNA repair </w:t>
      </w:r>
      <w:r w:rsidR="00877644" w:rsidRPr="007A3223">
        <w:rPr>
          <w:szCs w:val="24"/>
        </w:rPr>
        <w:t xml:space="preserve">gene panel </w:t>
      </w:r>
      <w:r w:rsidRPr="007A3223">
        <w:rPr>
          <w:szCs w:val="24"/>
        </w:rPr>
        <w:t>as appropriate.  These assessments will be performed by the Trepel lab. </w:t>
      </w:r>
    </w:p>
    <w:p w14:paraId="503697F3" w14:textId="5532FE43" w:rsidR="00A3228D" w:rsidRPr="007A3223" w:rsidRDefault="00A3228D" w:rsidP="00FB66BA">
      <w:pPr>
        <w:widowControl w:val="0"/>
        <w:numPr>
          <w:ilvl w:val="0"/>
          <w:numId w:val="39"/>
        </w:numPr>
        <w:autoSpaceDE w:val="0"/>
        <w:autoSpaceDN w:val="0"/>
        <w:adjustRightInd w:val="0"/>
        <w:spacing w:after="0"/>
        <w:ind w:left="360"/>
        <w:rPr>
          <w:szCs w:val="24"/>
        </w:rPr>
      </w:pPr>
      <w:r w:rsidRPr="007A3223">
        <w:t xml:space="preserve">Notification and Handling of Samples: as soon as possible after the patient is scheduled please send email notification to the Trepel lab at </w:t>
      </w:r>
      <w:hyperlink r:id="rId59" w:history="1">
        <w:r w:rsidRPr="00F33908">
          <w:rPr>
            <w:color w:val="0000E9"/>
            <w:szCs w:val="24"/>
            <w:u w:val="single" w:color="0000E9"/>
          </w:rPr>
          <w:t>trepel@helix.nih.gov</w:t>
        </w:r>
      </w:hyperlink>
      <w:r w:rsidRPr="007A3223">
        <w:rPr>
          <w:color w:val="0000E9"/>
          <w:szCs w:val="24"/>
          <w:u w:val="single" w:color="0000E9"/>
        </w:rPr>
        <w:t xml:space="preserve">; Min-Jung Lee at </w:t>
      </w:r>
      <w:r w:rsidRPr="00F33908">
        <w:rPr>
          <w:szCs w:val="24"/>
        </w:rPr>
        <w:t xml:space="preserve"> </w:t>
      </w:r>
      <w:hyperlink r:id="rId60" w:history="1">
        <w:r w:rsidRPr="00F33908">
          <w:rPr>
            <w:color w:val="0000E9"/>
            <w:szCs w:val="24"/>
            <w:u w:val="single" w:color="0000E9"/>
          </w:rPr>
          <w:t>leemin@mail.nih.gov</w:t>
        </w:r>
      </w:hyperlink>
      <w:r w:rsidR="00894992" w:rsidRPr="007A3223">
        <w:rPr>
          <w:color w:val="0000E9"/>
          <w:szCs w:val="24"/>
          <w:u w:val="single" w:color="0000E9"/>
        </w:rPr>
        <w:t>)</w:t>
      </w:r>
      <w:r w:rsidRPr="00F33908">
        <w:rPr>
          <w:szCs w:val="24"/>
        </w:rPr>
        <w:t xml:space="preserve"> an</w:t>
      </w:r>
      <w:r w:rsidRPr="007A3223">
        <w:rPr>
          <w:szCs w:val="24"/>
        </w:rPr>
        <w:t xml:space="preserve">d call the Trepel lab at </w:t>
      </w:r>
      <w:r w:rsidR="00096537" w:rsidRPr="007A3223">
        <w:rPr>
          <w:szCs w:val="24"/>
        </w:rPr>
        <w:t>240-760-6330</w:t>
      </w:r>
      <w:r w:rsidRPr="007A3223">
        <w:rPr>
          <w:szCs w:val="24"/>
        </w:rPr>
        <w:t xml:space="preserve"> to arrange for immediate pick-up when the sample is drawn.</w:t>
      </w:r>
    </w:p>
    <w:p w14:paraId="597028DB" w14:textId="77777777" w:rsidR="00D24295" w:rsidRPr="007A3223" w:rsidRDefault="00D24295" w:rsidP="00142131">
      <w:pPr>
        <w:widowControl w:val="0"/>
        <w:autoSpaceDE w:val="0"/>
        <w:autoSpaceDN w:val="0"/>
        <w:adjustRightInd w:val="0"/>
        <w:spacing w:after="0"/>
        <w:ind w:left="360"/>
      </w:pPr>
    </w:p>
    <w:p w14:paraId="3EDC42C2" w14:textId="77777777" w:rsidR="00162A64" w:rsidRPr="007A3223" w:rsidRDefault="00162A64" w:rsidP="00B64115">
      <w:pPr>
        <w:pStyle w:val="Heading4"/>
        <w:spacing w:before="0" w:after="0"/>
        <w:ind w:left="0" w:firstLine="0"/>
      </w:pPr>
      <w:r w:rsidRPr="007A3223">
        <w:t>P</w:t>
      </w:r>
      <w:r w:rsidR="00C6631B" w:rsidRPr="007A3223">
        <w:t>harmacokinetic Studies</w:t>
      </w:r>
      <w:r w:rsidRPr="007A3223">
        <w:t xml:space="preserve"> (Phase I study only)</w:t>
      </w:r>
    </w:p>
    <w:p w14:paraId="22F9E738" w14:textId="77777777" w:rsidR="0096619F" w:rsidRPr="007A3223" w:rsidRDefault="0096619F" w:rsidP="0096619F">
      <w:pPr>
        <w:tabs>
          <w:tab w:val="left" w:pos="360"/>
        </w:tabs>
        <w:spacing w:after="0"/>
        <w:rPr>
          <w:b/>
          <w:i/>
          <w:u w:val="single"/>
        </w:rPr>
      </w:pPr>
      <w:r w:rsidRPr="007A3223">
        <w:rPr>
          <w:bCs/>
        </w:rPr>
        <w:tab/>
        <w:t>During the phase I portion of the study, pharmacokinetics for olaparib and cediranib will be evaluated.  Blood will be collected as below.  Analyses will be done by the CPC.</w:t>
      </w:r>
    </w:p>
    <w:p w14:paraId="6828018B" w14:textId="4454E2A4" w:rsidR="0096619F" w:rsidRPr="007A3223" w:rsidRDefault="0096619F" w:rsidP="00FB66BA">
      <w:pPr>
        <w:pStyle w:val="ListParagraph"/>
        <w:numPr>
          <w:ilvl w:val="0"/>
          <w:numId w:val="29"/>
        </w:numPr>
        <w:ind w:left="360"/>
        <w:rPr>
          <w:bCs/>
        </w:rPr>
      </w:pPr>
      <w:r w:rsidRPr="007A3223">
        <w:rPr>
          <w:bCs/>
        </w:rPr>
        <w:t>Samples will be analyzed using an ultra HPLC with tandem mass spectrometric  detection (UPLC-MS/MS), validated for processing human samples.</w:t>
      </w:r>
    </w:p>
    <w:p w14:paraId="61D02628" w14:textId="782045FC" w:rsidR="0096619F" w:rsidRPr="007A3223" w:rsidRDefault="0096619F" w:rsidP="00FB66BA">
      <w:pPr>
        <w:pStyle w:val="ListParagraph"/>
        <w:numPr>
          <w:ilvl w:val="0"/>
          <w:numId w:val="29"/>
        </w:numPr>
        <w:ind w:left="360"/>
        <w:rPr>
          <w:bCs/>
        </w:rPr>
      </w:pPr>
      <w:r w:rsidRPr="007A3223">
        <w:rPr>
          <w:bCs/>
        </w:rPr>
        <w:t xml:space="preserve">The samples are to be drawn, placed on wet ice, </w:t>
      </w:r>
      <w:r w:rsidR="004D3C37" w:rsidRPr="007A3223">
        <w:rPr>
          <w:bCs/>
          <w:lang w:val="en-US"/>
        </w:rPr>
        <w:t xml:space="preserve">and </w:t>
      </w:r>
      <w:r w:rsidRPr="007A3223">
        <w:rPr>
          <w:bCs/>
        </w:rPr>
        <w:t>refrigerated. The sample label should contain the following information: Cycle number, Day number, time after dosing, and exact draw date and time.</w:t>
      </w:r>
    </w:p>
    <w:p w14:paraId="6E7CC3BA" w14:textId="77777777" w:rsidR="004D3C37" w:rsidRPr="007A3223" w:rsidRDefault="004D3C37" w:rsidP="004D3C37">
      <w:pPr>
        <w:pStyle w:val="ListParagraph"/>
        <w:ind w:left="360"/>
        <w:rPr>
          <w:bCs/>
        </w:rPr>
      </w:pPr>
    </w:p>
    <w:p w14:paraId="57B23549" w14:textId="42B49C07" w:rsidR="004D3C37" w:rsidRPr="007A3223" w:rsidRDefault="004D3C37" w:rsidP="004D3C37">
      <w:pPr>
        <w:pStyle w:val="ListParagraph"/>
        <w:ind w:left="360"/>
        <w:rPr>
          <w:bCs/>
        </w:rPr>
      </w:pPr>
      <w:r w:rsidRPr="007A3223">
        <w:rPr>
          <w:bCs/>
        </w:rPr>
        <w:t xml:space="preserve">Please e-mail </w:t>
      </w:r>
      <w:hyperlink r:id="rId61" w:history="1">
        <w:r w:rsidR="00066EC3" w:rsidRPr="00F33908">
          <w:rPr>
            <w:rFonts w:ascii="Times" w:eastAsia="Times New Roman" w:hAnsi="Times"/>
            <w:color w:val="0563C1"/>
            <w:szCs w:val="20"/>
            <w:u w:val="single"/>
            <w:lang w:val="en-US" w:eastAsia="en-US"/>
          </w:rPr>
          <w:t>NCIBloodcore@mail.nih.gov</w:t>
        </w:r>
      </w:hyperlink>
      <w:r w:rsidRPr="007A3223">
        <w:rPr>
          <w:bCs/>
        </w:rPr>
        <w:t xml:space="preserve"> at least 24 hours b</w:t>
      </w:r>
      <w:r w:rsidRPr="00F33908">
        <w:rPr>
          <w:bCs/>
        </w:rPr>
        <w:t>efore transporting samples (the Friday before is preferred).</w:t>
      </w:r>
    </w:p>
    <w:p w14:paraId="6BF037F9" w14:textId="77777777" w:rsidR="004D3C37" w:rsidRPr="007A3223" w:rsidRDefault="004D3C37" w:rsidP="004D3C37">
      <w:pPr>
        <w:pStyle w:val="ListParagraph"/>
        <w:ind w:left="360"/>
        <w:rPr>
          <w:bCs/>
        </w:rPr>
      </w:pPr>
    </w:p>
    <w:p w14:paraId="6AB31998" w14:textId="6AB2E460" w:rsidR="004D3C37" w:rsidRPr="007A3223" w:rsidRDefault="004D3C37" w:rsidP="004D3C37">
      <w:pPr>
        <w:pStyle w:val="ListParagraph"/>
        <w:ind w:left="360"/>
        <w:rPr>
          <w:bCs/>
        </w:rPr>
      </w:pPr>
      <w:r w:rsidRPr="007A3223">
        <w:rPr>
          <w:bCs/>
        </w:rPr>
        <w:t>For sample pickup, page 102-11964.</w:t>
      </w:r>
    </w:p>
    <w:p w14:paraId="2D86ECFC" w14:textId="77777777" w:rsidR="004D3C37" w:rsidRPr="007A3223" w:rsidRDefault="004D3C37" w:rsidP="004D3C37">
      <w:pPr>
        <w:pStyle w:val="ListParagraph"/>
        <w:ind w:left="360"/>
        <w:rPr>
          <w:bCs/>
        </w:rPr>
      </w:pPr>
    </w:p>
    <w:p w14:paraId="73E9C185" w14:textId="7BA6152A" w:rsidR="004D3C37" w:rsidRPr="007A3223" w:rsidRDefault="004D3C37" w:rsidP="004D3C37">
      <w:pPr>
        <w:pStyle w:val="ListParagraph"/>
        <w:ind w:left="360"/>
        <w:rPr>
          <w:bCs/>
        </w:rPr>
      </w:pPr>
      <w:r w:rsidRPr="007A3223">
        <w:rPr>
          <w:bCs/>
        </w:rPr>
        <w:t>For immediate help, call 240-760-6180 (main blood processing core number) or, if no answer, 240-760-6190 (main clinical pharmacology lab number).</w:t>
      </w:r>
    </w:p>
    <w:p w14:paraId="58B3316B" w14:textId="77777777" w:rsidR="004D3C37" w:rsidRPr="007A3223" w:rsidRDefault="004D3C37" w:rsidP="004D3C37">
      <w:pPr>
        <w:pStyle w:val="ListParagraph"/>
        <w:ind w:left="360"/>
        <w:rPr>
          <w:bCs/>
        </w:rPr>
      </w:pPr>
    </w:p>
    <w:p w14:paraId="311A00BB" w14:textId="25D29539" w:rsidR="004D3C37" w:rsidRPr="00F33908" w:rsidRDefault="004D3C37" w:rsidP="004D3C37">
      <w:pPr>
        <w:pStyle w:val="ListParagraph"/>
        <w:ind w:left="360"/>
        <w:rPr>
          <w:bCs/>
        </w:rPr>
      </w:pPr>
      <w:r w:rsidRPr="007A3223">
        <w:rPr>
          <w:bCs/>
        </w:rPr>
        <w:t xml:space="preserve">For questions regarding sample processing, contact </w:t>
      </w:r>
      <w:hyperlink r:id="rId62" w:history="1">
        <w:r w:rsidR="00454DBE" w:rsidRPr="00F33908">
          <w:rPr>
            <w:rFonts w:ascii="Times" w:eastAsia="Times New Roman" w:hAnsi="Times"/>
            <w:color w:val="0563C1"/>
            <w:szCs w:val="20"/>
            <w:u w:val="single"/>
            <w:lang w:val="en-US" w:eastAsia="en-US"/>
          </w:rPr>
          <w:t>NCIBloodcore@mail.nih.gov</w:t>
        </w:r>
      </w:hyperlink>
      <w:r w:rsidRPr="007A3223">
        <w:rPr>
          <w:bCs/>
        </w:rPr>
        <w:t>.</w:t>
      </w:r>
    </w:p>
    <w:p w14:paraId="0954C59E" w14:textId="77777777" w:rsidR="0096619F" w:rsidRPr="007A3223" w:rsidRDefault="0096619F" w:rsidP="00FB66BA">
      <w:pPr>
        <w:pStyle w:val="ListParagraph"/>
        <w:widowControl w:val="0"/>
        <w:numPr>
          <w:ilvl w:val="0"/>
          <w:numId w:val="29"/>
        </w:numPr>
        <w:tabs>
          <w:tab w:val="left" w:pos="360"/>
        </w:tabs>
        <w:autoSpaceDE w:val="0"/>
        <w:autoSpaceDN w:val="0"/>
        <w:adjustRightInd w:val="0"/>
        <w:ind w:left="360"/>
      </w:pPr>
      <w:r w:rsidRPr="007A3223">
        <w:t>Serum and plasma will be separated and aliquoted according to the CPC SOPs and stored, barcoded, in the CPC repository until use.</w:t>
      </w:r>
    </w:p>
    <w:p w14:paraId="142E0642" w14:textId="77777777" w:rsidR="0096619F" w:rsidRPr="007A3223" w:rsidRDefault="0096619F" w:rsidP="00FB66BA">
      <w:pPr>
        <w:pStyle w:val="ListParagraph"/>
        <w:widowControl w:val="0"/>
        <w:numPr>
          <w:ilvl w:val="0"/>
          <w:numId w:val="29"/>
        </w:numPr>
        <w:tabs>
          <w:tab w:val="left" w:pos="360"/>
        </w:tabs>
        <w:autoSpaceDE w:val="0"/>
        <w:autoSpaceDN w:val="0"/>
        <w:adjustRightInd w:val="0"/>
        <w:ind w:left="360"/>
      </w:pPr>
      <w:r w:rsidRPr="007A3223">
        <w:t>Blood samples (</w:t>
      </w:r>
      <w:r w:rsidR="009A6191" w:rsidRPr="007A3223">
        <w:t>7ml green top [heparin] tube</w:t>
      </w:r>
      <w:r w:rsidRPr="007A3223">
        <w:t>) for olaparib measurement by LC-MS/MS will be drawn around the first dose on C1D1 at: pre-dose, 30min, 1hr, 2hr, 4hr, 8hr, and 12hr (just before PM dose</w:t>
      </w:r>
      <w:r w:rsidR="006002D6" w:rsidRPr="007A3223">
        <w:t>;</w:t>
      </w:r>
      <w:r w:rsidR="00532CD3" w:rsidRPr="007A3223">
        <w:t xml:space="preserve"> +/- </w:t>
      </w:r>
      <w:r w:rsidR="00836581" w:rsidRPr="007A3223">
        <w:t xml:space="preserve">5 </w:t>
      </w:r>
      <w:r w:rsidR="00532CD3" w:rsidRPr="007A3223">
        <w:t>min</w:t>
      </w:r>
      <w:r w:rsidR="006002D6" w:rsidRPr="007A3223">
        <w:t xml:space="preserve"> is allowed</w:t>
      </w:r>
      <w:r w:rsidR="006B488E" w:rsidRPr="007A3223">
        <w:t xml:space="preserve"> for</w:t>
      </w:r>
      <w:r w:rsidR="006002D6" w:rsidRPr="007A3223">
        <w:t xml:space="preserve"> each time points</w:t>
      </w:r>
      <w:r w:rsidR="00BF7FC3" w:rsidRPr="007A3223">
        <w:t xml:space="preserve"> except 12hr time point</w:t>
      </w:r>
      <w:r w:rsidR="002A331F" w:rsidRPr="007A3223">
        <w:rPr>
          <w:lang w:val="en-US"/>
        </w:rPr>
        <w:t>;</w:t>
      </w:r>
      <w:r w:rsidR="00BF7FC3" w:rsidRPr="007A3223">
        <w:t xml:space="preserve"> +/- </w:t>
      </w:r>
      <w:r w:rsidR="00B914F7" w:rsidRPr="007A3223">
        <w:t>2</w:t>
      </w:r>
      <w:r w:rsidR="00BF7FC3" w:rsidRPr="007A3223">
        <w:t xml:space="preserve"> hr is allowed for 12 hr time point</w:t>
      </w:r>
      <w:r w:rsidR="006002D6" w:rsidRPr="007A3223">
        <w:t>)</w:t>
      </w:r>
      <w:r w:rsidRPr="007A3223">
        <w:t>.</w:t>
      </w:r>
    </w:p>
    <w:p w14:paraId="44B2CCDF" w14:textId="7E1D0E74" w:rsidR="006002D6" w:rsidRDefault="0096619F" w:rsidP="00FB66BA">
      <w:pPr>
        <w:pStyle w:val="ListParagraph"/>
        <w:widowControl w:val="0"/>
        <w:numPr>
          <w:ilvl w:val="0"/>
          <w:numId w:val="29"/>
        </w:numPr>
        <w:tabs>
          <w:tab w:val="left" w:pos="360"/>
        </w:tabs>
        <w:autoSpaceDE w:val="0"/>
        <w:autoSpaceDN w:val="0"/>
        <w:adjustRightInd w:val="0"/>
        <w:ind w:left="360"/>
      </w:pPr>
      <w:r w:rsidRPr="007A3223">
        <w:t>Blood samples (</w:t>
      </w:r>
      <w:r w:rsidR="009A6191" w:rsidRPr="007A3223">
        <w:t>7ml green top [heparin] tube</w:t>
      </w:r>
      <w:r w:rsidRPr="007A3223">
        <w:t>) for cediranib measurement by LC-MS/MS will be drawn around the first dose on C1D1 at: pre-dose, 30min, 1hr, 2hr, 4hr, 8hr, and 12hr </w:t>
      </w:r>
      <w:r w:rsidR="006002D6" w:rsidRPr="007A3223">
        <w:t>(+/- 5 min is allowed</w:t>
      </w:r>
      <w:r w:rsidR="006B488E" w:rsidRPr="007A3223">
        <w:t xml:space="preserve"> for</w:t>
      </w:r>
      <w:r w:rsidR="006002D6" w:rsidRPr="007A3223">
        <w:t xml:space="preserve"> each time points</w:t>
      </w:r>
      <w:r w:rsidR="00BF7FC3" w:rsidRPr="007A3223">
        <w:t xml:space="preserve"> except 12hr time point</w:t>
      </w:r>
      <w:r w:rsidR="002A331F" w:rsidRPr="007A3223">
        <w:rPr>
          <w:lang w:val="en-US"/>
        </w:rPr>
        <w:t>;</w:t>
      </w:r>
      <w:r w:rsidR="00BF7FC3" w:rsidRPr="007A3223">
        <w:t xml:space="preserve"> +/- </w:t>
      </w:r>
      <w:r w:rsidR="00B914F7" w:rsidRPr="007A3223">
        <w:t>2</w:t>
      </w:r>
      <w:r w:rsidR="00BF7FC3" w:rsidRPr="007A3223">
        <w:t xml:space="preserve"> hr is allowed for 12 hr time point</w:t>
      </w:r>
      <w:r w:rsidR="006002D6" w:rsidRPr="007A3223">
        <w:t>)</w:t>
      </w:r>
      <w:r w:rsidR="00DD2541" w:rsidRPr="007A3223">
        <w:t>.</w:t>
      </w:r>
    </w:p>
    <w:p w14:paraId="5FE43BED" w14:textId="184480D2" w:rsidR="00C82635" w:rsidRPr="00D02298" w:rsidRDefault="00C82635" w:rsidP="008A3BE3">
      <w:pPr>
        <w:pStyle w:val="Heading2"/>
      </w:pPr>
      <w:bookmarkStart w:id="244" w:name="_Toc82444370"/>
      <w:r w:rsidRPr="00D02298">
        <w:lastRenderedPageBreak/>
        <w:t>Radiomics</w:t>
      </w:r>
      <w:bookmarkEnd w:id="244"/>
    </w:p>
    <w:p w14:paraId="51DBE48A" w14:textId="26D6702F" w:rsidR="00C82635" w:rsidRDefault="00C82635" w:rsidP="00746F68">
      <w:pPr>
        <w:pStyle w:val="Heading3"/>
      </w:pPr>
      <w:r>
        <w:t>Rationale</w:t>
      </w:r>
    </w:p>
    <w:p w14:paraId="7BDB5C1E" w14:textId="39F8B3CA" w:rsidR="00C82635" w:rsidRPr="00ED6E96" w:rsidRDefault="00C82635" w:rsidP="00ED6E96">
      <w:pPr>
        <w:numPr>
          <w:ilvl w:val="0"/>
          <w:numId w:val="5"/>
        </w:numPr>
        <w:rPr>
          <w:bCs/>
        </w:rPr>
      </w:pPr>
      <w:r>
        <w:t xml:space="preserve">Tissue based biomarkers remain the gold standard for pharmacodynamics studies but need to be carefully calibrated to the most informative tumor region, which is currently very difficult to achieve in a multi-site heterogeneous disease such as recurrent ovarian cancer. </w:t>
      </w:r>
      <w:r w:rsidR="00ED6E96" w:rsidRPr="00ED6E96">
        <w:t>T</w:t>
      </w:r>
      <w:r w:rsidR="00ED6E96">
        <w:t>he addition of radiomics</w:t>
      </w:r>
      <w:r w:rsidR="002636CB">
        <w:t xml:space="preserve"> to the correlative studies conducted under this protocol</w:t>
      </w:r>
      <w:r w:rsidR="00ED6E96">
        <w:t xml:space="preserve"> w</w:t>
      </w:r>
      <w:r w:rsidR="002636CB">
        <w:t>ill</w:t>
      </w:r>
      <w:r w:rsidR="00ED6E96">
        <w:t xml:space="preserve"> provide an opportunity to </w:t>
      </w:r>
      <w:r w:rsidR="00ED6E96" w:rsidRPr="00ED6E96">
        <w:t>explore the correlation of radiomics changes with clinical outcome.</w:t>
      </w:r>
    </w:p>
    <w:p w14:paraId="604A6C28" w14:textId="173E8174" w:rsidR="00C82635" w:rsidRDefault="00C82635" w:rsidP="00ED6E96">
      <w:pPr>
        <w:numPr>
          <w:ilvl w:val="0"/>
          <w:numId w:val="5"/>
        </w:numPr>
      </w:pPr>
      <w:r>
        <w:t>Professor Sala’s lab at the University of Cambridge in U.K. has been a leading expert in the quantitative assessment of image features, known as radiomics,</w:t>
      </w:r>
      <w:r w:rsidRPr="00C04A9A">
        <w:t xml:space="preserve"> </w:t>
      </w:r>
      <w:r>
        <w:t xml:space="preserve">using their artificial intelligence tools for (a) automatic whole volume tumor segmentation and (b) deriving predictive and prognostic models of response and outcome. Radiomics biomarkers therefore could serve as “virtual biopsies” and may provide biomarkers reporting changes in both tumor and microenvironment during therapy and have the potential to personalize treatment by objective assessment of these effects. This project is supported by the Biomarkers Consortium by Foundaiton of National Institutes of Health.  </w:t>
      </w:r>
      <w:r w:rsidR="0003669E" w:rsidRPr="0003669E">
        <w:t>All imaging, reports, and clinical information will be de-identified.</w:t>
      </w:r>
    </w:p>
    <w:p w14:paraId="614D42B8" w14:textId="05142832" w:rsidR="00C82635" w:rsidRDefault="00C82635" w:rsidP="00746F68">
      <w:pPr>
        <w:pStyle w:val="Heading3"/>
      </w:pPr>
      <w:bookmarkStart w:id="245" w:name="_Ref67512830"/>
      <w:r>
        <w:t>Collaborators</w:t>
      </w:r>
      <w:bookmarkEnd w:id="245"/>
    </w:p>
    <w:p w14:paraId="6C057C56"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Evis Sala, MD, PhD, FRCR</w:t>
      </w:r>
    </w:p>
    <w:p w14:paraId="297FD3DF"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Professor of Oncological Imaging</w:t>
      </w:r>
    </w:p>
    <w:p w14:paraId="27EFE9C1"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University of Cambridge</w:t>
      </w:r>
    </w:p>
    <w:p w14:paraId="39E75F7D"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Department of Radiology</w:t>
      </w:r>
    </w:p>
    <w:p w14:paraId="7C471819" w14:textId="77777777" w:rsidR="00C82635" w:rsidRPr="00C6644D" w:rsidRDefault="00C82635" w:rsidP="00F6065C">
      <w:pPr>
        <w:spacing w:before="0" w:after="0"/>
        <w:ind w:left="360"/>
        <w:rPr>
          <w:rFonts w:ascii="Times" w:hAnsi="Times" w:cs="Calibri"/>
          <w:color w:val="000000"/>
          <w:szCs w:val="24"/>
        </w:rPr>
      </w:pPr>
      <w:hyperlink r:id="rId63" w:history="1">
        <w:r w:rsidRPr="00C6644D">
          <w:rPr>
            <w:rStyle w:val="Hyperlink"/>
            <w:rFonts w:ascii="Times" w:hAnsi="Times" w:cs="Calibri"/>
            <w:color w:val="800080"/>
            <w:szCs w:val="24"/>
          </w:rPr>
          <w:t>Box 218, Cambridge Biomedical Campus</w:t>
        </w:r>
      </w:hyperlink>
    </w:p>
    <w:p w14:paraId="4E74612E" w14:textId="77777777" w:rsidR="00C82635" w:rsidRPr="00C6644D" w:rsidRDefault="00C82635" w:rsidP="00F6065C">
      <w:pPr>
        <w:spacing w:before="0" w:after="0"/>
        <w:ind w:left="360"/>
        <w:rPr>
          <w:rFonts w:ascii="Times" w:hAnsi="Times" w:cs="Calibri"/>
          <w:color w:val="000000"/>
          <w:szCs w:val="24"/>
        </w:rPr>
      </w:pPr>
      <w:hyperlink r:id="rId64" w:history="1">
        <w:r w:rsidRPr="00C6644D">
          <w:rPr>
            <w:rStyle w:val="Hyperlink"/>
            <w:rFonts w:ascii="Times" w:hAnsi="Times" w:cs="Calibri"/>
            <w:color w:val="800080"/>
            <w:szCs w:val="24"/>
          </w:rPr>
          <w:t>Cambridge CB2 0QQ</w:t>
        </w:r>
      </w:hyperlink>
    </w:p>
    <w:p w14:paraId="61C10357" w14:textId="77777777" w:rsidR="00C82635" w:rsidRPr="00C6644D" w:rsidRDefault="00C82635" w:rsidP="00F6065C">
      <w:pPr>
        <w:spacing w:before="0" w:after="0"/>
        <w:ind w:left="360"/>
        <w:rPr>
          <w:rFonts w:ascii="Times" w:hAnsi="Times" w:cs="Calibri"/>
          <w:color w:val="000000"/>
          <w:szCs w:val="24"/>
        </w:rPr>
      </w:pPr>
      <w:hyperlink r:id="rId65" w:history="1">
        <w:r w:rsidRPr="00C6644D">
          <w:rPr>
            <w:rStyle w:val="Hyperlink"/>
            <w:rFonts w:ascii="Times" w:hAnsi="Times" w:cs="Calibri"/>
            <w:color w:val="800080"/>
            <w:szCs w:val="24"/>
          </w:rPr>
          <w:t>United Kingdom</w:t>
        </w:r>
      </w:hyperlink>
    </w:p>
    <w:p w14:paraId="44AA1472"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Phone: </w:t>
      </w:r>
      <w:hyperlink r:id="rId66" w:history="1">
        <w:r w:rsidRPr="00C6644D">
          <w:rPr>
            <w:rStyle w:val="Hyperlink"/>
            <w:rFonts w:ascii="Times" w:hAnsi="Times" w:cs="Calibri"/>
            <w:color w:val="800080"/>
            <w:szCs w:val="24"/>
          </w:rPr>
          <w:t>+44 1223 746440</w:t>
        </w:r>
      </w:hyperlink>
    </w:p>
    <w:p w14:paraId="4BDF2C36" w14:textId="77777777" w:rsidR="00C82635" w:rsidRPr="00C6644D" w:rsidRDefault="00C82635" w:rsidP="00F6065C">
      <w:pPr>
        <w:spacing w:before="0" w:after="0"/>
        <w:ind w:left="360"/>
        <w:rPr>
          <w:rFonts w:ascii="Times" w:hAnsi="Times" w:cs="Calibri"/>
          <w:color w:val="000000"/>
          <w:szCs w:val="24"/>
        </w:rPr>
      </w:pPr>
      <w:r w:rsidRPr="00C6644D">
        <w:rPr>
          <w:rFonts w:ascii="Times" w:hAnsi="Times" w:cs="Calibri"/>
          <w:color w:val="000000"/>
          <w:szCs w:val="24"/>
        </w:rPr>
        <w:t>Email: </w:t>
      </w:r>
      <w:hyperlink r:id="rId67" w:history="1">
        <w:r w:rsidRPr="00C6644D">
          <w:rPr>
            <w:rStyle w:val="Hyperlink"/>
            <w:rFonts w:ascii="Times" w:hAnsi="Times" w:cs="Calibri"/>
            <w:color w:val="800080"/>
            <w:szCs w:val="24"/>
          </w:rPr>
          <w:t>es220@cam.ac.uk</w:t>
        </w:r>
      </w:hyperlink>
    </w:p>
    <w:p w14:paraId="4BAFE271" w14:textId="77777777" w:rsidR="00C82635" w:rsidRPr="00C6644D" w:rsidRDefault="00C82635" w:rsidP="00C82635">
      <w:pPr>
        <w:rPr>
          <w:rFonts w:ascii="Times" w:hAnsi="Times" w:cs="Calibri"/>
          <w:color w:val="000000"/>
          <w:szCs w:val="24"/>
        </w:rPr>
      </w:pPr>
      <w:r w:rsidRPr="00C6644D">
        <w:rPr>
          <w:rFonts w:ascii="Times" w:hAnsi="Times" w:cs="Calibri"/>
          <w:color w:val="000000"/>
          <w:szCs w:val="24"/>
        </w:rPr>
        <w:t> </w:t>
      </w:r>
    </w:p>
    <w:p w14:paraId="358EE630"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Professor</w:t>
      </w:r>
      <w:r w:rsidRPr="00C6644D">
        <w:rPr>
          <w:rStyle w:val="apple-converted-space"/>
          <w:rFonts w:ascii="Times" w:hAnsi="Times" w:cs="Calibri"/>
          <w:color w:val="000000"/>
          <w:szCs w:val="24"/>
        </w:rPr>
        <w:t> </w:t>
      </w:r>
      <w:r w:rsidRPr="00C6644D">
        <w:rPr>
          <w:rFonts w:ascii="Times" w:hAnsi="Times" w:cs="Calibri"/>
          <w:color w:val="000000"/>
          <w:szCs w:val="24"/>
        </w:rPr>
        <w:t>James</w:t>
      </w:r>
      <w:r w:rsidRPr="00C6644D">
        <w:rPr>
          <w:rStyle w:val="apple-converted-space"/>
          <w:rFonts w:ascii="Times" w:hAnsi="Times" w:cs="Calibri"/>
          <w:color w:val="000000"/>
          <w:szCs w:val="24"/>
        </w:rPr>
        <w:t> </w:t>
      </w:r>
      <w:r w:rsidRPr="00C6644D">
        <w:rPr>
          <w:rFonts w:ascii="Times" w:hAnsi="Times" w:cs="Calibri"/>
          <w:color w:val="000000"/>
          <w:szCs w:val="24"/>
        </w:rPr>
        <w:t>D.</w:t>
      </w:r>
      <w:r w:rsidRPr="00C6644D">
        <w:rPr>
          <w:rStyle w:val="apple-converted-space"/>
          <w:rFonts w:ascii="Times" w:hAnsi="Times" w:cs="Calibri"/>
          <w:color w:val="000000"/>
          <w:szCs w:val="24"/>
        </w:rPr>
        <w:t> </w:t>
      </w:r>
      <w:r w:rsidRPr="00C6644D">
        <w:rPr>
          <w:rFonts w:ascii="Times" w:hAnsi="Times" w:cs="Calibri"/>
          <w:color w:val="000000"/>
          <w:szCs w:val="24"/>
        </w:rPr>
        <w:t>Brenton</w:t>
      </w:r>
      <w:r w:rsidRPr="00C6644D">
        <w:rPr>
          <w:rStyle w:val="apple-converted-space"/>
          <w:rFonts w:ascii="Times" w:hAnsi="Times" w:cs="Calibri"/>
          <w:color w:val="000000"/>
          <w:szCs w:val="24"/>
        </w:rPr>
        <w:t> </w:t>
      </w:r>
      <w:r w:rsidRPr="00C6644D">
        <w:rPr>
          <w:rFonts w:ascii="Times" w:hAnsi="Times" w:cs="Calibri"/>
          <w:color w:val="000000"/>
          <w:szCs w:val="24"/>
        </w:rPr>
        <w:t>PhD FRCP</w:t>
      </w:r>
    </w:p>
    <w:p w14:paraId="462190CF"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Senior Group Leader and Honorary Consultant in Medical Oncology</w:t>
      </w:r>
    </w:p>
    <w:p w14:paraId="10BD3915"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Functional Genomics of Ovarian Cancer Laboratory</w:t>
      </w:r>
    </w:p>
    <w:p w14:paraId="464392FA"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Cancer Research UK Cambridge Institute</w:t>
      </w:r>
    </w:p>
    <w:p w14:paraId="296A4B13"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University of Cambridge</w:t>
      </w:r>
    </w:p>
    <w:p w14:paraId="6DCEF1F7"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Li Ka Shing Centre</w:t>
      </w:r>
    </w:p>
    <w:p w14:paraId="3725774F" w14:textId="77777777" w:rsidR="00C82635" w:rsidRPr="00C6644D" w:rsidRDefault="00C82635" w:rsidP="003F2E09">
      <w:pPr>
        <w:spacing w:before="0" w:after="0"/>
        <w:ind w:left="360"/>
        <w:rPr>
          <w:rFonts w:ascii="Times" w:hAnsi="Times" w:cs="Calibri"/>
          <w:color w:val="000000"/>
          <w:szCs w:val="24"/>
        </w:rPr>
      </w:pPr>
      <w:r w:rsidRPr="00C6644D">
        <w:rPr>
          <w:rFonts w:ascii="Times" w:hAnsi="Times" w:cs="Calibri"/>
          <w:color w:val="000000"/>
          <w:szCs w:val="24"/>
        </w:rPr>
        <w:t>01223 769761 Assistant</w:t>
      </w:r>
    </w:p>
    <w:p w14:paraId="335EDECD" w14:textId="77777777" w:rsidR="00C82635" w:rsidRPr="00C6644D" w:rsidRDefault="00C82635" w:rsidP="003F2E09">
      <w:pPr>
        <w:spacing w:before="0" w:after="0"/>
        <w:ind w:left="360"/>
        <w:rPr>
          <w:rFonts w:ascii="Times" w:hAnsi="Times" w:cs="Calibri"/>
          <w:color w:val="000000"/>
          <w:szCs w:val="24"/>
        </w:rPr>
      </w:pPr>
      <w:hyperlink r:id="rId68" w:history="1">
        <w:r w:rsidRPr="00C6644D">
          <w:rPr>
            <w:rStyle w:val="Hyperlink"/>
            <w:rFonts w:ascii="Times" w:hAnsi="Times" w:cs="Calibri"/>
            <w:color w:val="800080"/>
            <w:szCs w:val="24"/>
          </w:rPr>
          <w:t>mailto:james.brenton@cruk.cam.ac.uk</w:t>
        </w:r>
      </w:hyperlink>
    </w:p>
    <w:p w14:paraId="599634CA" w14:textId="77777777" w:rsidR="00C82635" w:rsidRPr="00C6644D" w:rsidRDefault="00C82635" w:rsidP="003F2E09">
      <w:pPr>
        <w:spacing w:before="0" w:after="0"/>
        <w:ind w:left="360"/>
        <w:rPr>
          <w:rFonts w:ascii="Times" w:hAnsi="Times" w:cs="Calibri"/>
          <w:color w:val="000000"/>
          <w:szCs w:val="24"/>
        </w:rPr>
      </w:pPr>
      <w:hyperlink r:id="rId69" w:history="1">
        <w:r w:rsidRPr="00C6644D">
          <w:rPr>
            <w:rStyle w:val="Hyperlink"/>
            <w:rFonts w:ascii="Times" w:hAnsi="Times" w:cs="Calibri"/>
            <w:color w:val="800080"/>
            <w:szCs w:val="24"/>
          </w:rPr>
          <w:t>http://www.cruk.cam.ac.uk/research-groups/brenton-group</w:t>
        </w:r>
      </w:hyperlink>
    </w:p>
    <w:p w14:paraId="691C62D3" w14:textId="54D5924B" w:rsidR="00C82635" w:rsidRPr="00110977" w:rsidRDefault="00C82635" w:rsidP="008A3BE3">
      <w:pPr>
        <w:pStyle w:val="Heading3"/>
      </w:pPr>
      <w:r w:rsidRPr="00110977">
        <w:t xml:space="preserve">Procedure </w:t>
      </w:r>
    </w:p>
    <w:p w14:paraId="01081BC9" w14:textId="4C2C8CB5" w:rsidR="00C82635" w:rsidRDefault="00C82635" w:rsidP="00FB66BA">
      <w:pPr>
        <w:pStyle w:val="ListParagraph"/>
        <w:numPr>
          <w:ilvl w:val="0"/>
          <w:numId w:val="29"/>
        </w:numPr>
        <w:spacing w:before="0"/>
        <w:rPr>
          <w:lang w:eastAsia="ko-KR"/>
        </w:rPr>
      </w:pPr>
      <w:r w:rsidRPr="00637AF7">
        <w:rPr>
          <w:lang w:eastAsia="ko-KR"/>
        </w:rPr>
        <w:t xml:space="preserve">An independent review of all scans </w:t>
      </w:r>
      <w:r>
        <w:rPr>
          <w:lang w:eastAsia="ko-KR"/>
        </w:rPr>
        <w:t>of</w:t>
      </w:r>
      <w:r w:rsidRPr="00637AF7">
        <w:rPr>
          <w:lang w:eastAsia="ko-KR"/>
        </w:rPr>
        <w:t xml:space="preserve"> </w:t>
      </w:r>
      <w:r>
        <w:rPr>
          <w:lang w:eastAsia="ko-KR"/>
        </w:rPr>
        <w:t>ovarian cancer</w:t>
      </w:r>
      <w:r w:rsidRPr="00637AF7">
        <w:rPr>
          <w:lang w:eastAsia="ko-KR"/>
        </w:rPr>
        <w:t xml:space="preserve"> pa</w:t>
      </w:r>
      <w:r w:rsidR="001855DC">
        <w:rPr>
          <w:lang w:val="en-US" w:eastAsia="ko-KR"/>
        </w:rPr>
        <w:t>rticipants</w:t>
      </w:r>
      <w:r w:rsidRPr="00637AF7">
        <w:rPr>
          <w:lang w:eastAsia="ko-KR"/>
        </w:rPr>
        <w:t xml:space="preserve"> will be conducted</w:t>
      </w:r>
      <w:r w:rsidRPr="00637AF7">
        <w:t xml:space="preserve"> </w:t>
      </w:r>
      <w:r>
        <w:t>by Professor Sala’s lab in order to develop and validate precise and robust radiogenomics biomarkers to optimize response assessment</w:t>
      </w:r>
      <w:r w:rsidRPr="00637AF7">
        <w:rPr>
          <w:lang w:eastAsia="ko-KR"/>
        </w:rPr>
        <w:t xml:space="preserve">. </w:t>
      </w:r>
    </w:p>
    <w:p w14:paraId="2F1EAD69" w14:textId="0050415D" w:rsidR="00C82635" w:rsidRDefault="00C82635" w:rsidP="00FB66BA">
      <w:pPr>
        <w:pStyle w:val="ListParagraph"/>
        <w:numPr>
          <w:ilvl w:val="0"/>
          <w:numId w:val="29"/>
        </w:numPr>
        <w:spacing w:before="0"/>
        <w:rPr>
          <w:lang w:eastAsia="ko-KR"/>
        </w:rPr>
      </w:pPr>
      <w:r w:rsidRPr="00637AF7">
        <w:rPr>
          <w:lang w:eastAsia="ko-KR"/>
        </w:rPr>
        <w:lastRenderedPageBreak/>
        <w:t>Copies of all imaging assessments including unscheduled visit scans will be collected on an ongoing basis and sent to the </w:t>
      </w:r>
      <w:r>
        <w:rPr>
          <w:lang w:eastAsia="ko-KR"/>
        </w:rPr>
        <w:t>collaborators listed in</w:t>
      </w:r>
      <w:r w:rsidR="008A3BE3">
        <w:rPr>
          <w:b/>
          <w:bCs/>
          <w:color w:val="0000FF"/>
          <w:lang w:val="en-US" w:eastAsia="ko-KR"/>
        </w:rPr>
        <w:t xml:space="preserve"> </w:t>
      </w:r>
      <w:r w:rsidR="008A3BE3" w:rsidRPr="008A3BE3">
        <w:rPr>
          <w:lang w:val="en-US" w:eastAsia="ko-KR"/>
        </w:rPr>
        <w:t>Section</w:t>
      </w:r>
      <w:r w:rsidR="008A3BE3" w:rsidRPr="008A3BE3">
        <w:rPr>
          <w:b/>
          <w:bCs/>
          <w:color w:val="0000FF"/>
          <w:lang w:val="en-US" w:eastAsia="ko-KR"/>
        </w:rPr>
        <w:t xml:space="preserve"> </w:t>
      </w:r>
      <w:r w:rsidR="008A3BE3" w:rsidRPr="008A3BE3">
        <w:rPr>
          <w:b/>
          <w:bCs/>
          <w:color w:val="0000FF"/>
          <w:lang w:val="en-US" w:eastAsia="ko-KR"/>
        </w:rPr>
        <w:fldChar w:fldCharType="begin"/>
      </w:r>
      <w:r w:rsidR="008A3BE3" w:rsidRPr="008A3BE3">
        <w:rPr>
          <w:b/>
          <w:bCs/>
          <w:color w:val="0000FF"/>
          <w:lang w:val="en-US" w:eastAsia="ko-KR"/>
        </w:rPr>
        <w:instrText xml:space="preserve"> REF _Ref67512830 \n \h </w:instrText>
      </w:r>
      <w:r w:rsidR="008A3BE3" w:rsidRPr="008A3BE3">
        <w:rPr>
          <w:b/>
          <w:bCs/>
          <w:color w:val="0000FF"/>
          <w:lang w:val="en-US" w:eastAsia="ko-KR"/>
        </w:rPr>
      </w:r>
      <w:r w:rsidR="008A3BE3" w:rsidRPr="008A3BE3">
        <w:rPr>
          <w:b/>
          <w:bCs/>
          <w:color w:val="0000FF"/>
          <w:lang w:val="en-US" w:eastAsia="ko-KR"/>
        </w:rPr>
        <w:fldChar w:fldCharType="separate"/>
      </w:r>
      <w:r w:rsidR="008A3BE3" w:rsidRPr="008A3BE3">
        <w:rPr>
          <w:b/>
          <w:bCs/>
          <w:color w:val="0000FF"/>
          <w:lang w:val="en-US" w:eastAsia="ko-KR"/>
        </w:rPr>
        <w:t>5.5.2</w:t>
      </w:r>
      <w:r w:rsidR="008A3BE3" w:rsidRPr="008A3BE3">
        <w:rPr>
          <w:b/>
          <w:bCs/>
          <w:color w:val="0000FF"/>
          <w:lang w:val="en-US" w:eastAsia="ko-KR"/>
        </w:rPr>
        <w:fldChar w:fldCharType="end"/>
      </w:r>
      <w:r w:rsidRPr="00637AF7">
        <w:rPr>
          <w:lang w:eastAsia="ko-KR"/>
        </w:rPr>
        <w:t>.</w:t>
      </w:r>
      <w:r w:rsidR="00C96FED">
        <w:rPr>
          <w:lang w:val="en-US" w:eastAsia="ko-KR"/>
        </w:rPr>
        <w:t xml:space="preserve">  The scans will be de-identified </w:t>
      </w:r>
      <w:r w:rsidR="00DF3511" w:rsidRPr="00DF3511">
        <w:rPr>
          <w:szCs w:val="22"/>
          <w:lang w:val="en-US" w:eastAsia="en-US"/>
        </w:rPr>
        <w:t>by</w:t>
      </w:r>
      <w:r w:rsidR="00DF3511">
        <w:rPr>
          <w:szCs w:val="22"/>
          <w:lang w:val="en-US" w:eastAsia="en-US"/>
        </w:rPr>
        <w:t xml:space="preserve"> a </w:t>
      </w:r>
      <w:r w:rsidR="00DF3511" w:rsidRPr="00DF3511">
        <w:rPr>
          <w:szCs w:val="22"/>
          <w:lang w:val="en-US" w:eastAsia="en-US"/>
        </w:rPr>
        <w:t>research nurse in collaboration with staff in the film library</w:t>
      </w:r>
      <w:r w:rsidR="00DF3511">
        <w:rPr>
          <w:szCs w:val="22"/>
          <w:lang w:val="en-US" w:eastAsia="en-US"/>
        </w:rPr>
        <w:t xml:space="preserve"> </w:t>
      </w:r>
      <w:r w:rsidR="00C96FED">
        <w:rPr>
          <w:lang w:val="en-US" w:eastAsia="ko-KR"/>
        </w:rPr>
        <w:t xml:space="preserve">prior to being sent to the collaborators. </w:t>
      </w:r>
    </w:p>
    <w:p w14:paraId="46EF623F" w14:textId="0A8BB668" w:rsidR="00C82635" w:rsidRDefault="00C82635" w:rsidP="00FB66BA">
      <w:pPr>
        <w:pStyle w:val="ListParagraph"/>
        <w:numPr>
          <w:ilvl w:val="0"/>
          <w:numId w:val="29"/>
        </w:numPr>
        <w:spacing w:before="0"/>
        <w:rPr>
          <w:lang w:eastAsia="ko-KR"/>
        </w:rPr>
      </w:pPr>
      <w:r w:rsidRPr="00637AF7">
        <w:rPr>
          <w:lang w:eastAsia="ko-KR"/>
        </w:rPr>
        <w:t>Prior radiation therapy reports for pa</w:t>
      </w:r>
      <w:r w:rsidR="001855DC">
        <w:rPr>
          <w:lang w:val="en-US" w:eastAsia="ko-KR"/>
        </w:rPr>
        <w:t>rticipants</w:t>
      </w:r>
      <w:r w:rsidRPr="00637AF7">
        <w:rPr>
          <w:lang w:eastAsia="ko-KR"/>
        </w:rPr>
        <w:t xml:space="preserve"> (at baseline) and information on any lesions that were biopsied to provide a tumor sample for study entry will be provided to allow the selection of appropriate target lesions.</w:t>
      </w:r>
    </w:p>
    <w:p w14:paraId="6898ECB4" w14:textId="77777777" w:rsidR="00C82635" w:rsidRPr="00C6644D" w:rsidRDefault="00C82635" w:rsidP="00FB66BA">
      <w:pPr>
        <w:pStyle w:val="ListParagraph"/>
        <w:numPr>
          <w:ilvl w:val="0"/>
          <w:numId w:val="29"/>
        </w:numPr>
        <w:spacing w:before="0"/>
        <w:rPr>
          <w:lang w:eastAsia="ko-KR"/>
        </w:rPr>
      </w:pPr>
      <w:r w:rsidRPr="00637AF7">
        <w:t xml:space="preserve">Results of this </w:t>
      </w:r>
      <w:r>
        <w:t>scan review</w:t>
      </w:r>
      <w:r w:rsidRPr="00637AF7">
        <w:t xml:space="preserve"> will not be communicated to Investigators to make a clinical decision.</w:t>
      </w:r>
    </w:p>
    <w:p w14:paraId="3BC06B4E" w14:textId="77777777" w:rsidR="00C82635" w:rsidRPr="007A3223" w:rsidRDefault="00C82635" w:rsidP="00110977">
      <w:pPr>
        <w:pStyle w:val="ListParagraph"/>
        <w:widowControl w:val="0"/>
        <w:tabs>
          <w:tab w:val="left" w:pos="360"/>
        </w:tabs>
        <w:autoSpaceDE w:val="0"/>
        <w:autoSpaceDN w:val="0"/>
        <w:adjustRightInd w:val="0"/>
        <w:ind w:left="360"/>
      </w:pPr>
    </w:p>
    <w:p w14:paraId="7CBF2C20" w14:textId="77777777" w:rsidR="00C6631B" w:rsidRPr="007A3223" w:rsidRDefault="00C6631B" w:rsidP="00ED703B">
      <w:pPr>
        <w:pStyle w:val="Heading2"/>
      </w:pPr>
      <w:bookmarkStart w:id="246" w:name="_Toc82444371"/>
      <w:r w:rsidRPr="007A3223">
        <w:t>Patient sample protections, storage, tracking, disposition</w:t>
      </w:r>
      <w:bookmarkEnd w:id="246"/>
      <w:r w:rsidRPr="007A3223">
        <w:t xml:space="preserve"> </w:t>
      </w:r>
    </w:p>
    <w:p w14:paraId="4D0CBAF0" w14:textId="77777777" w:rsidR="00C6631B" w:rsidRPr="007A3223" w:rsidRDefault="009D6FDF" w:rsidP="000C1D10">
      <w:pPr>
        <w:pStyle w:val="Heading3"/>
      </w:pPr>
      <w:r w:rsidRPr="007A3223">
        <w:t>P</w:t>
      </w:r>
      <w:r w:rsidR="00C6631B" w:rsidRPr="007A3223">
        <w:t>atient sample protections</w:t>
      </w:r>
    </w:p>
    <w:p w14:paraId="7C6C7801" w14:textId="77777777" w:rsidR="00C6631B" w:rsidRPr="007A3223" w:rsidRDefault="00C6631B" w:rsidP="006570B8">
      <w:r w:rsidRPr="007A3223">
        <w:t xml:space="preserve">Each patient sample set will be coded with a unique patient identifier. No patient specific information is encoded in this identifier. The protocol scientific investigators handling samples will be blinded as to as to the patient identification, patient data and outcome. </w:t>
      </w:r>
      <w:r w:rsidR="00E7627C" w:rsidRPr="007A3223">
        <w:t>Tissue samples obtained by and stored through Lee Lab will be labeled with unique barcodes.</w:t>
      </w:r>
    </w:p>
    <w:p w14:paraId="6844B100" w14:textId="77777777" w:rsidR="00C6631B" w:rsidRPr="007A3223" w:rsidRDefault="00C6631B" w:rsidP="006570B8">
      <w:r w:rsidRPr="007A3223">
        <w:t>Blood samples obtained by and stored through the Clinical Pharmacology Core</w:t>
      </w:r>
      <w:r w:rsidR="00E7627C" w:rsidRPr="007A3223">
        <w:t xml:space="preserve"> and Trepel Lab</w:t>
      </w:r>
      <w:r w:rsidRPr="007A3223">
        <w:t xml:space="preserve"> will be labeled with unique barcodes. </w:t>
      </w:r>
    </w:p>
    <w:p w14:paraId="2E4749E8" w14:textId="77777777" w:rsidR="00C6631B" w:rsidRPr="007A3223" w:rsidRDefault="00C6631B" w:rsidP="006570B8">
      <w:r w:rsidRPr="007A3223">
        <w:t>The amount of blood that may be drawn from adult patients (i.e., those persons 18 years of age or older) for research purposes shall not exceed 10.5 mL/kg or 550 mL, whichever is smaller, over any eight week period.</w:t>
      </w:r>
    </w:p>
    <w:p w14:paraId="7FEB1B40" w14:textId="77777777" w:rsidR="00C6631B" w:rsidRPr="007A3223" w:rsidRDefault="00C6631B" w:rsidP="006570B8">
      <w:r w:rsidRPr="007A3223">
        <w:t xml:space="preserve">If a patient needs to have a malignant effusion or ascites tapped for diagnostic or therapeutic purposes, a sample will be collected for research.  </w:t>
      </w:r>
    </w:p>
    <w:p w14:paraId="79815B82" w14:textId="77777777" w:rsidR="00C6631B" w:rsidRPr="007A3223" w:rsidRDefault="00C6631B" w:rsidP="00D20197">
      <w:pPr>
        <w:pStyle w:val="Heading1"/>
        <w:rPr>
          <w:rFonts w:hint="eastAsia"/>
        </w:rPr>
      </w:pPr>
      <w:bookmarkStart w:id="247" w:name="_Toc82444372"/>
      <w:r w:rsidRPr="007A3223">
        <w:t>Sample Storage, Tracking and Disposition</w:t>
      </w:r>
      <w:bookmarkEnd w:id="247"/>
    </w:p>
    <w:p w14:paraId="72A094C4" w14:textId="1D8B0B9E" w:rsidR="00C6631B" w:rsidRPr="007A3223" w:rsidRDefault="00C6631B" w:rsidP="00EA69AB">
      <w:pPr>
        <w:tabs>
          <w:tab w:val="left" w:pos="360"/>
          <w:tab w:val="left" w:pos="2160"/>
          <w:tab w:val="left" w:pos="5040"/>
          <w:tab w:val="left" w:pos="7857"/>
        </w:tabs>
        <w:rPr>
          <w:szCs w:val="24"/>
        </w:rPr>
      </w:pPr>
      <w:r w:rsidRPr="007A3223">
        <w:t xml:space="preserve">Samples collected at NCI will be ordered </w:t>
      </w:r>
      <w:r w:rsidR="001B43DC" w:rsidRPr="007A3223">
        <w:t xml:space="preserve">in CRIS </w:t>
      </w:r>
      <w:r w:rsidRPr="007A3223">
        <w:t xml:space="preserve">and tracked through </w:t>
      </w:r>
      <w:r w:rsidR="001B43DC" w:rsidRPr="007A3223">
        <w:rPr>
          <w:szCs w:val="24"/>
        </w:rPr>
        <w:t>a Clinical Trial Data Management system</w:t>
      </w:r>
      <w:r w:rsidRPr="007A3223">
        <w:t xml:space="preserve">. Should a CRIS screen not be available, </w:t>
      </w:r>
      <w:r w:rsidR="001B43DC" w:rsidRPr="007A3223">
        <w:rPr>
          <w:szCs w:val="24"/>
        </w:rPr>
        <w:t>the CRIS downtime procedures will be followed</w:t>
      </w:r>
      <w:r w:rsidRPr="007A3223">
        <w:t xml:space="preserve">.  Samples will not be sent outside NIH without </w:t>
      </w:r>
      <w:r w:rsidR="007C18B7" w:rsidRPr="007A3223">
        <w:t>appropriate approvals and/or agreements, if required</w:t>
      </w:r>
      <w:r w:rsidRPr="007A3223">
        <w:t xml:space="preserve">.  </w:t>
      </w:r>
    </w:p>
    <w:p w14:paraId="71C4B142" w14:textId="064B29C5" w:rsidR="00F8504F" w:rsidRPr="007A3223" w:rsidRDefault="00F8504F" w:rsidP="0046571C">
      <w:pPr>
        <w:pStyle w:val="Heading2"/>
      </w:pPr>
      <w:bookmarkStart w:id="248" w:name="_Toc82444373"/>
      <w:r w:rsidRPr="007A3223">
        <w:t>Blood Processing Core (BPC)</w:t>
      </w:r>
      <w:bookmarkEnd w:id="248"/>
    </w:p>
    <w:p w14:paraId="0C8E1D12" w14:textId="5A42DC50" w:rsidR="00F8504F" w:rsidRPr="007A3223" w:rsidRDefault="00F8504F" w:rsidP="00043BE4">
      <w:pPr>
        <w:spacing w:after="0"/>
        <w:rPr>
          <w:rFonts w:eastAsia="Times New Roman"/>
          <w:szCs w:val="24"/>
          <w:u w:val="single"/>
        </w:rPr>
      </w:pPr>
      <w:r w:rsidRPr="007A3223">
        <w:rPr>
          <w:rFonts w:eastAsia="Times New Roman"/>
          <w:szCs w:val="24"/>
          <w:u w:val="single"/>
        </w:rPr>
        <w:t>Sample Data Collection</w:t>
      </w:r>
    </w:p>
    <w:p w14:paraId="0AB2D345" w14:textId="6DC88AFD" w:rsidR="0047569E" w:rsidRPr="007A3223" w:rsidRDefault="0047569E" w:rsidP="0047569E">
      <w:pPr>
        <w:spacing w:after="0"/>
        <w:rPr>
          <w:rFonts w:eastAsia="Times New Roman"/>
          <w:szCs w:val="24"/>
        </w:rPr>
      </w:pPr>
      <w:r w:rsidRPr="007A3223">
        <w:rPr>
          <w:rFonts w:eastAsia="Times New Roman"/>
          <w:szCs w:val="24"/>
        </w:rPr>
        <w:t>All samples sent to the Blood Processing Core (BPC) will be barcoded, with data entered and stored in the L</w:t>
      </w:r>
      <w:r w:rsidR="0073181F">
        <w:rPr>
          <w:rFonts w:eastAsia="Times New Roman"/>
          <w:szCs w:val="24"/>
        </w:rPr>
        <w:t>abmatrix</w:t>
      </w:r>
      <w:r w:rsidRPr="007A3223">
        <w:rPr>
          <w:rFonts w:eastAsia="Times New Roman"/>
          <w:szCs w:val="24"/>
        </w:rPr>
        <w:t xml:space="preserve"> utilized by the BPC. This is a secure program, with access to L</w:t>
      </w:r>
      <w:r w:rsidR="0073181F">
        <w:rPr>
          <w:rFonts w:eastAsia="Times New Roman"/>
          <w:szCs w:val="24"/>
        </w:rPr>
        <w:t>abmatrix</w:t>
      </w:r>
      <w:r w:rsidRPr="007A3223">
        <w:rPr>
          <w:rFonts w:eastAsia="Times New Roman"/>
          <w:szCs w:val="24"/>
        </w:rPr>
        <w:t xml:space="preserve"> limited to defined Figg lab personnel, who are issued individual user accounts. Installation of L</w:t>
      </w:r>
      <w:r w:rsidR="0073181F">
        <w:rPr>
          <w:rFonts w:eastAsia="Times New Roman"/>
          <w:szCs w:val="24"/>
        </w:rPr>
        <w:t>abmatrix</w:t>
      </w:r>
      <w:r w:rsidRPr="007A3223">
        <w:rPr>
          <w:rFonts w:eastAsia="Times New Roman"/>
          <w:szCs w:val="24"/>
        </w:rPr>
        <w:t xml:space="preserve"> is limited to computers specified by Dr. Figg. These computers all have a password restricted login screen. </w:t>
      </w:r>
    </w:p>
    <w:p w14:paraId="38C8E08C" w14:textId="3DF0D0E8" w:rsidR="0047569E" w:rsidRPr="007A3223" w:rsidRDefault="0047569E" w:rsidP="0047569E">
      <w:pPr>
        <w:spacing w:after="0"/>
        <w:rPr>
          <w:rFonts w:eastAsia="Times New Roman"/>
          <w:szCs w:val="24"/>
        </w:rPr>
      </w:pPr>
      <w:r w:rsidRPr="007A3223">
        <w:rPr>
          <w:rFonts w:eastAsia="Times New Roman"/>
          <w:szCs w:val="24"/>
        </w:rPr>
        <w:t>L</w:t>
      </w:r>
      <w:r w:rsidR="0073181F">
        <w:rPr>
          <w:rFonts w:eastAsia="Times New Roman"/>
          <w:szCs w:val="24"/>
        </w:rPr>
        <w:t>amatrix</w:t>
      </w:r>
      <w:r w:rsidRPr="007A3223">
        <w:rPr>
          <w:rFonts w:eastAsia="Times New Roman"/>
          <w:szCs w:val="24"/>
        </w:rPr>
        <w:t xml:space="preserve"> creates a unique barcode ID for every sample and sample box, which cannot be traced back to patients without L</w:t>
      </w:r>
      <w:r w:rsidR="0073181F">
        <w:rPr>
          <w:rFonts w:eastAsia="Times New Roman"/>
          <w:szCs w:val="24"/>
        </w:rPr>
        <w:t>abmatrix</w:t>
      </w:r>
      <w:r w:rsidRPr="007A3223">
        <w:rPr>
          <w:rFonts w:eastAsia="Times New Roman"/>
          <w:szCs w:val="24"/>
        </w:rPr>
        <w:t xml:space="preserve"> access. The data recorded for each sample includes the patient ID, name, trial name/protocol number, time drawn, cycle time point, dose, material type, as well as box and freezer location. Patient demographics associated with the clinical center </w:t>
      </w:r>
      <w:r w:rsidRPr="007A3223">
        <w:rPr>
          <w:rFonts w:eastAsia="Times New Roman"/>
          <w:szCs w:val="24"/>
        </w:rPr>
        <w:lastRenderedPageBreak/>
        <w:t>patient number are provided in the system. For each sample, there are notes associated with the processing method (delay in sample processing, storage conditions on the ward, etc.).</w:t>
      </w:r>
    </w:p>
    <w:p w14:paraId="6ECA4221" w14:textId="223C941F" w:rsidR="00F8504F" w:rsidRPr="007A3223" w:rsidRDefault="00F8504F" w:rsidP="00F8504F">
      <w:pPr>
        <w:spacing w:after="0"/>
        <w:rPr>
          <w:rFonts w:eastAsia="Times New Roman"/>
          <w:szCs w:val="24"/>
          <w:u w:val="single"/>
        </w:rPr>
      </w:pPr>
      <w:r w:rsidRPr="007A3223">
        <w:rPr>
          <w:rFonts w:eastAsia="Times New Roman"/>
          <w:szCs w:val="24"/>
          <w:u w:val="single"/>
        </w:rPr>
        <w:t>Sample Storage and Destruction</w:t>
      </w:r>
    </w:p>
    <w:p w14:paraId="194611D0" w14:textId="68368091" w:rsidR="00F8504F" w:rsidRPr="007A3223" w:rsidRDefault="00F8504F" w:rsidP="00F8504F">
      <w:pPr>
        <w:spacing w:after="0"/>
        <w:rPr>
          <w:rFonts w:eastAsia="Times New Roman"/>
          <w:szCs w:val="24"/>
        </w:rPr>
      </w:pPr>
      <w:r w:rsidRPr="007A3223">
        <w:rPr>
          <w:rFonts w:eastAsia="Times New Roman"/>
          <w:szCs w:val="24"/>
        </w:rPr>
        <w:t>Barcoded samples are stored in barcoded boxes in a locked freezer at either -20 or -80</w:t>
      </w:r>
      <w:r w:rsidRPr="007A3223">
        <w:rPr>
          <w:rFonts w:eastAsia="Times New Roman"/>
          <w:szCs w:val="24"/>
        </w:rPr>
        <w:sym w:font="Symbol" w:char="F0B0"/>
      </w:r>
      <w:r w:rsidRPr="007A3223">
        <w:rPr>
          <w:rFonts w:eastAsia="Times New Roman"/>
          <w:szCs w:val="24"/>
        </w:rPr>
        <w:t>C according to stability requirements.  These freezers are located onsite in the BPC and offsite at NCI</w:t>
      </w:r>
      <w:r w:rsidRPr="00F33908">
        <w:rPr>
          <w:rFonts w:eastAsia="Times New Roman"/>
          <w:szCs w:val="24"/>
        </w:rPr>
        <w:t xml:space="preserve"> </w:t>
      </w:r>
      <w:r w:rsidRPr="007A3223">
        <w:rPr>
          <w:rFonts w:eastAsia="Times New Roman"/>
          <w:szCs w:val="24"/>
        </w:rPr>
        <w:t xml:space="preserve">Frederick Central Repository Services in Frederick, MD. Visitors to the laboratory are required to be accompanied by laboratory staff at all times. </w:t>
      </w:r>
    </w:p>
    <w:p w14:paraId="3DA31913" w14:textId="5A8B225B" w:rsidR="00F8504F" w:rsidRPr="007A3223" w:rsidRDefault="00F8504F" w:rsidP="00F8504F">
      <w:pPr>
        <w:spacing w:after="0"/>
        <w:rPr>
          <w:rFonts w:eastAsia="Times New Roman"/>
          <w:szCs w:val="24"/>
        </w:rPr>
      </w:pPr>
      <w:r w:rsidRPr="007A3223">
        <w:rPr>
          <w:rFonts w:eastAsia="Times New Roman"/>
          <w:szCs w:val="24"/>
        </w:rPr>
        <w:t>Access to stored clinical samples is restricted. Samples will be stored until requested by a researcher named on the protocol. All requests are monitored and tracked in L</w:t>
      </w:r>
      <w:r w:rsidR="00043843">
        <w:rPr>
          <w:rFonts w:eastAsia="Times New Roman"/>
          <w:szCs w:val="24"/>
        </w:rPr>
        <w:t>abmatrix</w:t>
      </w:r>
      <w:r w:rsidRPr="007A3223">
        <w:rPr>
          <w:rFonts w:eastAsia="Times New Roman"/>
          <w:szCs w:val="24"/>
        </w:rPr>
        <w:t>. All researchers are required to sign a form stating that the samples are only to be used for research purposes associated with this trial (as per the IRB approved protocol) and that any unused samples must be returned to the BPC. It is the responsibility of the NCI Principal Investigator to ensure that the samples requested are being used in a manner consistent with IRB approval.</w:t>
      </w:r>
    </w:p>
    <w:p w14:paraId="60394C6D" w14:textId="02D1B256" w:rsidR="00F8504F" w:rsidRPr="007A3223" w:rsidRDefault="00F8504F" w:rsidP="00F8504F">
      <w:pPr>
        <w:spacing w:after="0"/>
        <w:rPr>
          <w:rFonts w:eastAsia="Times New Roman"/>
          <w:szCs w:val="24"/>
        </w:rPr>
      </w:pPr>
      <w:r w:rsidRPr="007A3223">
        <w:rPr>
          <w:rFonts w:eastAsia="Times New Roman"/>
          <w:szCs w:val="24"/>
        </w:rPr>
        <w:t xml:space="preserve">Following completion of this study, samples will remain in storage as detailed above. Access to these samples will only be granted following IRB approval of an additional protocol, granting the rights to use the material. </w:t>
      </w:r>
    </w:p>
    <w:p w14:paraId="5AC6F6F5" w14:textId="0DFFEED1" w:rsidR="00F8504F" w:rsidRPr="007A3223" w:rsidRDefault="00F8504F" w:rsidP="00F8504F">
      <w:pPr>
        <w:spacing w:after="0"/>
        <w:rPr>
          <w:rFonts w:eastAsia="Times New Roman"/>
          <w:szCs w:val="24"/>
        </w:rPr>
      </w:pPr>
      <w:r w:rsidRPr="007A3223">
        <w:rPr>
          <w:rFonts w:eastAsia="Times New Roman"/>
          <w:szCs w:val="24"/>
        </w:rPr>
        <w:t xml:space="preserve">If, at any time, a patient withdraws from the study and does not wish for their existing samples to be utilized, the individual must provide a written request. Any samples lost (in transit or by a researcher) or destroyed due to unknown sample integrity (i.e. broken freezer allows for extensive sample thawing, etc.) </w:t>
      </w:r>
      <w:r w:rsidR="00792B58" w:rsidRPr="007A3223">
        <w:rPr>
          <w:szCs w:val="24"/>
        </w:rPr>
        <w:t xml:space="preserve">that meet expedited reporting requirements (see section </w:t>
      </w:r>
      <w:r w:rsidR="00792B58" w:rsidRPr="00F33908">
        <w:rPr>
          <w:rStyle w:val="crossreferenceChar"/>
        </w:rPr>
        <w:fldChar w:fldCharType="begin"/>
      </w:r>
      <w:r w:rsidR="00792B58" w:rsidRPr="007A3223">
        <w:rPr>
          <w:rStyle w:val="crossreferenceChar"/>
        </w:rPr>
        <w:instrText xml:space="preserve"> REF _Ref12353110 \r \h  \* MERGEFORMAT </w:instrText>
      </w:r>
      <w:r w:rsidR="00792B58" w:rsidRPr="00F33908">
        <w:rPr>
          <w:rStyle w:val="crossreferenceChar"/>
        </w:rPr>
      </w:r>
      <w:r w:rsidR="00792B58" w:rsidRPr="00F33908">
        <w:rPr>
          <w:rStyle w:val="crossreferenceChar"/>
        </w:rPr>
        <w:fldChar w:fldCharType="separate"/>
      </w:r>
      <w:r w:rsidR="00E47ACA">
        <w:rPr>
          <w:rStyle w:val="crossreferenceChar"/>
        </w:rPr>
        <w:t>8.2.1</w:t>
      </w:r>
      <w:r w:rsidR="00792B58" w:rsidRPr="00F33908">
        <w:rPr>
          <w:rStyle w:val="crossreferenceChar"/>
        </w:rPr>
        <w:fldChar w:fldCharType="end"/>
      </w:r>
      <w:r w:rsidR="00792B58" w:rsidRPr="007A3223">
        <w:t>)</w:t>
      </w:r>
      <w:r w:rsidR="00792B58" w:rsidRPr="00F33908">
        <w:rPr>
          <w:rFonts w:eastAsia="Times New Roman"/>
          <w:szCs w:val="24"/>
        </w:rPr>
        <w:t xml:space="preserve"> will be reported to the IRB</w:t>
      </w:r>
      <w:r w:rsidRPr="007A3223">
        <w:rPr>
          <w:rFonts w:eastAsia="Times New Roman"/>
          <w:szCs w:val="24"/>
        </w:rPr>
        <w:t>.</w:t>
      </w:r>
    </w:p>
    <w:p w14:paraId="0DC50ABA" w14:textId="26B1E13D" w:rsidR="00F8504F" w:rsidRPr="007A3223" w:rsidRDefault="00F8504F" w:rsidP="00F8504F">
      <w:pPr>
        <w:spacing w:after="0"/>
        <w:rPr>
          <w:rFonts w:eastAsia="Times New Roman"/>
          <w:szCs w:val="24"/>
        </w:rPr>
      </w:pPr>
      <w:r w:rsidRPr="007A3223">
        <w:rPr>
          <w:rFonts w:eastAsia="Times New Roman"/>
          <w:szCs w:val="24"/>
        </w:rPr>
        <w:t>Sample barcodes are linked to patient demographics and limited clinical information. This information will only be provided to investigators listed on this protocol, via registered use of the L</w:t>
      </w:r>
      <w:r w:rsidR="00043843">
        <w:rPr>
          <w:rFonts w:eastAsia="Times New Roman"/>
          <w:szCs w:val="24"/>
        </w:rPr>
        <w:t>abmatrix</w:t>
      </w:r>
      <w:r w:rsidRPr="007A3223">
        <w:rPr>
          <w:rFonts w:eastAsia="Times New Roman"/>
          <w:szCs w:val="24"/>
        </w:rPr>
        <w:t>. It is critical that the sample remains linked to patient information such as race, age, dates of diagnosis and death, and histological information about the tumor, in order to correlate genotype with these variables.</w:t>
      </w:r>
    </w:p>
    <w:p w14:paraId="6388A50B" w14:textId="6EFD992A" w:rsidR="00D1466D" w:rsidRPr="007A3223" w:rsidRDefault="00D1466D" w:rsidP="000C1D10">
      <w:pPr>
        <w:pStyle w:val="Heading3"/>
      </w:pPr>
      <w:r w:rsidRPr="007A3223">
        <w:t>End of Study</w:t>
      </w:r>
    </w:p>
    <w:p w14:paraId="15781DDD" w14:textId="039471B6" w:rsidR="00C6631B" w:rsidRPr="007A3223" w:rsidRDefault="00561B4B" w:rsidP="00C64BDA">
      <w:pPr>
        <w:tabs>
          <w:tab w:val="left" w:pos="360"/>
          <w:tab w:val="left" w:pos="2160"/>
          <w:tab w:val="left" w:pos="5040"/>
          <w:tab w:val="left" w:pos="7857"/>
        </w:tabs>
        <w:rPr>
          <w:szCs w:val="24"/>
        </w:rPr>
      </w:pPr>
      <w:r w:rsidRPr="007A3223">
        <w:rPr>
          <w:rFonts w:eastAsia="Calibri"/>
          <w:szCs w:val="24"/>
        </w:rPr>
        <w:t xml:space="preserve">All specimens obtained in the protocol are used as defined in the protocol. </w:t>
      </w:r>
      <w:r w:rsidR="003375C0" w:rsidRPr="007A3223">
        <w:rPr>
          <w:rFonts w:eastAsia="Calibri"/>
          <w:szCs w:val="24"/>
        </w:rPr>
        <w:t>Any specimens that are remaining at the completion of the protocol will be stored in the conditions described below. The study will remain open so long as</w:t>
      </w:r>
      <w:r w:rsidR="003375C0" w:rsidRPr="007A3223">
        <w:rPr>
          <w:rFonts w:eastAsia="Calibri"/>
          <w:color w:val="FF0000"/>
          <w:szCs w:val="24"/>
        </w:rPr>
        <w:t xml:space="preserve"> </w:t>
      </w:r>
      <w:r w:rsidR="003375C0" w:rsidRPr="007A3223">
        <w:rPr>
          <w:rFonts w:eastAsia="Calibri"/>
          <w:szCs w:val="24"/>
        </w:rPr>
        <w:t>sample or data analysis continues. Samples from consenting subjects will be stored until they are no longer of scientific value or if a subject withdraws consent for their continued use, at which time they will be destroyed. The PI will re</w:t>
      </w:r>
      <w:r w:rsidR="00D95E94" w:rsidRPr="007A3223">
        <w:rPr>
          <w:rFonts w:eastAsia="Calibri"/>
          <w:szCs w:val="24"/>
        </w:rPr>
        <w:t>cord</w:t>
      </w:r>
      <w:r w:rsidR="003375C0" w:rsidRPr="007A3223">
        <w:rPr>
          <w:rFonts w:eastAsia="Calibri"/>
          <w:szCs w:val="24"/>
        </w:rPr>
        <w:t xml:space="preserve"> any loss or unanticipated destruction of samples</w:t>
      </w:r>
      <w:r w:rsidR="00A62917" w:rsidRPr="007A3223">
        <w:rPr>
          <w:rFonts w:eastAsia="Calibri"/>
          <w:szCs w:val="24"/>
        </w:rPr>
        <w:t xml:space="preserve"> as a deviation. Reporting will be per </w:t>
      </w:r>
      <w:r w:rsidR="00FB6800" w:rsidRPr="007A3223">
        <w:rPr>
          <w:rFonts w:eastAsia="Calibri"/>
          <w:szCs w:val="24"/>
        </w:rPr>
        <w:t xml:space="preserve">  the requirments in section</w:t>
      </w:r>
      <w:r w:rsidR="009F5C12" w:rsidRPr="007A3223">
        <w:rPr>
          <w:rStyle w:val="crossreferenceChar"/>
        </w:rPr>
        <w:t xml:space="preserve"> </w:t>
      </w:r>
      <w:r w:rsidR="009F5C12" w:rsidRPr="00F33908">
        <w:rPr>
          <w:rStyle w:val="crossreferenceChar"/>
        </w:rPr>
        <w:fldChar w:fldCharType="begin"/>
      </w:r>
      <w:r w:rsidR="009F5C12" w:rsidRPr="007A3223">
        <w:rPr>
          <w:rStyle w:val="crossreferenceChar"/>
        </w:rPr>
        <w:instrText xml:space="preserve"> REF _Ref422913782 \n \h </w:instrText>
      </w:r>
      <w:r w:rsidR="007A3223">
        <w:rPr>
          <w:rStyle w:val="crossreferenceChar"/>
        </w:rPr>
        <w:instrText xml:space="preserve"> \* MERGEFORMAT </w:instrText>
      </w:r>
      <w:r w:rsidR="009F5C12" w:rsidRPr="00F33908">
        <w:rPr>
          <w:rStyle w:val="crossreferenceChar"/>
        </w:rPr>
      </w:r>
      <w:r w:rsidR="009F5C12" w:rsidRPr="00F33908">
        <w:rPr>
          <w:rStyle w:val="crossreferenceChar"/>
        </w:rPr>
        <w:fldChar w:fldCharType="separate"/>
      </w:r>
      <w:r w:rsidR="00E47ACA">
        <w:rPr>
          <w:rStyle w:val="crossreferenceChar"/>
        </w:rPr>
        <w:t>8.2</w:t>
      </w:r>
      <w:r w:rsidR="009F5C12" w:rsidRPr="00F33908">
        <w:rPr>
          <w:rStyle w:val="crossreferenceChar"/>
        </w:rPr>
        <w:fldChar w:fldCharType="end"/>
      </w:r>
      <w:r w:rsidR="00792B58" w:rsidRPr="007A3223">
        <w:rPr>
          <w:rFonts w:eastAsia="Calibri"/>
          <w:szCs w:val="24"/>
        </w:rPr>
        <w:t xml:space="preserve">. </w:t>
      </w:r>
      <w:r w:rsidR="00C6631B" w:rsidRPr="00F33908">
        <w:rPr>
          <w:szCs w:val="24"/>
        </w:rPr>
        <w:t xml:space="preserve"> Any new use of identified or coded samples, specimens, or data will undergo prospective and conti</w:t>
      </w:r>
      <w:r w:rsidR="00C6631B" w:rsidRPr="007A3223">
        <w:rPr>
          <w:szCs w:val="24"/>
        </w:rPr>
        <w:t xml:space="preserve">nuing IRB review and approval.  </w:t>
      </w:r>
    </w:p>
    <w:p w14:paraId="3C1E6819" w14:textId="2C6F88B4" w:rsidR="00C6631B" w:rsidRPr="007A3223" w:rsidRDefault="00C6631B" w:rsidP="00C64BDA">
      <w:pPr>
        <w:tabs>
          <w:tab w:val="left" w:pos="360"/>
          <w:tab w:val="left" w:pos="2160"/>
          <w:tab w:val="left" w:pos="5040"/>
          <w:tab w:val="left" w:pos="7857"/>
        </w:tabs>
        <w:rPr>
          <w:szCs w:val="24"/>
        </w:rPr>
      </w:pPr>
      <w:r w:rsidRPr="007A3223">
        <w:rPr>
          <w:szCs w:val="24"/>
        </w:rPr>
        <w:t xml:space="preserve">If researchers have samples remaining once they have completed all studies associated with the protocol, they must be returned to the Lee laboratory or to the </w:t>
      </w:r>
      <w:r w:rsidR="00043BE4" w:rsidRPr="007A3223">
        <w:rPr>
          <w:szCs w:val="24"/>
        </w:rPr>
        <w:t>B</w:t>
      </w:r>
      <w:r w:rsidRPr="007A3223">
        <w:rPr>
          <w:szCs w:val="24"/>
        </w:rPr>
        <w:t xml:space="preserve">PC repository. Samples can only be saved at the completion of the study for future use if subjects consented. Access to these samples will only be granted following IRB approval of an additional protocol, granting the rights to use the material.  </w:t>
      </w:r>
    </w:p>
    <w:p w14:paraId="758C657D" w14:textId="3B5D5F84" w:rsidR="00C6631B" w:rsidRPr="007A3223" w:rsidRDefault="00C6631B" w:rsidP="00EA69AB">
      <w:pPr>
        <w:widowControl w:val="0"/>
        <w:tabs>
          <w:tab w:val="left" w:pos="360"/>
        </w:tabs>
        <w:autoSpaceDE w:val="0"/>
        <w:autoSpaceDN w:val="0"/>
        <w:adjustRightInd w:val="0"/>
      </w:pPr>
      <w:r w:rsidRPr="007A3223">
        <w:rPr>
          <w:szCs w:val="24"/>
        </w:rPr>
        <w:t xml:space="preserve">If the patient withdraws consent, the participant’s data will be excluded from future distributions, </w:t>
      </w:r>
      <w:r w:rsidRPr="007A3223">
        <w:rPr>
          <w:szCs w:val="24"/>
        </w:rPr>
        <w:lastRenderedPageBreak/>
        <w:t>but data that have already been distributed for approved research use will not be able to be retrieved.</w:t>
      </w:r>
    </w:p>
    <w:p w14:paraId="261E6785" w14:textId="77777777" w:rsidR="009D6FDF" w:rsidRPr="007A3223" w:rsidRDefault="009D6FDF" w:rsidP="00D20197">
      <w:pPr>
        <w:pStyle w:val="Heading1"/>
        <w:rPr>
          <w:rFonts w:hint="eastAsia"/>
        </w:rPr>
      </w:pPr>
      <w:bookmarkStart w:id="249" w:name="_Toc82444374"/>
      <w:r w:rsidRPr="007A3223">
        <w:t>DATA COLLECTION AND EVALUATION</w:t>
      </w:r>
      <w:bookmarkEnd w:id="249"/>
      <w:r w:rsidRPr="007A3223">
        <w:t xml:space="preserve"> </w:t>
      </w:r>
    </w:p>
    <w:p w14:paraId="77761D93" w14:textId="77777777" w:rsidR="009D6FDF" w:rsidRPr="007A3223" w:rsidRDefault="009D6FDF" w:rsidP="00ED703B">
      <w:pPr>
        <w:pStyle w:val="Heading2"/>
      </w:pPr>
      <w:bookmarkStart w:id="250" w:name="_Ref12285490"/>
      <w:bookmarkStart w:id="251" w:name="_Ref12628990"/>
      <w:bookmarkStart w:id="252" w:name="_Toc82444375"/>
      <w:r w:rsidRPr="007A3223">
        <w:t>Data Collection</w:t>
      </w:r>
      <w:bookmarkEnd w:id="250"/>
      <w:bookmarkEnd w:id="251"/>
      <w:bookmarkEnd w:id="252"/>
    </w:p>
    <w:p w14:paraId="09597C74" w14:textId="2DA77D0F" w:rsidR="0064717C" w:rsidRPr="007A3223" w:rsidRDefault="0064717C" w:rsidP="0064717C">
      <w:pPr>
        <w:widowControl w:val="0"/>
        <w:autoSpaceDE w:val="0"/>
        <w:autoSpaceDN w:val="0"/>
        <w:adjustRightInd w:val="0"/>
        <w:spacing w:after="0"/>
        <w:rPr>
          <w:szCs w:val="24"/>
        </w:rPr>
      </w:pPr>
      <w:r w:rsidRPr="007A3223">
        <w:rPr>
          <w:szCs w:val="24"/>
        </w:rPr>
        <w:t>The PI will be responsible for overseeing entry of data into an in-house password protected electronic system and ensuring data accuracy, consistency and timeliness. The principal investigator, associate investigators/research nurses and/or a contracted data manager will assist with the data management efforts. Primary and final analyzed data will have identifiers so that research data can be attributed to an individual human subject participant.</w:t>
      </w:r>
    </w:p>
    <w:p w14:paraId="4BDDA41C" w14:textId="19BA22DD" w:rsidR="00175665" w:rsidRPr="007A3223" w:rsidRDefault="0077153F" w:rsidP="00175665">
      <w:pPr>
        <w:rPr>
          <w:rFonts w:eastAsia="Calibri"/>
          <w:szCs w:val="24"/>
        </w:rPr>
      </w:pPr>
      <w:r w:rsidRPr="007A3223">
        <w:rPr>
          <w:szCs w:val="24"/>
        </w:rPr>
        <w:t xml:space="preserve">All </w:t>
      </w:r>
      <w:r w:rsidR="00FC69DD" w:rsidRPr="007A3223">
        <w:rPr>
          <w:szCs w:val="24"/>
        </w:rPr>
        <w:t>adverse events</w:t>
      </w:r>
      <w:r w:rsidRPr="007A3223">
        <w:rPr>
          <w:szCs w:val="24"/>
        </w:rPr>
        <w:t xml:space="preserve">, including clinically significant abnormal findings on laboratory evaluations, regardless of severity, will be followed until return to baseline or stabilization of event. </w:t>
      </w:r>
    </w:p>
    <w:p w14:paraId="16BEBBB7" w14:textId="5E5555A7" w:rsidR="0077153F" w:rsidRPr="007A3223" w:rsidRDefault="003126BD" w:rsidP="00B34861">
      <w:pPr>
        <w:rPr>
          <w:szCs w:val="24"/>
        </w:rPr>
      </w:pPr>
      <w:bookmarkStart w:id="253" w:name="_Hlk10706648"/>
      <w:r w:rsidRPr="007A3223">
        <w:rPr>
          <w:rFonts w:eastAsia="Calibri"/>
        </w:rPr>
        <w:t xml:space="preserve">Document AEs from Study Day </w:t>
      </w:r>
      <w:r w:rsidR="00D1183A" w:rsidRPr="007A3223">
        <w:rPr>
          <w:rFonts w:eastAsia="Calibri"/>
        </w:rPr>
        <w:t>1</w:t>
      </w:r>
      <w:r w:rsidRPr="007A3223">
        <w:rPr>
          <w:rFonts w:eastAsia="Calibri"/>
        </w:rPr>
        <w:t xml:space="preserve"> through </w:t>
      </w:r>
      <w:r w:rsidR="00D1183A" w:rsidRPr="007A3223">
        <w:rPr>
          <w:rFonts w:eastAsia="Calibri"/>
        </w:rPr>
        <w:t>the end of the follow-up period</w:t>
      </w:r>
      <w:r w:rsidRPr="007A3223">
        <w:rPr>
          <w:rFonts w:eastAsia="Calibri"/>
          <w:szCs w:val="24"/>
        </w:rPr>
        <w:t xml:space="preserve"> </w:t>
      </w:r>
      <w:r w:rsidRPr="007A3223">
        <w:rPr>
          <w:rFonts w:eastAsia="Calibri"/>
          <w:i/>
        </w:rPr>
        <w:t xml:space="preserve"> </w:t>
      </w:r>
      <w:r w:rsidR="00D1183A" w:rsidRPr="007A3223">
        <w:t xml:space="preserve">(90 days after the last dose of </w:t>
      </w:r>
      <w:r w:rsidR="00F77BB7">
        <w:t>Durvalumab</w:t>
      </w:r>
      <w:r w:rsidR="00D1183A" w:rsidRPr="007A3223">
        <w:t xml:space="preserve"> or 30 days after the last dose of olaparib or cediranib</w:t>
      </w:r>
      <w:r w:rsidR="00B34861" w:rsidRPr="007A3223">
        <w:t>, whichever is later,</w:t>
      </w:r>
      <w:r w:rsidR="00D1183A" w:rsidRPr="007A3223">
        <w:t xml:space="preserve"> or until subsequent other cancer treatment</w:t>
      </w:r>
      <w:r w:rsidR="00B34861" w:rsidRPr="007A3223">
        <w:t xml:space="preserve"> following progression</w:t>
      </w:r>
      <w:r w:rsidR="00D1183A" w:rsidRPr="007A3223">
        <w:t xml:space="preserve">). </w:t>
      </w:r>
      <w:r w:rsidRPr="007A3223">
        <w:rPr>
          <w:rFonts w:eastAsia="Calibri"/>
          <w:i/>
        </w:rPr>
        <w:t xml:space="preserve"> </w:t>
      </w:r>
      <w:r w:rsidRPr="007A3223">
        <w:rPr>
          <w:rFonts w:eastAsia="Calibri"/>
        </w:rPr>
        <w:t xml:space="preserve">Beyond </w:t>
      </w:r>
      <w:r w:rsidR="00D1183A" w:rsidRPr="007A3223">
        <w:rPr>
          <w:rFonts w:eastAsia="Calibri"/>
        </w:rPr>
        <w:t>this window</w:t>
      </w:r>
      <w:r w:rsidRPr="007A3223">
        <w:rPr>
          <w:rFonts w:eastAsia="Calibri"/>
        </w:rPr>
        <w:t>, only adverse events which are serious and related to the study intervention need to be recorded.</w:t>
      </w:r>
      <w:bookmarkEnd w:id="253"/>
    </w:p>
    <w:p w14:paraId="0648D486" w14:textId="1B512C48" w:rsidR="00F43C39" w:rsidRPr="007A3223" w:rsidRDefault="00F43C39" w:rsidP="00F43C39">
      <w:pPr>
        <w:tabs>
          <w:tab w:val="left" w:pos="0"/>
        </w:tabs>
        <w:spacing w:after="0"/>
        <w:rPr>
          <w:szCs w:val="24"/>
        </w:rPr>
      </w:pPr>
      <w:r w:rsidRPr="007A3223">
        <w:rPr>
          <w:szCs w:val="24"/>
        </w:rPr>
        <w:t xml:space="preserve">An abnormal laboratory value will be </w:t>
      </w:r>
      <w:r w:rsidR="00E4166E" w:rsidRPr="007A3223">
        <w:rPr>
          <w:szCs w:val="24"/>
        </w:rPr>
        <w:t xml:space="preserve">recorded in the database as </w:t>
      </w:r>
      <w:r w:rsidRPr="007A3223">
        <w:rPr>
          <w:szCs w:val="24"/>
        </w:rPr>
        <w:t xml:space="preserve"> an AE </w:t>
      </w:r>
      <w:r w:rsidR="00477136" w:rsidRPr="007A3223">
        <w:rPr>
          <w:b/>
          <w:szCs w:val="24"/>
        </w:rPr>
        <w:t>only</w:t>
      </w:r>
      <w:r w:rsidR="00477136" w:rsidRPr="007A3223">
        <w:rPr>
          <w:szCs w:val="24"/>
        </w:rPr>
        <w:t xml:space="preserve"> </w:t>
      </w:r>
      <w:r w:rsidRPr="007A3223">
        <w:rPr>
          <w:szCs w:val="24"/>
        </w:rPr>
        <w:t>if the laboratory abnormality is characterized by any of the following:</w:t>
      </w:r>
    </w:p>
    <w:p w14:paraId="330DC663" w14:textId="77777777" w:rsidR="00F43C39" w:rsidRPr="007A3223" w:rsidRDefault="00F43C39" w:rsidP="00F43C39">
      <w:pPr>
        <w:numPr>
          <w:ilvl w:val="0"/>
          <w:numId w:val="1"/>
        </w:numPr>
        <w:tabs>
          <w:tab w:val="clear" w:pos="720"/>
          <w:tab w:val="left" w:pos="0"/>
          <w:tab w:val="num" w:pos="360"/>
        </w:tabs>
        <w:spacing w:after="0"/>
        <w:ind w:hanging="720"/>
        <w:rPr>
          <w:szCs w:val="24"/>
        </w:rPr>
      </w:pPr>
      <w:r w:rsidRPr="007A3223">
        <w:rPr>
          <w:szCs w:val="24"/>
        </w:rPr>
        <w:t>Results in discontinuation from the study</w:t>
      </w:r>
    </w:p>
    <w:p w14:paraId="3280962A" w14:textId="77777777" w:rsidR="00F43C39" w:rsidRPr="007A3223" w:rsidRDefault="00F43C39" w:rsidP="00F43C39">
      <w:pPr>
        <w:numPr>
          <w:ilvl w:val="0"/>
          <w:numId w:val="1"/>
        </w:numPr>
        <w:tabs>
          <w:tab w:val="clear" w:pos="720"/>
          <w:tab w:val="left" w:pos="0"/>
          <w:tab w:val="num" w:pos="360"/>
        </w:tabs>
        <w:spacing w:after="0"/>
        <w:ind w:hanging="720"/>
        <w:rPr>
          <w:szCs w:val="24"/>
        </w:rPr>
      </w:pPr>
      <w:r w:rsidRPr="007A3223">
        <w:rPr>
          <w:szCs w:val="24"/>
        </w:rPr>
        <w:t xml:space="preserve">Is associated with clinical signs or symptoms </w:t>
      </w:r>
    </w:p>
    <w:p w14:paraId="0A0D86B4" w14:textId="77777777" w:rsidR="00F43C39" w:rsidRPr="007A3223" w:rsidRDefault="00F43C39" w:rsidP="00F43C39">
      <w:pPr>
        <w:numPr>
          <w:ilvl w:val="0"/>
          <w:numId w:val="1"/>
        </w:numPr>
        <w:tabs>
          <w:tab w:val="clear" w:pos="720"/>
          <w:tab w:val="left" w:pos="0"/>
          <w:tab w:val="num" w:pos="360"/>
        </w:tabs>
        <w:spacing w:after="0"/>
        <w:ind w:hanging="720"/>
        <w:rPr>
          <w:szCs w:val="24"/>
        </w:rPr>
      </w:pPr>
      <w:r w:rsidRPr="007A3223">
        <w:rPr>
          <w:szCs w:val="24"/>
        </w:rPr>
        <w:t>Requires treatment or any other therapeutic intervention</w:t>
      </w:r>
    </w:p>
    <w:p w14:paraId="43F558C5" w14:textId="77777777" w:rsidR="00F43C39" w:rsidRPr="007A3223" w:rsidRDefault="00F43C39" w:rsidP="00F43C39">
      <w:pPr>
        <w:numPr>
          <w:ilvl w:val="0"/>
          <w:numId w:val="1"/>
        </w:numPr>
        <w:tabs>
          <w:tab w:val="clear" w:pos="720"/>
          <w:tab w:val="left" w:pos="0"/>
          <w:tab w:val="num" w:pos="360"/>
        </w:tabs>
        <w:spacing w:after="0"/>
        <w:ind w:hanging="720"/>
        <w:rPr>
          <w:szCs w:val="24"/>
        </w:rPr>
      </w:pPr>
      <w:r w:rsidRPr="007A3223">
        <w:rPr>
          <w:szCs w:val="24"/>
        </w:rPr>
        <w:t xml:space="preserve">Is associated with death or another serious adverse event, including hospitalization. </w:t>
      </w:r>
    </w:p>
    <w:p w14:paraId="365B4BF1" w14:textId="77777777" w:rsidR="00F43C39" w:rsidRPr="007A3223" w:rsidRDefault="00F43C39" w:rsidP="00F43C39">
      <w:pPr>
        <w:numPr>
          <w:ilvl w:val="0"/>
          <w:numId w:val="1"/>
        </w:numPr>
        <w:tabs>
          <w:tab w:val="clear" w:pos="720"/>
          <w:tab w:val="left" w:pos="0"/>
          <w:tab w:val="num" w:pos="360"/>
        </w:tabs>
        <w:spacing w:after="0"/>
        <w:ind w:hanging="720"/>
        <w:rPr>
          <w:szCs w:val="24"/>
        </w:rPr>
      </w:pPr>
      <w:r w:rsidRPr="007A3223">
        <w:rPr>
          <w:szCs w:val="24"/>
        </w:rPr>
        <w:t>Is judged by the Investigator to be of significant clinical impact</w:t>
      </w:r>
    </w:p>
    <w:p w14:paraId="677D363D" w14:textId="77777777" w:rsidR="00F43C39" w:rsidRPr="007A3223" w:rsidRDefault="00F43C39" w:rsidP="00F43C39">
      <w:pPr>
        <w:numPr>
          <w:ilvl w:val="0"/>
          <w:numId w:val="1"/>
        </w:numPr>
        <w:tabs>
          <w:tab w:val="clear" w:pos="720"/>
          <w:tab w:val="left" w:pos="0"/>
          <w:tab w:val="num" w:pos="360"/>
        </w:tabs>
        <w:spacing w:after="0"/>
        <w:ind w:left="360"/>
        <w:rPr>
          <w:szCs w:val="24"/>
        </w:rPr>
      </w:pPr>
      <w:r w:rsidRPr="007A3223">
        <w:rPr>
          <w:szCs w:val="24"/>
        </w:rPr>
        <w:t>If any abnormal laboratory result is considered clinically significant, the investigator will provide details about the action taken with respect to the test drug and about the patient’s outcome.</w:t>
      </w:r>
    </w:p>
    <w:p w14:paraId="49081EEB" w14:textId="77777777" w:rsidR="0064717C" w:rsidRPr="007A3223" w:rsidRDefault="0064717C" w:rsidP="0064717C">
      <w:pPr>
        <w:widowControl w:val="0"/>
        <w:autoSpaceDE w:val="0"/>
        <w:autoSpaceDN w:val="0"/>
        <w:adjustRightInd w:val="0"/>
        <w:spacing w:after="0"/>
        <w:rPr>
          <w:szCs w:val="24"/>
        </w:rPr>
      </w:pPr>
    </w:p>
    <w:p w14:paraId="579700BA" w14:textId="77777777" w:rsidR="0064717C" w:rsidRPr="007A3223" w:rsidRDefault="0064717C" w:rsidP="0064717C">
      <w:pPr>
        <w:widowControl w:val="0"/>
        <w:autoSpaceDE w:val="0"/>
        <w:autoSpaceDN w:val="0"/>
        <w:adjustRightInd w:val="0"/>
        <w:spacing w:after="0"/>
        <w:rPr>
          <w:szCs w:val="24"/>
        </w:rPr>
      </w:pPr>
      <w:r w:rsidRPr="007A3223">
        <w:rPr>
          <w:b/>
          <w:bCs/>
          <w:szCs w:val="24"/>
        </w:rPr>
        <w:t xml:space="preserve">End of study procedures: </w:t>
      </w:r>
      <w:r w:rsidRPr="007A3223">
        <w:rPr>
          <w:szCs w:val="24"/>
        </w:rPr>
        <w:t>Data will be stored according to HHS</w:t>
      </w:r>
      <w:r w:rsidR="009C07AF" w:rsidRPr="007A3223">
        <w:rPr>
          <w:szCs w:val="24"/>
        </w:rPr>
        <w:t>,</w:t>
      </w:r>
      <w:r w:rsidRPr="007A3223">
        <w:rPr>
          <w:szCs w:val="24"/>
        </w:rPr>
        <w:t xml:space="preserve"> FDA regulations</w:t>
      </w:r>
      <w:r w:rsidR="009C07AF" w:rsidRPr="007A3223">
        <w:rPr>
          <w:szCs w:val="24"/>
        </w:rPr>
        <w:t xml:space="preserve"> </w:t>
      </w:r>
      <w:r w:rsidR="009C07AF" w:rsidRPr="007A3223">
        <w:rPr>
          <w:rFonts w:eastAsia="Calibri"/>
        </w:rPr>
        <w:t xml:space="preserve">and NIH Intramural Records Retention Schedule </w:t>
      </w:r>
      <w:r w:rsidRPr="007A3223">
        <w:rPr>
          <w:szCs w:val="24"/>
        </w:rPr>
        <w:t xml:space="preserve">as applicable. </w:t>
      </w:r>
    </w:p>
    <w:p w14:paraId="44180C63" w14:textId="1C190828" w:rsidR="009D6FDF" w:rsidRPr="00F33908" w:rsidRDefault="0064717C" w:rsidP="0064717C">
      <w:pPr>
        <w:widowControl w:val="0"/>
        <w:autoSpaceDE w:val="0"/>
        <w:autoSpaceDN w:val="0"/>
        <w:adjustRightInd w:val="0"/>
        <w:spacing w:after="0"/>
        <w:rPr>
          <w:szCs w:val="24"/>
        </w:rPr>
      </w:pPr>
      <w:r w:rsidRPr="007A3223">
        <w:rPr>
          <w:b/>
          <w:bCs/>
          <w:szCs w:val="24"/>
        </w:rPr>
        <w:t xml:space="preserve">Loss or destruction of data: </w:t>
      </w:r>
      <w:r w:rsidRPr="007A3223">
        <w:rPr>
          <w:szCs w:val="24"/>
        </w:rPr>
        <w:t>Should we become aware that a major bre</w:t>
      </w:r>
      <w:r w:rsidR="009139E7" w:rsidRPr="007A3223">
        <w:rPr>
          <w:szCs w:val="24"/>
        </w:rPr>
        <w:t>a</w:t>
      </w:r>
      <w:r w:rsidRPr="007A3223">
        <w:rPr>
          <w:szCs w:val="24"/>
        </w:rPr>
        <w:t xml:space="preserve">ch in our plan to protect subject confidentiality and trial data has occurred, </w:t>
      </w:r>
      <w:r w:rsidR="004A10E1" w:rsidRPr="007A3223">
        <w:rPr>
          <w:rFonts w:eastAsia="Calibri"/>
          <w:szCs w:val="24"/>
        </w:rPr>
        <w:t xml:space="preserve">this will be reported expeditiously per requirements in section </w:t>
      </w:r>
      <w:r w:rsidR="00695B0B" w:rsidRPr="00F33908">
        <w:rPr>
          <w:rFonts w:eastAsia="Calibri"/>
          <w:b/>
          <w:color w:val="0000FF"/>
        </w:rPr>
        <w:fldChar w:fldCharType="begin"/>
      </w:r>
      <w:r w:rsidR="00695B0B" w:rsidRPr="007A3223">
        <w:rPr>
          <w:rFonts w:eastAsia="Calibri"/>
          <w:b/>
          <w:color w:val="0000FF"/>
          <w:szCs w:val="24"/>
        </w:rPr>
        <w:instrText xml:space="preserve"> REF _Ref12285221 \r \h </w:instrText>
      </w:r>
      <w:r w:rsidR="00695B0B" w:rsidRPr="007A3223">
        <w:rPr>
          <w:rFonts w:eastAsia="Calibri"/>
          <w:b/>
          <w:color w:val="0000FF"/>
        </w:rPr>
        <w:instrText xml:space="preserve"> \* MERGEFORMAT </w:instrText>
      </w:r>
      <w:r w:rsidR="00695B0B" w:rsidRPr="00F33908">
        <w:rPr>
          <w:rFonts w:eastAsia="Calibri"/>
          <w:b/>
          <w:color w:val="0000FF"/>
        </w:rPr>
      </w:r>
      <w:r w:rsidR="00695B0B" w:rsidRPr="00F33908">
        <w:rPr>
          <w:rFonts w:eastAsia="Calibri"/>
          <w:b/>
          <w:color w:val="0000FF"/>
        </w:rPr>
        <w:fldChar w:fldCharType="separate"/>
      </w:r>
      <w:r w:rsidR="00E47ACA">
        <w:rPr>
          <w:rFonts w:eastAsia="Calibri"/>
          <w:b/>
          <w:color w:val="0000FF"/>
          <w:szCs w:val="24"/>
        </w:rPr>
        <w:t>8.2.1</w:t>
      </w:r>
      <w:r w:rsidR="00695B0B" w:rsidRPr="00F33908">
        <w:rPr>
          <w:rFonts w:eastAsia="Calibri"/>
          <w:b/>
          <w:color w:val="0000FF"/>
        </w:rPr>
        <w:fldChar w:fldCharType="end"/>
      </w:r>
      <w:r w:rsidR="004A10E1" w:rsidRPr="007A3223">
        <w:rPr>
          <w:rFonts w:eastAsia="Calibri"/>
          <w:szCs w:val="24"/>
        </w:rPr>
        <w:t>.</w:t>
      </w:r>
    </w:p>
    <w:p w14:paraId="69A00967" w14:textId="77777777" w:rsidR="009D6FDF" w:rsidRPr="007A3223" w:rsidRDefault="009D6FDF" w:rsidP="009D6FDF">
      <w:pPr>
        <w:widowControl w:val="0"/>
        <w:autoSpaceDE w:val="0"/>
        <w:autoSpaceDN w:val="0"/>
        <w:adjustRightInd w:val="0"/>
        <w:spacing w:after="0"/>
        <w:rPr>
          <w:szCs w:val="24"/>
        </w:rPr>
      </w:pPr>
    </w:p>
    <w:p w14:paraId="3B95B3A6" w14:textId="77777777" w:rsidR="009D6FDF" w:rsidRPr="007A3223" w:rsidRDefault="009D6FDF" w:rsidP="00ED703B">
      <w:pPr>
        <w:pStyle w:val="Heading2"/>
      </w:pPr>
      <w:bookmarkStart w:id="254" w:name="_Toc82444376"/>
      <w:r w:rsidRPr="007A3223">
        <w:t>Source Documents</w:t>
      </w:r>
      <w:bookmarkEnd w:id="254"/>
    </w:p>
    <w:p w14:paraId="7919AB1D" w14:textId="6BC2FC2C" w:rsidR="009D6FDF" w:rsidRPr="007A3223" w:rsidRDefault="009D6FDF" w:rsidP="009D6FDF">
      <w:pPr>
        <w:widowControl w:val="0"/>
        <w:autoSpaceDE w:val="0"/>
        <w:autoSpaceDN w:val="0"/>
        <w:adjustRightInd w:val="0"/>
        <w:spacing w:after="0"/>
        <w:rPr>
          <w:szCs w:val="24"/>
        </w:rPr>
      </w:pPr>
      <w:r w:rsidRPr="007A3223">
        <w:rPr>
          <w:szCs w:val="24"/>
        </w:rPr>
        <w:t xml:space="preserve">Source documents are defined as original documents, data and records. This may include hospital records, clinical and office charts, laboratory data/information, patients' diaries or evaluation checklists, pharmacy dispensing and other records, recorded data from automated instruments, microfiches, photographic negatives, microfilm or magnetic media, X-rays. The </w:t>
      </w:r>
      <w:r w:rsidRPr="007A3223">
        <w:rPr>
          <w:szCs w:val="24"/>
        </w:rPr>
        <w:lastRenderedPageBreak/>
        <w:t>investigator will permit trial-related monitoring, audits, IRB review, and regulatory inspection(s), providing direct access to source documents.</w:t>
      </w:r>
    </w:p>
    <w:p w14:paraId="68C66022" w14:textId="77777777" w:rsidR="009D6FDF" w:rsidRPr="007A3223" w:rsidRDefault="009D6FDF" w:rsidP="009D6FDF">
      <w:pPr>
        <w:widowControl w:val="0"/>
        <w:autoSpaceDE w:val="0"/>
        <w:autoSpaceDN w:val="0"/>
        <w:adjustRightInd w:val="0"/>
        <w:spacing w:after="0"/>
        <w:rPr>
          <w:szCs w:val="24"/>
        </w:rPr>
      </w:pPr>
    </w:p>
    <w:p w14:paraId="1D62E812" w14:textId="77777777" w:rsidR="009D6FDF" w:rsidRPr="007A3223" w:rsidRDefault="009D6FDF" w:rsidP="00ED703B">
      <w:pPr>
        <w:pStyle w:val="Heading2"/>
      </w:pPr>
      <w:bookmarkStart w:id="255" w:name="_Toc82444377"/>
      <w:r w:rsidRPr="007A3223">
        <w:t>Case Report Forms</w:t>
      </w:r>
      <w:bookmarkEnd w:id="255"/>
      <w:r w:rsidRPr="007A3223">
        <w:t xml:space="preserve"> </w:t>
      </w:r>
    </w:p>
    <w:p w14:paraId="766DCDB5" w14:textId="16E3FD14" w:rsidR="009D6FDF" w:rsidRDefault="009D6FDF" w:rsidP="009D6FDF">
      <w:pPr>
        <w:widowControl w:val="0"/>
        <w:autoSpaceDE w:val="0"/>
        <w:autoSpaceDN w:val="0"/>
        <w:adjustRightInd w:val="0"/>
        <w:spacing w:after="0"/>
        <w:rPr>
          <w:szCs w:val="24"/>
        </w:rPr>
      </w:pPr>
      <w:r w:rsidRPr="007A3223">
        <w:rPr>
          <w:szCs w:val="24"/>
        </w:rPr>
        <w:t xml:space="preserve">Data may be entered from the source documents directly into eCRFs in C3D for each patient enrolled in this study. The principal investigator or research nurse will review the eCRFs for completeness and accuracy. Independent audits may also be conducted by NCI personnel </w:t>
      </w:r>
      <w:r w:rsidR="00115727" w:rsidRPr="007A3223">
        <w:rPr>
          <w:szCs w:val="24"/>
        </w:rPr>
        <w:t>to ensure</w:t>
      </w:r>
      <w:r w:rsidRPr="007A3223">
        <w:rPr>
          <w:szCs w:val="24"/>
        </w:rPr>
        <w:t xml:space="preserve"> completeness and accuracy of data in C3D.</w:t>
      </w:r>
    </w:p>
    <w:p w14:paraId="4370B511" w14:textId="77777777" w:rsidR="001315B8" w:rsidRPr="007A3223" w:rsidRDefault="001315B8" w:rsidP="009D6FDF">
      <w:pPr>
        <w:widowControl w:val="0"/>
        <w:autoSpaceDE w:val="0"/>
        <w:autoSpaceDN w:val="0"/>
        <w:adjustRightInd w:val="0"/>
        <w:spacing w:after="0"/>
        <w:rPr>
          <w:szCs w:val="24"/>
        </w:rPr>
      </w:pPr>
    </w:p>
    <w:p w14:paraId="6D798A6B" w14:textId="4F92CE44" w:rsidR="00C80C0E" w:rsidRPr="007A3223" w:rsidRDefault="00C80C0E" w:rsidP="00ED703B">
      <w:pPr>
        <w:pStyle w:val="Heading2"/>
      </w:pPr>
      <w:bookmarkStart w:id="256" w:name="_Toc82444378"/>
      <w:r w:rsidRPr="007A3223">
        <w:t>Genomic Data Sharing Plan</w:t>
      </w:r>
      <w:bookmarkEnd w:id="256"/>
    </w:p>
    <w:p w14:paraId="6AC019D6" w14:textId="15E34500" w:rsidR="00C80C0E" w:rsidRPr="00F33908" w:rsidRDefault="00C80C0E" w:rsidP="009D6FDF">
      <w:pPr>
        <w:widowControl w:val="0"/>
        <w:autoSpaceDE w:val="0"/>
        <w:autoSpaceDN w:val="0"/>
        <w:adjustRightInd w:val="0"/>
        <w:spacing w:after="0"/>
        <w:rPr>
          <w:szCs w:val="24"/>
        </w:rPr>
      </w:pPr>
      <w:r w:rsidRPr="007A3223">
        <w:rPr>
          <w:szCs w:val="24"/>
        </w:rPr>
        <w:t>Unlinked genomic data will be deposited in public genomic databases such as dbGaP in compliance with the NIH Genomic Data Sharing Policy.</w:t>
      </w:r>
      <w:r w:rsidR="00143301" w:rsidRPr="007A3223">
        <w:rPr>
          <w:szCs w:val="24"/>
        </w:rPr>
        <w:t xml:space="preserve"> </w:t>
      </w:r>
      <w:r w:rsidR="00E91968" w:rsidRPr="007A3223">
        <w:rPr>
          <w:szCs w:val="24"/>
        </w:rPr>
        <w:t>(</w:t>
      </w:r>
      <w:r w:rsidR="00143301" w:rsidRPr="007A3223">
        <w:rPr>
          <w:b/>
          <w:color w:val="0000FF"/>
          <w:szCs w:val="24"/>
        </w:rPr>
        <w:t xml:space="preserve">See </w:t>
      </w:r>
      <w:hyperlink r:id="rId70" w:history="1">
        <w:r w:rsidR="00E91968" w:rsidRPr="00F33908">
          <w:rPr>
            <w:rStyle w:val="Hyperlink"/>
            <w:b/>
            <w:szCs w:val="24"/>
          </w:rPr>
          <w:t>http://bit.ly/CCR_GDS</w:t>
        </w:r>
      </w:hyperlink>
      <w:hyperlink r:id="rId71" w:history="1">
        <w:r w:rsidR="00E91968" w:rsidRPr="007A3223">
          <w:rPr>
            <w:rStyle w:val="Hyperlink"/>
            <w:b/>
            <w:szCs w:val="24"/>
          </w:rPr>
          <w:t>http://bit.ly/CCR_GDS</w:t>
        </w:r>
      </w:hyperlink>
      <w:r w:rsidR="00E91968" w:rsidRPr="007A3223">
        <w:rPr>
          <w:szCs w:val="24"/>
        </w:rPr>
        <w:t>)</w:t>
      </w:r>
    </w:p>
    <w:p w14:paraId="66AC2764" w14:textId="77777777" w:rsidR="009D6FDF" w:rsidRPr="007A3223" w:rsidRDefault="009D6FDF" w:rsidP="009D6FDF">
      <w:pPr>
        <w:spacing w:after="0"/>
        <w:ind w:left="1440"/>
        <w:rPr>
          <w:szCs w:val="24"/>
        </w:rPr>
      </w:pPr>
    </w:p>
    <w:p w14:paraId="757022CF" w14:textId="77777777" w:rsidR="009D6FDF" w:rsidRPr="007A3223" w:rsidRDefault="009D6FDF" w:rsidP="00ED703B">
      <w:pPr>
        <w:pStyle w:val="Heading2"/>
      </w:pPr>
      <w:bookmarkStart w:id="257" w:name="_Ref405293308"/>
      <w:bookmarkStart w:id="258" w:name="_Toc82444379"/>
      <w:r w:rsidRPr="007A3223">
        <w:t>Response Criteria</w:t>
      </w:r>
      <w:bookmarkEnd w:id="257"/>
      <w:bookmarkEnd w:id="258"/>
    </w:p>
    <w:p w14:paraId="69F44639" w14:textId="77777777" w:rsidR="009D6FDF" w:rsidRPr="007A3223" w:rsidRDefault="009D6FDF" w:rsidP="009D6FDF">
      <w:pPr>
        <w:widowControl w:val="0"/>
        <w:autoSpaceDE w:val="0"/>
        <w:autoSpaceDN w:val="0"/>
        <w:adjustRightInd w:val="0"/>
        <w:spacing w:after="0"/>
        <w:rPr>
          <w:szCs w:val="24"/>
        </w:rPr>
      </w:pPr>
      <w:r w:rsidRPr="007A3223">
        <w:rPr>
          <w:szCs w:val="24"/>
        </w:rPr>
        <w:t>Response will be documented by physical exam and/or noninvasive imaging</w:t>
      </w:r>
      <w:r w:rsidR="003A641E" w:rsidRPr="007A3223">
        <w:rPr>
          <w:szCs w:val="24"/>
        </w:rPr>
        <w:t xml:space="preserve"> </w:t>
      </w:r>
      <w:r w:rsidRPr="007A3223">
        <w:rPr>
          <w:szCs w:val="24"/>
        </w:rPr>
        <w:t>using techniques that demonstrate lesions and tumor markers where appropriate.</w:t>
      </w:r>
      <w:r w:rsidR="003A641E" w:rsidRPr="007A3223">
        <w:rPr>
          <w:szCs w:val="24"/>
        </w:rPr>
        <w:t xml:space="preserve"> </w:t>
      </w:r>
      <w:r w:rsidRPr="007A3223">
        <w:rPr>
          <w:szCs w:val="24"/>
        </w:rPr>
        <w:t xml:space="preserve"> Response and</w:t>
      </w:r>
      <w:r w:rsidR="003A641E" w:rsidRPr="007A3223">
        <w:rPr>
          <w:szCs w:val="24"/>
        </w:rPr>
        <w:t xml:space="preserve"> </w:t>
      </w:r>
      <w:r w:rsidRPr="007A3223">
        <w:rPr>
          <w:szCs w:val="24"/>
        </w:rPr>
        <w:t>progression will be evaluated in this study using the international criteria proposed by the</w:t>
      </w:r>
      <w:r w:rsidR="003A641E" w:rsidRPr="007A3223">
        <w:rPr>
          <w:szCs w:val="24"/>
        </w:rPr>
        <w:t xml:space="preserve"> </w:t>
      </w:r>
      <w:r w:rsidRPr="007A3223">
        <w:rPr>
          <w:szCs w:val="24"/>
        </w:rPr>
        <w:t>Response Evaluation Criteria in Solid Tumors (RECIST) Committee (Einsenhauer et al. 2009).</w:t>
      </w:r>
    </w:p>
    <w:p w14:paraId="6593645A" w14:textId="77777777" w:rsidR="009D6FDF" w:rsidRPr="007A3223" w:rsidRDefault="00115727" w:rsidP="009D6FDF">
      <w:pPr>
        <w:widowControl w:val="0"/>
        <w:autoSpaceDE w:val="0"/>
        <w:autoSpaceDN w:val="0"/>
        <w:adjustRightInd w:val="0"/>
        <w:spacing w:after="0"/>
        <w:rPr>
          <w:szCs w:val="24"/>
        </w:rPr>
      </w:pPr>
      <w:r w:rsidRPr="007A3223">
        <w:rPr>
          <w:szCs w:val="24"/>
        </w:rPr>
        <w:t>Changes in only the largest diameter (unidimensional measurement) of the tumor lesions are</w:t>
      </w:r>
    </w:p>
    <w:p w14:paraId="627DB65F" w14:textId="77777777" w:rsidR="009D6FDF" w:rsidRPr="007A3223" w:rsidRDefault="009D6FDF" w:rsidP="009D6FDF">
      <w:pPr>
        <w:spacing w:after="0"/>
        <w:rPr>
          <w:szCs w:val="24"/>
        </w:rPr>
      </w:pPr>
      <w:r w:rsidRPr="007A3223">
        <w:rPr>
          <w:szCs w:val="24"/>
        </w:rPr>
        <w:t>used in the RECIST version 1.1 criteria.</w:t>
      </w:r>
    </w:p>
    <w:p w14:paraId="0BCA4703" w14:textId="77777777" w:rsidR="009D6FDF" w:rsidRPr="007A3223" w:rsidRDefault="009D6FDF" w:rsidP="009D6FDF">
      <w:pPr>
        <w:spacing w:after="0"/>
        <w:rPr>
          <w:szCs w:val="24"/>
        </w:rPr>
      </w:pPr>
      <w:r w:rsidRPr="007A3223">
        <w:rPr>
          <w:szCs w:val="24"/>
        </w:rPr>
        <w:t>For the purposes of this study, patients should be re-evaluated for response every</w:t>
      </w:r>
      <w:r w:rsidRPr="007A3223">
        <w:rPr>
          <w:szCs w:val="24"/>
          <w:u w:val="single"/>
        </w:rPr>
        <w:t xml:space="preserve"> 8 weeks</w:t>
      </w:r>
      <w:r w:rsidRPr="007A3223">
        <w:rPr>
          <w:szCs w:val="24"/>
        </w:rPr>
        <w:t xml:space="preserve">.  In addition to a baseline scan, confirmatory scans should also be obtained </w:t>
      </w:r>
      <w:r w:rsidRPr="007A3223">
        <w:rPr>
          <w:szCs w:val="24"/>
          <w:u w:val="single"/>
        </w:rPr>
        <w:t xml:space="preserve">at least 4 </w:t>
      </w:r>
      <w:r w:rsidRPr="007A3223">
        <w:rPr>
          <w:szCs w:val="24"/>
        </w:rPr>
        <w:t>weeks following initial documentation of objective response.</w:t>
      </w:r>
    </w:p>
    <w:p w14:paraId="73E1184F" w14:textId="77777777" w:rsidR="009D6FDF" w:rsidRPr="007A3223" w:rsidRDefault="009D6FDF" w:rsidP="009D6FDF">
      <w:pPr>
        <w:spacing w:after="0"/>
        <w:rPr>
          <w:szCs w:val="24"/>
        </w:rPr>
      </w:pPr>
      <w:r w:rsidRPr="007A3223">
        <w:rPr>
          <w:szCs w:val="24"/>
        </w:rPr>
        <w:t>Response and progression will be evaluated in this study using the new international criteria proposed by the revised Response Evaluation Criteria in Solid Tumors (RECIST) guideline (version 1.1) [</w:t>
      </w:r>
      <w:r w:rsidRPr="007A3223">
        <w:rPr>
          <w:i/>
          <w:szCs w:val="24"/>
        </w:rPr>
        <w:t>Eur J Ca</w:t>
      </w:r>
      <w:r w:rsidRPr="007A3223">
        <w:rPr>
          <w:szCs w:val="24"/>
        </w:rPr>
        <w:t xml:space="preserve"> 45:228-247, 2009].  Changes in the largest diameter (unidimensional measurement) of the tumor lesions and the shortest diameter in the case of malignant lymph nodes are used in the RECIST criteria.</w:t>
      </w:r>
    </w:p>
    <w:p w14:paraId="362ABD21" w14:textId="6928AB9C" w:rsidR="00473777" w:rsidRPr="007A3223" w:rsidRDefault="00473777" w:rsidP="00473777">
      <w:r w:rsidRPr="007A3223">
        <w:rPr>
          <w:szCs w:val="24"/>
          <w:u w:val="single"/>
        </w:rPr>
        <w:t>For Phase II mCRPC cohort</w:t>
      </w:r>
      <w:r w:rsidRPr="007A3223">
        <w:rPr>
          <w:szCs w:val="24"/>
        </w:rPr>
        <w:t xml:space="preserve">, </w:t>
      </w:r>
      <w:r w:rsidRPr="007A3223">
        <w:t>patients will be assessed primarily by CT scan of the chest, abdomen and pelvis and by technetium 99 bone scan at baseline, 8 weeks and then every 12 weeks.</w:t>
      </w:r>
      <w:hyperlink w:anchor="_ENREF_167" w:tooltip="Scher, 2008 #147" w:history="1">
        <w:r w:rsidR="00F77861" w:rsidRPr="00244551">
          <w:rPr>
            <w:rStyle w:val="Hyperlink"/>
          </w:rPr>
          <w:fldChar w:fldCharType="begin"/>
        </w:r>
        <w:r w:rsidR="00E27C67" w:rsidRPr="00244551">
          <w:rPr>
            <w:rStyle w:val="Hyperlink"/>
          </w:rPr>
          <w:instrText xml:space="preserve"> ADDIN EN.CITE &lt;EndNote&gt;&lt;Cite&gt;&lt;Author&gt;Scher&lt;/Author&gt;&lt;Year&gt;2008&lt;/Year&gt;&lt;RecNum&gt;147&lt;/RecNum&gt;&lt;DisplayText&gt;&lt;style face="superscript"&gt;167&lt;/style&gt;&lt;/DisplayText&gt;&lt;record&gt;&lt;rec-number&gt;147&lt;/rec-number&gt;&lt;foreign-keys&gt;&lt;key app="EN" db-id="50wxdpzd9vd5r7e9t5b595djrfpttrxw9avp"&gt;147&lt;/key&gt;&lt;/foreign-keys&gt;&lt;ref-type name="Journal Article"&gt;17&lt;/ref-type&gt;&lt;contributors&gt;&lt;authors&gt;&lt;author&gt;Scher, Howard I.&lt;/author&gt;&lt;author&gt;Halabi, Susan&lt;/author&gt;&lt;author&gt;Tannock, Ian&lt;/author&gt;&lt;author&gt;Morris, Michael&lt;/author&gt;&lt;author&gt;Sternberg, Cora N.&lt;/author&gt;&lt;author&gt;Carducci, Michael A.&lt;/author&gt;&lt;author&gt;Eisenberger, Mario A.&lt;/author&gt;&lt;author&gt;Higano, Celestia&lt;/author&gt;&lt;author&gt;Bubley, Glenn J.&lt;/author&gt;&lt;author&gt;Dreicer, Robert&lt;/author&gt;&lt;author&gt;Petrylak, Daniel&lt;/author&gt;&lt;author&gt;Kantoff, Philip&lt;/author&gt;&lt;author&gt;Basch, Ethan&lt;/author&gt;&lt;author&gt;Kelly, William Kevin&lt;/author&gt;&lt;author&gt;Figg, William D.&lt;/author&gt;&lt;author&gt;Small, Eric J.&lt;/author&gt;&lt;author&gt;Beer, Tomasz M.&lt;/author&gt;&lt;author&gt;Wilding, George&lt;/author&gt;&lt;author&gt;Martin, Alison&lt;/author&gt;&lt;author&gt;Hussain, Maha&lt;/author&gt;&lt;/authors&gt;&lt;/contributors&gt;&lt;titles&gt;&lt;title&gt;Design and End Points of Clinical Trials for Patients With Progressive Prostate Cancer and Castrate Levels of Testosterone: Recommendations of the Prostate Cancer Clinical Trials Working Group&lt;/title&gt;&lt;secondary-title&gt;Journal of Clinical Oncology&lt;/secondary-title&gt;&lt;/titles&gt;&lt;pages&gt;1148-1159&lt;/pages&gt;&lt;volume&gt;26&lt;/volume&gt;&lt;number&gt;7&lt;/number&gt;&lt;dates&gt;&lt;year&gt;2008&lt;/year&gt;&lt;pub-dates&gt;&lt;date&gt;March 1, 2008&lt;/date&gt;&lt;/pub-dates&gt;&lt;/dates&gt;&lt;urls&gt;&lt;related-urls&gt;&lt;url&gt;http://jco.ascopubs.org/content/26/7/1148.abstract&lt;/url&gt;&lt;/related-urls&gt;&lt;/urls&gt;&lt;electronic-resource-num&gt;10.1200/jco.2007.12.4487&lt;/electronic-resource-num&gt;&lt;/record&gt;&lt;/Cite&gt;&lt;/EndNote&gt;</w:instrText>
        </w:r>
        <w:r w:rsidR="00F77861" w:rsidRPr="00244551">
          <w:rPr>
            <w:rStyle w:val="Hyperlink"/>
          </w:rPr>
          <w:fldChar w:fldCharType="separate"/>
        </w:r>
        <w:r w:rsidR="00E27C67" w:rsidRPr="00244551">
          <w:rPr>
            <w:rStyle w:val="Hyperlink"/>
            <w:noProof/>
            <w:vertAlign w:val="superscript"/>
          </w:rPr>
          <w:t>167</w:t>
        </w:r>
        <w:r w:rsidR="00F77861" w:rsidRPr="00244551">
          <w:rPr>
            <w:rStyle w:val="Hyperlink"/>
          </w:rPr>
          <w:fldChar w:fldCharType="end"/>
        </w:r>
      </w:hyperlink>
      <w:r w:rsidRPr="007A3223">
        <w:t xml:space="preserve"> Response and progression will be evaluated in this study </w:t>
      </w:r>
      <w:r w:rsidRPr="00F33908">
        <w:t>using the new international criteri</w:t>
      </w:r>
      <w:r w:rsidRPr="007A3223">
        <w:t>a proposed by the revised Response Evaluation Criteria in Solid Tumors (RECIST) guideline (version 1.1)</w:t>
      </w:r>
      <w:hyperlink w:anchor="_ENREF_168" w:tooltip="Eisenhauer, 2009 #148" w:history="1">
        <w:r w:rsidR="00F77861" w:rsidRPr="00244551">
          <w:rPr>
            <w:rStyle w:val="Hyperlink"/>
          </w:rPr>
          <w:fldChar w:fldCharType="begin"/>
        </w:r>
        <w:r w:rsidR="00E27C67" w:rsidRPr="00244551">
          <w:rPr>
            <w:rStyle w:val="Hyperlink"/>
          </w:rPr>
          <w:instrText xml:space="preserve"> ADDIN EN.CITE &lt;EndNote&gt;&lt;Cite&gt;&lt;Author&gt;Eisenhauer&lt;/Author&gt;&lt;Year&gt;2009&lt;/Year&gt;&lt;RecNum&gt;148&lt;/RecNum&gt;&lt;DisplayText&gt;&lt;style face="superscript"&gt;168&lt;/style&gt;&lt;/DisplayText&gt;&lt;record&gt;&lt;rec-number&gt;148&lt;/rec-number&gt;&lt;foreign-keys&gt;&lt;key app="EN" db-id="50wxdpzd9vd5r7e9t5b595djrfpttrxw9avp"&gt;148&lt;/key&gt;&lt;/foreign-keys&gt;&lt;ref-type name="Journal Article"&gt;17&lt;/ref-type&gt;&lt;contributors&gt;&lt;authors&gt;&lt;author&gt;Eisenhauer, E. A.&lt;/author&gt;&lt;author&gt;Therasse, P.&lt;/author&gt;&lt;author&gt;Bogaerts, J.&lt;/author&gt;&lt;author&gt;Schwartz, L. H.&lt;/author&gt;&lt;author&gt;Sargent, D.&lt;/author&gt;&lt;author&gt;Ford, R.&lt;/author&gt;&lt;author&gt;Dancey, J.&lt;/author&gt;&lt;author&gt;Arbuck, S.&lt;/author&gt;&lt;author&gt;Gwyther, S.&lt;/author&gt;&lt;author&gt;Mooney, M.&lt;/author&gt;&lt;author&gt;Rubinstein, L.&lt;/author&gt;&lt;author&gt;Shankar, L.&lt;/author&gt;&lt;author&gt;Dodd, L.&lt;/author&gt;&lt;author&gt;Kaplan, R.&lt;/author&gt;&lt;author&gt;Lacombe, D.&lt;/author&gt;&lt;author&gt;Verweij, J.&lt;/author&gt;&lt;/authors&gt;&lt;/contributors&gt;&lt;titles&gt;&lt;title&gt;New response evaluation criteria in solid tumours: Revised RECIST guideline (version 1.1)&lt;/title&gt;&lt;secondary-title&gt;European Journal of Cancer&lt;/secondary-title&gt;&lt;/titles&gt;&lt;pages&gt;228-247&lt;/pages&gt;&lt;volume&gt;45&lt;/volume&gt;&lt;number&gt;2&lt;/number&gt;&lt;keywords&gt;&lt;keyword&gt;Response criteria&lt;/keyword&gt;&lt;keyword&gt;Solid tumours&lt;/keyword&gt;&lt;keyword&gt;Guidelines&lt;/keyword&gt;&lt;/keywords&gt;&lt;dates&gt;&lt;year&gt;2009&lt;/year&gt;&lt;/dates&gt;&lt;isbn&gt;0959-8049&lt;/isbn&gt;&lt;urls&gt;&lt;related-urls&gt;&lt;url&gt;http://www.sciencedirect.com/science/article/pii/S0959804908008733&lt;/url&gt;&lt;/related-urls&gt;&lt;/urls&gt;&lt;electronic-resource-num&gt;http://dx.doi.org/10.1016/j.ejca.2008.10.026&lt;/electronic-resource-num&gt;&lt;/record&gt;&lt;/Cite&gt;&lt;/EndNote&gt;</w:instrText>
        </w:r>
        <w:r w:rsidR="00F77861" w:rsidRPr="00244551">
          <w:rPr>
            <w:rStyle w:val="Hyperlink"/>
          </w:rPr>
          <w:fldChar w:fldCharType="separate"/>
        </w:r>
        <w:r w:rsidR="00E27C67" w:rsidRPr="00244551">
          <w:rPr>
            <w:rStyle w:val="Hyperlink"/>
            <w:noProof/>
            <w:vertAlign w:val="superscript"/>
          </w:rPr>
          <w:t>168</w:t>
        </w:r>
        <w:r w:rsidR="00F77861" w:rsidRPr="00244551">
          <w:rPr>
            <w:rStyle w:val="Hyperlink"/>
          </w:rPr>
          <w:fldChar w:fldCharType="end"/>
        </w:r>
      </w:hyperlink>
      <w:r w:rsidRPr="007A3223">
        <w:t xml:space="preserve"> and Prostate Cancer Clinical Trials Working Group criteria (PCWG2)</w:t>
      </w:r>
      <w:hyperlink w:anchor="_ENREF_167" w:tooltip="Scher, 2008 #147" w:history="1">
        <w:r w:rsidR="00F77861" w:rsidRPr="00244551">
          <w:rPr>
            <w:rStyle w:val="Hyperlink"/>
          </w:rPr>
          <w:fldChar w:fldCharType="begin"/>
        </w:r>
        <w:r w:rsidR="00E27C67" w:rsidRPr="00244551">
          <w:rPr>
            <w:rStyle w:val="Hyperlink"/>
          </w:rPr>
          <w:instrText xml:space="preserve"> ADDIN EN.CITE &lt;EndNote&gt;&lt;Cite&gt;&lt;Author&gt;Scher&lt;/Author&gt;&lt;Year&gt;2008&lt;/Year&gt;&lt;RecNum&gt;147&lt;/RecNum&gt;&lt;DisplayText&gt;&lt;style face="superscript"&gt;167&lt;/style&gt;&lt;/DisplayText&gt;&lt;record&gt;&lt;rec-number&gt;147&lt;/rec-number&gt;&lt;foreign-keys&gt;&lt;key app="EN" db-id="50wxdpzd9vd5r7e9t5b595djrfpttrxw9avp"&gt;147&lt;/key&gt;&lt;/foreign-keys&gt;&lt;ref-type name="Journal Article"&gt;17&lt;/ref-type&gt;&lt;contributors&gt;&lt;authors&gt;&lt;author&gt;Scher, Howard I.&lt;/author&gt;&lt;author&gt;Halabi, Susan&lt;/author&gt;&lt;author&gt;Tannock, Ian&lt;/author&gt;&lt;author&gt;Morris, Michael&lt;/author&gt;&lt;author&gt;Sternberg, Cora N.&lt;/author&gt;&lt;author&gt;Carducci, Michael A.&lt;/author&gt;&lt;author&gt;Eisenberger, Mario A.&lt;/author&gt;&lt;author&gt;Higano, Celestia&lt;/author&gt;&lt;author&gt;Bubley, Glenn J.&lt;/author&gt;&lt;author&gt;Dreicer, Robert&lt;/author&gt;&lt;author&gt;Petrylak, Daniel&lt;/author&gt;&lt;author&gt;Kantoff, Philip&lt;/author&gt;&lt;author&gt;Basch, Ethan&lt;/author&gt;&lt;author&gt;Kelly, William Kevin&lt;/author&gt;&lt;author&gt;Figg, William D.&lt;/author&gt;&lt;author&gt;Small, Eric J.&lt;/author&gt;&lt;author&gt;Beer, Tomasz M.&lt;/author&gt;&lt;author&gt;Wilding, George&lt;/author&gt;&lt;author&gt;Martin, Alison&lt;/author&gt;&lt;author&gt;Hussain, Maha&lt;/author&gt;&lt;/authors&gt;&lt;/contributors&gt;&lt;titles&gt;&lt;title&gt;Design and End Points of Clinical Trials for Patients With Progressive Prostate Cancer and Castrate Levels of Testosterone: Recommendations of the Prostate Cancer Clinical Trials Working Group&lt;/title&gt;&lt;secondary-title&gt;Journal of Clinical Oncology&lt;/secondary-title&gt;&lt;/titles&gt;&lt;pages&gt;1148-1159&lt;/pages&gt;&lt;volume&gt;26&lt;/volume&gt;&lt;number&gt;7&lt;/number&gt;&lt;dates&gt;&lt;year&gt;2008&lt;/year&gt;&lt;pub-dates&gt;&lt;date&gt;March 1, 2008&lt;/date&gt;&lt;/pub-dates&gt;&lt;/dates&gt;&lt;urls&gt;&lt;related-urls&gt;&lt;url&gt;http://jco.ascopubs.org/content/26/7/1148.abstract&lt;/url&gt;&lt;/related-urls&gt;&lt;/urls&gt;&lt;electronic-resource-num&gt;10.1200/jco.2007.12.4487&lt;/electronic-resource-num&gt;&lt;/record&gt;&lt;/Cite&gt;&lt;/EndNote&gt;</w:instrText>
        </w:r>
        <w:r w:rsidR="00F77861" w:rsidRPr="00244551">
          <w:rPr>
            <w:rStyle w:val="Hyperlink"/>
          </w:rPr>
          <w:fldChar w:fldCharType="separate"/>
        </w:r>
        <w:r w:rsidR="00E27C67" w:rsidRPr="00244551">
          <w:rPr>
            <w:rStyle w:val="Hyperlink"/>
            <w:noProof/>
            <w:vertAlign w:val="superscript"/>
          </w:rPr>
          <w:t>167</w:t>
        </w:r>
        <w:r w:rsidR="00F77861" w:rsidRPr="00244551">
          <w:rPr>
            <w:rStyle w:val="Hyperlink"/>
          </w:rPr>
          <w:fldChar w:fldCharType="end"/>
        </w:r>
      </w:hyperlink>
      <w:r w:rsidRPr="007A3223">
        <w:t xml:space="preserve">.  Changes in the largest diameter (unidimensional measurement) of the </w:t>
      </w:r>
      <w:r w:rsidRPr="00F33908">
        <w:t>tumor lesions and the shortest diameter in the case of malignant l</w:t>
      </w:r>
      <w:r w:rsidRPr="007A3223">
        <w:t>ymph nodes are used in the RECIST criteria.</w:t>
      </w:r>
    </w:p>
    <w:p w14:paraId="20A677E7" w14:textId="77777777" w:rsidR="00473777" w:rsidRPr="007A3223" w:rsidRDefault="00473777" w:rsidP="00473777">
      <w:r w:rsidRPr="007A3223">
        <w:t>Metastatic Bone Lesions</w:t>
      </w:r>
    </w:p>
    <w:p w14:paraId="2D529563" w14:textId="2F5EE7E8" w:rsidR="00473777" w:rsidRPr="007A3223" w:rsidRDefault="00473777" w:rsidP="00473777">
      <w:r w:rsidRPr="007A3223">
        <w:lastRenderedPageBreak/>
        <w:t>Disease progression is considered if a minimum of two new lesions is observed on bone scan.  New lesions seen by the end of cycle 2 or before cycle 3 (after the first staging bone scan) may represent disease that was not detected on the pre-study scan, and a confirmatory scan will be required at the next scheduled staging bone scan.  If confirmed, progression should be dated by the initial time when the lesions are first detected. If new lesions are seen after cycle 2 but no additional lesions are seen on confirmatory scans, the scans from after cycle 2 would serve as the baseline scan to evaluate for disease progression.</w:t>
      </w:r>
      <w:hyperlink w:anchor="_ENREF_167" w:tooltip="Scher, 2008 #147" w:history="1">
        <w:r w:rsidR="00F77861" w:rsidRPr="00244551">
          <w:rPr>
            <w:rStyle w:val="Hyperlink"/>
          </w:rPr>
          <w:fldChar w:fldCharType="begin"/>
        </w:r>
        <w:r w:rsidR="00E27C67" w:rsidRPr="00244551">
          <w:rPr>
            <w:rStyle w:val="Hyperlink"/>
          </w:rPr>
          <w:instrText xml:space="preserve"> ADDIN EN.CITE &lt;EndNote&gt;&lt;Cite&gt;&lt;Author&gt;Scher&lt;/Author&gt;&lt;Year&gt;2008&lt;/Year&gt;&lt;RecNum&gt;147&lt;/RecNum&gt;&lt;DisplayText&gt;&lt;style face="superscript"&gt;167&lt;/style&gt;&lt;/DisplayText&gt;&lt;record&gt;&lt;rec-number&gt;147&lt;/rec-number&gt;&lt;foreign-keys&gt;&lt;key app="EN" db-id="50wxdpzd9vd5r7e9t5b595djrfpttrxw9avp"&gt;147&lt;/key&gt;&lt;/foreign-keys&gt;&lt;ref-type name="Journal Article"&gt;17&lt;/ref-type&gt;&lt;contributors&gt;&lt;authors&gt;&lt;author&gt;Scher, Howard I.&lt;/author&gt;&lt;author&gt;Halabi, Susan&lt;/author&gt;&lt;author&gt;Tannock, Ian&lt;/author&gt;&lt;author&gt;Morris, Michael&lt;/author&gt;&lt;author&gt;Sternberg, Cora N.&lt;/author&gt;&lt;author&gt;Carducci, Michael A.&lt;/author&gt;&lt;author&gt;Eisenberger, Mario A.&lt;/author&gt;&lt;author&gt;Higano, Celestia&lt;/author&gt;&lt;author&gt;Bubley, Glenn J.&lt;/author&gt;&lt;author&gt;Dreicer, Robert&lt;/author&gt;&lt;author&gt;Petrylak, Daniel&lt;/author&gt;&lt;author&gt;Kantoff, Philip&lt;/author&gt;&lt;author&gt;Basch, Ethan&lt;/author&gt;&lt;author&gt;Kelly, William Kevin&lt;/author&gt;&lt;author&gt;Figg, William D.&lt;/author&gt;&lt;author&gt;Small, Eric J.&lt;/author&gt;&lt;author&gt;Beer, Tomasz M.&lt;/author&gt;&lt;author&gt;Wilding, George&lt;/author&gt;&lt;author&gt;Martin, Alison&lt;/author&gt;&lt;author&gt;Hussain, Maha&lt;/author&gt;&lt;/authors&gt;&lt;/contributors&gt;&lt;titles&gt;&lt;title&gt;Design and End Points of Clinical Trials for Patients With Progressive Prostate Cancer and Castrate Levels of Testosterone: Recommendations of the Prostate Cancer Clinical Trials Working Group&lt;/title&gt;&lt;secondary-title&gt;Journal of Clinical Oncology&lt;/secondary-title&gt;&lt;/titles&gt;&lt;pages&gt;1148-1159&lt;/pages&gt;&lt;volume&gt;26&lt;/volume&gt;&lt;number&gt;7&lt;/number&gt;&lt;dates&gt;&lt;year&gt;2008&lt;/year&gt;&lt;pub-dates&gt;&lt;date&gt;March 1, 2008&lt;/date&gt;&lt;/pub-dates&gt;&lt;/dates&gt;&lt;urls&gt;&lt;related-urls&gt;&lt;url&gt;http://jco.ascopubs.org/content/26/7/1148.abstract&lt;/url&gt;&lt;/related-urls&gt;&lt;/urls&gt;&lt;electronic-resource-num&gt;10.1200/jco.2007.12.4487&lt;/electronic-resource-num&gt;&lt;/record&gt;&lt;/Cite&gt;&lt;/EndNote&gt;</w:instrText>
        </w:r>
        <w:r w:rsidR="00F77861" w:rsidRPr="00244551">
          <w:rPr>
            <w:rStyle w:val="Hyperlink"/>
          </w:rPr>
          <w:fldChar w:fldCharType="separate"/>
        </w:r>
        <w:r w:rsidR="00E27C67" w:rsidRPr="00244551">
          <w:rPr>
            <w:rStyle w:val="Hyperlink"/>
            <w:noProof/>
            <w:vertAlign w:val="superscript"/>
          </w:rPr>
          <w:t>167</w:t>
        </w:r>
        <w:r w:rsidR="00F77861" w:rsidRPr="00244551">
          <w:rPr>
            <w:rStyle w:val="Hyperlink"/>
          </w:rPr>
          <w:fldChar w:fldCharType="end"/>
        </w:r>
      </w:hyperlink>
    </w:p>
    <w:p w14:paraId="5439C0D8" w14:textId="77777777" w:rsidR="009D6FDF" w:rsidRPr="00F33908" w:rsidRDefault="009D6FDF" w:rsidP="00D24295">
      <w:pPr>
        <w:spacing w:after="0"/>
        <w:rPr>
          <w:szCs w:val="24"/>
        </w:rPr>
      </w:pPr>
    </w:p>
    <w:p w14:paraId="46A7FC0E" w14:textId="77777777" w:rsidR="009D6FDF" w:rsidRPr="007A3223" w:rsidRDefault="009D6FDF" w:rsidP="007D3E3C">
      <w:pPr>
        <w:rPr>
          <w:u w:val="single"/>
        </w:rPr>
      </w:pPr>
      <w:r w:rsidRPr="007A3223">
        <w:rPr>
          <w:u w:val="single"/>
        </w:rPr>
        <w:t>Definitions</w:t>
      </w:r>
    </w:p>
    <w:p w14:paraId="357D79E8" w14:textId="0AC3BF0A" w:rsidR="009D6FDF" w:rsidRPr="007A3223" w:rsidRDefault="009D6FDF" w:rsidP="009D6FDF">
      <w:pPr>
        <w:spacing w:after="0"/>
        <w:rPr>
          <w:szCs w:val="24"/>
        </w:rPr>
      </w:pPr>
      <w:r w:rsidRPr="007A3223">
        <w:rPr>
          <w:szCs w:val="24"/>
          <w:u w:val="single"/>
        </w:rPr>
        <w:t>Evaluable for toxicity</w:t>
      </w:r>
      <w:r w:rsidRPr="007A3223">
        <w:rPr>
          <w:szCs w:val="24"/>
        </w:rPr>
        <w:t xml:space="preserve">:  All patients will be evaluable for toxicity from the time of their first treatment with </w:t>
      </w:r>
      <w:r w:rsidR="00F77BB7">
        <w:rPr>
          <w:szCs w:val="24"/>
        </w:rPr>
        <w:t>Durvalumab</w:t>
      </w:r>
      <w:r w:rsidRPr="007A3223">
        <w:rPr>
          <w:szCs w:val="24"/>
        </w:rPr>
        <w:t xml:space="preserve">, olaparib or cediranib (whichever is administered first). </w:t>
      </w:r>
    </w:p>
    <w:p w14:paraId="29BA8470" w14:textId="77777777" w:rsidR="009D6FDF" w:rsidRPr="007A3223" w:rsidRDefault="009D6FDF" w:rsidP="009D6FDF">
      <w:pPr>
        <w:spacing w:after="0"/>
        <w:rPr>
          <w:szCs w:val="24"/>
        </w:rPr>
      </w:pPr>
      <w:r w:rsidRPr="007A3223">
        <w:rPr>
          <w:szCs w:val="24"/>
          <w:u w:val="single"/>
        </w:rPr>
        <w:t>Evaluable for objective response:</w:t>
      </w:r>
      <w:r w:rsidRPr="007A3223">
        <w:rPr>
          <w:szCs w:val="24"/>
        </w:rPr>
        <w:t xml:space="preserve"> Only those patients who have measurable disease present at baseline, have received at least one cycle of therapy, and have had their disease re-evaluated will be considered evaluable for response.  These patients will have their response classified according to the definitions stated below.  (Note:  Patients who exhibit objective disease progression prior to the end of cycle 1 will also be considered evaluable.)</w:t>
      </w:r>
    </w:p>
    <w:p w14:paraId="73777747" w14:textId="77777777" w:rsidR="009D6FDF" w:rsidRPr="007A3223" w:rsidRDefault="009D6FDF" w:rsidP="009D6FDF">
      <w:pPr>
        <w:spacing w:after="0"/>
        <w:rPr>
          <w:szCs w:val="24"/>
        </w:rPr>
      </w:pPr>
      <w:r w:rsidRPr="007A3223">
        <w:rPr>
          <w:szCs w:val="24"/>
          <w:u w:val="single"/>
        </w:rPr>
        <w:t>Evaluable Non-Target Disease Response</w:t>
      </w:r>
      <w:r w:rsidRPr="007A3223">
        <w:rPr>
          <w:szCs w:val="24"/>
        </w:rPr>
        <w:t xml:space="preserve">:  Patients who have lesions present at baseline that are evaluable but do not meet the definitions of measurable disease, have received at least one cycle of therapy, and have had their disease re-evaluated will be considered evaluable for non-target disease.  The response assessment is based on the presence, absence, or unequivocal progression of the lesions. </w:t>
      </w:r>
    </w:p>
    <w:p w14:paraId="4927E0A5" w14:textId="77777777" w:rsidR="009D6FDF" w:rsidRPr="007A3223" w:rsidRDefault="009D6FDF" w:rsidP="009D6FDF">
      <w:pPr>
        <w:spacing w:after="0"/>
        <w:rPr>
          <w:szCs w:val="24"/>
        </w:rPr>
      </w:pPr>
    </w:p>
    <w:p w14:paraId="19E1EB8A" w14:textId="77777777" w:rsidR="009D6FDF" w:rsidRPr="007A3223" w:rsidRDefault="009D6FDF" w:rsidP="000C1D10">
      <w:pPr>
        <w:pStyle w:val="Heading3"/>
        <w:rPr>
          <w:snapToGrid w:val="0"/>
        </w:rPr>
      </w:pPr>
      <w:r w:rsidRPr="007A3223">
        <w:t>Disease Parameters</w:t>
      </w:r>
    </w:p>
    <w:p w14:paraId="4D67DC39" w14:textId="77777777" w:rsidR="000D3215" w:rsidRPr="007A3223" w:rsidRDefault="009D6FDF" w:rsidP="009D6FDF">
      <w:pPr>
        <w:spacing w:after="0"/>
        <w:rPr>
          <w:szCs w:val="24"/>
        </w:rPr>
      </w:pPr>
      <w:r w:rsidRPr="007A3223">
        <w:rPr>
          <w:szCs w:val="24"/>
          <w:u w:val="single"/>
        </w:rPr>
        <w:t>Measurable disease</w:t>
      </w:r>
      <w:r w:rsidRPr="007A3223">
        <w:rPr>
          <w:szCs w:val="24"/>
        </w:rPr>
        <w:t>:  Measurable lesions are defined as those that can be accurately measured in at least one dimension (longest diameter to be recorded) as</w:t>
      </w:r>
      <w:r w:rsidR="000D3215" w:rsidRPr="007A3223">
        <w:rPr>
          <w:szCs w:val="24"/>
        </w:rPr>
        <w:t>:</w:t>
      </w:r>
    </w:p>
    <w:p w14:paraId="56547B8A" w14:textId="23564ED2" w:rsidR="000D3215" w:rsidRPr="007A3223" w:rsidRDefault="000D3215" w:rsidP="00FB66BA">
      <w:pPr>
        <w:pStyle w:val="ListParagraph"/>
        <w:numPr>
          <w:ilvl w:val="0"/>
          <w:numId w:val="71"/>
        </w:numPr>
      </w:pPr>
      <w:r w:rsidRPr="007A3223">
        <w:rPr>
          <w:lang w:val="en-US"/>
        </w:rPr>
        <w:t xml:space="preserve">By chest x-ray:  </w:t>
      </w:r>
      <w:r w:rsidR="009D6FDF" w:rsidRPr="007A3223">
        <w:rPr>
          <w:u w:val="single"/>
        </w:rPr>
        <w:t>&gt;</w:t>
      </w:r>
      <w:r w:rsidR="009D6FDF" w:rsidRPr="007A3223">
        <w:t>20 mm</w:t>
      </w:r>
      <w:r w:rsidRPr="007A3223">
        <w:rPr>
          <w:lang w:val="en-US"/>
        </w:rPr>
        <w:t>;</w:t>
      </w:r>
      <w:r w:rsidR="009D6FDF" w:rsidRPr="007A3223">
        <w:t xml:space="preserve"> </w:t>
      </w:r>
    </w:p>
    <w:p w14:paraId="6C4A5897" w14:textId="77777777" w:rsidR="000D3215" w:rsidRPr="007A3223" w:rsidRDefault="000D3215" w:rsidP="00FB66BA">
      <w:pPr>
        <w:pStyle w:val="ListParagraph"/>
        <w:numPr>
          <w:ilvl w:val="0"/>
          <w:numId w:val="71"/>
        </w:numPr>
      </w:pPr>
      <w:r w:rsidRPr="007A3223">
        <w:rPr>
          <w:lang w:val="en-US"/>
        </w:rPr>
        <w:t>By CT scan:</w:t>
      </w:r>
    </w:p>
    <w:p w14:paraId="0D670205" w14:textId="77777777" w:rsidR="000D3215" w:rsidRPr="007A3223" w:rsidRDefault="000D3215" w:rsidP="00FB66BA">
      <w:pPr>
        <w:pStyle w:val="ListParagraph"/>
        <w:numPr>
          <w:ilvl w:val="1"/>
          <w:numId w:val="71"/>
        </w:numPr>
      </w:pPr>
      <w:r w:rsidRPr="007A3223">
        <w:rPr>
          <w:lang w:val="en-US"/>
        </w:rPr>
        <w:t xml:space="preserve">Scan slice thickness 5 mm or under </w:t>
      </w:r>
      <w:r w:rsidR="009D6FDF" w:rsidRPr="007A3223">
        <w:t xml:space="preserve">as </w:t>
      </w:r>
      <w:r w:rsidR="009D6FDF" w:rsidRPr="007A3223">
        <w:rPr>
          <w:u w:val="single"/>
        </w:rPr>
        <w:t>&gt;</w:t>
      </w:r>
      <w:r w:rsidR="009D6FDF" w:rsidRPr="007A3223">
        <w:t>10 mm with CT scan</w:t>
      </w:r>
    </w:p>
    <w:p w14:paraId="2329A145" w14:textId="77777777" w:rsidR="000D3215" w:rsidRPr="007A3223" w:rsidRDefault="000D3215" w:rsidP="00FB66BA">
      <w:pPr>
        <w:pStyle w:val="ListParagraph"/>
        <w:numPr>
          <w:ilvl w:val="1"/>
          <w:numId w:val="71"/>
        </w:numPr>
      </w:pPr>
      <w:r w:rsidRPr="007A3223">
        <w:rPr>
          <w:lang w:val="en-US"/>
        </w:rPr>
        <w:t>Scan slice thickness &gt;5 mm:  double the slice thickness</w:t>
      </w:r>
    </w:p>
    <w:p w14:paraId="3862DDC4" w14:textId="5F28EAEA" w:rsidR="000D3215" w:rsidRPr="007A3223" w:rsidRDefault="000D3215" w:rsidP="00FB66BA">
      <w:pPr>
        <w:pStyle w:val="ListParagraph"/>
        <w:numPr>
          <w:ilvl w:val="0"/>
          <w:numId w:val="71"/>
        </w:numPr>
      </w:pPr>
      <w:r w:rsidRPr="007A3223">
        <w:rPr>
          <w:lang w:val="en-US"/>
        </w:rPr>
        <w:t>With calipers on clinical exam</w:t>
      </w:r>
      <w:r w:rsidR="009D6FDF" w:rsidRPr="007A3223">
        <w:rPr>
          <w:u w:val="single"/>
        </w:rPr>
        <w:t>&gt;</w:t>
      </w:r>
      <w:r w:rsidR="009D6FDF" w:rsidRPr="007A3223">
        <w:t>10 mm.</w:t>
      </w:r>
    </w:p>
    <w:p w14:paraId="0B15DF8F" w14:textId="03BCD6EB" w:rsidR="009D6FDF" w:rsidRPr="007A3223" w:rsidRDefault="009D6FDF" w:rsidP="00975BAF">
      <w:pPr>
        <w:ind w:left="420"/>
      </w:pPr>
      <w:r w:rsidRPr="007A3223">
        <w:t xml:space="preserve">All tumor measurements must be recorded in </w:t>
      </w:r>
      <w:r w:rsidRPr="007A3223">
        <w:rPr>
          <w:u w:val="single"/>
        </w:rPr>
        <w:t>millimeters</w:t>
      </w:r>
      <w:r w:rsidRPr="007A3223">
        <w:t xml:space="preserve"> (or decimal fractions of centimeters).</w:t>
      </w:r>
    </w:p>
    <w:p w14:paraId="612E1CEE" w14:textId="77777777" w:rsidR="009D6FDF" w:rsidRPr="007A3223" w:rsidRDefault="009D6FDF" w:rsidP="009D6FDF">
      <w:pPr>
        <w:spacing w:after="0"/>
        <w:rPr>
          <w:szCs w:val="24"/>
        </w:rPr>
      </w:pPr>
      <w:r w:rsidRPr="007A3223">
        <w:rPr>
          <w:szCs w:val="24"/>
          <w:u w:val="single"/>
        </w:rPr>
        <w:t>Malignant lymph nodes.</w:t>
      </w:r>
      <w:r w:rsidRPr="007A3223">
        <w:rPr>
          <w:szCs w:val="24"/>
        </w:rPr>
        <w:t xml:space="preserve">  To be considered pathologically enlarged and measurable, a lymph node must be </w:t>
      </w:r>
      <w:r w:rsidRPr="007A3223">
        <w:rPr>
          <w:szCs w:val="24"/>
          <w:u w:val="single"/>
        </w:rPr>
        <w:t>&gt;</w:t>
      </w:r>
      <w:r w:rsidRPr="007A3223">
        <w:rPr>
          <w:szCs w:val="24"/>
        </w:rPr>
        <w:t>15 mm in short axis when assessed by CT scan (CT scan slice thickness recommended to be no greater than 5 mm).  At baseline and in follow-up, only the short axis will be measured and followed.</w:t>
      </w:r>
    </w:p>
    <w:p w14:paraId="4118C834" w14:textId="77777777" w:rsidR="009D6FDF" w:rsidRPr="007A3223" w:rsidRDefault="009D6FDF" w:rsidP="009D6FDF">
      <w:pPr>
        <w:spacing w:after="0"/>
        <w:rPr>
          <w:szCs w:val="24"/>
        </w:rPr>
      </w:pPr>
      <w:r w:rsidRPr="007A3223">
        <w:rPr>
          <w:szCs w:val="24"/>
          <w:u w:val="single"/>
        </w:rPr>
        <w:t>Non-measurable disease</w:t>
      </w:r>
      <w:r w:rsidRPr="007A3223">
        <w:rPr>
          <w:szCs w:val="24"/>
        </w:rPr>
        <w:t xml:space="preserve">.  All other lesions (or sites of disease), including small lesions (longest diameter &lt;10 mm or pathological lymph nodes with </w:t>
      </w:r>
      <w:r w:rsidRPr="007A3223">
        <w:rPr>
          <w:rFonts w:hint="eastAsia"/>
          <w:szCs w:val="24"/>
        </w:rPr>
        <w:t>≥</w:t>
      </w:r>
      <w:r w:rsidRPr="007A3223">
        <w:rPr>
          <w:rFonts w:hint="eastAsia"/>
          <w:szCs w:val="24"/>
        </w:rPr>
        <w:t>10</w:t>
      </w:r>
      <w:r w:rsidRPr="007A3223">
        <w:rPr>
          <w:szCs w:val="24"/>
        </w:rPr>
        <w:t xml:space="preserve"> to &lt;15 mm short axis), are considered non-measurable disease.  Bone lesions, leptomeningeal disease, ascites, pleural/pericardial </w:t>
      </w:r>
      <w:r w:rsidRPr="007A3223">
        <w:rPr>
          <w:szCs w:val="24"/>
        </w:rPr>
        <w:lastRenderedPageBreak/>
        <w:t>effusions, lymphangitis cutis/pulmonitis, inflammatory breast disease, and abdominal masses (not followed by CT or MRI), are considered as non-measurable.</w:t>
      </w:r>
    </w:p>
    <w:p w14:paraId="6EC54263" w14:textId="77777777" w:rsidR="009D6FDF" w:rsidRPr="007A3223" w:rsidRDefault="009D6FDF" w:rsidP="009D6FDF">
      <w:pPr>
        <w:spacing w:after="0"/>
        <w:rPr>
          <w:szCs w:val="24"/>
        </w:rPr>
      </w:pPr>
      <w:r w:rsidRPr="007A3223">
        <w:rPr>
          <w:szCs w:val="24"/>
        </w:rPr>
        <w:t>Note:  Cystic lesions that meet the criteria for radiographically defined simple cysts should not be considered as malignant lesions (neither measurable nor non-measurable) since they are, by definition, simple cysts.</w:t>
      </w:r>
    </w:p>
    <w:p w14:paraId="2090C574" w14:textId="77777777" w:rsidR="009D6FDF" w:rsidRPr="007A3223" w:rsidRDefault="009D6FDF" w:rsidP="009D6FDF">
      <w:pPr>
        <w:spacing w:after="0"/>
        <w:rPr>
          <w:szCs w:val="24"/>
        </w:rPr>
      </w:pPr>
      <w:r w:rsidRPr="007A3223">
        <w:rPr>
          <w:szCs w:val="24"/>
        </w:rPr>
        <w:t>‘Cystic lesions’ thought to represent cystic metastases can be considered as measurable lesions, if they meet the definition of measurability described above. However, if non-cystic lesions are present in the same patient, these are preferred for selection as target lesions.</w:t>
      </w:r>
    </w:p>
    <w:p w14:paraId="6CF3C5C9" w14:textId="77777777" w:rsidR="009D6FDF" w:rsidRPr="007A3223" w:rsidRDefault="009D6FDF" w:rsidP="009D6FDF">
      <w:pPr>
        <w:spacing w:after="0"/>
        <w:rPr>
          <w:bCs/>
          <w:szCs w:val="24"/>
        </w:rPr>
      </w:pPr>
      <w:r w:rsidRPr="007A3223">
        <w:rPr>
          <w:szCs w:val="24"/>
          <w:u w:val="single"/>
        </w:rPr>
        <w:t>Target lesions.</w:t>
      </w:r>
      <w:r w:rsidRPr="007A3223">
        <w:rPr>
          <w:szCs w:val="24"/>
        </w:rPr>
        <w:t xml:space="preserve">  All measurable lesions up to a maximum of 2 lesions per organ and 5 lesions in total, representative of all involved organs, should be identified as </w:t>
      </w:r>
      <w:r w:rsidRPr="007A3223">
        <w:rPr>
          <w:b/>
          <w:szCs w:val="24"/>
        </w:rPr>
        <w:t>target lesions</w:t>
      </w:r>
      <w:r w:rsidRPr="007A3223">
        <w:rPr>
          <w:szCs w:val="24"/>
        </w:rPr>
        <w:t xml:space="preserve"> and recorded and measured at baseline.  Target lesions should be selected on the basis of their size (lesions with the longest diameter), be representative of all involved organs, but in addition should be those that lend themselves to reproducible repeated measurements.  It may be the case that, on occasion, the largest lesion does not lend itself to reproducible measurement in which circumstance the next largest </w:t>
      </w:r>
      <w:r w:rsidR="00E15F54" w:rsidRPr="007A3223">
        <w:rPr>
          <w:szCs w:val="24"/>
        </w:rPr>
        <w:t>lesion, which can be measured reproducibly,</w:t>
      </w:r>
      <w:r w:rsidRPr="007A3223">
        <w:rPr>
          <w:szCs w:val="24"/>
        </w:rPr>
        <w:t xml:space="preserve"> should be selected.  A sum of the diameters (longest for non-nodal lesions, short axis for nodal lesions) for all target lesions will be calculated and reported as the baseline sum diameters.  If lymph nodes are to be included in the sum, then only the short axis is added into the sum.  The baseline sum diameters will be used as reference to further characterize any objective tumor regression in the measurable dimension of the disease.</w:t>
      </w:r>
    </w:p>
    <w:p w14:paraId="5EF79745" w14:textId="77777777" w:rsidR="009D6FDF" w:rsidRPr="007A3223" w:rsidRDefault="009D6FDF" w:rsidP="009D6FDF">
      <w:pPr>
        <w:spacing w:after="0"/>
        <w:rPr>
          <w:szCs w:val="24"/>
        </w:rPr>
      </w:pPr>
      <w:r w:rsidRPr="007A3223">
        <w:rPr>
          <w:szCs w:val="24"/>
          <w:u w:val="single"/>
        </w:rPr>
        <w:t>Non-target lesions</w:t>
      </w:r>
      <w:r w:rsidRPr="007A3223">
        <w:rPr>
          <w:szCs w:val="24"/>
        </w:rPr>
        <w:t xml:space="preserve">.  All other lesions (or sites of disease) including any measurable lesions over and above the 5 target lesions should be identified as </w:t>
      </w:r>
      <w:r w:rsidRPr="007A3223">
        <w:rPr>
          <w:b/>
          <w:szCs w:val="24"/>
        </w:rPr>
        <w:t xml:space="preserve">non-target lesions </w:t>
      </w:r>
      <w:r w:rsidRPr="007A3223">
        <w:rPr>
          <w:szCs w:val="24"/>
        </w:rPr>
        <w:t xml:space="preserve">and should also be recorded at baseline.  Measurements of these lesions are not required, but the presence, absence, or in rare cases unequivocal progression of each should be noted throughout follow-up. </w:t>
      </w:r>
    </w:p>
    <w:p w14:paraId="5B731798" w14:textId="77777777" w:rsidR="009D6FDF" w:rsidRPr="007A3223" w:rsidRDefault="009D6FDF" w:rsidP="009D6FDF">
      <w:pPr>
        <w:numPr>
          <w:ilvl w:val="12"/>
          <w:numId w:val="0"/>
        </w:numPr>
        <w:tabs>
          <w:tab w:val="left" w:pos="-1092"/>
          <w:tab w:val="left" w:pos="-732"/>
          <w:tab w:val="left" w:pos="-12"/>
          <w:tab w:val="left" w:pos="720"/>
          <w:tab w:val="num" w:pos="1800"/>
          <w:tab w:val="left" w:pos="2148"/>
          <w:tab w:val="left" w:pos="2868"/>
          <w:tab w:val="left" w:pos="3588"/>
          <w:tab w:val="left" w:pos="4308"/>
          <w:tab w:val="left" w:pos="5028"/>
          <w:tab w:val="left" w:pos="5748"/>
          <w:tab w:val="left" w:pos="6468"/>
          <w:tab w:val="left" w:pos="7188"/>
          <w:tab w:val="left" w:pos="7908"/>
          <w:tab w:val="left" w:pos="8628"/>
          <w:tab w:val="left" w:pos="9348"/>
        </w:tabs>
        <w:spacing w:after="0"/>
        <w:rPr>
          <w:szCs w:val="24"/>
        </w:rPr>
      </w:pPr>
    </w:p>
    <w:p w14:paraId="695D00C7" w14:textId="77777777" w:rsidR="009D6FDF" w:rsidRPr="007A3223" w:rsidRDefault="009D6FDF" w:rsidP="007D3E3C">
      <w:pPr>
        <w:rPr>
          <w:u w:val="single"/>
        </w:rPr>
      </w:pPr>
      <w:r w:rsidRPr="007A3223">
        <w:rPr>
          <w:u w:val="single"/>
        </w:rPr>
        <w:t>Methods for Evaluation of Measurable Disease</w:t>
      </w:r>
    </w:p>
    <w:p w14:paraId="2FF3B4FA" w14:textId="77777777" w:rsidR="009D6FDF" w:rsidRPr="007A3223" w:rsidRDefault="009D6FDF" w:rsidP="009D6FDF">
      <w:pPr>
        <w:spacing w:after="0"/>
        <w:rPr>
          <w:szCs w:val="24"/>
        </w:rPr>
      </w:pPr>
      <w:r w:rsidRPr="007A3223">
        <w:rPr>
          <w:szCs w:val="24"/>
        </w:rPr>
        <w:t>All measurements should be taken and recorded in metric notation using a ruler or calipers.  All baseline evaluations should be performed as closely as possible to the beginning of treatment and never more than 4 weeks before the beginning of the treatment.</w:t>
      </w:r>
    </w:p>
    <w:p w14:paraId="337296C4" w14:textId="77777777" w:rsidR="009D6FDF" w:rsidRPr="007A3223" w:rsidRDefault="009D6FDF" w:rsidP="009D6FDF">
      <w:pPr>
        <w:spacing w:after="0"/>
      </w:pPr>
      <w:r w:rsidRPr="007A3223">
        <w:rPr>
          <w:szCs w:val="24"/>
        </w:rPr>
        <w:t>The same method of assessment and the same technique should be used to characterize each identified and reported lesion at baseline and during follow-up. Imaging-based evaluation is preferred to evaluation by clinical examination unless the lesion(s) being followed cannot be imaged but are assessable by clinical exam.</w:t>
      </w:r>
    </w:p>
    <w:p w14:paraId="4E0E9CAB" w14:textId="77777777" w:rsidR="009D6FDF" w:rsidRPr="007A3223" w:rsidRDefault="009D6FDF" w:rsidP="00FB66BA">
      <w:pPr>
        <w:pStyle w:val="ListParagraph"/>
        <w:numPr>
          <w:ilvl w:val="0"/>
          <w:numId w:val="31"/>
        </w:numPr>
        <w:tabs>
          <w:tab w:val="left" w:pos="360"/>
        </w:tabs>
        <w:ind w:left="360"/>
      </w:pPr>
      <w:r w:rsidRPr="007A3223">
        <w:rPr>
          <w:u w:val="single"/>
        </w:rPr>
        <w:t>Clinical lesions:</w:t>
      </w:r>
      <w:r w:rsidRPr="007A3223">
        <w:rPr>
          <w:b/>
        </w:rPr>
        <w:t xml:space="preserve">  </w:t>
      </w:r>
      <w:r w:rsidRPr="007A3223">
        <w:t xml:space="preserve">Clinical lesions will only be considered measurable when they are superficial (e.g., skin nodules and palpable lymph nodes) and </w:t>
      </w:r>
      <w:r w:rsidRPr="007A3223">
        <w:sym w:font="Symbol" w:char="F0B3"/>
      </w:r>
      <w:r w:rsidRPr="007A3223">
        <w:t>10 mm diameter as assessed using cal</w:t>
      </w:r>
      <w:r w:rsidRPr="00F33908">
        <w:t>ipers (e.g., skin nodules).  In the case of skin lesions, documentation by color photography, including</w:t>
      </w:r>
      <w:r w:rsidRPr="007A3223">
        <w:t xml:space="preserve"> a ruler to estimate the size of the lesion, is recommended. </w:t>
      </w:r>
    </w:p>
    <w:p w14:paraId="219D2031" w14:textId="77777777" w:rsidR="009D6FDF" w:rsidRPr="007A3223" w:rsidRDefault="009D6FDF" w:rsidP="00FB66BA">
      <w:pPr>
        <w:pStyle w:val="ListParagraph"/>
        <w:numPr>
          <w:ilvl w:val="0"/>
          <w:numId w:val="31"/>
        </w:numPr>
        <w:tabs>
          <w:tab w:val="left" w:pos="360"/>
        </w:tabs>
        <w:ind w:left="360"/>
      </w:pPr>
      <w:r w:rsidRPr="007A3223">
        <w:rPr>
          <w:u w:val="single"/>
        </w:rPr>
        <w:t>Chest x-ray:</w:t>
      </w:r>
      <w:r w:rsidRPr="007A3223">
        <w:rPr>
          <w:b/>
        </w:rPr>
        <w:t xml:space="preserve">  </w:t>
      </w:r>
      <w:r w:rsidRPr="007A3223">
        <w:t xml:space="preserve">Lesions on chest x-ray are acceptable as measurable lesions when they are clearly defined and surrounded by aerated lung.  However, CT is preferable. </w:t>
      </w:r>
    </w:p>
    <w:p w14:paraId="23E8CA00" w14:textId="77777777" w:rsidR="009D6FDF" w:rsidRPr="007A3223" w:rsidRDefault="009D6FDF" w:rsidP="00FB66BA">
      <w:pPr>
        <w:pStyle w:val="ListParagraph"/>
        <w:numPr>
          <w:ilvl w:val="0"/>
          <w:numId w:val="31"/>
        </w:numPr>
        <w:tabs>
          <w:tab w:val="left" w:pos="360"/>
        </w:tabs>
        <w:ind w:left="360"/>
      </w:pPr>
      <w:r w:rsidRPr="007A3223">
        <w:rPr>
          <w:u w:val="single"/>
        </w:rPr>
        <w:t>Conventional CT and MRI:</w:t>
      </w:r>
      <w:r w:rsidRPr="007A3223">
        <w:t xml:space="preserve">  This guideline has defined measurability of lesions on CT scan based on the assumption that CT slice thickness is 5 mm or less.  If CT scans have slice </w:t>
      </w:r>
      <w:r w:rsidRPr="007A3223">
        <w:lastRenderedPageBreak/>
        <w:t xml:space="preserve">thickness greater than 5 mm, the minimum size for a measurable lesion should be twice the slice thickness.  MRI is also acceptable in certain situations (e.g. for body scans).  </w:t>
      </w:r>
    </w:p>
    <w:p w14:paraId="349A1F71" w14:textId="77777777" w:rsidR="009D6FDF" w:rsidRPr="007A3223" w:rsidRDefault="009D6FDF" w:rsidP="009D6FDF">
      <w:pPr>
        <w:pStyle w:val="ListParagraph"/>
        <w:ind w:left="360" w:hanging="360"/>
      </w:pPr>
    </w:p>
    <w:p w14:paraId="17B509CB" w14:textId="77777777" w:rsidR="009D6FDF" w:rsidRPr="007A3223" w:rsidRDefault="009D6FDF" w:rsidP="009D6FDF">
      <w:pPr>
        <w:spacing w:after="0"/>
        <w:rPr>
          <w:szCs w:val="24"/>
        </w:rPr>
      </w:pPr>
      <w:r w:rsidRPr="007A3223">
        <w:rPr>
          <w:szCs w:val="24"/>
        </w:rPr>
        <w:t xml:space="preserve">Use of MRI remains a complex issue.  MRI has excellent contrast, spatial, and temporal resolution; however, there are many image acquisition variables involved in MRI, which greatly impact image quality, lesion conspicuity, and measurement.  Furthermore, the availability of MRI is variable globally.  As with CT, if an MRI is performed, the technical specifications of the scanning sequences used should be optimized for the evaluation of the type and site of disease.  Furthermore, the modality used at follow-up should be the same as was used at baseline and the lesions should be measured/assessed on the same pulse sequence.  It is beyond the scope of RECIST guidelines to prescribe specific MRI pulse sequence parameters for all scanners, body parts, and diseases.  Ideally, the same type of scanner should be used and the image acquisition protocol should be followed as closely as possible to prior scans.  Body scans should be performed with breath-hold scanning techniques, if possible. </w:t>
      </w:r>
    </w:p>
    <w:p w14:paraId="17457F20" w14:textId="77777777" w:rsidR="009D6FDF" w:rsidRPr="007A3223" w:rsidRDefault="009D6FDF" w:rsidP="00772708">
      <w:pPr>
        <w:rPr>
          <w:szCs w:val="24"/>
        </w:rPr>
      </w:pPr>
      <w:r w:rsidRPr="007A3223">
        <w:rPr>
          <w:szCs w:val="24"/>
          <w:u w:val="single"/>
        </w:rPr>
        <w:t>PET-CT:</w:t>
      </w:r>
      <w:r w:rsidRPr="007A3223">
        <w:rPr>
          <w:szCs w:val="24"/>
        </w:rPr>
        <w:t xml:space="preserve">  At present, the low dose or attenuation correction CT portion of a combined PET-CT is not always of optimal diagnostic CT quality for use with RECIST measurements.  However, if the site can document that the CT performed as part of a PET-CT is of identical diagnostic quality to a diagnostic CT (with IV and oral contrast), then the CT portion of the PET-CT can be used for RECIST measurements and can be used interchangeably with conventional CT in accurately measuring cancer lesions over time.  Note, however, that the PET portion of the CT introduces additional data which may bias an investigator if it is not routinely or serially performed.  </w:t>
      </w:r>
    </w:p>
    <w:p w14:paraId="602AA1F3" w14:textId="77777777" w:rsidR="009D6FDF" w:rsidRPr="007A3223" w:rsidRDefault="009D6FDF" w:rsidP="00772708">
      <w:pPr>
        <w:rPr>
          <w:szCs w:val="24"/>
        </w:rPr>
      </w:pPr>
      <w:r w:rsidRPr="007A3223">
        <w:rPr>
          <w:szCs w:val="24"/>
          <w:u w:val="single"/>
        </w:rPr>
        <w:t>Ultrasound:</w:t>
      </w:r>
      <w:r w:rsidRPr="007A3223">
        <w:rPr>
          <w:szCs w:val="24"/>
        </w:rPr>
        <w:t xml:space="preserve">  Ultrasound is not useful in assessment of lesion size and should not be used as a method of measurement.  Ultrasound examinations cannot be reproduced in their entirety for independent review at a later date and, because they are operator dependent, it cannot be guaranteed that the same technique and measurements will be taken from one assessment to the next.  If new lesions are identified by ultrasound in the course of the study, confirmation by CT or MRI is advised.  If there is concern about radiation exposure at CT, MRI may be used instead of CT in selected instances.</w:t>
      </w:r>
    </w:p>
    <w:p w14:paraId="5E93D160" w14:textId="72B11236" w:rsidR="009D6FDF" w:rsidRPr="007A3223" w:rsidRDefault="009D6FDF" w:rsidP="00772708">
      <w:pPr>
        <w:rPr>
          <w:szCs w:val="24"/>
        </w:rPr>
      </w:pPr>
      <w:r w:rsidRPr="007A3223">
        <w:rPr>
          <w:szCs w:val="24"/>
          <w:u w:val="single"/>
        </w:rPr>
        <w:t>Endoscopy, Laparoscopy:</w:t>
      </w:r>
      <w:r w:rsidRPr="007A3223">
        <w:rPr>
          <w:szCs w:val="24"/>
        </w:rPr>
        <w:t xml:space="preserve">  The utilization of these techniques for objective tumor evaluation is not advised.  However, such techniques may be useful to confirm complete pathological response when biopsies are obtained or to determine relapse in trials where recurrence following complete response </w:t>
      </w:r>
      <w:hyperlink w:anchor="_ENREF_29" w:tooltip="Le, 2015 #27" w:history="1">
        <w:r w:rsidR="00F77861" w:rsidRPr="00244551">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 </w:instrText>
        </w:r>
        <w:r w:rsidR="00F77861" w:rsidRPr="000B7092">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EN.CITE.DATA </w:instrText>
        </w:r>
        <w:r w:rsidR="00F77861" w:rsidRPr="000B7092">
          <w:rPr>
            <w:rStyle w:val="Hyperlink"/>
            <w:szCs w:val="24"/>
          </w:rPr>
        </w:r>
        <w:r w:rsidR="00F77861" w:rsidRPr="000B7092">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29</w:t>
        </w:r>
        <w:r w:rsidR="00F77861" w:rsidRPr="00244551">
          <w:rPr>
            <w:rStyle w:val="Hyperlink"/>
            <w:szCs w:val="24"/>
          </w:rPr>
          <w:fldChar w:fldCharType="end"/>
        </w:r>
      </w:hyperlink>
      <w:r w:rsidRPr="007A3223">
        <w:rPr>
          <w:szCs w:val="24"/>
        </w:rPr>
        <w:t xml:space="preserve"> or s</w:t>
      </w:r>
      <w:r w:rsidRPr="00F33908">
        <w:rPr>
          <w:szCs w:val="24"/>
        </w:rPr>
        <w:t>urgical resection is an endpoint.</w:t>
      </w:r>
    </w:p>
    <w:p w14:paraId="67D43181" w14:textId="77777777" w:rsidR="009D6FDF" w:rsidRPr="007A3223" w:rsidRDefault="009D6FDF" w:rsidP="00772708">
      <w:pPr>
        <w:rPr>
          <w:szCs w:val="24"/>
        </w:rPr>
      </w:pPr>
      <w:r w:rsidRPr="007A3223">
        <w:rPr>
          <w:szCs w:val="24"/>
          <w:u w:val="single"/>
        </w:rPr>
        <w:t>Tumor markers:</w:t>
      </w:r>
      <w:r w:rsidRPr="007A3223">
        <w:rPr>
          <w:szCs w:val="24"/>
        </w:rPr>
        <w:t xml:space="preserve">  Tumor markers alone cannot be used to assess response.  If markers are initially above the upper normal limit, they must normalize for a patient to be considered in complete clinical response.  Specific guidelines for both CA-125 response (in recurrent ovarian cancer) and PSA response (in recurrent prostate cancer) have been published [</w:t>
      </w:r>
      <w:r w:rsidRPr="007A3223">
        <w:rPr>
          <w:i/>
          <w:szCs w:val="24"/>
        </w:rPr>
        <w:t>JNCI</w:t>
      </w:r>
      <w:r w:rsidRPr="007A3223">
        <w:rPr>
          <w:szCs w:val="24"/>
        </w:rPr>
        <w:t xml:space="preserve"> 96:487-488, 2004; </w:t>
      </w:r>
      <w:r w:rsidRPr="007A3223">
        <w:rPr>
          <w:i/>
          <w:szCs w:val="24"/>
        </w:rPr>
        <w:t>J Clin Oncol</w:t>
      </w:r>
      <w:r w:rsidRPr="007A3223">
        <w:rPr>
          <w:szCs w:val="24"/>
        </w:rPr>
        <w:t xml:space="preserve"> 17, 3461-3467, 1999; </w:t>
      </w:r>
      <w:r w:rsidRPr="007A3223">
        <w:rPr>
          <w:i/>
          <w:szCs w:val="24"/>
        </w:rPr>
        <w:t>J Clin Oncol</w:t>
      </w:r>
      <w:r w:rsidRPr="007A3223">
        <w:rPr>
          <w:szCs w:val="24"/>
        </w:rPr>
        <w:t xml:space="preserve"> 26:1148-1159, 2008].  In addition, the Gynecologic Cancer Intergroup has developed CA-125 progression criteria which are to be integrated with objective tumor assessment for use in first-line trials in ovarian cancer [</w:t>
      </w:r>
      <w:r w:rsidRPr="007A3223">
        <w:rPr>
          <w:i/>
          <w:szCs w:val="24"/>
        </w:rPr>
        <w:t>JNCI</w:t>
      </w:r>
      <w:r w:rsidRPr="007A3223">
        <w:rPr>
          <w:szCs w:val="24"/>
        </w:rPr>
        <w:t xml:space="preserve"> 92:1534-1535, 2000].</w:t>
      </w:r>
    </w:p>
    <w:p w14:paraId="527C15B4" w14:textId="516572C8" w:rsidR="009D6FDF" w:rsidRPr="007A3223" w:rsidRDefault="009D6FDF" w:rsidP="00772708">
      <w:pPr>
        <w:rPr>
          <w:szCs w:val="24"/>
        </w:rPr>
      </w:pPr>
      <w:r w:rsidRPr="007A3223">
        <w:rPr>
          <w:szCs w:val="24"/>
          <w:u w:val="single"/>
        </w:rPr>
        <w:lastRenderedPageBreak/>
        <w:t>Cytology, Histology:</w:t>
      </w:r>
      <w:r w:rsidRPr="007A3223">
        <w:rPr>
          <w:szCs w:val="24"/>
        </w:rPr>
        <w:t xml:space="preserve">  These techniques can be used to differentiate between partial responses (PR) and complete responses </w:t>
      </w:r>
      <w:hyperlink w:anchor="_ENREF_29" w:tooltip="Le, 2015 #27" w:history="1">
        <w:r w:rsidR="00F77861" w:rsidRPr="00244551">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 </w:instrText>
        </w:r>
        <w:r w:rsidR="00F77861" w:rsidRPr="000B7092">
          <w:rPr>
            <w:rStyle w:val="Hyperlink"/>
            <w:szCs w:val="24"/>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szCs w:val="24"/>
          </w:rPr>
          <w:instrText xml:space="preserve"> ADDIN EN.CITE.DATA </w:instrText>
        </w:r>
        <w:r w:rsidR="00F77861" w:rsidRPr="000B7092">
          <w:rPr>
            <w:rStyle w:val="Hyperlink"/>
            <w:szCs w:val="24"/>
          </w:rPr>
        </w:r>
        <w:r w:rsidR="00F77861" w:rsidRPr="000B7092">
          <w:rPr>
            <w:rStyle w:val="Hyperlink"/>
            <w:szCs w:val="24"/>
          </w:rPr>
          <w:fldChar w:fldCharType="end"/>
        </w:r>
        <w:r w:rsidR="00F77861" w:rsidRPr="00244551">
          <w:rPr>
            <w:rStyle w:val="Hyperlink"/>
            <w:szCs w:val="24"/>
          </w:rPr>
        </w:r>
        <w:r w:rsidR="00F77861" w:rsidRPr="00244551">
          <w:rPr>
            <w:rStyle w:val="Hyperlink"/>
            <w:szCs w:val="24"/>
          </w:rPr>
          <w:fldChar w:fldCharType="separate"/>
        </w:r>
        <w:r w:rsidR="00F77861" w:rsidRPr="00244551">
          <w:rPr>
            <w:rStyle w:val="Hyperlink"/>
            <w:noProof/>
            <w:szCs w:val="24"/>
            <w:vertAlign w:val="superscript"/>
          </w:rPr>
          <w:t>29</w:t>
        </w:r>
        <w:r w:rsidR="00F77861" w:rsidRPr="00244551">
          <w:rPr>
            <w:rStyle w:val="Hyperlink"/>
            <w:szCs w:val="24"/>
          </w:rPr>
          <w:fldChar w:fldCharType="end"/>
        </w:r>
      </w:hyperlink>
      <w:r w:rsidRPr="007A3223">
        <w:rPr>
          <w:szCs w:val="24"/>
        </w:rPr>
        <w:t xml:space="preserve"> in rare cases (e.g., residual lesions in tumor types, such as ge</w:t>
      </w:r>
      <w:r w:rsidRPr="00F33908">
        <w:rPr>
          <w:szCs w:val="24"/>
        </w:rPr>
        <w:t xml:space="preserve">rm cell tumors, where known residual benign </w:t>
      </w:r>
      <w:r w:rsidRPr="007A3223">
        <w:rPr>
          <w:szCs w:val="24"/>
        </w:rPr>
        <w:t>tumors can remain).</w:t>
      </w:r>
    </w:p>
    <w:p w14:paraId="7D596D2F" w14:textId="77777777" w:rsidR="009D6FDF" w:rsidRPr="007A3223" w:rsidRDefault="009D6FDF" w:rsidP="00772708">
      <w:pPr>
        <w:rPr>
          <w:szCs w:val="24"/>
        </w:rPr>
      </w:pPr>
      <w:r w:rsidRPr="007A3223">
        <w:rPr>
          <w:szCs w:val="24"/>
        </w:rPr>
        <w:t>The cytological confirmation of the neoplastic origin of any effusion that appears or worsens during treatment when the measurable tumor has met criteria for response or stable disease is mandatory to differentiate between response or stable disease (an effusion may be a side effect of the treatment) and progressive disease.</w:t>
      </w:r>
    </w:p>
    <w:p w14:paraId="6ABE9943" w14:textId="77777777" w:rsidR="009D6FDF" w:rsidRPr="007A3223" w:rsidRDefault="009D6FDF" w:rsidP="00772708">
      <w:pPr>
        <w:rPr>
          <w:szCs w:val="24"/>
        </w:rPr>
      </w:pPr>
      <w:r w:rsidRPr="007A3223">
        <w:rPr>
          <w:szCs w:val="24"/>
          <w:u w:val="single"/>
        </w:rPr>
        <w:t>FDG-PET:</w:t>
      </w:r>
      <w:r w:rsidRPr="007A3223">
        <w:rPr>
          <w:szCs w:val="24"/>
        </w:rPr>
        <w:t xml:space="preserve">  While FDG-PET response assessments need additional study, it is sometimes reasonable to incorporate the use of FDG-PET scanning to complement CT scanning in assessment of progression (particularly possible 'new' disease).  New lesions on the basis of FDG-PET imaging can be identified according to the following algorithm: </w:t>
      </w:r>
    </w:p>
    <w:p w14:paraId="2D0A7C7A" w14:textId="77777777" w:rsidR="009D6FDF" w:rsidRPr="007A3223" w:rsidRDefault="009D6FDF" w:rsidP="002B4830">
      <w:pPr>
        <w:pStyle w:val="BodyTextIndent"/>
        <w:widowControl w:val="0"/>
        <w:numPr>
          <w:ilvl w:val="0"/>
          <w:numId w:val="3"/>
        </w:numPr>
        <w:tabs>
          <w:tab w:val="clear" w:pos="1080"/>
          <w:tab w:val="left" w:pos="0"/>
          <w:tab w:val="num" w:pos="360"/>
          <w:tab w:val="left" w:pos="1438"/>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szCs w:val="24"/>
        </w:rPr>
      </w:pPr>
      <w:r w:rsidRPr="007A3223">
        <w:rPr>
          <w:szCs w:val="24"/>
        </w:rPr>
        <w:t>Negative FDG-PET at baseline, with a positive FDG-PET at follow-up is a sign of PD based on a new lesion.</w:t>
      </w:r>
    </w:p>
    <w:p w14:paraId="065625B2" w14:textId="77777777" w:rsidR="009D6FDF" w:rsidRPr="007A3223" w:rsidRDefault="009D6FDF" w:rsidP="002B4830">
      <w:pPr>
        <w:pStyle w:val="BodyTextIndent"/>
        <w:widowControl w:val="0"/>
        <w:numPr>
          <w:ilvl w:val="0"/>
          <w:numId w:val="3"/>
        </w:numPr>
        <w:tabs>
          <w:tab w:val="clear" w:pos="1080"/>
          <w:tab w:val="left" w:pos="0"/>
          <w:tab w:val="num" w:pos="360"/>
          <w:tab w:val="left" w:pos="1438"/>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szCs w:val="24"/>
        </w:rPr>
      </w:pPr>
      <w:r w:rsidRPr="007A3223">
        <w:rPr>
          <w:szCs w:val="24"/>
        </w:rPr>
        <w:t>No FDG-PET at baseline and a positive FDG-PET at follow-up:  If the positive FDG-PET at follow-up corresponds to a new site of disease confirmed by CT, this is PD.  If the positive FDG-PET at follow-up is not confirmed as a new site of disease on CT, additional follow-up CT  scans are needed to determine if there is truly progression occurring at that site (if so, the date of PD will be the date of the initial abnormal FDG-PET scan).  If the positive FDG-PET at follow-up corresponds to a pre-existing site of disease on CT that is not progressing on the basis of the anatomic images, this is not PD.</w:t>
      </w:r>
    </w:p>
    <w:p w14:paraId="31F0DB2E" w14:textId="77777777" w:rsidR="009D6FDF" w:rsidRPr="007A3223" w:rsidRDefault="009D6FDF" w:rsidP="002B4830">
      <w:pPr>
        <w:pStyle w:val="BodyTextIndent"/>
        <w:widowControl w:val="0"/>
        <w:numPr>
          <w:ilvl w:val="0"/>
          <w:numId w:val="3"/>
        </w:numPr>
        <w:tabs>
          <w:tab w:val="clear" w:pos="1080"/>
          <w:tab w:val="left" w:pos="0"/>
          <w:tab w:val="num" w:pos="360"/>
          <w:tab w:val="left" w:pos="1438"/>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szCs w:val="24"/>
        </w:rPr>
      </w:pPr>
      <w:r w:rsidRPr="007A3223">
        <w:rPr>
          <w:szCs w:val="24"/>
        </w:rPr>
        <w:t>FDG-PET may be used to upgrade a response to a CR in a manner similar to a biopsy in cases where a residual radiographic abnormality is thought to represent fibrosis or scarring.  The use of FDG-PET in this circumstance should be prospectively described in the protocol and supported by disease-specific medical literature for the indication.  However, it must be acknowledged that both approaches may lead to false positive CR due to limitations of FDG-PET and biopsy resolution/sensitivity.</w:t>
      </w:r>
    </w:p>
    <w:p w14:paraId="0015526D" w14:textId="77777777" w:rsidR="009D6FDF" w:rsidRPr="007A3223" w:rsidRDefault="009D6FDF" w:rsidP="009D6FDF">
      <w:pPr>
        <w:spacing w:after="0"/>
        <w:rPr>
          <w:szCs w:val="24"/>
        </w:rPr>
      </w:pPr>
      <w:r w:rsidRPr="007A3223">
        <w:rPr>
          <w:szCs w:val="24"/>
        </w:rPr>
        <w:t>Note:  A ‘positive’ FDG-PET scan lesion means one which is FDG avid with an uptake greater than twice that of the surrounding tissue on the attenuation corrected image.</w:t>
      </w:r>
    </w:p>
    <w:p w14:paraId="4D07C37D" w14:textId="77777777" w:rsidR="009D6FDF" w:rsidRPr="007A3223" w:rsidRDefault="009D6FDF" w:rsidP="009D6FDF">
      <w:pPr>
        <w:spacing w:after="0"/>
        <w:rPr>
          <w:szCs w:val="24"/>
        </w:rPr>
      </w:pPr>
    </w:p>
    <w:p w14:paraId="3DE36C7A" w14:textId="77777777" w:rsidR="009D6FDF" w:rsidRPr="007A3223" w:rsidRDefault="009D6FDF" w:rsidP="00D11E3C">
      <w:pPr>
        <w:rPr>
          <w:u w:val="single"/>
        </w:rPr>
      </w:pPr>
      <w:r w:rsidRPr="007A3223">
        <w:rPr>
          <w:u w:val="single"/>
        </w:rPr>
        <w:t>Response Criteria</w:t>
      </w:r>
    </w:p>
    <w:p w14:paraId="58C5522B" w14:textId="77777777" w:rsidR="009D6FDF" w:rsidRPr="007A3223" w:rsidRDefault="009D6FDF" w:rsidP="009D6FDF">
      <w:pPr>
        <w:pStyle w:val="Heading4"/>
        <w:spacing w:before="0" w:after="0"/>
        <w:rPr>
          <w:noProof w:val="0"/>
          <w:szCs w:val="24"/>
        </w:rPr>
      </w:pPr>
      <w:r w:rsidRPr="007A3223">
        <w:rPr>
          <w:noProof w:val="0"/>
          <w:szCs w:val="24"/>
        </w:rPr>
        <w:t>Evaluation of Target Lesions</w:t>
      </w:r>
    </w:p>
    <w:p w14:paraId="24EE3143" w14:textId="7ABCB709" w:rsidR="009D6FDF" w:rsidRPr="007A3223" w:rsidRDefault="009D6FDF" w:rsidP="00FB66BA">
      <w:pPr>
        <w:pStyle w:val="ListParagraph"/>
        <w:numPr>
          <w:ilvl w:val="0"/>
          <w:numId w:val="22"/>
        </w:numPr>
        <w:ind w:left="360"/>
      </w:pPr>
      <w:r w:rsidRPr="007A3223">
        <w:rPr>
          <w:u w:val="single"/>
        </w:rPr>
        <w:t xml:space="preserve">Complete Response </w:t>
      </w:r>
      <w:hyperlink w:anchor="_ENREF_29" w:tooltip="Le, 2015 #27" w:history="1">
        <w:r w:rsidR="00F77861" w:rsidRPr="00244551">
          <w:rPr>
            <w:rStyle w:val="Hyperlink"/>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rPr>
          <w:instrText xml:space="preserve"> ADDIN EN.CITE </w:instrText>
        </w:r>
        <w:r w:rsidR="00F77861" w:rsidRPr="000B7092">
          <w:rPr>
            <w:rStyle w:val="Hyperlink"/>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rPr>
          <w:instrText xml:space="preserve"> ADDIN EN.CITE.DATA </w:instrText>
        </w:r>
        <w:r w:rsidR="00F77861" w:rsidRPr="000B7092">
          <w:rPr>
            <w:rStyle w:val="Hyperlink"/>
          </w:rPr>
        </w:r>
        <w:r w:rsidR="00F77861" w:rsidRPr="000B7092">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29</w:t>
        </w:r>
        <w:r w:rsidR="00F77861" w:rsidRPr="00244551">
          <w:rPr>
            <w:rStyle w:val="Hyperlink"/>
          </w:rPr>
          <w:fldChar w:fldCharType="end"/>
        </w:r>
      </w:hyperlink>
      <w:r w:rsidRPr="007A3223">
        <w:t>: Disappearance of all target lesions.  Any pathological lymph nodes (whether target or non-t</w:t>
      </w:r>
      <w:r w:rsidRPr="00F33908">
        <w:t xml:space="preserve">arget) must </w:t>
      </w:r>
      <w:r w:rsidRPr="007A3223">
        <w:t>have reduction in short axis to &lt;10 mm.</w:t>
      </w:r>
    </w:p>
    <w:p w14:paraId="60E4918F" w14:textId="77777777" w:rsidR="009D6FDF" w:rsidRPr="007A3223" w:rsidRDefault="009D6FDF" w:rsidP="00FB66BA">
      <w:pPr>
        <w:pStyle w:val="ListParagraph"/>
        <w:numPr>
          <w:ilvl w:val="0"/>
          <w:numId w:val="22"/>
        </w:numPr>
        <w:ind w:left="360"/>
      </w:pPr>
      <w:r w:rsidRPr="007A3223">
        <w:rPr>
          <w:u w:val="single"/>
        </w:rPr>
        <w:t>Partial Response (PR)</w:t>
      </w:r>
      <w:r w:rsidRPr="007A3223">
        <w:t>: At least a 30% decrease in the sum of the diameters of target lesions, taking as reference the baseline sum of diameters.</w:t>
      </w:r>
    </w:p>
    <w:p w14:paraId="3BB0F9F5" w14:textId="77777777" w:rsidR="009D6FDF" w:rsidRPr="007A3223" w:rsidRDefault="009D6FDF" w:rsidP="00FB66BA">
      <w:pPr>
        <w:pStyle w:val="ListParagraph"/>
        <w:numPr>
          <w:ilvl w:val="0"/>
          <w:numId w:val="22"/>
        </w:numPr>
        <w:ind w:left="360"/>
      </w:pPr>
      <w:r w:rsidRPr="007A3223">
        <w:rPr>
          <w:u w:val="single"/>
        </w:rPr>
        <w:t>Progressive Disease (PD)</w:t>
      </w:r>
      <w:r w:rsidRPr="007A3223">
        <w:t>: At least a 20% increase in the sum of the diameters of target lesions, taking as reference the smallest sum on study (this includes the baseline sum if that is the smallest on study).  In addition to the relative increase of 20%, the sum must also demonstrate an absolute increase of at least 5 mm.  (Note:  the appearance of one or more new lesions is also considered progressions).</w:t>
      </w:r>
    </w:p>
    <w:p w14:paraId="0F721222" w14:textId="77777777" w:rsidR="009D6FDF" w:rsidRPr="007A3223" w:rsidRDefault="009D6FDF" w:rsidP="00FB66BA">
      <w:pPr>
        <w:pStyle w:val="ListParagraph"/>
        <w:numPr>
          <w:ilvl w:val="0"/>
          <w:numId w:val="22"/>
        </w:numPr>
        <w:ind w:left="360"/>
      </w:pPr>
      <w:r w:rsidRPr="007A3223">
        <w:rPr>
          <w:u w:val="single"/>
        </w:rPr>
        <w:lastRenderedPageBreak/>
        <w:t>Stable Disease (SD)</w:t>
      </w:r>
      <w:r w:rsidRPr="007A3223">
        <w:t>: Neither sufficient shrinkage to qualify for PR nor sufficient increase to qualify for PD, taking as reference the smallest sum of diameters while on study.</w:t>
      </w:r>
    </w:p>
    <w:p w14:paraId="262E6BEF" w14:textId="77777777" w:rsidR="009D6FDF" w:rsidRPr="007A3223" w:rsidRDefault="009D6FDF" w:rsidP="009D6FDF">
      <w:pPr>
        <w:pStyle w:val="ListParagraph"/>
      </w:pPr>
    </w:p>
    <w:p w14:paraId="5DEF7189" w14:textId="77777777" w:rsidR="009D6FDF" w:rsidRPr="007A3223" w:rsidRDefault="009D6FDF" w:rsidP="009D6FDF">
      <w:pPr>
        <w:pStyle w:val="Heading4"/>
        <w:spacing w:before="0" w:after="0"/>
        <w:rPr>
          <w:noProof w:val="0"/>
          <w:szCs w:val="24"/>
        </w:rPr>
      </w:pPr>
      <w:r w:rsidRPr="007A3223">
        <w:rPr>
          <w:noProof w:val="0"/>
          <w:szCs w:val="24"/>
        </w:rPr>
        <w:t xml:space="preserve">Evaluation of </w:t>
      </w:r>
      <w:r w:rsidR="003746DD" w:rsidRPr="007A3223">
        <w:rPr>
          <w:noProof w:val="0"/>
          <w:szCs w:val="24"/>
        </w:rPr>
        <w:t>Non-</w:t>
      </w:r>
      <w:r w:rsidRPr="007A3223">
        <w:rPr>
          <w:noProof w:val="0"/>
          <w:szCs w:val="24"/>
        </w:rPr>
        <w:t>Target Lesions</w:t>
      </w:r>
    </w:p>
    <w:p w14:paraId="45E37A13" w14:textId="0EE4B1E0" w:rsidR="009D6FDF" w:rsidRPr="007A3223" w:rsidRDefault="009D6FDF" w:rsidP="00FB66BA">
      <w:pPr>
        <w:pStyle w:val="ListParagraph"/>
        <w:numPr>
          <w:ilvl w:val="0"/>
          <w:numId w:val="23"/>
        </w:numPr>
        <w:ind w:left="360"/>
      </w:pPr>
      <w:r w:rsidRPr="007A3223">
        <w:rPr>
          <w:u w:val="single"/>
        </w:rPr>
        <w:t xml:space="preserve">Complete Response </w:t>
      </w:r>
      <w:hyperlink w:anchor="_ENREF_29" w:tooltip="Le, 2015 #27" w:history="1">
        <w:r w:rsidR="00F77861" w:rsidRPr="00244551">
          <w:rPr>
            <w:rStyle w:val="Hyperlink"/>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rPr>
          <w:instrText xml:space="preserve"> ADDIN EN.CITE </w:instrText>
        </w:r>
        <w:r w:rsidR="00F77861" w:rsidRPr="000B7092">
          <w:rPr>
            <w:rStyle w:val="Hyperlink"/>
          </w:rPr>
          <w:fldChar w:fldCharType="begin">
            <w:fldData xml:space="preserve">PEVuZE5vdGU+PENpdGUgRXhjbHVkZVllYXI9IjEiPjxBdXRob3I+TGU8L0F1dGhvcj48WWVhcj4y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L2FsdC1wZXJpb2RpY2FsPjxkYXRlcz48eWVhcj4yMDE1PC95ZWFyPjxwdWItZGF0ZXM+PGRhdGU+
TWF5IDMwPC9kYXRlPjwvcHViLWRhdGVzPjwvZGF0ZXM+PGlzYm4+MTUzMy00NDA2IChFbGVjdHJv
bmljKSYjeEQ7MDAyOC00NzkzIChMaW5raW5nKTwvaXNibj48YWNjZXNzaW9uLW51bT4yNjAyODI1
NTwvYWNjZXNzaW9uLW51bT48dXJscz48cmVsYXRlZC11cmxzPjx1cmw+aHR0cDovL3d3dy5uY2Jp
Lm5sbS5uaWguZ292L3B1Ym1lZC8yNjAyODI1NTwvdXJsPjwvcmVsYXRlZC11cmxzPjwvdXJscz48
ZWxlY3Ryb25pYy1yZXNvdXJjZS1udW0+MTAuMTA1Ni9ORUpNb2ExNTAwNTk2PC9lbGVjdHJvbmlj
LXJlc291cmNlLW51bT48L3JlY29yZD48L0NpdGU+PC9FbmROb3RlPgB=
</w:fldData>
          </w:fldChar>
        </w:r>
        <w:r w:rsidR="00F77861" w:rsidRPr="00244551">
          <w:rPr>
            <w:rStyle w:val="Hyperlink"/>
          </w:rPr>
          <w:instrText xml:space="preserve"> ADDIN EN.CITE.DATA </w:instrText>
        </w:r>
        <w:r w:rsidR="00F77861" w:rsidRPr="000B7092">
          <w:rPr>
            <w:rStyle w:val="Hyperlink"/>
          </w:rPr>
        </w:r>
        <w:r w:rsidR="00F77861" w:rsidRPr="000B7092">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29</w:t>
        </w:r>
        <w:r w:rsidR="00F77861" w:rsidRPr="00244551">
          <w:rPr>
            <w:rStyle w:val="Hyperlink"/>
          </w:rPr>
          <w:fldChar w:fldCharType="end"/>
        </w:r>
      </w:hyperlink>
      <w:r w:rsidRPr="007A3223">
        <w:t>: Disappearance of all non-target lesions and normalization of tumor marker level.  All lymph nod</w:t>
      </w:r>
      <w:r w:rsidRPr="00F33908">
        <w:t>es must be non-pathological in size (&lt;10 mm short axis).</w:t>
      </w:r>
    </w:p>
    <w:p w14:paraId="42CEF48F" w14:textId="77777777" w:rsidR="009D6FDF" w:rsidRPr="007A3223" w:rsidRDefault="009D6FDF" w:rsidP="00FB66BA">
      <w:pPr>
        <w:pStyle w:val="ListParagraph"/>
        <w:numPr>
          <w:ilvl w:val="0"/>
          <w:numId w:val="23"/>
        </w:numPr>
        <w:ind w:left="360"/>
        <w:rPr>
          <w:u w:val="single"/>
        </w:rPr>
      </w:pPr>
      <w:r w:rsidRPr="007A3223">
        <w:t>Note:  If tumor markers are initially above the upper normal limit, they must normalize for a patient to be considered in complete clinical response.</w:t>
      </w:r>
    </w:p>
    <w:p w14:paraId="1888DAA2" w14:textId="77777777" w:rsidR="009D6FDF" w:rsidRPr="007A3223" w:rsidRDefault="009D6FDF" w:rsidP="00FB66BA">
      <w:pPr>
        <w:pStyle w:val="ListParagraph"/>
        <w:numPr>
          <w:ilvl w:val="0"/>
          <w:numId w:val="23"/>
        </w:numPr>
        <w:ind w:left="360"/>
      </w:pPr>
      <w:r w:rsidRPr="007A3223">
        <w:rPr>
          <w:u w:val="single"/>
        </w:rPr>
        <w:t>Non-CR/Non-PD:</w:t>
      </w:r>
      <w:r w:rsidRPr="007A3223">
        <w:t xml:space="preserve"> Persistence of one or more non-target lesion(s) and/or maintenance of tumor marker level above the normal limits.</w:t>
      </w:r>
    </w:p>
    <w:p w14:paraId="553833AB" w14:textId="77777777" w:rsidR="009D6FDF" w:rsidRPr="007A3223" w:rsidRDefault="009D6FDF" w:rsidP="00FB66BA">
      <w:pPr>
        <w:pStyle w:val="ListParagraph"/>
        <w:numPr>
          <w:ilvl w:val="0"/>
          <w:numId w:val="23"/>
        </w:numPr>
        <w:ind w:left="360"/>
      </w:pPr>
      <w:r w:rsidRPr="007A3223">
        <w:rPr>
          <w:u w:val="single"/>
        </w:rPr>
        <w:t>Progressive Disease (PD)</w:t>
      </w:r>
      <w:r w:rsidRPr="007A3223">
        <w:t xml:space="preserve">: Appearance of one or more new lesions and/or </w:t>
      </w:r>
      <w:r w:rsidRPr="007A3223">
        <w:rPr>
          <w:i/>
        </w:rPr>
        <w:t>unequivocal progression</w:t>
      </w:r>
      <w:r w:rsidRPr="007A3223">
        <w:t xml:space="preserve"> of existing non-target lesions.  </w:t>
      </w:r>
      <w:r w:rsidRPr="007A3223">
        <w:rPr>
          <w:i/>
        </w:rPr>
        <w:t>Unequivocal progression</w:t>
      </w:r>
      <w:r w:rsidRPr="007A3223">
        <w:t xml:space="preserve"> should not normally trump target lesion status.  It must be representative of overall disease status change, not a single lesion increase.    </w:t>
      </w:r>
    </w:p>
    <w:p w14:paraId="68231783" w14:textId="77777777" w:rsidR="009D6FDF" w:rsidRPr="007A3223" w:rsidRDefault="009D6FDF" w:rsidP="00FB66BA">
      <w:pPr>
        <w:pStyle w:val="ListParagraph"/>
        <w:numPr>
          <w:ilvl w:val="0"/>
          <w:numId w:val="23"/>
        </w:numPr>
        <w:ind w:left="360"/>
      </w:pPr>
      <w:r w:rsidRPr="007A3223">
        <w:t>Although a clear progression of “non-target” lesions only is exceptional, the opinion of the treating physician should prevail in such circumstances, and the progression status should be confirmed at a later time by the review panel (or the PI).</w:t>
      </w:r>
    </w:p>
    <w:p w14:paraId="2549E81D" w14:textId="77777777" w:rsidR="009D6FDF" w:rsidRPr="007A3223" w:rsidRDefault="009D6FDF" w:rsidP="009D6FDF">
      <w:pPr>
        <w:spacing w:after="0"/>
      </w:pPr>
    </w:p>
    <w:p w14:paraId="1F5A6D1D" w14:textId="77777777" w:rsidR="009D6FDF" w:rsidRPr="007A3223" w:rsidRDefault="009D6FDF" w:rsidP="009D6FDF">
      <w:pPr>
        <w:pStyle w:val="Heading4"/>
        <w:spacing w:before="0" w:after="0"/>
        <w:rPr>
          <w:noProof w:val="0"/>
          <w:szCs w:val="24"/>
        </w:rPr>
      </w:pPr>
      <w:r w:rsidRPr="007A3223">
        <w:rPr>
          <w:noProof w:val="0"/>
          <w:szCs w:val="24"/>
        </w:rPr>
        <w:t>Evaluation of Best Overall Response</w:t>
      </w:r>
    </w:p>
    <w:p w14:paraId="6B18BD6F" w14:textId="77777777" w:rsidR="009D6FDF" w:rsidRPr="007A3223" w:rsidRDefault="009D6FDF" w:rsidP="00FB66BA">
      <w:pPr>
        <w:pStyle w:val="ListParagraph"/>
        <w:numPr>
          <w:ilvl w:val="0"/>
          <w:numId w:val="30"/>
        </w:numPr>
        <w:ind w:left="360"/>
      </w:pPr>
      <w:r w:rsidRPr="007A3223">
        <w:t xml:space="preserve">The best overall response is the best response recorded from the start of the treatment until disease progression/recurrence (taking as reference for progressive disease the smallest measurements recorded since the treatment started).  </w:t>
      </w:r>
    </w:p>
    <w:p w14:paraId="2F284B9A" w14:textId="77777777" w:rsidR="00EE2161" w:rsidRPr="007A3223" w:rsidRDefault="009D6FDF" w:rsidP="00FB66BA">
      <w:pPr>
        <w:pStyle w:val="ListParagraph"/>
        <w:numPr>
          <w:ilvl w:val="0"/>
          <w:numId w:val="30"/>
        </w:numPr>
        <w:ind w:left="360"/>
      </w:pPr>
      <w:r w:rsidRPr="007A3223">
        <w:t>The patient's best response assignment will depend on the achievement of both measurement and confirmation criteria.</w:t>
      </w:r>
    </w:p>
    <w:p w14:paraId="37E92B96" w14:textId="77777777" w:rsidR="009D6FDF" w:rsidRPr="007A3223" w:rsidRDefault="009D6FDF" w:rsidP="009D6FDF">
      <w:pPr>
        <w:spacing w:after="0"/>
        <w:rPr>
          <w:b/>
          <w:szCs w:val="24"/>
        </w:rPr>
      </w:pPr>
    </w:p>
    <w:p w14:paraId="0739EEC4" w14:textId="47E74404" w:rsidR="00783250" w:rsidRPr="007A3223" w:rsidRDefault="00800A5E" w:rsidP="00783250">
      <w:pPr>
        <w:pStyle w:val="Caption"/>
      </w:pPr>
      <w:bookmarkStart w:id="259" w:name="_Toc82444463"/>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29</w:t>
      </w:r>
      <w:r w:rsidR="00F82420" w:rsidRPr="00F33908">
        <w:rPr>
          <w:noProof/>
        </w:rPr>
        <w:fldChar w:fldCharType="end"/>
      </w:r>
      <w:r w:rsidR="00783250" w:rsidRPr="007A3223">
        <w:t>.</w:t>
      </w:r>
      <w:r w:rsidR="00783250" w:rsidRPr="00F33908">
        <w:rPr>
          <w:szCs w:val="24"/>
        </w:rPr>
        <w:t xml:space="preserve"> Evaluation of Best Overall Response for Patients with Measurable Disease (i.e., Target Disease)</w:t>
      </w:r>
      <w:bookmarkEnd w:id="259"/>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530"/>
        <w:gridCol w:w="990"/>
        <w:gridCol w:w="1177"/>
        <w:gridCol w:w="3233"/>
      </w:tblGrid>
      <w:tr w:rsidR="009D6FDF" w:rsidRPr="007A3223" w14:paraId="49682921" w14:textId="77777777" w:rsidTr="00EE484C">
        <w:tc>
          <w:tcPr>
            <w:tcW w:w="1080" w:type="dxa"/>
          </w:tcPr>
          <w:p w14:paraId="54897D70" w14:textId="77777777" w:rsidR="009D6FDF" w:rsidRPr="007A3223" w:rsidRDefault="009D6FDF" w:rsidP="00EE484C">
            <w:pPr>
              <w:autoSpaceDE w:val="0"/>
              <w:autoSpaceDN w:val="0"/>
              <w:adjustRightInd w:val="0"/>
              <w:spacing w:after="0"/>
              <w:rPr>
                <w:b/>
                <w:sz w:val="22"/>
              </w:rPr>
            </w:pPr>
            <w:r w:rsidRPr="007A3223">
              <w:rPr>
                <w:b/>
                <w:sz w:val="22"/>
              </w:rPr>
              <w:t>Target Lesions</w:t>
            </w:r>
          </w:p>
        </w:tc>
        <w:tc>
          <w:tcPr>
            <w:tcW w:w="1530" w:type="dxa"/>
          </w:tcPr>
          <w:p w14:paraId="399E2048" w14:textId="77777777" w:rsidR="009D6FDF" w:rsidRPr="007A3223" w:rsidRDefault="009D6FDF" w:rsidP="00EE484C">
            <w:pPr>
              <w:autoSpaceDE w:val="0"/>
              <w:autoSpaceDN w:val="0"/>
              <w:adjustRightInd w:val="0"/>
              <w:spacing w:after="0"/>
              <w:rPr>
                <w:b/>
                <w:sz w:val="22"/>
              </w:rPr>
            </w:pPr>
            <w:r w:rsidRPr="007A3223">
              <w:rPr>
                <w:b/>
                <w:sz w:val="22"/>
              </w:rPr>
              <w:t>Non-Target Lesions</w:t>
            </w:r>
          </w:p>
        </w:tc>
        <w:tc>
          <w:tcPr>
            <w:tcW w:w="990" w:type="dxa"/>
          </w:tcPr>
          <w:p w14:paraId="024947E5" w14:textId="77777777" w:rsidR="009D6FDF" w:rsidRPr="007A3223" w:rsidRDefault="009D6FDF" w:rsidP="00EE484C">
            <w:pPr>
              <w:autoSpaceDE w:val="0"/>
              <w:autoSpaceDN w:val="0"/>
              <w:adjustRightInd w:val="0"/>
              <w:spacing w:after="0"/>
              <w:rPr>
                <w:b/>
                <w:sz w:val="22"/>
              </w:rPr>
            </w:pPr>
            <w:r w:rsidRPr="007A3223">
              <w:rPr>
                <w:b/>
                <w:sz w:val="22"/>
              </w:rPr>
              <w:t>New Lesions</w:t>
            </w:r>
          </w:p>
        </w:tc>
        <w:tc>
          <w:tcPr>
            <w:tcW w:w="1177" w:type="dxa"/>
          </w:tcPr>
          <w:p w14:paraId="5057D895" w14:textId="77777777" w:rsidR="009D6FDF" w:rsidRPr="007A3223" w:rsidRDefault="009D6FDF" w:rsidP="00EE484C">
            <w:pPr>
              <w:autoSpaceDE w:val="0"/>
              <w:autoSpaceDN w:val="0"/>
              <w:adjustRightInd w:val="0"/>
              <w:spacing w:after="0"/>
              <w:rPr>
                <w:b/>
                <w:sz w:val="22"/>
              </w:rPr>
            </w:pPr>
            <w:r w:rsidRPr="007A3223">
              <w:rPr>
                <w:b/>
                <w:sz w:val="22"/>
              </w:rPr>
              <w:t>Overall Response</w:t>
            </w:r>
          </w:p>
        </w:tc>
        <w:tc>
          <w:tcPr>
            <w:tcW w:w="3233" w:type="dxa"/>
          </w:tcPr>
          <w:p w14:paraId="551CB568" w14:textId="77777777" w:rsidR="009D6FDF" w:rsidRPr="007A3223" w:rsidRDefault="009D6FDF" w:rsidP="00EE484C">
            <w:pPr>
              <w:autoSpaceDE w:val="0"/>
              <w:autoSpaceDN w:val="0"/>
              <w:adjustRightInd w:val="0"/>
              <w:spacing w:after="0"/>
              <w:rPr>
                <w:b/>
                <w:sz w:val="22"/>
              </w:rPr>
            </w:pPr>
            <w:r w:rsidRPr="007A3223">
              <w:rPr>
                <w:b/>
                <w:sz w:val="22"/>
              </w:rPr>
              <w:t>Best Overall Response when Confirmation is Required*</w:t>
            </w:r>
          </w:p>
        </w:tc>
      </w:tr>
      <w:tr w:rsidR="009D6FDF" w:rsidRPr="007A3223" w14:paraId="6100E853" w14:textId="77777777" w:rsidTr="00EE484C">
        <w:tc>
          <w:tcPr>
            <w:tcW w:w="1080" w:type="dxa"/>
          </w:tcPr>
          <w:p w14:paraId="3BFEA25E" w14:textId="77777777" w:rsidR="009D6FDF" w:rsidRPr="007A3223" w:rsidRDefault="009D6FDF" w:rsidP="00EE484C">
            <w:pPr>
              <w:autoSpaceDE w:val="0"/>
              <w:autoSpaceDN w:val="0"/>
              <w:adjustRightInd w:val="0"/>
              <w:spacing w:after="0"/>
              <w:rPr>
                <w:sz w:val="22"/>
              </w:rPr>
            </w:pPr>
            <w:r w:rsidRPr="007A3223">
              <w:rPr>
                <w:sz w:val="22"/>
              </w:rPr>
              <w:t>CR</w:t>
            </w:r>
          </w:p>
        </w:tc>
        <w:tc>
          <w:tcPr>
            <w:tcW w:w="1530" w:type="dxa"/>
          </w:tcPr>
          <w:p w14:paraId="32A7BFA6" w14:textId="77777777" w:rsidR="009D6FDF" w:rsidRPr="007A3223" w:rsidRDefault="009D6FDF" w:rsidP="00EE484C">
            <w:pPr>
              <w:autoSpaceDE w:val="0"/>
              <w:autoSpaceDN w:val="0"/>
              <w:adjustRightInd w:val="0"/>
              <w:spacing w:after="0"/>
              <w:rPr>
                <w:sz w:val="22"/>
              </w:rPr>
            </w:pPr>
            <w:r w:rsidRPr="007A3223">
              <w:rPr>
                <w:sz w:val="22"/>
              </w:rPr>
              <w:t>CR</w:t>
            </w:r>
          </w:p>
        </w:tc>
        <w:tc>
          <w:tcPr>
            <w:tcW w:w="990" w:type="dxa"/>
          </w:tcPr>
          <w:p w14:paraId="6870126D" w14:textId="77777777" w:rsidR="009D6FDF" w:rsidRPr="007A3223" w:rsidRDefault="009D6FDF" w:rsidP="00EE484C">
            <w:pPr>
              <w:autoSpaceDE w:val="0"/>
              <w:autoSpaceDN w:val="0"/>
              <w:adjustRightInd w:val="0"/>
              <w:spacing w:after="0"/>
              <w:rPr>
                <w:sz w:val="22"/>
              </w:rPr>
            </w:pPr>
            <w:r w:rsidRPr="007A3223">
              <w:rPr>
                <w:sz w:val="22"/>
              </w:rPr>
              <w:t>No</w:t>
            </w:r>
          </w:p>
        </w:tc>
        <w:tc>
          <w:tcPr>
            <w:tcW w:w="1177" w:type="dxa"/>
          </w:tcPr>
          <w:p w14:paraId="2E7FD89C" w14:textId="77777777" w:rsidR="009D6FDF" w:rsidRPr="007A3223" w:rsidRDefault="009D6FDF" w:rsidP="00EE484C">
            <w:pPr>
              <w:autoSpaceDE w:val="0"/>
              <w:autoSpaceDN w:val="0"/>
              <w:adjustRightInd w:val="0"/>
              <w:spacing w:after="0"/>
              <w:rPr>
                <w:sz w:val="22"/>
              </w:rPr>
            </w:pPr>
            <w:r w:rsidRPr="007A3223">
              <w:rPr>
                <w:sz w:val="22"/>
              </w:rPr>
              <w:t>CR</w:t>
            </w:r>
          </w:p>
        </w:tc>
        <w:tc>
          <w:tcPr>
            <w:tcW w:w="3233" w:type="dxa"/>
            <w:vAlign w:val="center"/>
          </w:tcPr>
          <w:p w14:paraId="79A5998E" w14:textId="77777777" w:rsidR="009D6FDF" w:rsidRPr="007A3223" w:rsidRDefault="009D6FDF" w:rsidP="00EE484C">
            <w:pPr>
              <w:tabs>
                <w:tab w:val="center" w:pos="1146"/>
              </w:tabs>
              <w:autoSpaceDE w:val="0"/>
              <w:autoSpaceDN w:val="0"/>
              <w:adjustRightInd w:val="0"/>
              <w:spacing w:after="0"/>
              <w:rPr>
                <w:sz w:val="22"/>
              </w:rPr>
            </w:pPr>
            <w:r w:rsidRPr="007A3223">
              <w:rPr>
                <w:sz w:val="22"/>
                <w:u w:val="single"/>
              </w:rPr>
              <w:t>&gt;</w:t>
            </w:r>
            <w:r w:rsidRPr="007A3223">
              <w:rPr>
                <w:sz w:val="22"/>
              </w:rPr>
              <w:t>4 wks. Confirmation**</w:t>
            </w:r>
          </w:p>
        </w:tc>
      </w:tr>
      <w:tr w:rsidR="009D6FDF" w:rsidRPr="007A3223" w14:paraId="582092AA" w14:textId="77777777" w:rsidTr="00EE484C">
        <w:tc>
          <w:tcPr>
            <w:tcW w:w="1080" w:type="dxa"/>
          </w:tcPr>
          <w:p w14:paraId="7ADDAF36" w14:textId="77777777" w:rsidR="009D6FDF" w:rsidRPr="007A3223" w:rsidRDefault="009D6FDF" w:rsidP="00EE484C">
            <w:pPr>
              <w:autoSpaceDE w:val="0"/>
              <w:autoSpaceDN w:val="0"/>
              <w:adjustRightInd w:val="0"/>
              <w:spacing w:after="0"/>
              <w:rPr>
                <w:sz w:val="22"/>
              </w:rPr>
            </w:pPr>
            <w:r w:rsidRPr="007A3223">
              <w:rPr>
                <w:sz w:val="22"/>
              </w:rPr>
              <w:t>CR</w:t>
            </w:r>
          </w:p>
        </w:tc>
        <w:tc>
          <w:tcPr>
            <w:tcW w:w="1530" w:type="dxa"/>
          </w:tcPr>
          <w:p w14:paraId="25979C83" w14:textId="77777777" w:rsidR="009D6FDF" w:rsidRPr="007A3223" w:rsidRDefault="009D6FDF" w:rsidP="00EE484C">
            <w:pPr>
              <w:autoSpaceDE w:val="0"/>
              <w:autoSpaceDN w:val="0"/>
              <w:adjustRightInd w:val="0"/>
              <w:spacing w:after="0"/>
              <w:rPr>
                <w:sz w:val="22"/>
              </w:rPr>
            </w:pPr>
            <w:r w:rsidRPr="007A3223">
              <w:rPr>
                <w:sz w:val="22"/>
              </w:rPr>
              <w:t>Non-CR/Non-PD</w:t>
            </w:r>
          </w:p>
        </w:tc>
        <w:tc>
          <w:tcPr>
            <w:tcW w:w="990" w:type="dxa"/>
          </w:tcPr>
          <w:p w14:paraId="445C04AA" w14:textId="77777777" w:rsidR="009D6FDF" w:rsidRPr="007A3223" w:rsidRDefault="009D6FDF" w:rsidP="00EE484C">
            <w:pPr>
              <w:spacing w:after="0"/>
              <w:rPr>
                <w:sz w:val="22"/>
              </w:rPr>
            </w:pPr>
            <w:r w:rsidRPr="007A3223">
              <w:rPr>
                <w:sz w:val="22"/>
              </w:rPr>
              <w:t>No</w:t>
            </w:r>
          </w:p>
        </w:tc>
        <w:tc>
          <w:tcPr>
            <w:tcW w:w="1177" w:type="dxa"/>
          </w:tcPr>
          <w:p w14:paraId="192BB4A5" w14:textId="77777777" w:rsidR="009D6FDF" w:rsidRPr="007A3223" w:rsidRDefault="009D6FDF" w:rsidP="00EE484C">
            <w:pPr>
              <w:autoSpaceDE w:val="0"/>
              <w:autoSpaceDN w:val="0"/>
              <w:adjustRightInd w:val="0"/>
              <w:spacing w:after="0"/>
              <w:rPr>
                <w:sz w:val="22"/>
              </w:rPr>
            </w:pPr>
            <w:r w:rsidRPr="007A3223">
              <w:rPr>
                <w:sz w:val="22"/>
              </w:rPr>
              <w:t>PR</w:t>
            </w:r>
          </w:p>
        </w:tc>
        <w:tc>
          <w:tcPr>
            <w:tcW w:w="3233" w:type="dxa"/>
            <w:vMerge w:val="restart"/>
            <w:vAlign w:val="center"/>
          </w:tcPr>
          <w:p w14:paraId="3CBDCAF9" w14:textId="77777777" w:rsidR="009D6FDF" w:rsidRPr="007A3223" w:rsidRDefault="009D6FDF" w:rsidP="00EE484C">
            <w:pPr>
              <w:autoSpaceDE w:val="0"/>
              <w:autoSpaceDN w:val="0"/>
              <w:adjustRightInd w:val="0"/>
              <w:spacing w:after="0"/>
              <w:rPr>
                <w:sz w:val="22"/>
              </w:rPr>
            </w:pPr>
            <w:r w:rsidRPr="007A3223">
              <w:rPr>
                <w:sz w:val="22"/>
                <w:u w:val="single"/>
              </w:rPr>
              <w:t>&gt;</w:t>
            </w:r>
            <w:r w:rsidRPr="007A3223">
              <w:rPr>
                <w:sz w:val="22"/>
              </w:rPr>
              <w:t>4 wks. Confirmation**</w:t>
            </w:r>
          </w:p>
        </w:tc>
      </w:tr>
      <w:tr w:rsidR="009D6FDF" w:rsidRPr="007A3223" w14:paraId="10F6E934" w14:textId="77777777" w:rsidTr="00EE484C">
        <w:tc>
          <w:tcPr>
            <w:tcW w:w="1080" w:type="dxa"/>
          </w:tcPr>
          <w:p w14:paraId="74A76649" w14:textId="77777777" w:rsidR="009D6FDF" w:rsidRPr="007A3223" w:rsidRDefault="009D6FDF" w:rsidP="00EE484C">
            <w:pPr>
              <w:autoSpaceDE w:val="0"/>
              <w:autoSpaceDN w:val="0"/>
              <w:adjustRightInd w:val="0"/>
              <w:spacing w:after="0"/>
              <w:rPr>
                <w:sz w:val="22"/>
              </w:rPr>
            </w:pPr>
            <w:r w:rsidRPr="007A3223">
              <w:rPr>
                <w:sz w:val="22"/>
              </w:rPr>
              <w:t>CR</w:t>
            </w:r>
          </w:p>
        </w:tc>
        <w:tc>
          <w:tcPr>
            <w:tcW w:w="1530" w:type="dxa"/>
          </w:tcPr>
          <w:p w14:paraId="550BF940" w14:textId="77777777" w:rsidR="009D6FDF" w:rsidRPr="007A3223" w:rsidRDefault="009D6FDF" w:rsidP="00EE484C">
            <w:pPr>
              <w:autoSpaceDE w:val="0"/>
              <w:autoSpaceDN w:val="0"/>
              <w:adjustRightInd w:val="0"/>
              <w:spacing w:after="0"/>
              <w:rPr>
                <w:sz w:val="22"/>
              </w:rPr>
            </w:pPr>
            <w:r w:rsidRPr="007A3223">
              <w:rPr>
                <w:sz w:val="22"/>
              </w:rPr>
              <w:t>Not evaluated</w:t>
            </w:r>
          </w:p>
        </w:tc>
        <w:tc>
          <w:tcPr>
            <w:tcW w:w="990" w:type="dxa"/>
          </w:tcPr>
          <w:p w14:paraId="4765FA78" w14:textId="77777777" w:rsidR="009D6FDF" w:rsidRPr="007A3223" w:rsidRDefault="009D6FDF" w:rsidP="00EE484C">
            <w:pPr>
              <w:spacing w:after="0"/>
              <w:rPr>
                <w:sz w:val="22"/>
              </w:rPr>
            </w:pPr>
            <w:r w:rsidRPr="007A3223">
              <w:rPr>
                <w:sz w:val="22"/>
              </w:rPr>
              <w:t>No</w:t>
            </w:r>
          </w:p>
        </w:tc>
        <w:tc>
          <w:tcPr>
            <w:tcW w:w="1177" w:type="dxa"/>
          </w:tcPr>
          <w:p w14:paraId="2E46AEDA" w14:textId="77777777" w:rsidR="009D6FDF" w:rsidRPr="007A3223" w:rsidRDefault="009D6FDF" w:rsidP="00EE484C">
            <w:pPr>
              <w:autoSpaceDE w:val="0"/>
              <w:autoSpaceDN w:val="0"/>
              <w:adjustRightInd w:val="0"/>
              <w:spacing w:after="0"/>
              <w:rPr>
                <w:sz w:val="22"/>
              </w:rPr>
            </w:pPr>
            <w:r w:rsidRPr="007A3223">
              <w:rPr>
                <w:sz w:val="22"/>
              </w:rPr>
              <w:t>PR</w:t>
            </w:r>
          </w:p>
        </w:tc>
        <w:tc>
          <w:tcPr>
            <w:tcW w:w="3233" w:type="dxa"/>
            <w:vMerge/>
            <w:vAlign w:val="center"/>
          </w:tcPr>
          <w:p w14:paraId="68AEB231" w14:textId="77777777" w:rsidR="009D6FDF" w:rsidRPr="007A3223" w:rsidRDefault="009D6FDF" w:rsidP="00EE484C">
            <w:pPr>
              <w:autoSpaceDE w:val="0"/>
              <w:autoSpaceDN w:val="0"/>
              <w:adjustRightInd w:val="0"/>
              <w:spacing w:after="0"/>
              <w:rPr>
                <w:sz w:val="22"/>
              </w:rPr>
            </w:pPr>
          </w:p>
        </w:tc>
      </w:tr>
      <w:tr w:rsidR="009D6FDF" w:rsidRPr="007A3223" w14:paraId="2D22A184" w14:textId="77777777" w:rsidTr="00EE484C">
        <w:tc>
          <w:tcPr>
            <w:tcW w:w="1080" w:type="dxa"/>
          </w:tcPr>
          <w:p w14:paraId="6B5D3CD7" w14:textId="77777777" w:rsidR="009D6FDF" w:rsidRPr="007A3223" w:rsidRDefault="009D6FDF" w:rsidP="00EE484C">
            <w:pPr>
              <w:autoSpaceDE w:val="0"/>
              <w:autoSpaceDN w:val="0"/>
              <w:adjustRightInd w:val="0"/>
              <w:spacing w:after="0"/>
              <w:rPr>
                <w:sz w:val="22"/>
              </w:rPr>
            </w:pPr>
            <w:r w:rsidRPr="007A3223">
              <w:rPr>
                <w:sz w:val="22"/>
              </w:rPr>
              <w:t>PR</w:t>
            </w:r>
          </w:p>
        </w:tc>
        <w:tc>
          <w:tcPr>
            <w:tcW w:w="1530" w:type="dxa"/>
          </w:tcPr>
          <w:p w14:paraId="72F3F2D9" w14:textId="77777777" w:rsidR="009D6FDF" w:rsidRPr="007A3223" w:rsidRDefault="009D6FDF" w:rsidP="00EE484C">
            <w:pPr>
              <w:autoSpaceDE w:val="0"/>
              <w:autoSpaceDN w:val="0"/>
              <w:adjustRightInd w:val="0"/>
              <w:spacing w:after="0"/>
              <w:rPr>
                <w:sz w:val="22"/>
              </w:rPr>
            </w:pPr>
            <w:r w:rsidRPr="007A3223">
              <w:rPr>
                <w:sz w:val="22"/>
              </w:rPr>
              <w:t>Non-CR/Non-PD/not evaluated</w:t>
            </w:r>
          </w:p>
        </w:tc>
        <w:tc>
          <w:tcPr>
            <w:tcW w:w="990" w:type="dxa"/>
          </w:tcPr>
          <w:p w14:paraId="13B85AA8" w14:textId="77777777" w:rsidR="009D6FDF" w:rsidRPr="007A3223" w:rsidRDefault="009D6FDF" w:rsidP="00EE484C">
            <w:pPr>
              <w:spacing w:after="0"/>
              <w:rPr>
                <w:sz w:val="22"/>
              </w:rPr>
            </w:pPr>
            <w:r w:rsidRPr="007A3223">
              <w:rPr>
                <w:sz w:val="22"/>
              </w:rPr>
              <w:t>No</w:t>
            </w:r>
          </w:p>
        </w:tc>
        <w:tc>
          <w:tcPr>
            <w:tcW w:w="1177" w:type="dxa"/>
          </w:tcPr>
          <w:p w14:paraId="227AA132" w14:textId="77777777" w:rsidR="009D6FDF" w:rsidRPr="007A3223" w:rsidRDefault="009D6FDF" w:rsidP="00EE484C">
            <w:pPr>
              <w:autoSpaceDE w:val="0"/>
              <w:autoSpaceDN w:val="0"/>
              <w:adjustRightInd w:val="0"/>
              <w:spacing w:after="0"/>
              <w:rPr>
                <w:sz w:val="22"/>
              </w:rPr>
            </w:pPr>
            <w:r w:rsidRPr="007A3223">
              <w:rPr>
                <w:sz w:val="22"/>
              </w:rPr>
              <w:t>PR</w:t>
            </w:r>
          </w:p>
        </w:tc>
        <w:tc>
          <w:tcPr>
            <w:tcW w:w="3233" w:type="dxa"/>
            <w:vMerge/>
            <w:vAlign w:val="center"/>
          </w:tcPr>
          <w:p w14:paraId="5586BD8D" w14:textId="77777777" w:rsidR="009D6FDF" w:rsidRPr="007A3223" w:rsidRDefault="009D6FDF" w:rsidP="00EE484C">
            <w:pPr>
              <w:autoSpaceDE w:val="0"/>
              <w:autoSpaceDN w:val="0"/>
              <w:adjustRightInd w:val="0"/>
              <w:spacing w:after="0"/>
              <w:rPr>
                <w:sz w:val="22"/>
              </w:rPr>
            </w:pPr>
          </w:p>
        </w:tc>
      </w:tr>
      <w:tr w:rsidR="009D6FDF" w:rsidRPr="007A3223" w14:paraId="399D5C57" w14:textId="77777777" w:rsidTr="00EE484C">
        <w:tc>
          <w:tcPr>
            <w:tcW w:w="1080" w:type="dxa"/>
          </w:tcPr>
          <w:p w14:paraId="249B0FE2" w14:textId="77777777" w:rsidR="009D6FDF" w:rsidRPr="007A3223" w:rsidRDefault="009D6FDF" w:rsidP="00EE484C">
            <w:pPr>
              <w:autoSpaceDE w:val="0"/>
              <w:autoSpaceDN w:val="0"/>
              <w:adjustRightInd w:val="0"/>
              <w:spacing w:after="0"/>
              <w:rPr>
                <w:sz w:val="22"/>
              </w:rPr>
            </w:pPr>
            <w:r w:rsidRPr="007A3223">
              <w:rPr>
                <w:sz w:val="22"/>
              </w:rPr>
              <w:t>SD</w:t>
            </w:r>
          </w:p>
        </w:tc>
        <w:tc>
          <w:tcPr>
            <w:tcW w:w="1530" w:type="dxa"/>
          </w:tcPr>
          <w:p w14:paraId="6BBD1D27" w14:textId="77777777" w:rsidR="009D6FDF" w:rsidRPr="007A3223" w:rsidRDefault="009D6FDF" w:rsidP="00EE484C">
            <w:pPr>
              <w:autoSpaceDE w:val="0"/>
              <w:autoSpaceDN w:val="0"/>
              <w:adjustRightInd w:val="0"/>
              <w:spacing w:after="0"/>
              <w:rPr>
                <w:sz w:val="22"/>
              </w:rPr>
            </w:pPr>
            <w:r w:rsidRPr="007A3223">
              <w:rPr>
                <w:sz w:val="22"/>
              </w:rPr>
              <w:t>Non-CR/Non-PD/not evaluated</w:t>
            </w:r>
          </w:p>
        </w:tc>
        <w:tc>
          <w:tcPr>
            <w:tcW w:w="990" w:type="dxa"/>
          </w:tcPr>
          <w:p w14:paraId="51144905" w14:textId="77777777" w:rsidR="009D6FDF" w:rsidRPr="007A3223" w:rsidRDefault="009D6FDF" w:rsidP="00EE484C">
            <w:pPr>
              <w:spacing w:after="0"/>
              <w:rPr>
                <w:sz w:val="22"/>
              </w:rPr>
            </w:pPr>
            <w:r w:rsidRPr="007A3223">
              <w:rPr>
                <w:sz w:val="22"/>
              </w:rPr>
              <w:t>No</w:t>
            </w:r>
          </w:p>
        </w:tc>
        <w:tc>
          <w:tcPr>
            <w:tcW w:w="1177" w:type="dxa"/>
          </w:tcPr>
          <w:p w14:paraId="1242155E" w14:textId="77777777" w:rsidR="009D6FDF" w:rsidRPr="007A3223" w:rsidRDefault="009D6FDF" w:rsidP="00EE484C">
            <w:pPr>
              <w:autoSpaceDE w:val="0"/>
              <w:autoSpaceDN w:val="0"/>
              <w:adjustRightInd w:val="0"/>
              <w:spacing w:after="0"/>
              <w:rPr>
                <w:sz w:val="22"/>
              </w:rPr>
            </w:pPr>
            <w:r w:rsidRPr="007A3223">
              <w:rPr>
                <w:sz w:val="22"/>
              </w:rPr>
              <w:t>SD</w:t>
            </w:r>
          </w:p>
        </w:tc>
        <w:tc>
          <w:tcPr>
            <w:tcW w:w="3233" w:type="dxa"/>
            <w:vAlign w:val="center"/>
          </w:tcPr>
          <w:p w14:paraId="0C3A74BE" w14:textId="77777777" w:rsidR="009D6FDF" w:rsidRPr="007A3223" w:rsidRDefault="009D6FDF" w:rsidP="00EE484C">
            <w:pPr>
              <w:autoSpaceDE w:val="0"/>
              <w:autoSpaceDN w:val="0"/>
              <w:adjustRightInd w:val="0"/>
              <w:spacing w:after="0"/>
              <w:rPr>
                <w:sz w:val="22"/>
              </w:rPr>
            </w:pPr>
            <w:r w:rsidRPr="007A3223">
              <w:rPr>
                <w:sz w:val="22"/>
              </w:rPr>
              <w:t xml:space="preserve">Documented at least once </w:t>
            </w:r>
            <w:r w:rsidRPr="007A3223">
              <w:rPr>
                <w:sz w:val="22"/>
                <w:u w:val="single"/>
              </w:rPr>
              <w:t>&gt;</w:t>
            </w:r>
            <w:r w:rsidRPr="007A3223">
              <w:rPr>
                <w:sz w:val="22"/>
              </w:rPr>
              <w:t>4 wks. from baseline**</w:t>
            </w:r>
          </w:p>
        </w:tc>
      </w:tr>
      <w:tr w:rsidR="009D6FDF" w:rsidRPr="007A3223" w14:paraId="66E67D26" w14:textId="77777777" w:rsidTr="00EE484C">
        <w:tc>
          <w:tcPr>
            <w:tcW w:w="1080" w:type="dxa"/>
          </w:tcPr>
          <w:p w14:paraId="64EC3BBD" w14:textId="77777777" w:rsidR="009D6FDF" w:rsidRPr="007A3223" w:rsidRDefault="009D6FDF" w:rsidP="00EE484C">
            <w:pPr>
              <w:autoSpaceDE w:val="0"/>
              <w:autoSpaceDN w:val="0"/>
              <w:adjustRightInd w:val="0"/>
              <w:spacing w:after="0"/>
              <w:rPr>
                <w:sz w:val="22"/>
              </w:rPr>
            </w:pPr>
            <w:r w:rsidRPr="007A3223">
              <w:rPr>
                <w:sz w:val="22"/>
              </w:rPr>
              <w:lastRenderedPageBreak/>
              <w:t>PD</w:t>
            </w:r>
          </w:p>
        </w:tc>
        <w:tc>
          <w:tcPr>
            <w:tcW w:w="1530" w:type="dxa"/>
          </w:tcPr>
          <w:p w14:paraId="55BC9C19" w14:textId="77777777" w:rsidR="009D6FDF" w:rsidRPr="007A3223" w:rsidRDefault="009D6FDF" w:rsidP="00EE484C">
            <w:pPr>
              <w:autoSpaceDE w:val="0"/>
              <w:autoSpaceDN w:val="0"/>
              <w:adjustRightInd w:val="0"/>
              <w:spacing w:after="0"/>
              <w:rPr>
                <w:sz w:val="22"/>
              </w:rPr>
            </w:pPr>
            <w:r w:rsidRPr="007A3223">
              <w:rPr>
                <w:sz w:val="22"/>
              </w:rPr>
              <w:t>Any</w:t>
            </w:r>
          </w:p>
        </w:tc>
        <w:tc>
          <w:tcPr>
            <w:tcW w:w="990" w:type="dxa"/>
          </w:tcPr>
          <w:p w14:paraId="3FBD4E23" w14:textId="77777777" w:rsidR="009D6FDF" w:rsidRPr="007A3223" w:rsidRDefault="009D6FDF" w:rsidP="00EE484C">
            <w:pPr>
              <w:autoSpaceDE w:val="0"/>
              <w:autoSpaceDN w:val="0"/>
              <w:adjustRightInd w:val="0"/>
              <w:spacing w:after="0"/>
              <w:rPr>
                <w:sz w:val="22"/>
              </w:rPr>
            </w:pPr>
            <w:r w:rsidRPr="007A3223">
              <w:rPr>
                <w:sz w:val="22"/>
              </w:rPr>
              <w:t>Yes or No</w:t>
            </w:r>
          </w:p>
        </w:tc>
        <w:tc>
          <w:tcPr>
            <w:tcW w:w="1177" w:type="dxa"/>
          </w:tcPr>
          <w:p w14:paraId="5C6B737F" w14:textId="77777777" w:rsidR="009D6FDF" w:rsidRPr="007A3223" w:rsidRDefault="009D6FDF" w:rsidP="00EE484C">
            <w:pPr>
              <w:autoSpaceDE w:val="0"/>
              <w:autoSpaceDN w:val="0"/>
              <w:adjustRightInd w:val="0"/>
              <w:spacing w:after="0"/>
              <w:rPr>
                <w:sz w:val="22"/>
              </w:rPr>
            </w:pPr>
            <w:r w:rsidRPr="007A3223">
              <w:rPr>
                <w:sz w:val="22"/>
              </w:rPr>
              <w:t>PD</w:t>
            </w:r>
          </w:p>
        </w:tc>
        <w:tc>
          <w:tcPr>
            <w:tcW w:w="3233" w:type="dxa"/>
            <w:vMerge w:val="restart"/>
            <w:vAlign w:val="center"/>
          </w:tcPr>
          <w:p w14:paraId="213AC6B9" w14:textId="77777777" w:rsidR="009D6FDF" w:rsidRPr="007A3223" w:rsidRDefault="009D6FDF" w:rsidP="00EE484C">
            <w:pPr>
              <w:autoSpaceDE w:val="0"/>
              <w:autoSpaceDN w:val="0"/>
              <w:adjustRightInd w:val="0"/>
              <w:spacing w:after="0"/>
              <w:rPr>
                <w:sz w:val="22"/>
              </w:rPr>
            </w:pPr>
            <w:r w:rsidRPr="007A3223">
              <w:rPr>
                <w:sz w:val="22"/>
              </w:rPr>
              <w:t>no prior SD, PR or CR</w:t>
            </w:r>
          </w:p>
        </w:tc>
      </w:tr>
      <w:tr w:rsidR="009D6FDF" w:rsidRPr="007A3223" w14:paraId="1C345A63" w14:textId="77777777" w:rsidTr="00EE484C">
        <w:tc>
          <w:tcPr>
            <w:tcW w:w="1080" w:type="dxa"/>
          </w:tcPr>
          <w:p w14:paraId="335C01C2" w14:textId="77777777" w:rsidR="009D6FDF" w:rsidRPr="007A3223" w:rsidRDefault="009D6FDF" w:rsidP="00EE484C">
            <w:pPr>
              <w:autoSpaceDE w:val="0"/>
              <w:autoSpaceDN w:val="0"/>
              <w:adjustRightInd w:val="0"/>
              <w:spacing w:after="0"/>
              <w:rPr>
                <w:sz w:val="22"/>
              </w:rPr>
            </w:pPr>
            <w:r w:rsidRPr="007A3223">
              <w:rPr>
                <w:sz w:val="22"/>
              </w:rPr>
              <w:t>Any</w:t>
            </w:r>
          </w:p>
        </w:tc>
        <w:tc>
          <w:tcPr>
            <w:tcW w:w="1530" w:type="dxa"/>
          </w:tcPr>
          <w:p w14:paraId="6BBC38FB" w14:textId="77777777" w:rsidR="009D6FDF" w:rsidRPr="007A3223" w:rsidRDefault="009D6FDF" w:rsidP="00EE484C">
            <w:pPr>
              <w:autoSpaceDE w:val="0"/>
              <w:autoSpaceDN w:val="0"/>
              <w:adjustRightInd w:val="0"/>
              <w:spacing w:after="0"/>
              <w:rPr>
                <w:sz w:val="22"/>
              </w:rPr>
            </w:pPr>
            <w:r w:rsidRPr="007A3223">
              <w:rPr>
                <w:sz w:val="22"/>
              </w:rPr>
              <w:t>PD***</w:t>
            </w:r>
          </w:p>
        </w:tc>
        <w:tc>
          <w:tcPr>
            <w:tcW w:w="990" w:type="dxa"/>
          </w:tcPr>
          <w:p w14:paraId="2EE2D64B" w14:textId="77777777" w:rsidR="009D6FDF" w:rsidRPr="007A3223" w:rsidRDefault="009D6FDF" w:rsidP="00EE484C">
            <w:pPr>
              <w:autoSpaceDE w:val="0"/>
              <w:autoSpaceDN w:val="0"/>
              <w:adjustRightInd w:val="0"/>
              <w:spacing w:after="0"/>
              <w:rPr>
                <w:sz w:val="22"/>
              </w:rPr>
            </w:pPr>
            <w:r w:rsidRPr="007A3223">
              <w:rPr>
                <w:sz w:val="22"/>
              </w:rPr>
              <w:t>Yes or No</w:t>
            </w:r>
          </w:p>
        </w:tc>
        <w:tc>
          <w:tcPr>
            <w:tcW w:w="1177" w:type="dxa"/>
          </w:tcPr>
          <w:p w14:paraId="4F43BE4E" w14:textId="77777777" w:rsidR="009D6FDF" w:rsidRPr="007A3223" w:rsidRDefault="009D6FDF" w:rsidP="00EE484C">
            <w:pPr>
              <w:autoSpaceDE w:val="0"/>
              <w:autoSpaceDN w:val="0"/>
              <w:adjustRightInd w:val="0"/>
              <w:spacing w:after="0"/>
              <w:rPr>
                <w:sz w:val="22"/>
              </w:rPr>
            </w:pPr>
            <w:r w:rsidRPr="007A3223">
              <w:rPr>
                <w:sz w:val="22"/>
              </w:rPr>
              <w:t>PD</w:t>
            </w:r>
          </w:p>
        </w:tc>
        <w:tc>
          <w:tcPr>
            <w:tcW w:w="3233" w:type="dxa"/>
            <w:vMerge/>
          </w:tcPr>
          <w:p w14:paraId="74E8A5FA" w14:textId="77777777" w:rsidR="009D6FDF" w:rsidRPr="007A3223" w:rsidRDefault="009D6FDF" w:rsidP="00EE484C">
            <w:pPr>
              <w:autoSpaceDE w:val="0"/>
              <w:autoSpaceDN w:val="0"/>
              <w:adjustRightInd w:val="0"/>
              <w:spacing w:after="0"/>
              <w:rPr>
                <w:sz w:val="22"/>
              </w:rPr>
            </w:pPr>
          </w:p>
        </w:tc>
      </w:tr>
      <w:tr w:rsidR="009D6FDF" w:rsidRPr="007A3223" w14:paraId="1E619ECC" w14:textId="77777777" w:rsidTr="00EE484C">
        <w:tc>
          <w:tcPr>
            <w:tcW w:w="1080" w:type="dxa"/>
          </w:tcPr>
          <w:p w14:paraId="1F7C5777" w14:textId="77777777" w:rsidR="009D6FDF" w:rsidRPr="007A3223" w:rsidRDefault="009D6FDF" w:rsidP="00EE484C">
            <w:pPr>
              <w:autoSpaceDE w:val="0"/>
              <w:autoSpaceDN w:val="0"/>
              <w:adjustRightInd w:val="0"/>
              <w:spacing w:after="0"/>
              <w:rPr>
                <w:sz w:val="22"/>
              </w:rPr>
            </w:pPr>
            <w:r w:rsidRPr="007A3223">
              <w:rPr>
                <w:sz w:val="22"/>
              </w:rPr>
              <w:t>Any</w:t>
            </w:r>
          </w:p>
        </w:tc>
        <w:tc>
          <w:tcPr>
            <w:tcW w:w="1530" w:type="dxa"/>
          </w:tcPr>
          <w:p w14:paraId="00343F5C" w14:textId="77777777" w:rsidR="009D6FDF" w:rsidRPr="007A3223" w:rsidRDefault="009D6FDF" w:rsidP="00EE484C">
            <w:pPr>
              <w:autoSpaceDE w:val="0"/>
              <w:autoSpaceDN w:val="0"/>
              <w:adjustRightInd w:val="0"/>
              <w:spacing w:after="0"/>
              <w:rPr>
                <w:sz w:val="22"/>
              </w:rPr>
            </w:pPr>
            <w:r w:rsidRPr="007A3223">
              <w:rPr>
                <w:sz w:val="22"/>
              </w:rPr>
              <w:t>Any</w:t>
            </w:r>
          </w:p>
        </w:tc>
        <w:tc>
          <w:tcPr>
            <w:tcW w:w="990" w:type="dxa"/>
          </w:tcPr>
          <w:p w14:paraId="6F6F58B4" w14:textId="77777777" w:rsidR="009D6FDF" w:rsidRPr="007A3223" w:rsidRDefault="009D6FDF" w:rsidP="00EE484C">
            <w:pPr>
              <w:autoSpaceDE w:val="0"/>
              <w:autoSpaceDN w:val="0"/>
              <w:adjustRightInd w:val="0"/>
              <w:spacing w:after="0"/>
              <w:rPr>
                <w:sz w:val="22"/>
              </w:rPr>
            </w:pPr>
            <w:r w:rsidRPr="007A3223">
              <w:rPr>
                <w:sz w:val="22"/>
              </w:rPr>
              <w:t>Yes</w:t>
            </w:r>
          </w:p>
        </w:tc>
        <w:tc>
          <w:tcPr>
            <w:tcW w:w="1177" w:type="dxa"/>
          </w:tcPr>
          <w:p w14:paraId="1DAAD8A5" w14:textId="77777777" w:rsidR="009D6FDF" w:rsidRPr="007A3223" w:rsidRDefault="009D6FDF" w:rsidP="00EE484C">
            <w:pPr>
              <w:autoSpaceDE w:val="0"/>
              <w:autoSpaceDN w:val="0"/>
              <w:adjustRightInd w:val="0"/>
              <w:spacing w:after="0"/>
              <w:rPr>
                <w:sz w:val="22"/>
              </w:rPr>
            </w:pPr>
            <w:r w:rsidRPr="007A3223">
              <w:rPr>
                <w:sz w:val="22"/>
              </w:rPr>
              <w:t>PD</w:t>
            </w:r>
          </w:p>
        </w:tc>
        <w:tc>
          <w:tcPr>
            <w:tcW w:w="3233" w:type="dxa"/>
            <w:vMerge/>
          </w:tcPr>
          <w:p w14:paraId="3E45FF58" w14:textId="77777777" w:rsidR="009D6FDF" w:rsidRPr="007A3223" w:rsidRDefault="009D6FDF" w:rsidP="00EE484C">
            <w:pPr>
              <w:autoSpaceDE w:val="0"/>
              <w:autoSpaceDN w:val="0"/>
              <w:adjustRightInd w:val="0"/>
              <w:spacing w:after="0"/>
              <w:rPr>
                <w:sz w:val="22"/>
              </w:rPr>
            </w:pPr>
          </w:p>
        </w:tc>
      </w:tr>
      <w:tr w:rsidR="009D6FDF" w:rsidRPr="007A3223" w14:paraId="59B01523" w14:textId="77777777" w:rsidTr="00EE484C">
        <w:tc>
          <w:tcPr>
            <w:tcW w:w="8010" w:type="dxa"/>
            <w:gridSpan w:val="5"/>
          </w:tcPr>
          <w:p w14:paraId="2215CB0F" w14:textId="77777777" w:rsidR="009D6FDF" w:rsidRPr="007A3223" w:rsidRDefault="009D6FDF" w:rsidP="00EE484C">
            <w:pPr>
              <w:tabs>
                <w:tab w:val="left" w:pos="702"/>
              </w:tabs>
              <w:autoSpaceDE w:val="0"/>
              <w:autoSpaceDN w:val="0"/>
              <w:adjustRightInd w:val="0"/>
              <w:spacing w:after="0"/>
              <w:ind w:left="702" w:hanging="702"/>
              <w:rPr>
                <w:sz w:val="22"/>
              </w:rPr>
            </w:pPr>
            <w:r w:rsidRPr="007A3223">
              <w:rPr>
                <w:sz w:val="22"/>
              </w:rPr>
              <w:t>*</w:t>
            </w:r>
            <w:r w:rsidRPr="007A3223">
              <w:rPr>
                <w:sz w:val="22"/>
              </w:rPr>
              <w:tab/>
              <w:t>See RECIST 1.1 manuscript for further details on what is evidence of a new lesion.</w:t>
            </w:r>
          </w:p>
          <w:p w14:paraId="391BB4D9" w14:textId="77777777" w:rsidR="009D6FDF" w:rsidRPr="007A3223" w:rsidRDefault="009D6FDF" w:rsidP="00EE484C">
            <w:pPr>
              <w:tabs>
                <w:tab w:val="left" w:pos="702"/>
              </w:tabs>
              <w:autoSpaceDE w:val="0"/>
              <w:autoSpaceDN w:val="0"/>
              <w:adjustRightInd w:val="0"/>
              <w:spacing w:after="0"/>
              <w:ind w:left="702" w:hanging="702"/>
              <w:rPr>
                <w:sz w:val="22"/>
              </w:rPr>
            </w:pPr>
            <w:r w:rsidRPr="007A3223">
              <w:rPr>
                <w:sz w:val="22"/>
              </w:rPr>
              <w:t>**</w:t>
            </w:r>
            <w:r w:rsidRPr="007A3223">
              <w:rPr>
                <w:sz w:val="22"/>
              </w:rPr>
              <w:tab/>
              <w:t>Only for non-randomized trials with response as primary endpoint.</w:t>
            </w:r>
          </w:p>
          <w:p w14:paraId="76F5BDB9" w14:textId="77777777" w:rsidR="009D6FDF" w:rsidRPr="007A3223" w:rsidRDefault="009D6FDF" w:rsidP="00EE484C">
            <w:pPr>
              <w:tabs>
                <w:tab w:val="left" w:pos="702"/>
              </w:tabs>
              <w:autoSpaceDE w:val="0"/>
              <w:autoSpaceDN w:val="0"/>
              <w:adjustRightInd w:val="0"/>
              <w:spacing w:after="0"/>
              <w:ind w:left="702" w:hanging="702"/>
              <w:rPr>
                <w:sz w:val="22"/>
              </w:rPr>
            </w:pPr>
            <w:r w:rsidRPr="007A3223">
              <w:rPr>
                <w:sz w:val="22"/>
              </w:rPr>
              <w:t>***</w:t>
            </w:r>
            <w:r w:rsidRPr="007A3223">
              <w:rPr>
                <w:sz w:val="22"/>
              </w:rPr>
              <w:tab/>
              <w:t>In exceptional circumstances, unequivocal progression in non-target lesions may be accepted as disease progression.</w:t>
            </w:r>
          </w:p>
          <w:p w14:paraId="4C7C5AB1" w14:textId="77777777" w:rsidR="009D6FDF" w:rsidRPr="007A3223" w:rsidRDefault="009D6FDF" w:rsidP="00EE484C">
            <w:pPr>
              <w:tabs>
                <w:tab w:val="left" w:pos="702"/>
              </w:tabs>
              <w:autoSpaceDE w:val="0"/>
              <w:autoSpaceDN w:val="0"/>
              <w:adjustRightInd w:val="0"/>
              <w:spacing w:after="0"/>
              <w:ind w:left="702" w:hanging="702"/>
              <w:rPr>
                <w:sz w:val="22"/>
              </w:rPr>
            </w:pPr>
            <w:r w:rsidRPr="007A3223">
              <w:rPr>
                <w:sz w:val="22"/>
                <w:u w:val="single"/>
              </w:rPr>
              <w:t>Note</w:t>
            </w:r>
            <w:r w:rsidRPr="007A3223">
              <w:rPr>
                <w:sz w:val="22"/>
              </w:rPr>
              <w:t>:</w:t>
            </w:r>
            <w:r w:rsidRPr="007A3223">
              <w:rPr>
                <w:sz w:val="22"/>
              </w:rPr>
              <w:tab/>
              <w:t>Patients with a global deterioration of health status requiring discontinuation of treatment without objective evidence of disease progression at that time should be reported as “</w:t>
            </w:r>
            <w:r w:rsidRPr="007A3223">
              <w:rPr>
                <w:i/>
                <w:sz w:val="22"/>
              </w:rPr>
              <w:t>symptomatic deterioration.”</w:t>
            </w:r>
            <w:r w:rsidRPr="007A3223">
              <w:rPr>
                <w:sz w:val="22"/>
              </w:rPr>
              <w:t xml:space="preserve">  Every effort should be made to document the objective progression even after discontinuation of treatment.</w:t>
            </w:r>
          </w:p>
        </w:tc>
      </w:tr>
    </w:tbl>
    <w:p w14:paraId="5327BB93" w14:textId="77777777" w:rsidR="009D6FDF" w:rsidRPr="007A3223" w:rsidRDefault="009D6FDF" w:rsidP="009D6FDF">
      <w:pPr>
        <w:spacing w:after="0"/>
        <w:rPr>
          <w:b/>
          <w:szCs w:val="24"/>
        </w:rPr>
      </w:pPr>
    </w:p>
    <w:p w14:paraId="3653EAC4" w14:textId="2B93CF38" w:rsidR="00783250" w:rsidRPr="007A3223" w:rsidRDefault="00800A5E" w:rsidP="00783250">
      <w:pPr>
        <w:pStyle w:val="Caption"/>
      </w:pPr>
      <w:bookmarkStart w:id="260" w:name="_Toc82444464"/>
      <w:r w:rsidRPr="007A3223">
        <w:t xml:space="preserve">Table </w:t>
      </w:r>
      <w:r w:rsidR="00F82420" w:rsidRPr="00F33908">
        <w:rPr>
          <w:noProof/>
        </w:rPr>
        <w:fldChar w:fldCharType="begin"/>
      </w:r>
      <w:r w:rsidR="00F82420" w:rsidRPr="007A3223">
        <w:rPr>
          <w:noProof/>
        </w:rPr>
        <w:instrText xml:space="preserve"> SEQ Table \* ARABIC </w:instrText>
      </w:r>
      <w:r w:rsidR="00F82420" w:rsidRPr="00F33908">
        <w:rPr>
          <w:noProof/>
        </w:rPr>
        <w:fldChar w:fldCharType="separate"/>
      </w:r>
      <w:r w:rsidR="00E47ACA">
        <w:rPr>
          <w:noProof/>
        </w:rPr>
        <w:t>30</w:t>
      </w:r>
      <w:r w:rsidR="00F82420" w:rsidRPr="00F33908">
        <w:rPr>
          <w:noProof/>
        </w:rPr>
        <w:fldChar w:fldCharType="end"/>
      </w:r>
      <w:r w:rsidR="00783250" w:rsidRPr="007A3223">
        <w:rPr>
          <w:szCs w:val="24"/>
        </w:rPr>
        <w:t>. Evaluation of Best Overall Response for Patients with Non-Measurable Disease (i.e., Non-Target</w:t>
      </w:r>
      <w:r w:rsidR="00783250" w:rsidRPr="00F33908">
        <w:rPr>
          <w:szCs w:val="24"/>
        </w:rPr>
        <w:t xml:space="preserve"> Disease)</w:t>
      </w:r>
      <w:bookmarkEnd w:id="260"/>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2575"/>
        <w:gridCol w:w="2575"/>
      </w:tblGrid>
      <w:tr w:rsidR="009D6FDF" w:rsidRPr="007A3223" w14:paraId="54B41417" w14:textId="77777777" w:rsidTr="007A7507">
        <w:trPr>
          <w:trHeight w:val="263"/>
          <w:jc w:val="center"/>
        </w:trPr>
        <w:tc>
          <w:tcPr>
            <w:tcW w:w="3121" w:type="dxa"/>
            <w:vAlign w:val="center"/>
          </w:tcPr>
          <w:p w14:paraId="4C623E6A" w14:textId="77777777" w:rsidR="009D6FDF" w:rsidRPr="007A3223" w:rsidRDefault="009D6FDF" w:rsidP="00AE167E">
            <w:pPr>
              <w:numPr>
                <w:ilvl w:val="12"/>
                <w:numId w:val="0"/>
              </w:numPr>
              <w:tabs>
                <w:tab w:val="left" w:pos="-1068"/>
                <w:tab w:val="left" w:pos="-720"/>
                <w:tab w:val="left" w:pos="-54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ind w:left="-540" w:firstLine="90"/>
              <w:jc w:val="center"/>
              <w:rPr>
                <w:b/>
                <w:sz w:val="22"/>
              </w:rPr>
            </w:pPr>
            <w:r w:rsidRPr="007A3223">
              <w:rPr>
                <w:b/>
                <w:sz w:val="22"/>
              </w:rPr>
              <w:t>Non-Target Lesions</w:t>
            </w:r>
          </w:p>
        </w:tc>
        <w:tc>
          <w:tcPr>
            <w:tcW w:w="2575" w:type="dxa"/>
            <w:vAlign w:val="center"/>
          </w:tcPr>
          <w:p w14:paraId="700140D8"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b/>
                <w:sz w:val="22"/>
              </w:rPr>
            </w:pPr>
            <w:r w:rsidRPr="007A3223">
              <w:rPr>
                <w:b/>
                <w:sz w:val="22"/>
              </w:rPr>
              <w:t>New Lesions</w:t>
            </w:r>
          </w:p>
        </w:tc>
        <w:tc>
          <w:tcPr>
            <w:tcW w:w="2575" w:type="dxa"/>
            <w:vAlign w:val="center"/>
          </w:tcPr>
          <w:p w14:paraId="7B21A496"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b/>
                <w:sz w:val="22"/>
              </w:rPr>
            </w:pPr>
            <w:r w:rsidRPr="007A3223">
              <w:rPr>
                <w:b/>
                <w:sz w:val="22"/>
              </w:rPr>
              <w:t>Overall Response</w:t>
            </w:r>
          </w:p>
        </w:tc>
      </w:tr>
      <w:tr w:rsidR="009D6FDF" w:rsidRPr="007A3223" w14:paraId="7906CEC9" w14:textId="77777777" w:rsidTr="007A7507">
        <w:trPr>
          <w:trHeight w:val="249"/>
          <w:jc w:val="center"/>
        </w:trPr>
        <w:tc>
          <w:tcPr>
            <w:tcW w:w="3121" w:type="dxa"/>
          </w:tcPr>
          <w:p w14:paraId="1B738B1A"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CR</w:t>
            </w:r>
          </w:p>
        </w:tc>
        <w:tc>
          <w:tcPr>
            <w:tcW w:w="2575" w:type="dxa"/>
          </w:tcPr>
          <w:p w14:paraId="3AAC28A1"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w:t>
            </w:r>
          </w:p>
        </w:tc>
        <w:tc>
          <w:tcPr>
            <w:tcW w:w="2575" w:type="dxa"/>
          </w:tcPr>
          <w:p w14:paraId="799F8D90"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CR</w:t>
            </w:r>
          </w:p>
        </w:tc>
      </w:tr>
      <w:tr w:rsidR="009D6FDF" w:rsidRPr="007A3223" w14:paraId="5D06EAA0" w14:textId="77777777" w:rsidTr="007A7507">
        <w:trPr>
          <w:trHeight w:val="263"/>
          <w:jc w:val="center"/>
        </w:trPr>
        <w:tc>
          <w:tcPr>
            <w:tcW w:w="3121" w:type="dxa"/>
          </w:tcPr>
          <w:p w14:paraId="1537F06E"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Non-CR/non-PD</w:t>
            </w:r>
          </w:p>
        </w:tc>
        <w:tc>
          <w:tcPr>
            <w:tcW w:w="2575" w:type="dxa"/>
          </w:tcPr>
          <w:p w14:paraId="1E0F65BC"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w:t>
            </w:r>
          </w:p>
        </w:tc>
        <w:tc>
          <w:tcPr>
            <w:tcW w:w="2575" w:type="dxa"/>
          </w:tcPr>
          <w:p w14:paraId="4FBE927F"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Non-CR/non-PD*</w:t>
            </w:r>
          </w:p>
        </w:tc>
      </w:tr>
      <w:tr w:rsidR="009D6FDF" w:rsidRPr="007A3223" w14:paraId="50E04707" w14:textId="77777777" w:rsidTr="007A7507">
        <w:trPr>
          <w:trHeight w:val="263"/>
          <w:jc w:val="center"/>
        </w:trPr>
        <w:tc>
          <w:tcPr>
            <w:tcW w:w="3121" w:type="dxa"/>
          </w:tcPr>
          <w:p w14:paraId="6D63E9D1"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Not all evaluated</w:t>
            </w:r>
          </w:p>
        </w:tc>
        <w:tc>
          <w:tcPr>
            <w:tcW w:w="2575" w:type="dxa"/>
          </w:tcPr>
          <w:p w14:paraId="2D0DF422"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w:t>
            </w:r>
          </w:p>
        </w:tc>
        <w:tc>
          <w:tcPr>
            <w:tcW w:w="2575" w:type="dxa"/>
          </w:tcPr>
          <w:p w14:paraId="0B5B83E9"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not evaluated</w:t>
            </w:r>
          </w:p>
        </w:tc>
      </w:tr>
      <w:tr w:rsidR="009D6FDF" w:rsidRPr="007A3223" w14:paraId="28483733" w14:textId="77777777" w:rsidTr="007A7507">
        <w:trPr>
          <w:trHeight w:val="263"/>
          <w:jc w:val="center"/>
        </w:trPr>
        <w:tc>
          <w:tcPr>
            <w:tcW w:w="3121" w:type="dxa"/>
          </w:tcPr>
          <w:p w14:paraId="4711B906"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Unequivocal PD</w:t>
            </w:r>
          </w:p>
        </w:tc>
        <w:tc>
          <w:tcPr>
            <w:tcW w:w="2575" w:type="dxa"/>
          </w:tcPr>
          <w:p w14:paraId="0DF40116"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Yes or No</w:t>
            </w:r>
          </w:p>
        </w:tc>
        <w:tc>
          <w:tcPr>
            <w:tcW w:w="2575" w:type="dxa"/>
          </w:tcPr>
          <w:p w14:paraId="64DA5DAA"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PD</w:t>
            </w:r>
          </w:p>
        </w:tc>
      </w:tr>
      <w:tr w:rsidR="009D6FDF" w:rsidRPr="007A3223" w14:paraId="6F5FDEAC" w14:textId="77777777" w:rsidTr="007A7507">
        <w:trPr>
          <w:trHeight w:val="263"/>
          <w:jc w:val="center"/>
        </w:trPr>
        <w:tc>
          <w:tcPr>
            <w:tcW w:w="3121" w:type="dxa"/>
          </w:tcPr>
          <w:p w14:paraId="757A5D57"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Any</w:t>
            </w:r>
          </w:p>
        </w:tc>
        <w:tc>
          <w:tcPr>
            <w:tcW w:w="2575" w:type="dxa"/>
          </w:tcPr>
          <w:p w14:paraId="725BCD2F"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Yes</w:t>
            </w:r>
          </w:p>
        </w:tc>
        <w:tc>
          <w:tcPr>
            <w:tcW w:w="2575" w:type="dxa"/>
          </w:tcPr>
          <w:p w14:paraId="46DB8A92"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PD</w:t>
            </w:r>
          </w:p>
        </w:tc>
      </w:tr>
      <w:tr w:rsidR="009D6FDF" w:rsidRPr="007A3223" w14:paraId="15A40410" w14:textId="77777777" w:rsidTr="007A7507">
        <w:trPr>
          <w:trHeight w:val="263"/>
          <w:jc w:val="center"/>
        </w:trPr>
        <w:tc>
          <w:tcPr>
            <w:tcW w:w="8271" w:type="dxa"/>
            <w:gridSpan w:val="3"/>
          </w:tcPr>
          <w:p w14:paraId="4BEE724E" w14:textId="77777777" w:rsidR="009D6FDF" w:rsidRPr="007A3223" w:rsidRDefault="009D6FDF" w:rsidP="00EE484C">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 w:val="22"/>
              </w:rPr>
            </w:pPr>
            <w:r w:rsidRPr="007A3223">
              <w:rPr>
                <w:sz w:val="22"/>
              </w:rPr>
              <w:t>*  ‘Non-CR/non-PD’ is preferred over ‘stable disease’ for non-target disease since SD is increasingly used as an endpoint for assessment of efficacy in some trials so to assign this category when no lesions can be measured is not advised</w:t>
            </w:r>
          </w:p>
        </w:tc>
      </w:tr>
    </w:tbl>
    <w:p w14:paraId="3FB72E07" w14:textId="59F6A9B3"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6.4.4.4</w:t>
      </w:r>
      <w:r w:rsidR="00732D92" w:rsidRPr="007A3223">
        <w:rPr>
          <w:szCs w:val="24"/>
        </w:rPr>
        <w:t xml:space="preserve"> </w:t>
      </w:r>
      <w:r w:rsidRPr="007A3223">
        <w:rPr>
          <w:szCs w:val="24"/>
        </w:rPr>
        <w:t>Evaluation of pseudoprogression</w:t>
      </w:r>
      <w:r w:rsidR="000D2DE0" w:rsidRPr="007A3223">
        <w:rPr>
          <w:szCs w:val="24"/>
        </w:rPr>
        <w:t xml:space="preserve"> (Immune-related RECIST [irRECIST])</w:t>
      </w:r>
    </w:p>
    <w:p w14:paraId="13BF1CAB" w14:textId="12848E2B" w:rsidR="00691529" w:rsidRPr="007A3223" w:rsidRDefault="000D2DE0" w:rsidP="00641FC6">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 xml:space="preserve">Modification of RECIST as described below may discourage the early discontinuation of </w:t>
      </w:r>
      <w:r w:rsidR="00F77BB7">
        <w:rPr>
          <w:szCs w:val="24"/>
        </w:rPr>
        <w:t>Durvalumab</w:t>
      </w:r>
      <w:r w:rsidRPr="007A3223">
        <w:rPr>
          <w:szCs w:val="24"/>
        </w:rPr>
        <w:t xml:space="preserve"> and provide a more complete evaluation of its anti-tumor activity than would be seen with conventional response criteria.  Nonetheless, the efficacy analysis will be conducted by programmatically deriving each efficacy endpoint based on RECIST 1.1 criteria</w:t>
      </w:r>
      <w:r w:rsidR="003B05A4" w:rsidRPr="007A3223">
        <w:rPr>
          <w:szCs w:val="24"/>
        </w:rPr>
        <w:t xml:space="preserve"> and </w:t>
      </w:r>
      <w:r w:rsidR="00236322" w:rsidRPr="007A3223">
        <w:rPr>
          <w:szCs w:val="24"/>
        </w:rPr>
        <w:t>irRECIST is the exploratory endpoint.</w:t>
      </w:r>
      <w:r w:rsidR="00641FC6" w:rsidRPr="007A3223">
        <w:rPr>
          <w:szCs w:val="24"/>
        </w:rPr>
        <w:t xml:space="preserve"> </w:t>
      </w:r>
    </w:p>
    <w:p w14:paraId="23CD7142"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The response to immunotherapy may differ from the typical responses observed with cytotoxic chemotherapy including the following (Wolchok et al 2009):</w:t>
      </w:r>
    </w:p>
    <w:p w14:paraId="1B7EB5B0"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w:t>
      </w:r>
      <w:r w:rsidRPr="007A3223">
        <w:rPr>
          <w:szCs w:val="24"/>
        </w:rPr>
        <w:tab/>
        <w:t>Response to immunotherapy may be delayed</w:t>
      </w:r>
    </w:p>
    <w:p w14:paraId="670CEA11"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w:t>
      </w:r>
      <w:r w:rsidRPr="007A3223">
        <w:rPr>
          <w:szCs w:val="24"/>
        </w:rPr>
        <w:tab/>
        <w:t>Response to immunotherapy may occur after PD by conventional RECIST criteria</w:t>
      </w:r>
    </w:p>
    <w:p w14:paraId="757C72CD"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w:t>
      </w:r>
      <w:r w:rsidRPr="007A3223">
        <w:rPr>
          <w:szCs w:val="24"/>
        </w:rPr>
        <w:tab/>
        <w:t>The appearance of new lesions may not represent PD with immunotherapy</w:t>
      </w:r>
    </w:p>
    <w:p w14:paraId="424D2081"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lastRenderedPageBreak/>
        <w:t>•</w:t>
      </w:r>
      <w:r w:rsidRPr="007A3223">
        <w:rPr>
          <w:szCs w:val="24"/>
        </w:rPr>
        <w:tab/>
        <w:t>SD while on immunotherapy may be durable and represent clinical benefit.</w:t>
      </w:r>
    </w:p>
    <w:p w14:paraId="191D409F" w14:textId="77777777"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Based on the above-described unique response to immunotherapy and based on guidelines from regulatory agencies, e.g., European Medicines Agency’s “Guideline on the evaluation of anti-cancer medicinal products in man” (EMA/CHMP/205/95/Rev.4) for immune modulating anti-cancer compounds, the following may be implemented in addition to standard RECIST 1.1 criteria as one of exploratory endpoints:</w:t>
      </w:r>
    </w:p>
    <w:p w14:paraId="74C173A3" w14:textId="024ECF8E" w:rsidR="00514004" w:rsidRPr="007A3223" w:rsidRDefault="00514004" w:rsidP="00514004">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w:t>
      </w:r>
      <w:r w:rsidRPr="007A3223">
        <w:rPr>
          <w:szCs w:val="24"/>
        </w:rPr>
        <w:tab/>
        <w:t xml:space="preserve">RECIST will be modified so that PD must be confirmed at the next scheduled visit, preferably, and no earlier than 4 weeks after the initial assessment of PD </w:t>
      </w:r>
      <w:r w:rsidRPr="007A3223">
        <w:rPr>
          <w:b/>
          <w:szCs w:val="24"/>
        </w:rPr>
        <w:t>in the absence of</w:t>
      </w:r>
      <w:r w:rsidRPr="007A3223">
        <w:rPr>
          <w:szCs w:val="24"/>
        </w:rPr>
        <w:t xml:space="preserve"> </w:t>
      </w:r>
      <w:r w:rsidRPr="007A3223">
        <w:rPr>
          <w:b/>
          <w:szCs w:val="24"/>
        </w:rPr>
        <w:t>clinically significant deterioration</w:t>
      </w:r>
      <w:r w:rsidRPr="007A3223">
        <w:rPr>
          <w:szCs w:val="24"/>
        </w:rPr>
        <w:t xml:space="preserve">.  Treatment with </w:t>
      </w:r>
      <w:r w:rsidR="00F77BB7">
        <w:rPr>
          <w:szCs w:val="24"/>
        </w:rPr>
        <w:t>Durvalumab</w:t>
      </w:r>
      <w:r w:rsidRPr="007A3223">
        <w:rPr>
          <w:szCs w:val="24"/>
        </w:rPr>
        <w:t xml:space="preserve"> would continue between the initial assessment of progression and confirmation for progression. </w:t>
      </w:r>
    </w:p>
    <w:p w14:paraId="50DBBC8C" w14:textId="7384D4A7" w:rsidR="002E5815" w:rsidRPr="007A3223" w:rsidRDefault="00514004" w:rsidP="002E5815">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spacing w:after="0"/>
        <w:rPr>
          <w:szCs w:val="24"/>
        </w:rPr>
      </w:pPr>
      <w:r w:rsidRPr="007A3223">
        <w:rPr>
          <w:szCs w:val="24"/>
        </w:rPr>
        <w:t>•</w:t>
      </w:r>
      <w:r w:rsidRPr="007A3223">
        <w:rPr>
          <w:szCs w:val="24"/>
        </w:rPr>
        <w:tab/>
        <w:t xml:space="preserve">In addition, subjects may continue to receive </w:t>
      </w:r>
      <w:r w:rsidR="00F77BB7">
        <w:rPr>
          <w:szCs w:val="24"/>
        </w:rPr>
        <w:t>Durvalumab</w:t>
      </w:r>
      <w:r w:rsidRPr="007A3223">
        <w:rPr>
          <w:szCs w:val="24"/>
        </w:rPr>
        <w:t xml:space="preserve"> beyond confirmed PD </w:t>
      </w:r>
      <w:r w:rsidRPr="007A3223">
        <w:rPr>
          <w:b/>
          <w:szCs w:val="24"/>
        </w:rPr>
        <w:t>in the absence of clinically significant deterioration</w:t>
      </w:r>
      <w:r w:rsidRPr="007A3223">
        <w:rPr>
          <w:szCs w:val="24"/>
        </w:rPr>
        <w:t xml:space="preserve"> and if investigators consider that subjects continue to receive benefit from treatment.</w:t>
      </w:r>
      <w:r w:rsidR="002E5815" w:rsidRPr="007A3223">
        <w:rPr>
          <w:szCs w:val="24"/>
        </w:rPr>
        <w:t xml:space="preserve"> Of note, clinically significant deterioration is considered to be a rapid tumor progression that necessitates treatment with anti-cancer therapy other than </w:t>
      </w:r>
      <w:r w:rsidR="00F77BB7">
        <w:rPr>
          <w:szCs w:val="24"/>
        </w:rPr>
        <w:t>Durvalumab</w:t>
      </w:r>
      <w:r w:rsidR="002E5815" w:rsidRPr="007A3223">
        <w:rPr>
          <w:szCs w:val="24"/>
        </w:rPr>
        <w:t xml:space="preserve"> or with symptomatic progression that requires urgent medical intervention (e.g., central nervous system metastasis, respiratory failure due to tumor compression, spinal cord compression). </w:t>
      </w:r>
    </w:p>
    <w:p w14:paraId="78D446D2" w14:textId="77777777" w:rsidR="009D6FDF" w:rsidRPr="007A3223" w:rsidRDefault="009D6FDF" w:rsidP="00D11E3C">
      <w:pPr>
        <w:rPr>
          <w:u w:val="single"/>
        </w:rPr>
      </w:pPr>
      <w:r w:rsidRPr="007A3223">
        <w:rPr>
          <w:u w:val="single"/>
        </w:rPr>
        <w:t>Duration of Response</w:t>
      </w:r>
    </w:p>
    <w:p w14:paraId="02ADED2A" w14:textId="77777777" w:rsidR="009D6FDF" w:rsidRPr="007A3223" w:rsidRDefault="009D6FDF" w:rsidP="00FB66BA">
      <w:pPr>
        <w:pStyle w:val="ListParagraph"/>
        <w:numPr>
          <w:ilvl w:val="0"/>
          <w:numId w:val="24"/>
        </w:numPr>
        <w:ind w:left="360"/>
      </w:pPr>
      <w:r w:rsidRPr="007A3223">
        <w:rPr>
          <w:u w:val="single"/>
        </w:rPr>
        <w:t>Duration of overall response</w:t>
      </w:r>
      <w:r w:rsidRPr="007A3223">
        <w:t>:  The duration of overall response is measured from the time measurement criteria are met for CR or PR (whichever is first recorded) until the first date that recurrent or progressive disease is objectively documented (taking as reference for progressive disease the smallest measurements recorded since the treatment started).</w:t>
      </w:r>
    </w:p>
    <w:p w14:paraId="657015EF" w14:textId="77777777" w:rsidR="009D6FDF" w:rsidRPr="007A3223" w:rsidRDefault="009D6FDF" w:rsidP="00FB66BA">
      <w:pPr>
        <w:pStyle w:val="ListParagraph"/>
        <w:numPr>
          <w:ilvl w:val="0"/>
          <w:numId w:val="24"/>
        </w:numPr>
        <w:ind w:left="360"/>
      </w:pPr>
      <w:r w:rsidRPr="007A3223">
        <w:t>The duration of overall CR is measured from the time measurement criteria are first met for CR until the first date that progressive disease is objectively documented.</w:t>
      </w:r>
      <w:r w:rsidRPr="007A3223">
        <w:rPr>
          <w:b/>
        </w:rPr>
        <w:tab/>
      </w:r>
    </w:p>
    <w:p w14:paraId="18065C14" w14:textId="77777777" w:rsidR="009D6FDF" w:rsidRPr="007A3223" w:rsidRDefault="009D6FDF" w:rsidP="00FB66BA">
      <w:pPr>
        <w:pStyle w:val="ListParagraph"/>
        <w:numPr>
          <w:ilvl w:val="0"/>
          <w:numId w:val="24"/>
        </w:numPr>
        <w:ind w:left="360"/>
        <w:rPr>
          <w:b/>
          <w:bCs/>
          <w:i/>
        </w:rPr>
      </w:pPr>
      <w:r w:rsidRPr="007A3223">
        <w:rPr>
          <w:u w:val="single"/>
        </w:rPr>
        <w:t>Duration of stable disease</w:t>
      </w:r>
      <w:r w:rsidRPr="007A3223">
        <w:t xml:space="preserve">:  Stable disease is measured from the start of the treatment until the criteria for progression are met, taking as reference the smallest measurements recorded since the treatment started, including the baseline measurements. </w:t>
      </w:r>
    </w:p>
    <w:p w14:paraId="782785B3" w14:textId="77777777" w:rsidR="009D6FDF" w:rsidRPr="007A3223" w:rsidRDefault="009D6FDF" w:rsidP="00D11E3C">
      <w:pPr>
        <w:rPr>
          <w:u w:val="single"/>
        </w:rPr>
      </w:pPr>
      <w:r w:rsidRPr="007A3223">
        <w:rPr>
          <w:u w:val="single"/>
        </w:rPr>
        <w:t>Progression-Free Survival</w:t>
      </w:r>
    </w:p>
    <w:p w14:paraId="1F411EC3" w14:textId="77777777" w:rsidR="009D6FDF" w:rsidRPr="007A3223" w:rsidRDefault="009D6FDF" w:rsidP="009D6FDF">
      <w:pPr>
        <w:spacing w:after="0"/>
        <w:rPr>
          <w:szCs w:val="24"/>
        </w:rPr>
      </w:pPr>
      <w:r w:rsidRPr="007A3223">
        <w:rPr>
          <w:szCs w:val="24"/>
        </w:rPr>
        <w:t>PFS is defined as the duration of time from start of treatment to time of progression or death, whichever occurs first.</w:t>
      </w:r>
    </w:p>
    <w:p w14:paraId="34B01BEC" w14:textId="77777777" w:rsidR="009D6FDF" w:rsidRPr="007A3223" w:rsidRDefault="009D6FDF" w:rsidP="00D11E3C">
      <w:pPr>
        <w:rPr>
          <w:u w:val="single"/>
        </w:rPr>
      </w:pPr>
      <w:r w:rsidRPr="007A3223">
        <w:rPr>
          <w:u w:val="single"/>
        </w:rPr>
        <w:t>Confirmation of Response and Response Review</w:t>
      </w:r>
    </w:p>
    <w:p w14:paraId="29B1D656" w14:textId="66D919F5" w:rsidR="009D6FDF" w:rsidRPr="007A3223" w:rsidRDefault="009D6FDF" w:rsidP="009D6FDF">
      <w:pPr>
        <w:widowControl w:val="0"/>
        <w:autoSpaceDE w:val="0"/>
        <w:autoSpaceDN w:val="0"/>
        <w:adjustRightInd w:val="0"/>
        <w:spacing w:after="0"/>
        <w:rPr>
          <w:szCs w:val="24"/>
        </w:rPr>
      </w:pPr>
      <w:r w:rsidRPr="007A3223">
        <w:rPr>
          <w:szCs w:val="24"/>
        </w:rPr>
        <w:t>The main goal of confirmation of objective response is to avoid overestimating the response rate observed. In cases where confirmation of response is not feasible, it should be made clear when</w:t>
      </w:r>
      <w:r w:rsidR="001C46D3" w:rsidRPr="007A3223">
        <w:rPr>
          <w:szCs w:val="24"/>
        </w:rPr>
        <w:t xml:space="preserve"> </w:t>
      </w:r>
      <w:r w:rsidRPr="007A3223">
        <w:rPr>
          <w:szCs w:val="24"/>
        </w:rPr>
        <w:t>reporting the outcome of such studies that the responses are not confirmed.</w:t>
      </w:r>
    </w:p>
    <w:p w14:paraId="75283C8B" w14:textId="77777777" w:rsidR="009D6FDF" w:rsidRPr="007A3223" w:rsidRDefault="009D6FDF" w:rsidP="009D6FDF">
      <w:pPr>
        <w:widowControl w:val="0"/>
        <w:autoSpaceDE w:val="0"/>
        <w:autoSpaceDN w:val="0"/>
        <w:adjustRightInd w:val="0"/>
        <w:spacing w:after="0"/>
        <w:rPr>
          <w:szCs w:val="24"/>
        </w:rPr>
      </w:pPr>
      <w:r w:rsidRPr="007A3223">
        <w:rPr>
          <w:szCs w:val="24"/>
        </w:rPr>
        <w:t xml:space="preserve">To be assigned a status of PR or CR, changes in tumor measurements must be confirmed by repeat assessments that should be performed no less than 4 weeks after the criteria for response are first met. Longer intervals as determined by the study protocol may also be appropriate. In the case of SD, follow-up measurements must have met the SD criteria at least once after study entry at a minimum interval, not less than 6 weeks. </w:t>
      </w:r>
    </w:p>
    <w:p w14:paraId="6DB92835" w14:textId="77777777" w:rsidR="009D6FDF" w:rsidRPr="007A3223" w:rsidRDefault="009D6FDF" w:rsidP="00D11E3C">
      <w:pPr>
        <w:rPr>
          <w:u w:val="single"/>
        </w:rPr>
      </w:pPr>
      <w:r w:rsidRPr="007A3223">
        <w:rPr>
          <w:u w:val="single"/>
        </w:rPr>
        <w:t>Reporting of Results</w:t>
      </w:r>
    </w:p>
    <w:p w14:paraId="73486A3E" w14:textId="77777777" w:rsidR="009D6FDF" w:rsidRPr="007A3223" w:rsidRDefault="004A1576" w:rsidP="009D6FDF">
      <w:pPr>
        <w:widowControl w:val="0"/>
        <w:autoSpaceDE w:val="0"/>
        <w:autoSpaceDN w:val="0"/>
        <w:adjustRightInd w:val="0"/>
        <w:spacing w:after="0"/>
        <w:rPr>
          <w:szCs w:val="24"/>
        </w:rPr>
      </w:pPr>
      <w:r w:rsidRPr="007A3223">
        <w:rPr>
          <w:szCs w:val="24"/>
        </w:rPr>
        <w:lastRenderedPageBreak/>
        <w:t xml:space="preserve">Only </w:t>
      </w:r>
      <w:r w:rsidR="009D6FDF" w:rsidRPr="007A3223">
        <w:rPr>
          <w:szCs w:val="24"/>
        </w:rPr>
        <w:t>patients</w:t>
      </w:r>
      <w:r w:rsidRPr="007A3223">
        <w:rPr>
          <w:szCs w:val="24"/>
        </w:rPr>
        <w:t xml:space="preserve"> who received one</w:t>
      </w:r>
      <w:r w:rsidR="004937E9" w:rsidRPr="007A3223">
        <w:rPr>
          <w:szCs w:val="24"/>
        </w:rPr>
        <w:t xml:space="preserve"> full</w:t>
      </w:r>
      <w:r w:rsidRPr="007A3223">
        <w:rPr>
          <w:szCs w:val="24"/>
        </w:rPr>
        <w:t xml:space="preserve"> cycle of treatment</w:t>
      </w:r>
      <w:r w:rsidR="009D6FDF" w:rsidRPr="007A3223">
        <w:rPr>
          <w:szCs w:val="24"/>
        </w:rPr>
        <w:t xml:space="preserve"> </w:t>
      </w:r>
      <w:r w:rsidRPr="007A3223">
        <w:rPr>
          <w:szCs w:val="24"/>
        </w:rPr>
        <w:t xml:space="preserve">and are re-evaluated will </w:t>
      </w:r>
      <w:r w:rsidR="009D6FDF" w:rsidRPr="007A3223">
        <w:rPr>
          <w:szCs w:val="24"/>
        </w:rPr>
        <w:t>be assessed for response to treatment, even if there are</w:t>
      </w:r>
      <w:r w:rsidRPr="007A3223">
        <w:rPr>
          <w:szCs w:val="24"/>
        </w:rPr>
        <w:t xml:space="preserve"> </w:t>
      </w:r>
      <w:r w:rsidR="009D6FDF" w:rsidRPr="007A3223">
        <w:rPr>
          <w:szCs w:val="24"/>
        </w:rPr>
        <w:t>major protocol treatment deviations or if they are ineligible. Each patient will be assigned one of</w:t>
      </w:r>
      <w:r w:rsidRPr="007A3223">
        <w:rPr>
          <w:szCs w:val="24"/>
        </w:rPr>
        <w:t xml:space="preserve"> </w:t>
      </w:r>
      <w:r w:rsidR="009D6FDF" w:rsidRPr="007A3223">
        <w:rPr>
          <w:szCs w:val="24"/>
        </w:rPr>
        <w:t>the following categories: 1) complete response, 2) partial response, 3) stable disease, 4)</w:t>
      </w:r>
      <w:r w:rsidRPr="007A3223">
        <w:rPr>
          <w:szCs w:val="24"/>
        </w:rPr>
        <w:t xml:space="preserve"> </w:t>
      </w:r>
      <w:r w:rsidR="009D6FDF" w:rsidRPr="007A3223">
        <w:rPr>
          <w:szCs w:val="24"/>
        </w:rPr>
        <w:t>progressive disease, 5) early death from malignant disease, 6) early death from toxicity, 7) early</w:t>
      </w:r>
      <w:r w:rsidRPr="007A3223">
        <w:rPr>
          <w:szCs w:val="24"/>
        </w:rPr>
        <w:t xml:space="preserve"> </w:t>
      </w:r>
      <w:r w:rsidR="009D6FDF" w:rsidRPr="007A3223">
        <w:rPr>
          <w:szCs w:val="24"/>
        </w:rPr>
        <w:t>death because of other cause, or 9) unknown (not assessable, insufficient data).</w:t>
      </w:r>
    </w:p>
    <w:p w14:paraId="2F694999" w14:textId="31C5B55B" w:rsidR="009D6FDF" w:rsidRPr="007A3223" w:rsidRDefault="009D6FDF" w:rsidP="009D6FDF">
      <w:pPr>
        <w:widowControl w:val="0"/>
        <w:autoSpaceDE w:val="0"/>
        <w:autoSpaceDN w:val="0"/>
        <w:adjustRightInd w:val="0"/>
        <w:spacing w:after="0"/>
        <w:rPr>
          <w:szCs w:val="24"/>
        </w:rPr>
      </w:pPr>
      <w:r w:rsidRPr="007A3223">
        <w:rPr>
          <w:szCs w:val="24"/>
        </w:rPr>
        <w:t>Patients in response categories 4-</w:t>
      </w:r>
      <w:r w:rsidR="00C8542C" w:rsidRPr="007A3223">
        <w:rPr>
          <w:szCs w:val="24"/>
        </w:rPr>
        <w:t>8</w:t>
      </w:r>
      <w:r w:rsidRPr="007A3223">
        <w:rPr>
          <w:szCs w:val="24"/>
        </w:rPr>
        <w:t xml:space="preserve"> should be considered as failing to respond to</w:t>
      </w:r>
      <w:r w:rsidR="00C8542C" w:rsidRPr="007A3223">
        <w:rPr>
          <w:szCs w:val="24"/>
        </w:rPr>
        <w:t xml:space="preserve"> </w:t>
      </w:r>
      <w:r w:rsidRPr="007A3223">
        <w:rPr>
          <w:szCs w:val="24"/>
        </w:rPr>
        <w:t>treatment (disease progression). Thus, an incorrect treatment schedule or drug administration</w:t>
      </w:r>
      <w:r w:rsidR="00C8542C" w:rsidRPr="007A3223">
        <w:rPr>
          <w:szCs w:val="24"/>
        </w:rPr>
        <w:t xml:space="preserve"> </w:t>
      </w:r>
      <w:r w:rsidRPr="007A3223">
        <w:rPr>
          <w:szCs w:val="24"/>
        </w:rPr>
        <w:t>does not result in exclusion from the analysis of the response rate. Precise definitions for</w:t>
      </w:r>
      <w:r w:rsidR="00732D92" w:rsidRPr="007A3223">
        <w:rPr>
          <w:szCs w:val="24"/>
        </w:rPr>
        <w:t xml:space="preserve"> </w:t>
      </w:r>
      <w:r w:rsidRPr="007A3223">
        <w:rPr>
          <w:szCs w:val="24"/>
        </w:rPr>
        <w:t>categories 4-</w:t>
      </w:r>
      <w:r w:rsidR="00C8542C" w:rsidRPr="007A3223">
        <w:rPr>
          <w:szCs w:val="24"/>
        </w:rPr>
        <w:t>8</w:t>
      </w:r>
      <w:r w:rsidRPr="007A3223">
        <w:rPr>
          <w:szCs w:val="24"/>
        </w:rPr>
        <w:t xml:space="preserve"> will be protocol specific.</w:t>
      </w:r>
    </w:p>
    <w:p w14:paraId="2D619485" w14:textId="77777777" w:rsidR="009D6FDF" w:rsidRPr="007A3223" w:rsidRDefault="009D6FDF" w:rsidP="009D6FDF">
      <w:pPr>
        <w:widowControl w:val="0"/>
        <w:autoSpaceDE w:val="0"/>
        <w:autoSpaceDN w:val="0"/>
        <w:adjustRightInd w:val="0"/>
        <w:spacing w:after="0"/>
        <w:rPr>
          <w:szCs w:val="24"/>
        </w:rPr>
      </w:pPr>
      <w:r w:rsidRPr="007A3223">
        <w:rPr>
          <w:szCs w:val="24"/>
        </w:rPr>
        <w:t xml:space="preserve">All conclusions should be based on all </w:t>
      </w:r>
      <w:r w:rsidR="004B38CE" w:rsidRPr="007A3223">
        <w:rPr>
          <w:szCs w:val="24"/>
        </w:rPr>
        <w:t xml:space="preserve">enrolled </w:t>
      </w:r>
      <w:r w:rsidRPr="007A3223">
        <w:rPr>
          <w:szCs w:val="24"/>
        </w:rPr>
        <w:t>patients.</w:t>
      </w:r>
    </w:p>
    <w:p w14:paraId="66D56285" w14:textId="77777777" w:rsidR="009D6FDF" w:rsidRPr="007A3223" w:rsidRDefault="009D6FDF" w:rsidP="009D6FDF">
      <w:pPr>
        <w:widowControl w:val="0"/>
        <w:autoSpaceDE w:val="0"/>
        <w:autoSpaceDN w:val="0"/>
        <w:adjustRightInd w:val="0"/>
        <w:spacing w:after="0"/>
        <w:rPr>
          <w:szCs w:val="24"/>
        </w:rPr>
      </w:pPr>
      <w:r w:rsidRPr="007A3223">
        <w:rPr>
          <w:szCs w:val="24"/>
        </w:rPr>
        <w:t>Sub-analyses may then be performed on the basis of a subset of patients, excluding those for</w:t>
      </w:r>
    </w:p>
    <w:p w14:paraId="23316634" w14:textId="77777777" w:rsidR="009D6FDF" w:rsidRPr="007A3223" w:rsidRDefault="009D6FDF" w:rsidP="009D6FDF">
      <w:pPr>
        <w:widowControl w:val="0"/>
        <w:autoSpaceDE w:val="0"/>
        <w:autoSpaceDN w:val="0"/>
        <w:adjustRightInd w:val="0"/>
        <w:spacing w:after="0"/>
        <w:rPr>
          <w:szCs w:val="24"/>
        </w:rPr>
      </w:pPr>
      <w:r w:rsidRPr="007A3223">
        <w:rPr>
          <w:szCs w:val="24"/>
        </w:rPr>
        <w:t>whom major protocol deviations have been identified</w:t>
      </w:r>
      <w:r w:rsidR="004B38CE" w:rsidRPr="007A3223">
        <w:rPr>
          <w:szCs w:val="24"/>
        </w:rPr>
        <w:t>.</w:t>
      </w:r>
      <w:r w:rsidRPr="007A3223">
        <w:rPr>
          <w:szCs w:val="24"/>
        </w:rPr>
        <w:t xml:space="preserve"> However, these sub-analyses</w:t>
      </w:r>
      <w:r w:rsidR="004B38CE" w:rsidRPr="007A3223">
        <w:rPr>
          <w:szCs w:val="24"/>
        </w:rPr>
        <w:t xml:space="preserve"> </w:t>
      </w:r>
      <w:r w:rsidRPr="007A3223">
        <w:rPr>
          <w:szCs w:val="24"/>
        </w:rPr>
        <w:t>may not serve as the basis for drawing conclusions concerning treatment efficacy, and the</w:t>
      </w:r>
      <w:r w:rsidR="004B38CE" w:rsidRPr="007A3223">
        <w:rPr>
          <w:szCs w:val="24"/>
        </w:rPr>
        <w:t xml:space="preserve"> </w:t>
      </w:r>
      <w:r w:rsidRPr="007A3223">
        <w:rPr>
          <w:szCs w:val="24"/>
        </w:rPr>
        <w:t>reasons for excluding patients from the analysis should be clearly reported.</w:t>
      </w:r>
    </w:p>
    <w:p w14:paraId="392AA338" w14:textId="77777777" w:rsidR="009D6FDF" w:rsidRPr="007A3223" w:rsidRDefault="009D6FDF" w:rsidP="009D6FDF">
      <w:pPr>
        <w:spacing w:after="0"/>
        <w:rPr>
          <w:szCs w:val="24"/>
        </w:rPr>
      </w:pPr>
      <w:r w:rsidRPr="007A3223">
        <w:rPr>
          <w:szCs w:val="24"/>
        </w:rPr>
        <w:t>The 95% confidence intervals should be provided.</w:t>
      </w:r>
    </w:p>
    <w:p w14:paraId="13E45155" w14:textId="77777777" w:rsidR="009D6FDF" w:rsidRPr="007A3223" w:rsidRDefault="009D6FDF" w:rsidP="00ED703B">
      <w:pPr>
        <w:pStyle w:val="Heading2"/>
      </w:pPr>
      <w:bookmarkStart w:id="261" w:name="_Toc489625690"/>
      <w:bookmarkStart w:id="262" w:name="_Toc82444380"/>
      <w:bookmarkEnd w:id="261"/>
      <w:r w:rsidRPr="007A3223">
        <w:t>Toxicity Criteria</w:t>
      </w:r>
      <w:bookmarkEnd w:id="262"/>
    </w:p>
    <w:p w14:paraId="3910F748" w14:textId="77777777" w:rsidR="009D6FDF" w:rsidRPr="00F33908" w:rsidRDefault="009D6FDF" w:rsidP="009D6FDF">
      <w:pPr>
        <w:tabs>
          <w:tab w:val="left" w:pos="-450"/>
        </w:tabs>
        <w:spacing w:after="0"/>
        <w:rPr>
          <w:rFonts w:eastAsia="Times New Roman"/>
          <w:szCs w:val="24"/>
        </w:rPr>
      </w:pPr>
      <w:r w:rsidRPr="007A3223">
        <w:rPr>
          <w:szCs w:val="24"/>
        </w:rPr>
        <w:t xml:space="preserve">The following adverse event management guidelines are intended to ensure the safety of each patient while on the study.  </w:t>
      </w:r>
      <w:r w:rsidRPr="007A3223">
        <w:rPr>
          <w:rFonts w:eastAsia="Times New Roman"/>
          <w:szCs w:val="24"/>
        </w:rPr>
        <w:t>The descriptions and grading scales found in the revised NCI Common Terminology Criteria for Adverse Events (CTCAE) version 4.0 will be utilized for AE reporting.  All appropriate treatment areas should have access to a copy of the CTCAE version 4.0.  A copy of the CTCAE version 4.0 can be downloaded from the CTEP web site (</w:t>
      </w:r>
      <w:hyperlink r:id="rId72" w:anchor="ctc_40" w:history="1">
        <w:r w:rsidRPr="00F33908">
          <w:rPr>
            <w:rStyle w:val="Hyperlink"/>
            <w:rFonts w:eastAsia="Times New Roman"/>
            <w:szCs w:val="24"/>
          </w:rPr>
          <w:t>http://ctep.cancer.gov/protocolDevelopment/electronic_applications/ctc.htm#ctc_40</w:t>
        </w:r>
      </w:hyperlink>
      <w:r w:rsidRPr="007A3223">
        <w:rPr>
          <w:rFonts w:eastAsia="Times New Roman"/>
          <w:szCs w:val="24"/>
        </w:rPr>
        <w:t xml:space="preserve">). </w:t>
      </w:r>
    </w:p>
    <w:p w14:paraId="5AEB50FB" w14:textId="77777777" w:rsidR="009D6FDF" w:rsidRPr="007A3223" w:rsidRDefault="009D6FDF" w:rsidP="009D6FDF">
      <w:pPr>
        <w:tabs>
          <w:tab w:val="left" w:pos="-450"/>
        </w:tabs>
        <w:spacing w:after="0"/>
        <w:rPr>
          <w:rFonts w:eastAsia="Times New Roman"/>
          <w:szCs w:val="24"/>
        </w:rPr>
      </w:pPr>
    </w:p>
    <w:p w14:paraId="108EA67F" w14:textId="40BC494D" w:rsidR="00A928C5" w:rsidRPr="007A3223" w:rsidRDefault="00CF1C53" w:rsidP="00D20197">
      <w:pPr>
        <w:pStyle w:val="Heading1"/>
        <w:rPr>
          <w:rFonts w:hint="eastAsia"/>
        </w:rPr>
      </w:pPr>
      <w:bookmarkStart w:id="263" w:name="_Toc82444381"/>
      <w:r w:rsidRPr="007A3223">
        <w:t>NIH</w:t>
      </w:r>
      <w:r w:rsidR="00A928C5" w:rsidRPr="007A3223">
        <w:t xml:space="preserve"> REPORTING REQUIREMENTS/DATA AND SAFETY MONITORING PLAN</w:t>
      </w:r>
      <w:bookmarkEnd w:id="263"/>
    </w:p>
    <w:p w14:paraId="4B960C89" w14:textId="2047827C" w:rsidR="00A928C5" w:rsidRPr="007A3223" w:rsidRDefault="00A928C5" w:rsidP="00ED703B">
      <w:pPr>
        <w:pStyle w:val="Heading2"/>
      </w:pPr>
      <w:bookmarkStart w:id="264" w:name="_Toc82444382"/>
      <w:r w:rsidRPr="007A3223">
        <w:t>Definitions</w:t>
      </w:r>
      <w:bookmarkEnd w:id="264"/>
    </w:p>
    <w:p w14:paraId="0D8BBD99" w14:textId="1B30C7A4" w:rsidR="00A928C5" w:rsidRPr="00F33908" w:rsidRDefault="0094108B" w:rsidP="00B43067">
      <w:r w:rsidRPr="007A3223">
        <w:rPr>
          <w:lang w:val="x-none" w:eastAsia="x-none"/>
        </w:rPr>
        <w:t xml:space="preserve">Please refer to definitions provided in Policy 801: Reporting Research Events found </w:t>
      </w:r>
      <w:hyperlink r:id="rId73" w:history="1">
        <w:r w:rsidRPr="00F33908">
          <w:rPr>
            <w:rStyle w:val="Hyperlink"/>
            <w:b/>
            <w:lang w:val="x-none" w:eastAsia="x-none"/>
          </w:rPr>
          <w:t>here</w:t>
        </w:r>
      </w:hyperlink>
      <w:r w:rsidRPr="007A3223">
        <w:rPr>
          <w:lang w:val="x-none" w:eastAsia="x-none"/>
        </w:rPr>
        <w:t>.</w:t>
      </w:r>
      <w:bookmarkStart w:id="265" w:name="_Toc489625695"/>
      <w:bookmarkStart w:id="266" w:name="_Toc489625698"/>
      <w:bookmarkStart w:id="267" w:name="_Toc489625700"/>
      <w:bookmarkStart w:id="268" w:name="_Toc489625702"/>
      <w:bookmarkStart w:id="269" w:name="_Toc489625715"/>
      <w:bookmarkStart w:id="270" w:name="_Toc489625717"/>
      <w:bookmarkStart w:id="271" w:name="_Toc489625719"/>
      <w:bookmarkStart w:id="272" w:name="_Toc489625721"/>
      <w:bookmarkEnd w:id="265"/>
      <w:bookmarkEnd w:id="266"/>
      <w:bookmarkEnd w:id="267"/>
      <w:bookmarkEnd w:id="268"/>
      <w:bookmarkEnd w:id="269"/>
      <w:bookmarkEnd w:id="270"/>
      <w:bookmarkEnd w:id="271"/>
      <w:bookmarkEnd w:id="272"/>
    </w:p>
    <w:p w14:paraId="44F54CE8" w14:textId="27380CAF" w:rsidR="00A928C5" w:rsidRPr="007A3223" w:rsidRDefault="00CA13B5" w:rsidP="00ED703B">
      <w:pPr>
        <w:pStyle w:val="Heading2"/>
      </w:pPr>
      <w:bookmarkStart w:id="273" w:name="_Ref422913782"/>
      <w:bookmarkStart w:id="274" w:name="_Toc82444383"/>
      <w:r w:rsidRPr="007A3223">
        <w:rPr>
          <w:lang w:val="en-US"/>
        </w:rPr>
        <w:t xml:space="preserve">OHSRP Office of Compliance and Training / </w:t>
      </w:r>
      <w:r w:rsidR="00A928C5" w:rsidRPr="007A3223">
        <w:t>IRB</w:t>
      </w:r>
      <w:r w:rsidR="00FD4380" w:rsidRPr="007A3223">
        <w:rPr>
          <w:rFonts w:eastAsia="Calibri"/>
          <w:b w:val="0"/>
          <w:bCs w:val="0"/>
          <w:smallCaps w:val="0"/>
          <w:lang w:val="en-US" w:eastAsia="en-US"/>
        </w:rPr>
        <w:t xml:space="preserve"> </w:t>
      </w:r>
      <w:r w:rsidR="00A928C5" w:rsidRPr="007A3223">
        <w:t>Reporting</w:t>
      </w:r>
      <w:bookmarkEnd w:id="273"/>
      <w:bookmarkEnd w:id="274"/>
    </w:p>
    <w:p w14:paraId="11942E36" w14:textId="7AA32E4C" w:rsidR="00A928C5" w:rsidRPr="007A3223" w:rsidRDefault="00792B58" w:rsidP="000C1D10">
      <w:pPr>
        <w:pStyle w:val="Heading3"/>
      </w:pPr>
      <w:bookmarkStart w:id="275" w:name="_Ref12285108"/>
      <w:bookmarkStart w:id="276" w:name="_Ref12285221"/>
      <w:bookmarkStart w:id="277" w:name="_Ref12285363"/>
      <w:bookmarkStart w:id="278" w:name="_Ref12352831"/>
      <w:bookmarkStart w:id="279" w:name="_Ref12353110"/>
      <w:r w:rsidRPr="007A3223">
        <w:t>Expedited Reporting</w:t>
      </w:r>
      <w:r w:rsidRPr="007A3223" w:rsidDel="0077660A">
        <w:t xml:space="preserve"> </w:t>
      </w:r>
      <w:bookmarkEnd w:id="275"/>
      <w:bookmarkEnd w:id="276"/>
      <w:bookmarkEnd w:id="277"/>
      <w:bookmarkEnd w:id="278"/>
      <w:bookmarkEnd w:id="279"/>
    </w:p>
    <w:p w14:paraId="4DCD661C" w14:textId="07E97397" w:rsidR="00D01530" w:rsidRPr="007A3223" w:rsidRDefault="00D01530" w:rsidP="00D01530">
      <w:pPr>
        <w:rPr>
          <w:rFonts w:eastAsia="Calibri"/>
          <w:szCs w:val="24"/>
        </w:rPr>
      </w:pPr>
      <w:r w:rsidRPr="007A3223">
        <w:rPr>
          <w:rFonts w:eastAsia="Calibri"/>
        </w:rPr>
        <w:t xml:space="preserve">Please refer to the reporting requirements in </w:t>
      </w:r>
      <w:r w:rsidRPr="007A3223">
        <w:rPr>
          <w:rFonts w:eastAsia="Calibri"/>
          <w:szCs w:val="24"/>
        </w:rPr>
        <w:t xml:space="preserve">Policy 801: Reporting Research Events and Policy 802 Non-Compliance Human Subjects Research found </w:t>
      </w:r>
      <w:hyperlink r:id="rId74" w:history="1">
        <w:hyperlink r:id="rId75" w:history="1">
          <w:r w:rsidRPr="007A3223">
            <w:rPr>
              <w:rStyle w:val="Hyperlink"/>
              <w:b/>
              <w:lang w:val="x-none" w:eastAsia="x-none"/>
            </w:rPr>
            <w:t>here</w:t>
          </w:r>
        </w:hyperlink>
      </w:hyperlink>
      <w:r w:rsidRPr="007A3223">
        <w:rPr>
          <w:rFonts w:eastAsia="Calibri"/>
        </w:rPr>
        <w:t>.</w:t>
      </w:r>
      <w:r w:rsidRPr="00F33908">
        <w:rPr>
          <w:rFonts w:eastAsia="Calibri"/>
          <w:i/>
          <w:szCs w:val="24"/>
        </w:rPr>
        <w:t xml:space="preserve"> </w:t>
      </w:r>
      <w:r w:rsidRPr="007A3223">
        <w:rPr>
          <w:rFonts w:eastAsia="Calibri"/>
          <w:szCs w:val="24"/>
        </w:rPr>
        <w:t>Note: Only IND Safety Reports that meet the definition of an unanticipated problem will need to be reported per these policies.</w:t>
      </w:r>
    </w:p>
    <w:p w14:paraId="743B9EAE" w14:textId="22042EAA" w:rsidR="00A928C5" w:rsidRPr="007A3223" w:rsidRDefault="00A928C5" w:rsidP="000C1D10">
      <w:pPr>
        <w:pStyle w:val="Heading3"/>
      </w:pPr>
      <w:bookmarkStart w:id="280" w:name="_Toc489625725"/>
      <w:bookmarkEnd w:id="280"/>
      <w:r w:rsidRPr="007A3223">
        <w:t>IRB Requirements for PI Reporting at Continuing Review</w:t>
      </w:r>
    </w:p>
    <w:p w14:paraId="14E330E1" w14:textId="146E3730" w:rsidR="00B71250" w:rsidRPr="00F33908" w:rsidRDefault="00B71250" w:rsidP="00B71250">
      <w:pPr>
        <w:spacing w:before="100" w:beforeAutospacing="1" w:after="100" w:afterAutospacing="1"/>
        <w:rPr>
          <w:i/>
          <w:color w:val="000000"/>
          <w:szCs w:val="24"/>
        </w:rPr>
      </w:pPr>
      <w:bookmarkStart w:id="281" w:name="_Hlk9932127"/>
      <w:r w:rsidRPr="007A3223">
        <w:t xml:space="preserve">Please refer to the reporting requirements in </w:t>
      </w:r>
      <w:r w:rsidRPr="007A3223">
        <w:rPr>
          <w:szCs w:val="24"/>
        </w:rPr>
        <w:t xml:space="preserve">Policy 801: Reporting Research Events found </w:t>
      </w:r>
      <w:hyperlink r:id="rId76" w:history="1">
        <w:hyperlink r:id="rId77" w:history="1">
          <w:r w:rsidRPr="007A3223">
            <w:rPr>
              <w:rStyle w:val="Hyperlink"/>
              <w:b/>
            </w:rPr>
            <w:t>here</w:t>
          </w:r>
        </w:hyperlink>
      </w:hyperlink>
      <w:r w:rsidRPr="007A3223">
        <w:t xml:space="preserve">. </w:t>
      </w:r>
    </w:p>
    <w:p w14:paraId="37732CB1" w14:textId="77777777" w:rsidR="009C55D6" w:rsidRPr="007A3223" w:rsidRDefault="009C55D6" w:rsidP="00574E82">
      <w:pPr>
        <w:pStyle w:val="Heading2"/>
      </w:pPr>
      <w:bookmarkStart w:id="282" w:name="_Toc489625727"/>
      <w:bookmarkStart w:id="283" w:name="_Toc11168597"/>
      <w:bookmarkStart w:id="284" w:name="_Toc82444384"/>
      <w:bookmarkStart w:id="285" w:name="_Toc514656430"/>
      <w:bookmarkEnd w:id="281"/>
      <w:bookmarkEnd w:id="282"/>
      <w:r w:rsidRPr="007A3223">
        <w:lastRenderedPageBreak/>
        <w:t>NCI Clinical Director Reporting</w:t>
      </w:r>
      <w:bookmarkEnd w:id="283"/>
      <w:bookmarkEnd w:id="284"/>
      <w:r w:rsidRPr="007A3223">
        <w:t xml:space="preserve"> </w:t>
      </w:r>
      <w:bookmarkEnd w:id="285"/>
    </w:p>
    <w:p w14:paraId="56D02908" w14:textId="111AB562" w:rsidR="009C55D6" w:rsidRPr="007A3223" w:rsidRDefault="009C55D6" w:rsidP="009C55D6">
      <w:pPr>
        <w:spacing w:after="0"/>
        <w:rPr>
          <w:szCs w:val="24"/>
        </w:rPr>
      </w:pPr>
      <w:r w:rsidRPr="007A3223">
        <w:rPr>
          <w:szCs w:val="24"/>
        </w:rPr>
        <w:t>Problems expeditiously reported to the OHSRP in iRIS will also be reported to the NCI Clinical Director.  A separate submission is not necessary as reports in iRIS will be available to the Clinical Director.</w:t>
      </w:r>
    </w:p>
    <w:p w14:paraId="0AC2EB28" w14:textId="77777777" w:rsidR="009C55D6" w:rsidRPr="007A3223" w:rsidRDefault="009C55D6" w:rsidP="009C55D6">
      <w:pPr>
        <w:spacing w:after="0"/>
        <w:rPr>
          <w:szCs w:val="24"/>
        </w:rPr>
      </w:pPr>
      <w:r w:rsidRPr="007A3223">
        <w:rPr>
          <w:szCs w:val="24"/>
        </w:rPr>
        <w:t xml:space="preserve">In addition to those reports, all deaths that occur within 30 days after receiving a research intervention should be reported via email to the Clinical Director unless they are due to progressive disease.  </w:t>
      </w:r>
    </w:p>
    <w:p w14:paraId="25902834" w14:textId="13CFA895" w:rsidR="009C55D6" w:rsidRPr="007A3223" w:rsidRDefault="009C55D6" w:rsidP="009C55D6">
      <w:pPr>
        <w:spacing w:after="0"/>
        <w:rPr>
          <w:szCs w:val="24"/>
        </w:rPr>
      </w:pPr>
      <w:r w:rsidRPr="007A3223">
        <w:rPr>
          <w:szCs w:val="24"/>
        </w:rPr>
        <w:t>To report these deaths, please send an email describing the circumstances of the death to Dr. Dahut at NCICCRQA@mail.nih.gov within one business day of learning of the death.</w:t>
      </w:r>
    </w:p>
    <w:p w14:paraId="22C60736" w14:textId="06CCA7DE" w:rsidR="00A928C5" w:rsidRPr="007A3223" w:rsidRDefault="00462500" w:rsidP="00ED703B">
      <w:pPr>
        <w:pStyle w:val="Heading2"/>
      </w:pPr>
      <w:bookmarkStart w:id="286" w:name="_Toc489625729"/>
      <w:bookmarkStart w:id="287" w:name="_Toc489625731"/>
      <w:bookmarkStart w:id="288" w:name="_Toc489625733"/>
      <w:bookmarkStart w:id="289" w:name="_Toc405290050"/>
      <w:bookmarkStart w:id="290" w:name="_Toc405293110"/>
      <w:bookmarkStart w:id="291" w:name="_Toc405293532"/>
      <w:bookmarkStart w:id="292" w:name="_Toc82444385"/>
      <w:bookmarkEnd w:id="286"/>
      <w:bookmarkEnd w:id="287"/>
      <w:bookmarkEnd w:id="288"/>
      <w:bookmarkEnd w:id="289"/>
      <w:bookmarkEnd w:id="290"/>
      <w:bookmarkEnd w:id="291"/>
      <w:r w:rsidRPr="007A3223">
        <w:rPr>
          <w:lang w:val="en-US"/>
        </w:rPr>
        <w:t xml:space="preserve">NIH Required </w:t>
      </w:r>
      <w:r w:rsidR="00A928C5" w:rsidRPr="007A3223">
        <w:t>Data and Safety Monitoring Plan</w:t>
      </w:r>
      <w:bookmarkEnd w:id="292"/>
    </w:p>
    <w:p w14:paraId="220F5BF1" w14:textId="77777777" w:rsidR="00A928C5" w:rsidRPr="007A3223" w:rsidRDefault="00A928C5" w:rsidP="000C1D10">
      <w:pPr>
        <w:pStyle w:val="Heading3"/>
      </w:pPr>
      <w:r w:rsidRPr="007A3223">
        <w:t xml:space="preserve">Principal Investigator/Research Team </w:t>
      </w:r>
    </w:p>
    <w:p w14:paraId="4246DE4E" w14:textId="77777777" w:rsidR="00A928C5" w:rsidRPr="007A3223" w:rsidRDefault="00A928C5" w:rsidP="00C34EB9">
      <w:r w:rsidRPr="007A3223">
        <w:t xml:space="preserve">The clinical research team will meet on a regular basis when patients are being actively treated on the trial to discuss each patient. Decisions about dose level enrollment and dose escalation if applicable will be made based on the toxicity data from prior patients. </w:t>
      </w:r>
    </w:p>
    <w:p w14:paraId="33CB2131" w14:textId="1F9846A5" w:rsidR="00A928C5" w:rsidRPr="00F33908" w:rsidRDefault="00A928C5" w:rsidP="00C34EB9">
      <w:r w:rsidRPr="007A3223">
        <w:t xml:space="preserve">All data will be collected in a timely manner and reviewed by the </w:t>
      </w:r>
      <w:r w:rsidR="00BD45C4" w:rsidRPr="007A3223">
        <w:t>PI</w:t>
      </w:r>
      <w:r w:rsidRPr="007A3223">
        <w:t xml:space="preserve"> or a lead associate investigator. </w:t>
      </w:r>
      <w:r w:rsidR="00F6755C" w:rsidRPr="007A3223">
        <w:t>E</w:t>
      </w:r>
      <w:r w:rsidR="00826CBD" w:rsidRPr="007A3223">
        <w:t xml:space="preserve">vents </w:t>
      </w:r>
      <w:r w:rsidR="00F6755C" w:rsidRPr="007A3223">
        <w:t xml:space="preserve">meeting requirements for expedited reporting as described in Section </w:t>
      </w:r>
      <w:r w:rsidR="00C97B0A" w:rsidRPr="00F33908">
        <w:rPr>
          <w:b/>
          <w:color w:val="0000FF"/>
        </w:rPr>
        <w:fldChar w:fldCharType="begin"/>
      </w:r>
      <w:r w:rsidR="00C97B0A" w:rsidRPr="007A3223">
        <w:rPr>
          <w:b/>
          <w:color w:val="0000FF"/>
        </w:rPr>
        <w:instrText xml:space="preserve"> REF _Ref12285363 \r \h  \* MERGEFORMAT </w:instrText>
      </w:r>
      <w:r w:rsidR="00C97B0A" w:rsidRPr="00F33908">
        <w:rPr>
          <w:b/>
          <w:color w:val="0000FF"/>
        </w:rPr>
      </w:r>
      <w:r w:rsidR="00C97B0A" w:rsidRPr="00F33908">
        <w:rPr>
          <w:b/>
          <w:color w:val="0000FF"/>
        </w:rPr>
        <w:fldChar w:fldCharType="separate"/>
      </w:r>
      <w:r w:rsidR="00E47ACA">
        <w:rPr>
          <w:b/>
          <w:color w:val="0000FF"/>
        </w:rPr>
        <w:t>8.2.1</w:t>
      </w:r>
      <w:r w:rsidR="00C97B0A" w:rsidRPr="00F33908">
        <w:rPr>
          <w:b/>
          <w:color w:val="0000FF"/>
        </w:rPr>
        <w:fldChar w:fldCharType="end"/>
      </w:r>
      <w:r w:rsidR="00C97B0A" w:rsidRPr="007A3223">
        <w:t xml:space="preserve"> </w:t>
      </w:r>
      <w:r w:rsidR="00826CBD" w:rsidRPr="00F33908">
        <w:t xml:space="preserve">will be </w:t>
      </w:r>
      <w:r w:rsidR="00F6755C" w:rsidRPr="007A3223">
        <w:t xml:space="preserve">submitted within the appropriate timelines. </w:t>
      </w:r>
      <w:r w:rsidR="00AF1AB2" w:rsidRPr="007A3223">
        <w:t xml:space="preserve">See Section </w:t>
      </w:r>
      <w:r w:rsidR="00AF1AB2" w:rsidRPr="00F33908">
        <w:rPr>
          <w:b/>
          <w:color w:val="0000FF"/>
        </w:rPr>
        <w:fldChar w:fldCharType="begin"/>
      </w:r>
      <w:r w:rsidR="00AF1AB2" w:rsidRPr="007A3223">
        <w:rPr>
          <w:b/>
          <w:color w:val="0000FF"/>
        </w:rPr>
        <w:instrText xml:space="preserve"> REF _Ref12628990 \r \h  \* MERGEFORMAT </w:instrText>
      </w:r>
      <w:r w:rsidR="00AF1AB2" w:rsidRPr="00F33908">
        <w:rPr>
          <w:b/>
          <w:color w:val="0000FF"/>
        </w:rPr>
      </w:r>
      <w:r w:rsidR="00AF1AB2" w:rsidRPr="00F33908">
        <w:rPr>
          <w:b/>
          <w:color w:val="0000FF"/>
        </w:rPr>
        <w:fldChar w:fldCharType="separate"/>
      </w:r>
      <w:r w:rsidR="00E47ACA">
        <w:rPr>
          <w:b/>
          <w:color w:val="0000FF"/>
        </w:rPr>
        <w:t>7.1</w:t>
      </w:r>
      <w:r w:rsidR="00AF1AB2" w:rsidRPr="00F33908">
        <w:rPr>
          <w:b/>
          <w:color w:val="0000FF"/>
        </w:rPr>
        <w:fldChar w:fldCharType="end"/>
      </w:r>
      <w:r w:rsidR="00AF1AB2" w:rsidRPr="007A3223">
        <w:t>for documentation requirements.</w:t>
      </w:r>
    </w:p>
    <w:p w14:paraId="12C519E3" w14:textId="77777777" w:rsidR="00A928C5" w:rsidRPr="007A3223" w:rsidRDefault="00A928C5" w:rsidP="00C34EB9">
      <w:r w:rsidRPr="007A3223">
        <w:t xml:space="preserve">The </w:t>
      </w:r>
      <w:r w:rsidR="00BD45C4" w:rsidRPr="007A3223">
        <w:t>PI</w:t>
      </w:r>
      <w:r w:rsidRPr="007A3223">
        <w:t xml:space="preserve"> will review adverse event and response data on each patient to ensure safety and data accuracy. The </w:t>
      </w:r>
      <w:r w:rsidR="00BD45C4" w:rsidRPr="007A3223">
        <w:t>PI</w:t>
      </w:r>
      <w:r w:rsidRPr="007A3223">
        <w:t xml:space="preserve"> will personally conduct or supervise the investigation and provide appropriate delegation of responsibilities to other members of the research staff. </w:t>
      </w:r>
    </w:p>
    <w:p w14:paraId="2E7EDF13" w14:textId="6EE93001" w:rsidR="00A928C5" w:rsidRPr="007A3223" w:rsidRDefault="00A928C5" w:rsidP="00D20197">
      <w:pPr>
        <w:pStyle w:val="Heading1"/>
        <w:rPr>
          <w:rFonts w:hint="eastAsia"/>
        </w:rPr>
      </w:pPr>
      <w:bookmarkStart w:id="293" w:name="_Ref12352996"/>
      <w:bookmarkStart w:id="294" w:name="_Toc82444386"/>
      <w:r w:rsidRPr="007A3223">
        <w:t xml:space="preserve">Sponsor </w:t>
      </w:r>
      <w:r w:rsidR="001677BA">
        <w:t xml:space="preserve">SAFETY </w:t>
      </w:r>
      <w:bookmarkEnd w:id="293"/>
      <w:r w:rsidR="001677BA">
        <w:t xml:space="preserve"> REPorting</w:t>
      </w:r>
      <w:bookmarkEnd w:id="294"/>
    </w:p>
    <w:p w14:paraId="20C3D876" w14:textId="77777777" w:rsidR="00484D3D" w:rsidRPr="007A3223" w:rsidRDefault="00484D3D" w:rsidP="00E33A2B">
      <w:pPr>
        <w:pStyle w:val="Heading2"/>
      </w:pPr>
      <w:bookmarkStart w:id="295" w:name="_Toc11168620"/>
      <w:bookmarkStart w:id="296" w:name="_Toc82444387"/>
      <w:r w:rsidRPr="007A3223">
        <w:t>Definitions</w:t>
      </w:r>
      <w:bookmarkEnd w:id="295"/>
      <w:bookmarkEnd w:id="296"/>
    </w:p>
    <w:p w14:paraId="1453F159" w14:textId="77777777" w:rsidR="00484D3D" w:rsidRPr="007A3223" w:rsidRDefault="00484D3D" w:rsidP="00E33A2B">
      <w:pPr>
        <w:pStyle w:val="Heading3"/>
      </w:pPr>
      <w:bookmarkStart w:id="297" w:name="_Toc531772368"/>
      <w:bookmarkStart w:id="298" w:name="_Toc11168621"/>
      <w:r w:rsidRPr="00E33A2B">
        <w:t>Adverse</w:t>
      </w:r>
      <w:r w:rsidRPr="007A3223">
        <w:t xml:space="preserve"> Event</w:t>
      </w:r>
      <w:bookmarkEnd w:id="297"/>
      <w:bookmarkEnd w:id="298"/>
      <w:r w:rsidRPr="007A3223">
        <w:t xml:space="preserve"> </w:t>
      </w:r>
    </w:p>
    <w:p w14:paraId="735EABEF" w14:textId="77777777" w:rsidR="00484D3D" w:rsidRPr="007A3223" w:rsidRDefault="00484D3D" w:rsidP="00484D3D">
      <w:pPr>
        <w:rPr>
          <w:rFonts w:eastAsia="Calibri"/>
          <w:szCs w:val="24"/>
        </w:rPr>
      </w:pPr>
      <w:r w:rsidRPr="007A3223">
        <w:rPr>
          <w:rFonts w:eastAsia="Calibri"/>
        </w:rPr>
        <w:t>Any untoward medical occurrence in a patient or clinical investigation subject administered a pharmaceutical product and which does not necessarily have a causal relationship with this treatment. An adverse event (AE) can therefore be any unfavorable and unintended sign (including an abnormal laboratory finding), symptom, or disease temporally associated with the use of a medicinal (investigational) product, whether or not related to the medicinal (investigational) product (ICH E6 (R2))</w:t>
      </w:r>
    </w:p>
    <w:p w14:paraId="11F6F068" w14:textId="77777777" w:rsidR="00484D3D" w:rsidRPr="007A3223" w:rsidRDefault="00484D3D" w:rsidP="00E33A2B">
      <w:pPr>
        <w:pStyle w:val="Heading3"/>
      </w:pPr>
      <w:bookmarkStart w:id="299" w:name="_Toc531772382"/>
      <w:bookmarkStart w:id="300" w:name="_Ref9920154"/>
      <w:bookmarkStart w:id="301" w:name="_Toc11168622"/>
      <w:r w:rsidRPr="00E33A2B">
        <w:t>Serious</w:t>
      </w:r>
      <w:r w:rsidRPr="007A3223">
        <w:t xml:space="preserve"> Adverse Event</w:t>
      </w:r>
      <w:bookmarkEnd w:id="299"/>
      <w:r w:rsidRPr="007A3223">
        <w:t xml:space="preserve"> (SAE)</w:t>
      </w:r>
      <w:bookmarkEnd w:id="300"/>
      <w:bookmarkEnd w:id="301"/>
    </w:p>
    <w:p w14:paraId="49716D91" w14:textId="77777777" w:rsidR="00484D3D" w:rsidRPr="007A3223" w:rsidRDefault="00484D3D" w:rsidP="00484D3D">
      <w:pPr>
        <w:rPr>
          <w:rFonts w:eastAsia="Calibri"/>
          <w:szCs w:val="24"/>
        </w:rPr>
      </w:pPr>
      <w:r w:rsidRPr="007A3223">
        <w:rPr>
          <w:rFonts w:eastAsia="Calibri"/>
          <w:szCs w:val="24"/>
        </w:rPr>
        <w:t>An adverse event or suspected adverse reaction is considered serious if in the view of the investigator or the sponsor, it results in any of the following:</w:t>
      </w:r>
    </w:p>
    <w:p w14:paraId="1F853ED3" w14:textId="77777777" w:rsidR="00484D3D" w:rsidRPr="007A3223" w:rsidRDefault="00484D3D" w:rsidP="00484D3D">
      <w:pPr>
        <w:numPr>
          <w:ilvl w:val="0"/>
          <w:numId w:val="1"/>
        </w:numPr>
        <w:autoSpaceDE w:val="0"/>
        <w:autoSpaceDN w:val="0"/>
        <w:adjustRightInd w:val="0"/>
        <w:rPr>
          <w:rFonts w:eastAsia="Calibri"/>
          <w:color w:val="000000"/>
          <w:szCs w:val="24"/>
        </w:rPr>
      </w:pPr>
      <w:r w:rsidRPr="007A3223">
        <w:rPr>
          <w:rFonts w:eastAsia="Calibri"/>
          <w:color w:val="000000"/>
          <w:szCs w:val="24"/>
        </w:rPr>
        <w:t>Death,</w:t>
      </w:r>
    </w:p>
    <w:p w14:paraId="55C7F4C0" w14:textId="7C8D4D9B" w:rsidR="00484D3D" w:rsidRPr="00F33908" w:rsidRDefault="00484D3D" w:rsidP="00484D3D">
      <w:pPr>
        <w:numPr>
          <w:ilvl w:val="0"/>
          <w:numId w:val="1"/>
        </w:numPr>
        <w:autoSpaceDE w:val="0"/>
        <w:autoSpaceDN w:val="0"/>
        <w:adjustRightInd w:val="0"/>
        <w:rPr>
          <w:rFonts w:eastAsia="Calibri"/>
          <w:color w:val="000000"/>
          <w:szCs w:val="24"/>
        </w:rPr>
      </w:pPr>
      <w:r w:rsidRPr="007A3223">
        <w:rPr>
          <w:rFonts w:eastAsia="Calibri"/>
          <w:color w:val="000000"/>
          <w:szCs w:val="24"/>
        </w:rPr>
        <w:t xml:space="preserve">A life-threatening adverse event (see </w:t>
      </w:r>
      <w:r w:rsidRPr="00F33908">
        <w:rPr>
          <w:rFonts w:eastAsia="Calibri"/>
          <w:b/>
          <w:color w:val="0000FF"/>
        </w:rPr>
        <w:fldChar w:fldCharType="begin"/>
      </w:r>
      <w:r w:rsidRPr="007A3223">
        <w:rPr>
          <w:rFonts w:eastAsia="Calibri"/>
          <w:b/>
          <w:color w:val="0000FF"/>
        </w:rPr>
        <w:instrText xml:space="preserve"> REF _Ref9918921 \r \h  \* MERGEFORMAT </w:instrText>
      </w:r>
      <w:r w:rsidRPr="00F33908">
        <w:rPr>
          <w:rFonts w:eastAsia="Calibri"/>
          <w:b/>
          <w:color w:val="0000FF"/>
        </w:rPr>
      </w:r>
      <w:r w:rsidRPr="00F33908">
        <w:rPr>
          <w:rFonts w:eastAsia="Calibri"/>
          <w:b/>
          <w:color w:val="0000FF"/>
        </w:rPr>
        <w:fldChar w:fldCharType="separate"/>
      </w:r>
      <w:r w:rsidR="00E47ACA">
        <w:rPr>
          <w:rFonts w:eastAsia="Calibri"/>
          <w:b/>
          <w:color w:val="0000FF"/>
        </w:rPr>
        <w:t>9.1.3</w:t>
      </w:r>
      <w:r w:rsidRPr="00F33908">
        <w:rPr>
          <w:rFonts w:eastAsia="Calibri"/>
          <w:b/>
          <w:color w:val="0000FF"/>
        </w:rPr>
        <w:fldChar w:fldCharType="end"/>
      </w:r>
      <w:r w:rsidRPr="007A3223">
        <w:rPr>
          <w:rFonts w:eastAsia="Calibri"/>
          <w:color w:val="000000"/>
          <w:szCs w:val="24"/>
        </w:rPr>
        <w:t>)</w:t>
      </w:r>
    </w:p>
    <w:p w14:paraId="73054A41" w14:textId="1B2C0E92" w:rsidR="00484D3D" w:rsidRDefault="00484D3D" w:rsidP="00484D3D">
      <w:pPr>
        <w:numPr>
          <w:ilvl w:val="0"/>
          <w:numId w:val="1"/>
        </w:numPr>
        <w:autoSpaceDE w:val="0"/>
        <w:autoSpaceDN w:val="0"/>
        <w:adjustRightInd w:val="0"/>
        <w:rPr>
          <w:rFonts w:eastAsia="Calibri"/>
          <w:color w:val="000000"/>
          <w:szCs w:val="24"/>
        </w:rPr>
      </w:pPr>
      <w:r w:rsidRPr="007A3223">
        <w:rPr>
          <w:rFonts w:eastAsia="Calibri"/>
          <w:color w:val="000000"/>
          <w:szCs w:val="24"/>
        </w:rPr>
        <w:t>Inpatient hospitalization or prolongation of existing hospitalization</w:t>
      </w:r>
    </w:p>
    <w:p w14:paraId="46BD5817" w14:textId="77777777" w:rsidR="001677BA" w:rsidRPr="00C95D03" w:rsidRDefault="001677BA" w:rsidP="001677BA">
      <w:pPr>
        <w:numPr>
          <w:ilvl w:val="1"/>
          <w:numId w:val="1"/>
        </w:numPr>
        <w:autoSpaceDE w:val="0"/>
        <w:autoSpaceDN w:val="0"/>
        <w:adjustRightInd w:val="0"/>
        <w:rPr>
          <w:szCs w:val="24"/>
        </w:rPr>
      </w:pPr>
      <w:r w:rsidRPr="00C95D03">
        <w:rPr>
          <w:szCs w:val="24"/>
        </w:rPr>
        <w:lastRenderedPageBreak/>
        <w:t>A hospitalization/admission that is pre-planned (i.e., elective or scheduled surgery arranged prior to the start of the study), a planned hospitalization for pre-existing condition, or a procedure required by the protocol, without a serious deterioration in health, is not considered a serious adverse event.</w:t>
      </w:r>
    </w:p>
    <w:p w14:paraId="68E94012" w14:textId="77777777" w:rsidR="001677BA" w:rsidRPr="00C95D03" w:rsidRDefault="001677BA" w:rsidP="001677BA">
      <w:pPr>
        <w:numPr>
          <w:ilvl w:val="1"/>
          <w:numId w:val="1"/>
        </w:numPr>
        <w:autoSpaceDE w:val="0"/>
        <w:autoSpaceDN w:val="0"/>
        <w:adjustRightInd w:val="0"/>
        <w:rPr>
          <w:szCs w:val="24"/>
        </w:rPr>
      </w:pPr>
      <w:r w:rsidRPr="00C95D03">
        <w:rPr>
          <w:szCs w:val="24"/>
        </w:rPr>
        <w:t>A hospitalization/admission that is solely driven by non-medical reasons (e.g., hospitalization for patient</w:t>
      </w:r>
      <w:r>
        <w:rPr>
          <w:szCs w:val="24"/>
        </w:rPr>
        <w:t xml:space="preserve"> or subject</w:t>
      </w:r>
      <w:r w:rsidRPr="00C95D03">
        <w:rPr>
          <w:szCs w:val="24"/>
        </w:rPr>
        <w:t xml:space="preserve"> convenience) is not considered a serious adverse event. </w:t>
      </w:r>
    </w:p>
    <w:p w14:paraId="0437C4F8" w14:textId="436619D1" w:rsidR="001677BA" w:rsidRPr="00E54B56" w:rsidRDefault="001677BA" w:rsidP="008626DA">
      <w:pPr>
        <w:numPr>
          <w:ilvl w:val="1"/>
          <w:numId w:val="1"/>
        </w:numPr>
        <w:autoSpaceDE w:val="0"/>
        <w:autoSpaceDN w:val="0"/>
        <w:adjustRightInd w:val="0"/>
        <w:rPr>
          <w:rFonts w:eastAsia="Calibri"/>
          <w:color w:val="000000"/>
          <w:szCs w:val="24"/>
        </w:rPr>
      </w:pPr>
      <w:r w:rsidRPr="001677BA">
        <w:rPr>
          <w:szCs w:val="24"/>
        </w:rPr>
        <w:t>Emergency room visits or stays in observation units that do not result in admission to the hospital would not be considered a serious adverse event. The reason for seeking medical care should be evaluated for meeting one of the other serious criteria.</w:t>
      </w:r>
    </w:p>
    <w:p w14:paraId="2CFE9E05" w14:textId="77777777" w:rsidR="00484D3D" w:rsidRPr="007A3223" w:rsidRDefault="00484D3D" w:rsidP="00484D3D">
      <w:pPr>
        <w:numPr>
          <w:ilvl w:val="0"/>
          <w:numId w:val="1"/>
        </w:numPr>
        <w:autoSpaceDE w:val="0"/>
        <w:autoSpaceDN w:val="0"/>
        <w:adjustRightInd w:val="0"/>
        <w:rPr>
          <w:rFonts w:eastAsia="Calibri"/>
          <w:szCs w:val="24"/>
        </w:rPr>
      </w:pPr>
      <w:r w:rsidRPr="007A3223">
        <w:rPr>
          <w:rFonts w:eastAsia="Calibri"/>
          <w:szCs w:val="24"/>
        </w:rPr>
        <w:t>Persistent or significant incapacity or substantial disruption of the ability to conduct normal life functions</w:t>
      </w:r>
    </w:p>
    <w:p w14:paraId="3F00E9C7" w14:textId="77777777" w:rsidR="00484D3D" w:rsidRPr="007A3223" w:rsidRDefault="00484D3D" w:rsidP="00484D3D">
      <w:pPr>
        <w:numPr>
          <w:ilvl w:val="0"/>
          <w:numId w:val="1"/>
        </w:numPr>
        <w:autoSpaceDE w:val="0"/>
        <w:autoSpaceDN w:val="0"/>
        <w:adjustRightInd w:val="0"/>
        <w:rPr>
          <w:rFonts w:eastAsia="Calibri"/>
          <w:color w:val="000000"/>
          <w:szCs w:val="24"/>
        </w:rPr>
      </w:pPr>
      <w:r w:rsidRPr="007A3223">
        <w:rPr>
          <w:rFonts w:eastAsia="Calibri"/>
          <w:color w:val="000000"/>
          <w:szCs w:val="24"/>
        </w:rPr>
        <w:t>A congenital anomaly/birth defect.</w:t>
      </w:r>
    </w:p>
    <w:p w14:paraId="21154778" w14:textId="77777777" w:rsidR="00484D3D" w:rsidRPr="007A3223" w:rsidRDefault="00484D3D" w:rsidP="00484D3D">
      <w:pPr>
        <w:numPr>
          <w:ilvl w:val="0"/>
          <w:numId w:val="1"/>
        </w:numPr>
        <w:autoSpaceDE w:val="0"/>
        <w:autoSpaceDN w:val="0"/>
        <w:adjustRightInd w:val="0"/>
        <w:rPr>
          <w:rFonts w:eastAsia="Calibri"/>
          <w:color w:val="000000"/>
          <w:szCs w:val="24"/>
        </w:rPr>
      </w:pPr>
      <w:r w:rsidRPr="007A3223">
        <w:rPr>
          <w:rFonts w:eastAsia="Calibri"/>
          <w:color w:val="000000"/>
          <w:szCs w:val="24"/>
        </w:rPr>
        <w:t>Important medical events that may not result in death, be life-threatening, or require hospitalization may be considered a serious adverse drug experience when, based upon appropriate medical judgment, they may jeopardize the patient or subject and may require medical or surgical intervention to prevent one of the outcomes listed in this definition.</w:t>
      </w:r>
    </w:p>
    <w:p w14:paraId="486387B5" w14:textId="77777777" w:rsidR="00484D3D" w:rsidRPr="007A3223" w:rsidRDefault="00484D3D" w:rsidP="00B56CDD">
      <w:pPr>
        <w:pStyle w:val="Heading3"/>
        <w:rPr>
          <w:rFonts w:eastAsia="Times New Roman"/>
          <w:szCs w:val="26"/>
        </w:rPr>
      </w:pPr>
      <w:bookmarkStart w:id="302" w:name="_Ref9918921"/>
      <w:bookmarkStart w:id="303" w:name="_Toc11168623"/>
      <w:bookmarkStart w:id="304" w:name="_Toc531772384"/>
      <w:r w:rsidRPr="007A3223">
        <w:rPr>
          <w:rFonts w:eastAsia="Times New Roman"/>
          <w:szCs w:val="26"/>
        </w:rPr>
        <w:t>Life-</w:t>
      </w:r>
      <w:r w:rsidRPr="00B56CDD">
        <w:t>threatening</w:t>
      </w:r>
      <w:bookmarkEnd w:id="302"/>
      <w:bookmarkEnd w:id="303"/>
      <w:r w:rsidRPr="007A3223">
        <w:rPr>
          <w:rFonts w:eastAsia="Times New Roman"/>
          <w:szCs w:val="26"/>
        </w:rPr>
        <w:t xml:space="preserve"> </w:t>
      </w:r>
      <w:bookmarkEnd w:id="304"/>
    </w:p>
    <w:p w14:paraId="2D59FEAD" w14:textId="77777777" w:rsidR="00484D3D" w:rsidRPr="007A3223" w:rsidRDefault="00484D3D" w:rsidP="00484D3D">
      <w:pPr>
        <w:rPr>
          <w:rFonts w:eastAsia="Calibri"/>
        </w:rPr>
      </w:pPr>
      <w:r w:rsidRPr="007A3223">
        <w:rPr>
          <w:rFonts w:eastAsia="Calibri"/>
          <w:shd w:val="clear" w:color="auto" w:fill="F9F9F3"/>
        </w:rPr>
        <w:t>An adverse event or suspected adverse reaction is considered "life-threatening" if, in the view of either the investigator or sponsor, its occurrence places the patient or subject at immediate risk of death. It does not include an adverse event or suspected adverse reaction that, had it occurred in a more severe form, might have caused death. (21CFR312.32)</w:t>
      </w:r>
    </w:p>
    <w:p w14:paraId="708BF71B" w14:textId="77777777" w:rsidR="00484D3D" w:rsidRPr="007A3223" w:rsidRDefault="00484D3D" w:rsidP="00B56CDD">
      <w:pPr>
        <w:pStyle w:val="Heading3"/>
        <w:rPr>
          <w:rFonts w:eastAsia="Times New Roman"/>
          <w:szCs w:val="26"/>
        </w:rPr>
      </w:pPr>
      <w:bookmarkStart w:id="305" w:name="_Toc11168624"/>
      <w:r w:rsidRPr="00B56CDD">
        <w:t>Severity</w:t>
      </w:r>
      <w:bookmarkEnd w:id="305"/>
    </w:p>
    <w:p w14:paraId="4493B2DB" w14:textId="6354A2C0" w:rsidR="00484D3D" w:rsidRPr="007A3223" w:rsidRDefault="00484D3D" w:rsidP="00484D3D">
      <w:pPr>
        <w:rPr>
          <w:rFonts w:eastAsia="Calibri"/>
        </w:rPr>
      </w:pPr>
      <w:r w:rsidRPr="007A3223">
        <w:rPr>
          <w:rFonts w:eastAsia="Calibri"/>
        </w:rPr>
        <w:t>The severity of each Adverse Event will be assessed utilizing the CTCAE version</w:t>
      </w:r>
      <w:r w:rsidR="006A5F79" w:rsidRPr="007A3223">
        <w:t xml:space="preserve"> 4.0</w:t>
      </w:r>
      <w:r w:rsidRPr="007A3223">
        <w:rPr>
          <w:rFonts w:eastAsia="Calibri"/>
        </w:rPr>
        <w:t>.</w:t>
      </w:r>
    </w:p>
    <w:p w14:paraId="714152B3" w14:textId="77777777" w:rsidR="00484D3D" w:rsidRPr="007A3223" w:rsidRDefault="00484D3D" w:rsidP="00B56CDD">
      <w:pPr>
        <w:pStyle w:val="Heading3"/>
      </w:pPr>
      <w:bookmarkStart w:id="306" w:name="_Toc11168625"/>
      <w:r w:rsidRPr="00B56CDD">
        <w:t>Relationship</w:t>
      </w:r>
      <w:r w:rsidRPr="007A3223">
        <w:t xml:space="preserve"> to Study Product</w:t>
      </w:r>
      <w:bookmarkEnd w:id="306"/>
    </w:p>
    <w:p w14:paraId="720E8061" w14:textId="77777777" w:rsidR="00484D3D" w:rsidRPr="007A3223" w:rsidRDefault="00484D3D" w:rsidP="00484D3D">
      <w:pPr>
        <w:spacing w:before="0" w:after="0"/>
        <w:rPr>
          <w:rFonts w:ascii="Times" w:eastAsia="Times New Roman" w:hAnsi="Times"/>
          <w:szCs w:val="20"/>
          <w:lang w:val="en-GB"/>
        </w:rPr>
      </w:pPr>
      <w:r w:rsidRPr="007A3223">
        <w:rPr>
          <w:rFonts w:ascii="Times" w:eastAsia="Times New Roman" w:hAnsi="Times"/>
          <w:szCs w:val="20"/>
          <w:lang w:val="en-GB"/>
        </w:rPr>
        <w:t xml:space="preserve">All AEs will have their relationship to study product assessed using the terms:  related or not related.  </w:t>
      </w:r>
    </w:p>
    <w:p w14:paraId="3160040C" w14:textId="77777777" w:rsidR="00484D3D" w:rsidRPr="007A3223" w:rsidRDefault="00484D3D" w:rsidP="00FB66BA">
      <w:pPr>
        <w:numPr>
          <w:ilvl w:val="0"/>
          <w:numId w:val="71"/>
        </w:numPr>
        <w:spacing w:before="0" w:after="0"/>
        <w:rPr>
          <w:rFonts w:ascii="Times" w:eastAsia="Times New Roman" w:hAnsi="Times"/>
          <w:lang w:val="en-GB"/>
        </w:rPr>
      </w:pPr>
      <w:r w:rsidRPr="007A3223">
        <w:rPr>
          <w:rFonts w:ascii="Times" w:eastAsia="Times New Roman" w:hAnsi="Times"/>
          <w:szCs w:val="20"/>
          <w:u w:val="single"/>
          <w:lang w:val="en-GB"/>
        </w:rPr>
        <w:t>Related</w:t>
      </w:r>
      <w:r w:rsidRPr="007A3223">
        <w:rPr>
          <w:rFonts w:ascii="Times" w:eastAsia="Times New Roman" w:hAnsi="Times"/>
          <w:szCs w:val="20"/>
          <w:lang w:val="en-GB"/>
        </w:rPr>
        <w:t xml:space="preserve"> – There is a reasonable possibility that the study product caused the adverse event. Reasonable possibility means that there is evidence to suggest a causal relationship between the study product and the adverse event.</w:t>
      </w:r>
    </w:p>
    <w:p w14:paraId="4B880F1C" w14:textId="77777777" w:rsidR="00484D3D" w:rsidRPr="007A3223" w:rsidRDefault="00484D3D" w:rsidP="00FB66BA">
      <w:pPr>
        <w:numPr>
          <w:ilvl w:val="0"/>
          <w:numId w:val="71"/>
        </w:numPr>
        <w:spacing w:before="240" w:after="0" w:line="274" w:lineRule="auto"/>
        <w:rPr>
          <w:rFonts w:ascii="Times" w:eastAsia="Times New Roman" w:hAnsi="Times"/>
          <w:szCs w:val="20"/>
          <w:lang w:val="en-GB"/>
        </w:rPr>
      </w:pPr>
      <w:r w:rsidRPr="007A3223">
        <w:rPr>
          <w:rFonts w:ascii="Times" w:eastAsia="Times New Roman" w:hAnsi="Times"/>
          <w:szCs w:val="20"/>
          <w:u w:val="single"/>
          <w:lang w:val="en-GB"/>
        </w:rPr>
        <w:t>Not Related</w:t>
      </w:r>
      <w:r w:rsidRPr="007A3223">
        <w:rPr>
          <w:rFonts w:ascii="Times" w:eastAsia="Times New Roman" w:hAnsi="Times"/>
          <w:szCs w:val="20"/>
          <w:lang w:val="en-GB"/>
        </w:rPr>
        <w:t xml:space="preserve"> – There is not</w:t>
      </w:r>
      <w:r w:rsidRPr="007A3223">
        <w:rPr>
          <w:rFonts w:ascii="Times" w:eastAsia="Times New Roman" w:hAnsi="Times"/>
          <w:b/>
          <w:szCs w:val="20"/>
          <w:lang w:val="en-GB"/>
        </w:rPr>
        <w:t xml:space="preserve"> </w:t>
      </w:r>
      <w:r w:rsidRPr="007A3223">
        <w:rPr>
          <w:rFonts w:ascii="Times" w:eastAsia="Times New Roman" w:hAnsi="Times"/>
          <w:szCs w:val="20"/>
          <w:lang w:val="en-GB"/>
        </w:rPr>
        <w:t>a reasonable possibility that the administration of the study product caused the event.</w:t>
      </w:r>
    </w:p>
    <w:p w14:paraId="3DB87B57" w14:textId="77777777" w:rsidR="00484D3D" w:rsidRPr="007A3223" w:rsidRDefault="00484D3D" w:rsidP="00B56CDD">
      <w:pPr>
        <w:pStyle w:val="Heading3"/>
      </w:pPr>
      <w:bookmarkStart w:id="307" w:name="_Toc11168626"/>
      <w:bookmarkStart w:id="308" w:name="_Ref28269625"/>
      <w:bookmarkStart w:id="309" w:name="_Hlk74580364"/>
      <w:r w:rsidRPr="00B56CDD">
        <w:t>Adverse</w:t>
      </w:r>
      <w:r w:rsidRPr="007A3223">
        <w:t xml:space="preserve"> Events of Special Interest (AESI)</w:t>
      </w:r>
      <w:bookmarkEnd w:id="307"/>
      <w:bookmarkEnd w:id="308"/>
    </w:p>
    <w:bookmarkEnd w:id="309"/>
    <w:p w14:paraId="37222F8F" w14:textId="77777777" w:rsidR="00AC610D" w:rsidRPr="007A3223" w:rsidRDefault="00AC610D" w:rsidP="00AC610D">
      <w:pPr>
        <w:pStyle w:val="Paragraph"/>
        <w:spacing w:after="0" w:line="240" w:lineRule="auto"/>
      </w:pPr>
      <w:r w:rsidRPr="007A3223">
        <w:t>An AESI is one of scientific and medical interest specific to understanding of the investigational product and may require close monitoring and rapid communication by the investigator to AstraZeneca/Medimmune. An AESI may be serious or nonserious. The rapid reporting of AESIs allows ongoing analysis of these events in order to characterize and understand them in association with the use of this investigational product.</w:t>
      </w:r>
    </w:p>
    <w:p w14:paraId="35874B0E" w14:textId="4921DD0A" w:rsidR="00AC610D" w:rsidRPr="007A3223" w:rsidRDefault="00AC610D" w:rsidP="00AC610D">
      <w:pPr>
        <w:autoSpaceDE w:val="0"/>
        <w:autoSpaceDN w:val="0"/>
        <w:adjustRightInd w:val="0"/>
        <w:spacing w:after="0"/>
        <w:rPr>
          <w:szCs w:val="24"/>
          <w:lang w:eastAsia="en-GB"/>
        </w:rPr>
      </w:pPr>
      <w:r w:rsidRPr="007A3223">
        <w:rPr>
          <w:szCs w:val="24"/>
          <w:lang w:eastAsia="en-GB"/>
        </w:rPr>
        <w:lastRenderedPageBreak/>
        <w:t xml:space="preserve">AESIs for </w:t>
      </w:r>
      <w:r w:rsidR="003F439F">
        <w:rPr>
          <w:szCs w:val="24"/>
          <w:lang w:eastAsia="en-GB"/>
        </w:rPr>
        <w:t>Durvalumab</w:t>
      </w:r>
      <w:r w:rsidRPr="007A3223">
        <w:rPr>
          <w:szCs w:val="24"/>
          <w:lang w:eastAsia="en-GB"/>
        </w:rPr>
        <w:t xml:space="preserve"> include but are not limited to events with a potential inflammatory or immune-mediated mechanism and which may require more frequent monitoring and/or interventions such as steroids, immunosuppressants and/or hormone replacement therapy. These AESIs are being closely monitored in clinical studies with </w:t>
      </w:r>
      <w:r w:rsidR="003F439F">
        <w:rPr>
          <w:szCs w:val="24"/>
          <w:lang w:eastAsia="en-GB"/>
        </w:rPr>
        <w:t>Durvalumab</w:t>
      </w:r>
      <w:r w:rsidRPr="007A3223">
        <w:rPr>
          <w:szCs w:val="24"/>
          <w:lang w:eastAsia="en-GB"/>
        </w:rPr>
        <w:t xml:space="preserve"> monotherapy and combination therapy. An immune-related adverse event (irAE) is defined as an adverse event that is associated with drug exposure and is consistent with an immune-mediated mechanism of action and where there is no clear alternate etiology. Serologic, immunologic, and histologic (biopsy) data, as appropriate, should be used to support an irAE diagnosis. Appropriate efforts should be made to rule out neoplastic, infectious, metabolic, toxin, or other etiologic causes of the irAE. See the </w:t>
      </w:r>
      <w:r w:rsidR="003F439F">
        <w:rPr>
          <w:szCs w:val="24"/>
          <w:lang w:eastAsia="en-GB"/>
        </w:rPr>
        <w:t>Durvalumab</w:t>
      </w:r>
      <w:r w:rsidRPr="007A3223">
        <w:rPr>
          <w:szCs w:val="24"/>
          <w:lang w:eastAsia="en-GB"/>
        </w:rPr>
        <w:t xml:space="preserve"> investigator brochure for further information.</w:t>
      </w:r>
    </w:p>
    <w:p w14:paraId="11C02CD7" w14:textId="3329B61B" w:rsidR="00EC0BDE" w:rsidRPr="007A3223" w:rsidRDefault="00AC610D" w:rsidP="00AC610D">
      <w:pPr>
        <w:autoSpaceDE w:val="0"/>
        <w:autoSpaceDN w:val="0"/>
        <w:adjustRightInd w:val="0"/>
        <w:spacing w:after="0"/>
        <w:rPr>
          <w:szCs w:val="24"/>
          <w:lang w:eastAsia="en-GB"/>
        </w:rPr>
      </w:pPr>
      <w:r w:rsidRPr="007A3223">
        <w:rPr>
          <w:szCs w:val="24"/>
          <w:lang w:eastAsia="en-GB"/>
        </w:rPr>
        <w:t xml:space="preserve">AESIs observed with </w:t>
      </w:r>
      <w:r w:rsidR="003F439F">
        <w:rPr>
          <w:szCs w:val="24"/>
          <w:lang w:eastAsia="en-GB"/>
        </w:rPr>
        <w:t>Durvalumab</w:t>
      </w:r>
      <w:r w:rsidRPr="007A3223">
        <w:rPr>
          <w:szCs w:val="24"/>
          <w:lang w:eastAsia="en-GB"/>
        </w:rPr>
        <w:t xml:space="preserve"> include:</w:t>
      </w:r>
    </w:p>
    <w:p w14:paraId="04151A71" w14:textId="720B4FDD" w:rsidR="00AC610D" w:rsidRDefault="008E14E3" w:rsidP="00FB66BA">
      <w:pPr>
        <w:numPr>
          <w:ilvl w:val="0"/>
          <w:numId w:val="67"/>
        </w:numPr>
        <w:autoSpaceDE w:val="0"/>
        <w:autoSpaceDN w:val="0"/>
        <w:adjustRightInd w:val="0"/>
        <w:spacing w:after="0"/>
        <w:rPr>
          <w:szCs w:val="24"/>
          <w:lang w:eastAsia="en-GB"/>
        </w:rPr>
      </w:pPr>
      <w:r>
        <w:rPr>
          <w:szCs w:val="24"/>
          <w:lang w:eastAsia="en-GB"/>
        </w:rPr>
        <w:t>Diarrhea/</w:t>
      </w:r>
      <w:r w:rsidR="00AC610D" w:rsidRPr="007A3223">
        <w:rPr>
          <w:szCs w:val="24"/>
          <w:lang w:eastAsia="en-GB"/>
        </w:rPr>
        <w:t>Colitis</w:t>
      </w:r>
    </w:p>
    <w:p w14:paraId="11503042" w14:textId="5093239E" w:rsidR="00C86960" w:rsidRDefault="00C86960" w:rsidP="00FB66BA">
      <w:pPr>
        <w:numPr>
          <w:ilvl w:val="0"/>
          <w:numId w:val="67"/>
        </w:numPr>
        <w:autoSpaceDE w:val="0"/>
        <w:autoSpaceDN w:val="0"/>
        <w:adjustRightInd w:val="0"/>
        <w:spacing w:after="0"/>
        <w:rPr>
          <w:szCs w:val="24"/>
          <w:lang w:eastAsia="en-GB"/>
        </w:rPr>
      </w:pPr>
      <w:r>
        <w:rPr>
          <w:szCs w:val="24"/>
          <w:lang w:eastAsia="en-GB"/>
        </w:rPr>
        <w:t>P</w:t>
      </w:r>
      <w:r w:rsidRPr="00EC0BDE">
        <w:rPr>
          <w:szCs w:val="24"/>
          <w:lang w:eastAsia="en-GB"/>
        </w:rPr>
        <w:t>ericarditis</w:t>
      </w:r>
    </w:p>
    <w:p w14:paraId="27663BE6" w14:textId="77777777" w:rsidR="007E5ACD" w:rsidRPr="007E5ACD" w:rsidRDefault="007E5ACD" w:rsidP="00FB66BA">
      <w:pPr>
        <w:numPr>
          <w:ilvl w:val="0"/>
          <w:numId w:val="67"/>
        </w:numPr>
        <w:autoSpaceDE w:val="0"/>
        <w:autoSpaceDN w:val="0"/>
        <w:adjustRightInd w:val="0"/>
        <w:spacing w:after="0"/>
        <w:rPr>
          <w:szCs w:val="24"/>
          <w:lang w:eastAsia="en-GB"/>
        </w:rPr>
      </w:pPr>
      <w:r>
        <w:t>M</w:t>
      </w:r>
      <w:r w:rsidRPr="00EC3614">
        <w:t>yocarditis</w:t>
      </w:r>
    </w:p>
    <w:p w14:paraId="37CA3612" w14:textId="64B0BE16" w:rsidR="007E5ACD" w:rsidRPr="007A3223" w:rsidRDefault="007E5ACD" w:rsidP="00FB66BA">
      <w:pPr>
        <w:numPr>
          <w:ilvl w:val="0"/>
          <w:numId w:val="67"/>
        </w:numPr>
        <w:autoSpaceDE w:val="0"/>
        <w:autoSpaceDN w:val="0"/>
        <w:adjustRightInd w:val="0"/>
        <w:spacing w:after="0"/>
        <w:rPr>
          <w:szCs w:val="24"/>
          <w:lang w:eastAsia="en-GB"/>
        </w:rPr>
      </w:pPr>
      <w:r>
        <w:t>M</w:t>
      </w:r>
      <w:r w:rsidRPr="00EC3614">
        <w:t>yositis/</w:t>
      </w:r>
      <w:r w:rsidR="00572586">
        <w:t>P</w:t>
      </w:r>
      <w:r w:rsidRPr="00EC3614">
        <w:t>olymyositis</w:t>
      </w:r>
    </w:p>
    <w:p w14:paraId="38A406F7" w14:textId="29DFAF83" w:rsidR="00AC610D" w:rsidRDefault="00AC610D" w:rsidP="00FB66BA">
      <w:pPr>
        <w:numPr>
          <w:ilvl w:val="0"/>
          <w:numId w:val="67"/>
        </w:numPr>
        <w:autoSpaceDE w:val="0"/>
        <w:autoSpaceDN w:val="0"/>
        <w:adjustRightInd w:val="0"/>
        <w:spacing w:after="0"/>
        <w:rPr>
          <w:szCs w:val="24"/>
          <w:lang w:eastAsia="en-GB"/>
        </w:rPr>
      </w:pPr>
      <w:r w:rsidRPr="007A3223">
        <w:rPr>
          <w:szCs w:val="24"/>
          <w:lang w:eastAsia="en-GB"/>
        </w:rPr>
        <w:t>Pneumonitis</w:t>
      </w:r>
    </w:p>
    <w:p w14:paraId="055D013F" w14:textId="2AA78244" w:rsidR="00D421A5" w:rsidRDefault="00D421A5" w:rsidP="00FB66BA">
      <w:pPr>
        <w:numPr>
          <w:ilvl w:val="0"/>
          <w:numId w:val="67"/>
        </w:numPr>
        <w:autoSpaceDE w:val="0"/>
        <w:autoSpaceDN w:val="0"/>
        <w:adjustRightInd w:val="0"/>
        <w:spacing w:after="0"/>
        <w:rPr>
          <w:szCs w:val="24"/>
          <w:lang w:eastAsia="en-GB"/>
        </w:rPr>
      </w:pPr>
      <w:r>
        <w:rPr>
          <w:szCs w:val="24"/>
          <w:lang w:eastAsia="en-GB"/>
        </w:rPr>
        <w:t>S</w:t>
      </w:r>
      <w:r w:rsidRPr="00EC0BDE">
        <w:rPr>
          <w:szCs w:val="24"/>
          <w:lang w:eastAsia="en-GB"/>
        </w:rPr>
        <w:t>arcoidosis</w:t>
      </w:r>
    </w:p>
    <w:p w14:paraId="773D340E" w14:textId="3FF732BA" w:rsidR="00DE117C" w:rsidRPr="007A3223" w:rsidRDefault="00DE117C" w:rsidP="00FB66BA">
      <w:pPr>
        <w:numPr>
          <w:ilvl w:val="0"/>
          <w:numId w:val="67"/>
        </w:numPr>
        <w:autoSpaceDE w:val="0"/>
        <w:autoSpaceDN w:val="0"/>
        <w:adjustRightInd w:val="0"/>
        <w:spacing w:after="0"/>
        <w:rPr>
          <w:szCs w:val="24"/>
          <w:lang w:eastAsia="en-GB"/>
        </w:rPr>
      </w:pPr>
      <w:r>
        <w:rPr>
          <w:szCs w:val="24"/>
          <w:lang w:eastAsia="en-GB"/>
        </w:rPr>
        <w:t>V</w:t>
      </w:r>
      <w:r w:rsidRPr="00EC0BDE">
        <w:rPr>
          <w:szCs w:val="24"/>
          <w:lang w:eastAsia="en-GB"/>
        </w:rPr>
        <w:t>asculitis</w:t>
      </w:r>
    </w:p>
    <w:p w14:paraId="07AC0820" w14:textId="77777777" w:rsidR="00AC610D" w:rsidRPr="007A3223" w:rsidRDefault="00AC610D" w:rsidP="00FB66BA">
      <w:pPr>
        <w:numPr>
          <w:ilvl w:val="0"/>
          <w:numId w:val="67"/>
        </w:numPr>
        <w:autoSpaceDE w:val="0"/>
        <w:autoSpaceDN w:val="0"/>
        <w:adjustRightInd w:val="0"/>
        <w:spacing w:after="0"/>
        <w:rPr>
          <w:szCs w:val="24"/>
          <w:lang w:eastAsia="en-GB"/>
        </w:rPr>
      </w:pPr>
      <w:r w:rsidRPr="007A3223">
        <w:rPr>
          <w:szCs w:val="24"/>
          <w:lang w:eastAsia="en-GB"/>
        </w:rPr>
        <w:t>ALT/AST increases / hepatitis / hepatotoxicity</w:t>
      </w:r>
    </w:p>
    <w:p w14:paraId="6DC077A8" w14:textId="408C25A0" w:rsidR="00AC610D" w:rsidRPr="00DC1274" w:rsidRDefault="00AC610D" w:rsidP="00FB66BA">
      <w:pPr>
        <w:numPr>
          <w:ilvl w:val="0"/>
          <w:numId w:val="67"/>
        </w:numPr>
        <w:autoSpaceDE w:val="0"/>
        <w:autoSpaceDN w:val="0"/>
        <w:adjustRightInd w:val="0"/>
        <w:spacing w:after="0"/>
        <w:rPr>
          <w:szCs w:val="24"/>
          <w:lang w:eastAsia="en-GB"/>
        </w:rPr>
      </w:pPr>
      <w:r w:rsidRPr="007A3223">
        <w:rPr>
          <w:szCs w:val="24"/>
          <w:lang w:eastAsia="en-GB"/>
        </w:rPr>
        <w:t xml:space="preserve">Neuropathy / neuromuscular toxicity (i.e. events of </w:t>
      </w:r>
      <w:r w:rsidR="00DC1274" w:rsidRPr="00EC0BDE">
        <w:rPr>
          <w:szCs w:val="24"/>
          <w:lang w:eastAsia="en-GB"/>
        </w:rPr>
        <w:t>meningitis</w:t>
      </w:r>
      <w:r w:rsidR="00DC1274">
        <w:rPr>
          <w:szCs w:val="24"/>
          <w:lang w:eastAsia="en-GB"/>
        </w:rPr>
        <w:t>,</w:t>
      </w:r>
      <w:r w:rsidR="00DC1274" w:rsidRPr="00EC0BDE">
        <w:rPr>
          <w:szCs w:val="24"/>
          <w:lang w:eastAsia="en-GB"/>
        </w:rPr>
        <w:t xml:space="preserve"> </w:t>
      </w:r>
      <w:r w:rsidRPr="00DC1274">
        <w:rPr>
          <w:szCs w:val="24"/>
          <w:lang w:eastAsia="en-GB"/>
        </w:rPr>
        <w:t>encephalitis, peripheral motor and sensory neuropathies, Guillain-Barré, and myasthenia gravis)</w:t>
      </w:r>
    </w:p>
    <w:p w14:paraId="0BBB658A" w14:textId="77777777" w:rsidR="00AC610D" w:rsidRPr="007A3223" w:rsidRDefault="00AC610D" w:rsidP="00FB66BA">
      <w:pPr>
        <w:numPr>
          <w:ilvl w:val="0"/>
          <w:numId w:val="67"/>
        </w:numPr>
        <w:autoSpaceDE w:val="0"/>
        <w:autoSpaceDN w:val="0"/>
        <w:adjustRightInd w:val="0"/>
        <w:spacing w:after="0"/>
        <w:rPr>
          <w:szCs w:val="24"/>
          <w:lang w:eastAsia="en-GB"/>
        </w:rPr>
      </w:pPr>
      <w:r w:rsidRPr="007A3223">
        <w:rPr>
          <w:szCs w:val="24"/>
          <w:lang w:eastAsia="en-GB"/>
        </w:rPr>
        <w:t>Endocrinopathy (i.e. events of hypophysitis, adrenal insufficiency, and hyper- and hypothyroidism)</w:t>
      </w:r>
    </w:p>
    <w:p w14:paraId="2F331C33" w14:textId="4E1C4F8B" w:rsidR="00AC610D" w:rsidRPr="007A3223" w:rsidRDefault="00AC610D" w:rsidP="00FB66BA">
      <w:pPr>
        <w:numPr>
          <w:ilvl w:val="0"/>
          <w:numId w:val="67"/>
        </w:numPr>
        <w:autoSpaceDE w:val="0"/>
        <w:autoSpaceDN w:val="0"/>
        <w:adjustRightInd w:val="0"/>
        <w:spacing w:after="0"/>
        <w:rPr>
          <w:szCs w:val="24"/>
          <w:lang w:eastAsia="en-GB"/>
        </w:rPr>
      </w:pPr>
      <w:r w:rsidRPr="007A3223">
        <w:rPr>
          <w:szCs w:val="24"/>
          <w:lang w:eastAsia="en-GB"/>
        </w:rPr>
        <w:t>Dermatitis</w:t>
      </w:r>
      <w:r w:rsidR="00F91C08" w:rsidRPr="00F91C08">
        <w:rPr>
          <w:szCs w:val="24"/>
          <w:lang w:eastAsia="en-GB"/>
        </w:rPr>
        <w:t xml:space="preserve"> </w:t>
      </w:r>
      <w:r w:rsidR="00F91C08">
        <w:rPr>
          <w:szCs w:val="24"/>
          <w:lang w:eastAsia="en-GB"/>
        </w:rPr>
        <w:t xml:space="preserve">and other events involving the </w:t>
      </w:r>
      <w:r w:rsidR="00F91C08" w:rsidRPr="00EC0BDE">
        <w:rPr>
          <w:szCs w:val="24"/>
          <w:lang w:eastAsia="en-GB"/>
        </w:rPr>
        <w:t>skin (e</w:t>
      </w:r>
      <w:r w:rsidR="00310C9C">
        <w:rPr>
          <w:szCs w:val="24"/>
          <w:lang w:eastAsia="en-GB"/>
        </w:rPr>
        <w:t>x</w:t>
      </w:r>
      <w:r w:rsidR="00F91C08" w:rsidRPr="00EC0BDE">
        <w:rPr>
          <w:szCs w:val="24"/>
          <w:lang w:eastAsia="en-GB"/>
        </w:rPr>
        <w:t>, scleroderma, vitiligo and pemphigoid)</w:t>
      </w:r>
    </w:p>
    <w:p w14:paraId="56CDABCA" w14:textId="77777777" w:rsidR="00AC610D" w:rsidRPr="007A3223" w:rsidRDefault="00AC610D" w:rsidP="00FB66BA">
      <w:pPr>
        <w:numPr>
          <w:ilvl w:val="0"/>
          <w:numId w:val="67"/>
        </w:numPr>
        <w:autoSpaceDE w:val="0"/>
        <w:autoSpaceDN w:val="0"/>
        <w:adjustRightInd w:val="0"/>
        <w:spacing w:after="0"/>
        <w:rPr>
          <w:szCs w:val="24"/>
          <w:lang w:eastAsia="en-GB"/>
        </w:rPr>
      </w:pPr>
      <w:r w:rsidRPr="007A3223">
        <w:rPr>
          <w:szCs w:val="24"/>
          <w:lang w:eastAsia="en-GB"/>
        </w:rPr>
        <w:t>Nephritis</w:t>
      </w:r>
    </w:p>
    <w:p w14:paraId="2B44475D" w14:textId="64612089" w:rsidR="00AC610D" w:rsidRDefault="00AC610D" w:rsidP="00FB66BA">
      <w:pPr>
        <w:numPr>
          <w:ilvl w:val="0"/>
          <w:numId w:val="67"/>
        </w:numPr>
        <w:autoSpaceDE w:val="0"/>
        <w:autoSpaceDN w:val="0"/>
        <w:adjustRightInd w:val="0"/>
        <w:spacing w:after="0"/>
        <w:rPr>
          <w:szCs w:val="24"/>
          <w:lang w:eastAsia="en-GB"/>
        </w:rPr>
      </w:pPr>
      <w:r w:rsidRPr="007A3223">
        <w:rPr>
          <w:szCs w:val="24"/>
          <w:lang w:eastAsia="en-GB"/>
        </w:rPr>
        <w:t>Pancreatitis (or labs suggestive of pancreatitis - increased serum lipase , increased serum amylase)</w:t>
      </w:r>
    </w:p>
    <w:p w14:paraId="7D2A1456" w14:textId="214F7692" w:rsidR="00EC0BDE" w:rsidRDefault="00EC0BDE" w:rsidP="00FB66BA">
      <w:pPr>
        <w:numPr>
          <w:ilvl w:val="0"/>
          <w:numId w:val="67"/>
        </w:numPr>
        <w:autoSpaceDE w:val="0"/>
        <w:autoSpaceDN w:val="0"/>
        <w:adjustRightInd w:val="0"/>
        <w:spacing w:after="0"/>
        <w:rPr>
          <w:szCs w:val="24"/>
          <w:lang w:eastAsia="en-GB"/>
        </w:rPr>
      </w:pPr>
      <w:r>
        <w:rPr>
          <w:szCs w:val="24"/>
          <w:lang w:eastAsia="en-GB"/>
        </w:rPr>
        <w:t>Uveitis</w:t>
      </w:r>
      <w:r w:rsidRPr="00EC0BDE">
        <w:rPr>
          <w:szCs w:val="24"/>
          <w:lang w:eastAsia="en-GB"/>
        </w:rPr>
        <w:t xml:space="preserve"> and other events involving the eye (e</w:t>
      </w:r>
      <w:r w:rsidR="00310C9C">
        <w:rPr>
          <w:szCs w:val="24"/>
          <w:lang w:eastAsia="en-GB"/>
        </w:rPr>
        <w:t>x</w:t>
      </w:r>
      <w:r w:rsidRPr="00EC0BDE">
        <w:rPr>
          <w:szCs w:val="24"/>
          <w:lang w:eastAsia="en-GB"/>
        </w:rPr>
        <w:t>, keratitis and optic neuritis)</w:t>
      </w:r>
    </w:p>
    <w:p w14:paraId="41113556" w14:textId="46C29733" w:rsidR="00310C9C" w:rsidRDefault="00310C9C" w:rsidP="00FB66BA">
      <w:pPr>
        <w:numPr>
          <w:ilvl w:val="0"/>
          <w:numId w:val="67"/>
        </w:numPr>
        <w:autoSpaceDE w:val="0"/>
        <w:autoSpaceDN w:val="0"/>
        <w:adjustRightInd w:val="0"/>
        <w:spacing w:after="0"/>
        <w:rPr>
          <w:szCs w:val="24"/>
          <w:lang w:eastAsia="en-GB"/>
        </w:rPr>
      </w:pPr>
      <w:r>
        <w:rPr>
          <w:szCs w:val="24"/>
          <w:lang w:eastAsia="en-GB"/>
        </w:rPr>
        <w:t>H</w:t>
      </w:r>
      <w:r w:rsidRPr="00EC0BDE">
        <w:rPr>
          <w:szCs w:val="24"/>
          <w:lang w:eastAsia="en-GB"/>
        </w:rPr>
        <w:t>ematological (e</w:t>
      </w:r>
      <w:r>
        <w:rPr>
          <w:szCs w:val="24"/>
          <w:lang w:eastAsia="en-GB"/>
        </w:rPr>
        <w:t>x</w:t>
      </w:r>
      <w:r w:rsidRPr="00EC0BDE">
        <w:rPr>
          <w:szCs w:val="24"/>
          <w:lang w:eastAsia="en-GB"/>
        </w:rPr>
        <w:t>, hemolytic anemia and immune thrombocytopenic purpura)</w:t>
      </w:r>
    </w:p>
    <w:p w14:paraId="322F6A3A" w14:textId="4E8D410D" w:rsidR="006D505B" w:rsidRPr="007A3223" w:rsidRDefault="006D505B" w:rsidP="00FB66BA">
      <w:pPr>
        <w:numPr>
          <w:ilvl w:val="0"/>
          <w:numId w:val="67"/>
        </w:numPr>
        <w:autoSpaceDE w:val="0"/>
        <w:autoSpaceDN w:val="0"/>
        <w:adjustRightInd w:val="0"/>
        <w:spacing w:after="0"/>
        <w:rPr>
          <w:szCs w:val="24"/>
          <w:lang w:eastAsia="en-GB"/>
        </w:rPr>
      </w:pPr>
      <w:r>
        <w:rPr>
          <w:szCs w:val="24"/>
          <w:lang w:eastAsia="en-GB"/>
        </w:rPr>
        <w:t>R</w:t>
      </w:r>
      <w:r w:rsidRPr="00EC0BDE">
        <w:rPr>
          <w:szCs w:val="24"/>
          <w:lang w:eastAsia="en-GB"/>
        </w:rPr>
        <w:t>heumatological events (polymyalgia rheumatic and autoimmune arthritis)</w:t>
      </w:r>
    </w:p>
    <w:p w14:paraId="75729299" w14:textId="77777777" w:rsidR="00AC610D" w:rsidRPr="007A3223" w:rsidRDefault="00AC610D" w:rsidP="00AC610D">
      <w:pPr>
        <w:rPr>
          <w:u w:val="single"/>
        </w:rPr>
      </w:pPr>
      <w:r w:rsidRPr="007A3223">
        <w:rPr>
          <w:u w:val="single"/>
        </w:rPr>
        <w:t>Pneumonitis</w:t>
      </w:r>
    </w:p>
    <w:p w14:paraId="476EF34A" w14:textId="77777777" w:rsidR="00AC610D" w:rsidRPr="007A3223" w:rsidRDefault="00AC610D" w:rsidP="00FB66BA">
      <w:pPr>
        <w:pStyle w:val="Paragraph"/>
        <w:numPr>
          <w:ilvl w:val="0"/>
          <w:numId w:val="54"/>
        </w:numPr>
        <w:spacing w:after="0" w:line="240" w:lineRule="auto"/>
        <w:ind w:left="360"/>
      </w:pPr>
      <w:r w:rsidRPr="007A3223">
        <w:t xml:space="preserve">Adverse events of pneumonitis are of interest for AstraZeneca/Medimmune, as pneumonitis has been reported with anti-PD-1 MAbs (Topalian et al, NEJM 2012). Initial work-up should include high-resolution CT scan, ruling out infection, and pulse oximetry. Pulmonary consultation is highly recommended. </w:t>
      </w:r>
    </w:p>
    <w:p w14:paraId="06783388" w14:textId="6673C88F" w:rsidR="00AC610D" w:rsidRPr="00F33908" w:rsidRDefault="00AC610D" w:rsidP="00FB66BA">
      <w:pPr>
        <w:pStyle w:val="A-ListBullet"/>
        <w:numPr>
          <w:ilvl w:val="0"/>
          <w:numId w:val="54"/>
        </w:numPr>
        <w:spacing w:after="0" w:line="240" w:lineRule="auto"/>
        <w:ind w:left="360"/>
        <w:rPr>
          <w:szCs w:val="24"/>
          <w:lang w:val="en-US"/>
        </w:rPr>
      </w:pPr>
      <w:r w:rsidRPr="007A3223">
        <w:rPr>
          <w:szCs w:val="24"/>
          <w:lang w:val="en-US"/>
        </w:rPr>
        <w:lastRenderedPageBreak/>
        <w:t xml:space="preserve">Guidelines for the management of subjects with immune-mediated events including pneumonitis are outlined in Section </w:t>
      </w:r>
      <w:r w:rsidRPr="00F33908">
        <w:rPr>
          <w:b/>
          <w:color w:val="0000FF"/>
          <w:szCs w:val="24"/>
          <w:lang w:val="en-US"/>
        </w:rPr>
        <w:fldChar w:fldCharType="begin"/>
      </w:r>
      <w:r w:rsidRPr="007A3223">
        <w:rPr>
          <w:b/>
          <w:color w:val="0000FF"/>
          <w:szCs w:val="24"/>
          <w:lang w:val="en-US"/>
        </w:rPr>
        <w:instrText xml:space="preserve"> REF _Ref412452314 \r \h  \* MERGEFORMAT </w:instrText>
      </w:r>
      <w:r w:rsidRPr="00F33908">
        <w:rPr>
          <w:b/>
          <w:color w:val="0000FF"/>
          <w:szCs w:val="24"/>
          <w:lang w:val="en-US"/>
        </w:rPr>
      </w:r>
      <w:r w:rsidRPr="00F33908">
        <w:rPr>
          <w:b/>
          <w:color w:val="0000FF"/>
          <w:szCs w:val="24"/>
          <w:lang w:val="en-US"/>
        </w:rPr>
        <w:fldChar w:fldCharType="separate"/>
      </w:r>
      <w:r w:rsidR="00E47ACA">
        <w:rPr>
          <w:b/>
          <w:color w:val="0000FF"/>
          <w:szCs w:val="24"/>
          <w:lang w:val="en-US"/>
        </w:rPr>
        <w:t>3.4.4.2.2</w:t>
      </w:r>
      <w:r w:rsidRPr="00F33908">
        <w:rPr>
          <w:b/>
          <w:color w:val="0000FF"/>
          <w:szCs w:val="24"/>
          <w:lang w:val="en-US"/>
        </w:rPr>
        <w:fldChar w:fldCharType="end"/>
      </w:r>
      <w:r w:rsidRPr="007A3223">
        <w:rPr>
          <w:szCs w:val="24"/>
          <w:lang w:val="en-US"/>
        </w:rPr>
        <w:t>.</w:t>
      </w:r>
    </w:p>
    <w:p w14:paraId="4C5D8D1F" w14:textId="77777777" w:rsidR="00AC610D" w:rsidRPr="007A3223" w:rsidRDefault="00AC610D" w:rsidP="00F267E9"/>
    <w:p w14:paraId="3BFBB840" w14:textId="77777777" w:rsidR="00AC610D" w:rsidRPr="007A3223" w:rsidRDefault="00AC610D" w:rsidP="00F267E9">
      <w:pPr>
        <w:rPr>
          <w:u w:val="single"/>
        </w:rPr>
      </w:pPr>
      <w:r w:rsidRPr="007A3223">
        <w:rPr>
          <w:u w:val="single"/>
        </w:rPr>
        <w:t>Hypersensitivity reactions</w:t>
      </w:r>
    </w:p>
    <w:p w14:paraId="42D84EDC" w14:textId="77777777" w:rsidR="00AC610D" w:rsidRPr="007A3223" w:rsidRDefault="00AC610D" w:rsidP="00FB66BA">
      <w:pPr>
        <w:pStyle w:val="Paragraph"/>
        <w:numPr>
          <w:ilvl w:val="0"/>
          <w:numId w:val="55"/>
        </w:numPr>
        <w:spacing w:after="0" w:line="240" w:lineRule="auto"/>
        <w:ind w:left="360"/>
        <w:rPr>
          <w:rFonts w:ascii="Times" w:hAnsi="Times"/>
        </w:rPr>
      </w:pPr>
      <w:r w:rsidRPr="007A3223">
        <w:t>Hypersensitivity reactions as well as infusion-related reactions have been reported with anti</w:t>
      </w:r>
      <w:r w:rsidRPr="007A3223">
        <w:noBreakHyphen/>
        <w:t xml:space="preserve">PD-L1 and anti-PD-1 therapy (Topalian et al, 2012; </w:t>
      </w:r>
      <w:hyperlink w:anchor="Brahmer_2012" w:history="1">
        <w:r w:rsidRPr="00F33908">
          <w:rPr>
            <w:rStyle w:val="Hyperlink"/>
          </w:rPr>
          <w:t>Brahmer et al, 2012</w:t>
        </w:r>
      </w:hyperlink>
      <w:r w:rsidRPr="007A3223">
        <w:t xml:space="preserve">). As with the administration of any foreign protein and/or other biologic agents, reactions following the infusion of MAbs can </w:t>
      </w:r>
      <w:r w:rsidRPr="00F33908">
        <w:rPr>
          <w:rFonts w:ascii="Times" w:hAnsi="Times"/>
        </w:rPr>
        <w:t>be caused by various mechani</w:t>
      </w:r>
      <w:r w:rsidRPr="007A3223">
        <w:rPr>
          <w:rFonts w:ascii="Times" w:hAnsi="Times"/>
        </w:rPr>
        <w:t>sms, including acute anaphylactic (immunoglobulin E-mediated) and anaphylactoid reactions against the MAb, and serum sickness. Acute allergic reactions may occur, may be severe, and may result in death. Acute allergic reactions may include hypotension, dyspnea, cyanosis, respiratory failure, urticaria, pruritus, angioedema, hypotonia, arthralgia, bronchospasm, wheeze, cough, dizziness, fatigue, headache, hypertension, myalgia, vomiting and unresponsiveness.</w:t>
      </w:r>
    </w:p>
    <w:p w14:paraId="7F561F11" w14:textId="366488BF" w:rsidR="00AC610D" w:rsidRPr="00F33908" w:rsidRDefault="00AC610D" w:rsidP="00FB66BA">
      <w:pPr>
        <w:pStyle w:val="Paragraph"/>
        <w:numPr>
          <w:ilvl w:val="0"/>
          <w:numId w:val="55"/>
        </w:numPr>
        <w:spacing w:after="0" w:line="240" w:lineRule="auto"/>
        <w:ind w:left="360"/>
        <w:rPr>
          <w:rFonts w:ascii="Times" w:hAnsi="Times"/>
        </w:rPr>
      </w:pPr>
      <w:r w:rsidRPr="007A3223">
        <w:rPr>
          <w:rFonts w:ascii="Times" w:hAnsi="Times"/>
        </w:rPr>
        <w:t>Guidelines for management of subjects with hypersensitivity (including anaphylactic reaction) and infusion</w:t>
      </w:r>
      <w:r w:rsidRPr="007A3223">
        <w:rPr>
          <w:rFonts w:ascii="Times" w:hAnsi="Times"/>
        </w:rPr>
        <w:noBreakHyphen/>
        <w:t xml:space="preserve">related reactions are outlined in Section </w:t>
      </w:r>
      <w:r w:rsidRPr="00F33908">
        <w:rPr>
          <w:rFonts w:ascii="Times" w:hAnsi="Times"/>
          <w:b/>
          <w:color w:val="0000FF"/>
        </w:rPr>
        <w:fldChar w:fldCharType="begin"/>
      </w:r>
      <w:r w:rsidRPr="007A3223">
        <w:rPr>
          <w:rFonts w:ascii="Times" w:hAnsi="Times"/>
          <w:b/>
          <w:color w:val="0000FF"/>
        </w:rPr>
        <w:instrText xml:space="preserve"> REF _Ref415231516 \r \h  \* MERGEFORMAT </w:instrText>
      </w:r>
      <w:r w:rsidRPr="00F33908">
        <w:rPr>
          <w:rFonts w:ascii="Times" w:hAnsi="Times"/>
          <w:b/>
          <w:color w:val="0000FF"/>
        </w:rPr>
      </w:r>
      <w:r w:rsidRPr="00F33908">
        <w:rPr>
          <w:rFonts w:ascii="Times" w:hAnsi="Times"/>
          <w:b/>
          <w:color w:val="0000FF"/>
        </w:rPr>
        <w:fldChar w:fldCharType="separate"/>
      </w:r>
      <w:r w:rsidR="00E47ACA">
        <w:rPr>
          <w:rFonts w:ascii="Times" w:hAnsi="Times"/>
          <w:b/>
          <w:color w:val="0000FF"/>
        </w:rPr>
        <w:t>3.4.4.2.1</w:t>
      </w:r>
      <w:r w:rsidRPr="00F33908">
        <w:rPr>
          <w:rFonts w:ascii="Times" w:hAnsi="Times"/>
          <w:b/>
          <w:color w:val="0000FF"/>
        </w:rPr>
        <w:fldChar w:fldCharType="end"/>
      </w:r>
      <w:r w:rsidRPr="007A3223">
        <w:rPr>
          <w:rFonts w:ascii="Times" w:hAnsi="Times"/>
        </w:rPr>
        <w:t>.</w:t>
      </w:r>
    </w:p>
    <w:p w14:paraId="25F2C484" w14:textId="77777777" w:rsidR="00AC610D" w:rsidRPr="007A3223" w:rsidRDefault="00AC610D" w:rsidP="00AC610D">
      <w:pPr>
        <w:pStyle w:val="Paragraph"/>
        <w:spacing w:after="0" w:line="240" w:lineRule="auto"/>
        <w:rPr>
          <w:rFonts w:ascii="Times" w:hAnsi="Times"/>
        </w:rPr>
      </w:pPr>
    </w:p>
    <w:p w14:paraId="6D69C0CF" w14:textId="77777777" w:rsidR="00AC610D" w:rsidRPr="007A3223" w:rsidRDefault="00AC610D" w:rsidP="00F267E9">
      <w:pPr>
        <w:keepNext/>
        <w:rPr>
          <w:rFonts w:ascii="Times" w:hAnsi="Times"/>
          <w:u w:val="single"/>
        </w:rPr>
      </w:pPr>
      <w:r w:rsidRPr="00F267E9">
        <w:rPr>
          <w:u w:val="single"/>
        </w:rPr>
        <w:t>Hepatic</w:t>
      </w:r>
      <w:r w:rsidRPr="007A3223">
        <w:rPr>
          <w:rFonts w:ascii="Times" w:hAnsi="Times"/>
          <w:u w:val="single"/>
        </w:rPr>
        <w:t xml:space="preserve"> function abnormalities (hepatotoxicity)</w:t>
      </w:r>
    </w:p>
    <w:p w14:paraId="0D16C2A2" w14:textId="77777777" w:rsidR="00AC610D" w:rsidRPr="007A3223" w:rsidRDefault="00AC610D" w:rsidP="00FB66BA">
      <w:pPr>
        <w:pStyle w:val="ListParagraph"/>
        <w:numPr>
          <w:ilvl w:val="0"/>
          <w:numId w:val="56"/>
        </w:numPr>
        <w:ind w:left="360"/>
        <w:rPr>
          <w:rFonts w:ascii="Times" w:hAnsi="Times"/>
        </w:rPr>
      </w:pPr>
      <w:r w:rsidRPr="007A3223">
        <w:rPr>
          <w:rFonts w:ascii="Times" w:hAnsi="Times"/>
        </w:rPr>
        <w:t>Increased transaminases have been reported during treatment with anti-PD-L1/anti-PD-1 antibodies (Brahmer et al 2012).  Inflammatory hepatitis has been reported in 3 % to 9 % of subjects treated with anti</w:t>
      </w:r>
      <w:r w:rsidRPr="007A3223">
        <w:rPr>
          <w:rFonts w:ascii="Times" w:hAnsi="Times"/>
        </w:rPr>
        <w:noBreakHyphen/>
        <w:t>CTLA-4 monoclonal antibodies (e.g., ipilimumab).  The clinical manifestations of ipilimumab-treated subjects included general weakness, fatigue, nausea and/or mild fever and increased liver function tests such as AST, ALT, alkaline phosphatase, and/or total bilirubin.</w:t>
      </w:r>
    </w:p>
    <w:p w14:paraId="3D357706" w14:textId="04F507F3" w:rsidR="00AC610D" w:rsidRPr="00F33908" w:rsidRDefault="00AC610D" w:rsidP="00FB66BA">
      <w:pPr>
        <w:pStyle w:val="ListParagraph"/>
        <w:numPr>
          <w:ilvl w:val="0"/>
          <w:numId w:val="56"/>
        </w:numPr>
        <w:ind w:left="360"/>
        <w:rPr>
          <w:rFonts w:ascii="Times" w:hAnsi="Times"/>
        </w:rPr>
      </w:pPr>
      <w:r w:rsidRPr="007A3223">
        <w:t xml:space="preserve">Hepatic function abnormality is defined as any increase in ALT or AST to greater than 3 × ULN and concurrent increase in total bilirubin to be greater than 2 × ULN. Concurrent findings are those that derive from a single blood draw or from separate blood draws taken within 8 days of each other. Follow-up investigations and inquiries will be initiated promptly to determine whether the findings are reproducible and/or whether there is objective evidence that clearly supports causation by a disease (e.g., cholelithiasis and bile duct obstruction with distended gallbladder) or an agent other than the investigational product. Guidelines for management of subjects with hepatic function abnormality are outlined in Section </w:t>
      </w:r>
      <w:r w:rsidRPr="00F33908">
        <w:fldChar w:fldCharType="begin"/>
      </w:r>
      <w:r w:rsidRPr="007A3223">
        <w:instrText xml:space="preserve"> REF _Ref412452314 \r \h  \* MERGEFORMAT </w:instrText>
      </w:r>
      <w:r w:rsidRPr="00F33908">
        <w:fldChar w:fldCharType="separate"/>
      </w:r>
      <w:r w:rsidR="00E47ACA" w:rsidRPr="00E47ACA">
        <w:rPr>
          <w:b/>
          <w:color w:val="0000FF"/>
        </w:rPr>
        <w:t>3.4.4.2.2</w:t>
      </w:r>
      <w:r w:rsidRPr="00F33908">
        <w:fldChar w:fldCharType="end"/>
      </w:r>
      <w:r w:rsidRPr="007A3223">
        <w:rPr>
          <w:b/>
          <w:color w:val="0000FF"/>
        </w:rPr>
        <w:t>.</w:t>
      </w:r>
    </w:p>
    <w:p w14:paraId="47240788" w14:textId="77777777" w:rsidR="00AC610D" w:rsidRPr="007A3223" w:rsidRDefault="00AC610D" w:rsidP="00AC610D">
      <w:pPr>
        <w:spacing w:after="0"/>
      </w:pPr>
    </w:p>
    <w:p w14:paraId="6A752202" w14:textId="77777777" w:rsidR="00AC610D" w:rsidRPr="007A3223" w:rsidRDefault="00AC610D" w:rsidP="000C1D10">
      <w:pPr>
        <w:pStyle w:val="Heading3"/>
      </w:pPr>
      <w:r w:rsidRPr="007A3223">
        <w:t>Other events requiring reporting</w:t>
      </w:r>
    </w:p>
    <w:p w14:paraId="2AA6922D" w14:textId="77777777" w:rsidR="00AC610D" w:rsidRPr="007A3223" w:rsidRDefault="00AC610D" w:rsidP="00AC610D">
      <w:pPr>
        <w:pStyle w:val="Heading4"/>
      </w:pPr>
      <w:r w:rsidRPr="007A3223">
        <w:t>Overdose</w:t>
      </w:r>
    </w:p>
    <w:p w14:paraId="53428DF5" w14:textId="623BEBBE" w:rsidR="00AC610D" w:rsidRPr="007A3223" w:rsidRDefault="00AC610D" w:rsidP="00AC610D">
      <w:pPr>
        <w:spacing w:after="0"/>
      </w:pPr>
      <w:r w:rsidRPr="007A3223">
        <w:t xml:space="preserve">An overdose is defined as a subject receiving a dose of </w:t>
      </w:r>
      <w:r w:rsidR="003F439F">
        <w:t>Durvalumab</w:t>
      </w:r>
      <w:r w:rsidRPr="007A3223">
        <w:t xml:space="preserve"> in excess of that specified in the Investigator’s Brochure, unless otherwise specified in this protocol.</w:t>
      </w:r>
    </w:p>
    <w:p w14:paraId="3B4CC007" w14:textId="0E1EB484" w:rsidR="00AC610D" w:rsidRPr="007A3223" w:rsidRDefault="00AC610D" w:rsidP="00AC610D">
      <w:pPr>
        <w:spacing w:after="0"/>
      </w:pPr>
      <w:r w:rsidRPr="007A3223">
        <w:t xml:space="preserve">Any overdose of a study subject with </w:t>
      </w:r>
      <w:r w:rsidR="003F439F">
        <w:t>Durvalumab</w:t>
      </w:r>
      <w:r w:rsidRPr="007A3223">
        <w:t>, with or without associated AEs/SAEs, is required to be reported within 24 hours of knowledge of the event to the sponsor and AstraZeneca/MedImmune Patient Safety or designee using the designated Safety e-mailbox (see Section</w:t>
      </w:r>
      <w:r w:rsidR="005A3900" w:rsidRPr="007A3223">
        <w:t xml:space="preserve"> </w:t>
      </w:r>
      <w:r w:rsidR="00AB2C6D" w:rsidRPr="00F33908">
        <w:rPr>
          <w:b/>
          <w:color w:val="0000FF"/>
        </w:rPr>
        <w:fldChar w:fldCharType="begin"/>
      </w:r>
      <w:r w:rsidR="00AB2C6D" w:rsidRPr="007A3223">
        <w:rPr>
          <w:b/>
          <w:color w:val="0000FF"/>
        </w:rPr>
        <w:instrText xml:space="preserve"> REF _Ref9933131 \n \h  \* MERGEFORMAT </w:instrText>
      </w:r>
      <w:r w:rsidR="00AB2C6D" w:rsidRPr="00F33908">
        <w:rPr>
          <w:b/>
          <w:color w:val="0000FF"/>
        </w:rPr>
      </w:r>
      <w:r w:rsidR="00AB2C6D" w:rsidRPr="00F33908">
        <w:rPr>
          <w:b/>
          <w:color w:val="0000FF"/>
        </w:rPr>
        <w:fldChar w:fldCharType="separate"/>
      </w:r>
      <w:r w:rsidR="00E47ACA">
        <w:rPr>
          <w:b/>
          <w:color w:val="0000FF"/>
        </w:rPr>
        <w:t>9.3</w:t>
      </w:r>
      <w:r w:rsidR="00AB2C6D" w:rsidRPr="00F33908">
        <w:rPr>
          <w:b/>
          <w:color w:val="0000FF"/>
        </w:rPr>
        <w:fldChar w:fldCharType="end"/>
      </w:r>
      <w:r w:rsidRPr="007A3223">
        <w:t xml:space="preserve"> for contact information). If the overdose results in an AE, the AE must also be </w:t>
      </w:r>
      <w:r w:rsidRPr="007A3223">
        <w:lastRenderedPageBreak/>
        <w:t>recorded as an AE. Overdose does not automa</w:t>
      </w:r>
      <w:r w:rsidRPr="00F33908">
        <w:t>tically make an AE serious, but if the consequences of the overdose ar</w:t>
      </w:r>
      <w:r w:rsidRPr="007A3223">
        <w:t xml:space="preserve">e serious, for example death or hospitalization, the event is serious and must be recorded and reported as an SAE. There is currently no specific treatment in the event of an overdose of </w:t>
      </w:r>
      <w:r w:rsidR="003F439F">
        <w:t>Durvalumab</w:t>
      </w:r>
      <w:r w:rsidRPr="007A3223">
        <w:t>.</w:t>
      </w:r>
    </w:p>
    <w:p w14:paraId="0A6FA616" w14:textId="77777777" w:rsidR="00AC610D" w:rsidRPr="007A3223" w:rsidRDefault="00AC610D" w:rsidP="00AC610D">
      <w:pPr>
        <w:pStyle w:val="Heading4"/>
      </w:pPr>
      <w:r w:rsidRPr="007A3223">
        <w:t>Hepatic function abnormality</w:t>
      </w:r>
    </w:p>
    <w:p w14:paraId="78434FCA" w14:textId="43204C6C" w:rsidR="00AC610D" w:rsidRPr="007A3223" w:rsidRDefault="00AC610D" w:rsidP="00AC610D">
      <w:pPr>
        <w:spacing w:after="0"/>
      </w:pPr>
      <w:r w:rsidRPr="007A3223">
        <w:t>Hepatic function abnormality (</w:t>
      </w:r>
      <w:r w:rsidRPr="00F33908">
        <w:rPr>
          <w:b/>
          <w:color w:val="0000FF"/>
        </w:rPr>
        <w:fldChar w:fldCharType="begin"/>
      </w:r>
      <w:r w:rsidRPr="007A3223">
        <w:rPr>
          <w:b/>
          <w:color w:val="0000FF"/>
        </w:rPr>
        <w:instrText xml:space="preserve"> REF _Ref450557840 \h  \* MERGEFORMAT </w:instrText>
      </w:r>
      <w:r w:rsidRPr="00F33908">
        <w:rPr>
          <w:b/>
          <w:color w:val="0000FF"/>
        </w:rPr>
      </w:r>
      <w:r w:rsidRPr="00F33908">
        <w:rPr>
          <w:b/>
          <w:color w:val="0000FF"/>
        </w:rPr>
        <w:fldChar w:fldCharType="separate"/>
      </w:r>
      <w:r w:rsidR="00E47ACA" w:rsidRPr="00E47ACA">
        <w:rPr>
          <w:b/>
          <w:color w:val="0000FF"/>
        </w:rPr>
        <w:t xml:space="preserve">Table </w:t>
      </w:r>
      <w:r w:rsidR="00E47ACA" w:rsidRPr="00E47ACA">
        <w:rPr>
          <w:b/>
          <w:noProof/>
          <w:color w:val="0000FF"/>
        </w:rPr>
        <w:t>20</w:t>
      </w:r>
      <w:r w:rsidRPr="00F33908">
        <w:rPr>
          <w:b/>
          <w:color w:val="0000FF"/>
        </w:rPr>
        <w:fldChar w:fldCharType="end"/>
      </w:r>
      <w:r w:rsidRPr="007A3223">
        <w:t xml:space="preserve">) in a study subject, with or without associated clinical manifestations, is required to be reported as “hepatic function abnormal” </w:t>
      </w:r>
      <w:r w:rsidRPr="00F33908">
        <w:rPr>
          <w:b/>
          <w:i/>
        </w:rPr>
        <w:t>with</w:t>
      </w:r>
      <w:r w:rsidRPr="007A3223">
        <w:rPr>
          <w:b/>
          <w:i/>
        </w:rPr>
        <w:t>in 24 hours of knowledge of the event</w:t>
      </w:r>
      <w:r w:rsidRPr="007A3223">
        <w:t xml:space="preserve"> to the sponsor and AstraZeneca/MedImmune Patient Safety using the designated Safety e-mailbox (see Section</w:t>
      </w:r>
      <w:r w:rsidR="00B108E5" w:rsidRPr="007A3223">
        <w:t xml:space="preserve"> </w:t>
      </w:r>
      <w:r w:rsidR="00EA7594" w:rsidRPr="00F33908">
        <w:rPr>
          <w:b/>
          <w:color w:val="0000FF"/>
        </w:rPr>
        <w:fldChar w:fldCharType="begin"/>
      </w:r>
      <w:r w:rsidR="00EA7594" w:rsidRPr="007A3223">
        <w:rPr>
          <w:b/>
          <w:color w:val="0000FF"/>
        </w:rPr>
        <w:instrText xml:space="preserve"> REF _Ref9933131 \n \h  \* MERGEFORMAT </w:instrText>
      </w:r>
      <w:r w:rsidR="00EA7594" w:rsidRPr="00F33908">
        <w:rPr>
          <w:b/>
          <w:color w:val="0000FF"/>
        </w:rPr>
      </w:r>
      <w:r w:rsidR="00EA7594" w:rsidRPr="00F33908">
        <w:rPr>
          <w:b/>
          <w:color w:val="0000FF"/>
        </w:rPr>
        <w:fldChar w:fldCharType="separate"/>
      </w:r>
      <w:r w:rsidR="00E47ACA">
        <w:rPr>
          <w:b/>
          <w:color w:val="0000FF"/>
        </w:rPr>
        <w:t>9.3</w:t>
      </w:r>
      <w:r w:rsidR="00EA7594" w:rsidRPr="00F33908">
        <w:rPr>
          <w:b/>
          <w:color w:val="0000FF"/>
        </w:rPr>
        <w:fldChar w:fldCharType="end"/>
      </w:r>
      <w:r w:rsidR="00EA7594" w:rsidRPr="007A3223">
        <w:rPr>
          <w:b/>
          <w:color w:val="0000FF"/>
        </w:rPr>
        <w:t xml:space="preserve"> </w:t>
      </w:r>
      <w:r w:rsidRPr="00F33908">
        <w:t>for conta</w:t>
      </w:r>
      <w:r w:rsidRPr="007A3223">
        <w:t>ct information), unless a definitive underlying diagnosis for the abnormality (e.g., cholelithiasis or bile duct obstruction) that is unrelated to investigational product has been confirmed.</w:t>
      </w:r>
    </w:p>
    <w:p w14:paraId="4958E242" w14:textId="77777777" w:rsidR="00AC610D" w:rsidRPr="007A3223" w:rsidRDefault="00AC610D" w:rsidP="00FB66BA">
      <w:pPr>
        <w:numPr>
          <w:ilvl w:val="0"/>
          <w:numId w:val="68"/>
        </w:numPr>
        <w:spacing w:after="0"/>
      </w:pPr>
      <w:r w:rsidRPr="007A3223">
        <w:t>If the definitive underlying diagnosis for the abnormality has been established and is unrelated to investigational product, the decision to continue dosing of the study subject will be based on the clinical judgment of the investigator.</w:t>
      </w:r>
    </w:p>
    <w:p w14:paraId="71ECCAC6" w14:textId="77777777" w:rsidR="00AC610D" w:rsidRPr="007A3223" w:rsidRDefault="00AC610D" w:rsidP="00FB66BA">
      <w:pPr>
        <w:numPr>
          <w:ilvl w:val="0"/>
          <w:numId w:val="68"/>
        </w:numPr>
        <w:spacing w:after="0"/>
      </w:pPr>
      <w:r w:rsidRPr="007A3223">
        <w:t>If no definitive underlying diagnosis for the abnormality is established, dosing of the study subject must be interrupted immediately. Follow-up investigations and inquiries must be initiated by the investigational site without delay.</w:t>
      </w:r>
    </w:p>
    <w:p w14:paraId="242C151A" w14:textId="77777777" w:rsidR="00AC610D" w:rsidRPr="007A3223" w:rsidRDefault="00AC610D" w:rsidP="00FB66BA">
      <w:pPr>
        <w:pStyle w:val="ListParagraph"/>
        <w:numPr>
          <w:ilvl w:val="0"/>
          <w:numId w:val="68"/>
        </w:numPr>
      </w:pPr>
      <w:r w:rsidRPr="007A3223">
        <w:t>Each reported event of hepatic function abnormality will be followed by the investigator and evaluated by the sponsor and AstraZeneca/MedImmune.</w:t>
      </w:r>
    </w:p>
    <w:p w14:paraId="11BFDD24" w14:textId="77777777" w:rsidR="00484D3D" w:rsidRPr="007A3223" w:rsidRDefault="00484D3D" w:rsidP="004052F4">
      <w:pPr>
        <w:spacing w:after="0"/>
        <w:rPr>
          <w:szCs w:val="24"/>
        </w:rPr>
      </w:pPr>
    </w:p>
    <w:p w14:paraId="03799437" w14:textId="77777777" w:rsidR="00D12BAC" w:rsidRPr="007A3223" w:rsidRDefault="00D12BAC" w:rsidP="00F267E9">
      <w:pPr>
        <w:pStyle w:val="Heading2"/>
      </w:pPr>
      <w:bookmarkStart w:id="310" w:name="_Ref9919886"/>
      <w:bookmarkStart w:id="311" w:name="_Toc11168627"/>
      <w:bookmarkStart w:id="312" w:name="_Toc82444388"/>
      <w:r w:rsidRPr="007A3223">
        <w:t>Assessment of Safety Events</w:t>
      </w:r>
      <w:bookmarkEnd w:id="310"/>
      <w:bookmarkEnd w:id="311"/>
      <w:bookmarkEnd w:id="312"/>
    </w:p>
    <w:p w14:paraId="6A37B0CF" w14:textId="77777777" w:rsidR="00D12BAC" w:rsidRPr="007A3223" w:rsidRDefault="00D12BAC" w:rsidP="00D12BAC">
      <w:pPr>
        <w:rPr>
          <w:rFonts w:eastAsia="Calibri"/>
          <w:color w:val="000000"/>
          <w:szCs w:val="24"/>
        </w:rPr>
      </w:pPr>
      <w:r w:rsidRPr="007A3223">
        <w:rPr>
          <w:rFonts w:eastAsia="Calibri"/>
          <w:color w:val="000000"/>
          <w:szCs w:val="24"/>
        </w:rPr>
        <w:t>AE information collected will include event description, date of onset, assessment of severity and relationship to study product and alternate etiology (if not related to study product), date of resolution of the event, seriousness and outcome. The assessment of severity and relationship to the study product will be done only by those with the training and authority to make a diagnosis and listed on the Form FDA 1572 as the site principal investigator or sub-investigator.  AEs occurring during the collection and reporting period will be documented appropriately regardless of relationship.  AEs will be followed through resolution.</w:t>
      </w:r>
    </w:p>
    <w:p w14:paraId="7586E331" w14:textId="77777777" w:rsidR="00D12BAC" w:rsidRPr="007A3223" w:rsidRDefault="00D12BAC" w:rsidP="00D12BAC">
      <w:pPr>
        <w:spacing w:before="240"/>
        <w:rPr>
          <w:rFonts w:eastAsia="Calibri"/>
          <w:color w:val="000000"/>
          <w:szCs w:val="24"/>
        </w:rPr>
      </w:pPr>
      <w:r w:rsidRPr="007A3223">
        <w:rPr>
          <w:rFonts w:eastAsia="Calibri"/>
          <w:color w:val="000000"/>
          <w:szCs w:val="24"/>
        </w:rPr>
        <w:t>SAEs will be:</w:t>
      </w:r>
    </w:p>
    <w:p w14:paraId="52C6C184" w14:textId="77777777" w:rsidR="00D12BAC" w:rsidRPr="007A3223" w:rsidRDefault="00D12BAC" w:rsidP="00FB66BA">
      <w:pPr>
        <w:widowControl w:val="0"/>
        <w:numPr>
          <w:ilvl w:val="0"/>
          <w:numId w:val="72"/>
        </w:numPr>
        <w:spacing w:line="274" w:lineRule="auto"/>
        <w:rPr>
          <w:rFonts w:eastAsia="Calibri"/>
          <w:color w:val="000000"/>
          <w:szCs w:val="24"/>
        </w:rPr>
      </w:pPr>
      <w:r w:rsidRPr="007A3223">
        <w:rPr>
          <w:rFonts w:eastAsia="Calibri"/>
          <w:color w:val="000000"/>
          <w:szCs w:val="24"/>
        </w:rPr>
        <w:t>Assessed for severity and relationship to study product and alternate etiology (if not related to study product) by a licensed study physician listed on the Form FDA 1572 as the site principal investigator or sub-investigator.</w:t>
      </w:r>
    </w:p>
    <w:p w14:paraId="2DFAC264" w14:textId="77777777" w:rsidR="00D12BAC" w:rsidRPr="007A3223" w:rsidRDefault="00D12BAC" w:rsidP="00FB66BA">
      <w:pPr>
        <w:numPr>
          <w:ilvl w:val="0"/>
          <w:numId w:val="72"/>
        </w:numPr>
        <w:tabs>
          <w:tab w:val="left" w:pos="720"/>
        </w:tabs>
        <w:spacing w:line="274" w:lineRule="auto"/>
        <w:rPr>
          <w:rFonts w:eastAsia="Calibri"/>
          <w:color w:val="000000"/>
          <w:szCs w:val="24"/>
        </w:rPr>
      </w:pPr>
      <w:r w:rsidRPr="007A3223">
        <w:rPr>
          <w:rFonts w:eastAsia="Calibri"/>
          <w:color w:val="000000"/>
          <w:szCs w:val="24"/>
        </w:rPr>
        <w:t>Recorded on the appropriate SAE report form, the medical record and captured in the clinical database.</w:t>
      </w:r>
    </w:p>
    <w:p w14:paraId="08003D37" w14:textId="77777777" w:rsidR="00D12BAC" w:rsidRPr="007A3223" w:rsidRDefault="00D12BAC" w:rsidP="00FB66BA">
      <w:pPr>
        <w:numPr>
          <w:ilvl w:val="0"/>
          <w:numId w:val="72"/>
        </w:numPr>
        <w:tabs>
          <w:tab w:val="left" w:pos="720"/>
        </w:tabs>
        <w:spacing w:line="274" w:lineRule="auto"/>
        <w:rPr>
          <w:rFonts w:eastAsia="Calibri"/>
          <w:color w:val="000000"/>
          <w:szCs w:val="24"/>
        </w:rPr>
      </w:pPr>
      <w:r w:rsidRPr="007A3223">
        <w:rPr>
          <w:rFonts w:eastAsia="Calibri"/>
          <w:color w:val="000000"/>
          <w:szCs w:val="24"/>
        </w:rPr>
        <w:t>Followed through resolution by a licensed study physician listed on the Form FDA 1572 as the site principal investigator or sub-investigator.</w:t>
      </w:r>
    </w:p>
    <w:p w14:paraId="0C391404" w14:textId="0504D498" w:rsidR="00D12BAC" w:rsidRPr="007A3223" w:rsidRDefault="00D12BAC" w:rsidP="00D12BAC">
      <w:pPr>
        <w:rPr>
          <w:rFonts w:eastAsia="Calibri"/>
        </w:rPr>
      </w:pPr>
      <w:r w:rsidRPr="007A3223">
        <w:rPr>
          <w:rFonts w:eastAsia="Calibri"/>
        </w:rPr>
        <w:lastRenderedPageBreak/>
        <w:t xml:space="preserve">For timeframe of recording adverse events, please refer to section </w:t>
      </w:r>
      <w:r w:rsidR="00BE159E" w:rsidRPr="00F33908">
        <w:rPr>
          <w:rFonts w:eastAsia="Calibri"/>
          <w:b/>
          <w:color w:val="0000FF"/>
        </w:rPr>
        <w:fldChar w:fldCharType="begin"/>
      </w:r>
      <w:r w:rsidR="00BE159E" w:rsidRPr="007A3223">
        <w:rPr>
          <w:rFonts w:eastAsia="Calibri"/>
          <w:b/>
          <w:color w:val="0000FF"/>
        </w:rPr>
        <w:instrText xml:space="preserve"> REF _Ref12285490 \r \h  \* MERGEFORMAT </w:instrText>
      </w:r>
      <w:r w:rsidR="00BE159E" w:rsidRPr="00F33908">
        <w:rPr>
          <w:rFonts w:eastAsia="Calibri"/>
          <w:b/>
          <w:color w:val="0000FF"/>
        </w:rPr>
      </w:r>
      <w:r w:rsidR="00BE159E" w:rsidRPr="00F33908">
        <w:rPr>
          <w:rFonts w:eastAsia="Calibri"/>
          <w:b/>
          <w:color w:val="0000FF"/>
        </w:rPr>
        <w:fldChar w:fldCharType="separate"/>
      </w:r>
      <w:r w:rsidR="00E47ACA">
        <w:rPr>
          <w:rFonts w:eastAsia="Calibri"/>
          <w:b/>
          <w:color w:val="0000FF"/>
        </w:rPr>
        <w:t>7.1</w:t>
      </w:r>
      <w:r w:rsidR="00BE159E" w:rsidRPr="00F33908">
        <w:rPr>
          <w:rFonts w:eastAsia="Calibri"/>
          <w:b/>
          <w:color w:val="0000FF"/>
        </w:rPr>
        <w:fldChar w:fldCharType="end"/>
      </w:r>
      <w:r w:rsidRPr="007A3223">
        <w:rPr>
          <w:rFonts w:eastAsia="Calibri"/>
        </w:rPr>
        <w:t xml:space="preserve">. </w:t>
      </w:r>
      <w:r w:rsidR="00D00510" w:rsidRPr="00F33908">
        <w:rPr>
          <w:rFonts w:eastAsia="Calibri"/>
        </w:rPr>
        <w:t xml:space="preserve"> </w:t>
      </w:r>
      <w:bookmarkStart w:id="313" w:name="_Hlk22907460"/>
      <w:r w:rsidR="00D00510" w:rsidRPr="007A3223">
        <w:rPr>
          <w:rFonts w:eastAsia="Calibri"/>
        </w:rPr>
        <w:t xml:space="preserve">All serious adverse events recorded from the time of first investigational product administration must be reported to the sponsor. </w:t>
      </w:r>
      <w:bookmarkEnd w:id="313"/>
    </w:p>
    <w:p w14:paraId="58956E2E" w14:textId="77777777" w:rsidR="009F08FB" w:rsidRPr="007A3223" w:rsidRDefault="009F08FB" w:rsidP="00F267E9">
      <w:pPr>
        <w:pStyle w:val="Heading2"/>
      </w:pPr>
      <w:bookmarkStart w:id="314" w:name="_Ref9933131"/>
      <w:bookmarkStart w:id="315" w:name="_Toc11168628"/>
      <w:bookmarkStart w:id="316" w:name="_Toc82444389"/>
      <w:r w:rsidRPr="007A3223">
        <w:t>Reporting of Serious Adverse Events</w:t>
      </w:r>
      <w:bookmarkEnd w:id="314"/>
      <w:bookmarkEnd w:id="315"/>
      <w:bookmarkEnd w:id="316"/>
    </w:p>
    <w:p w14:paraId="3CB7B55A" w14:textId="77777777" w:rsidR="009F08FB" w:rsidRPr="007A3223" w:rsidRDefault="009F08FB" w:rsidP="009F08FB">
      <w:pPr>
        <w:spacing w:after="0"/>
        <w:rPr>
          <w:szCs w:val="24"/>
        </w:rPr>
      </w:pPr>
      <w:bookmarkStart w:id="317" w:name="_Hlk38611453"/>
      <w:r w:rsidRPr="007A3223">
        <w:rPr>
          <w:szCs w:val="24"/>
        </w:rPr>
        <w:t>Any AE that meets a protocol-defined serious criteria, or meets the definition of Adverse Event of Special Interest that require expedited reporting must be submitted immediately (within 24 hours of awareness) to OSRO Safety using the CCR SAE report form</w:t>
      </w:r>
      <w:bookmarkEnd w:id="317"/>
      <w:r w:rsidRPr="007A3223">
        <w:rPr>
          <w:szCs w:val="24"/>
        </w:rPr>
        <w:t>.</w:t>
      </w:r>
    </w:p>
    <w:p w14:paraId="6EB50A92" w14:textId="698937EB" w:rsidR="009F08FB" w:rsidRPr="00F33908" w:rsidRDefault="009F08FB" w:rsidP="009F08FB">
      <w:pPr>
        <w:spacing w:after="0"/>
        <w:rPr>
          <w:szCs w:val="24"/>
        </w:rPr>
      </w:pPr>
      <w:r w:rsidRPr="007A3223">
        <w:rPr>
          <w:szCs w:val="24"/>
        </w:rPr>
        <w:t xml:space="preserve">All SAE reporting must include the elements described in </w:t>
      </w:r>
      <w:r w:rsidR="00C04CFF" w:rsidRPr="00F33908">
        <w:rPr>
          <w:b/>
          <w:color w:val="0000FF"/>
          <w:szCs w:val="24"/>
        </w:rPr>
        <w:fldChar w:fldCharType="begin"/>
      </w:r>
      <w:r w:rsidR="00C04CFF" w:rsidRPr="007A3223">
        <w:rPr>
          <w:b/>
          <w:color w:val="0000FF"/>
          <w:szCs w:val="24"/>
        </w:rPr>
        <w:instrText xml:space="preserve"> REF _Ref9919886 \r \h  \* MERGEFORMAT </w:instrText>
      </w:r>
      <w:r w:rsidR="00C04CFF" w:rsidRPr="00F33908">
        <w:rPr>
          <w:b/>
          <w:color w:val="0000FF"/>
          <w:szCs w:val="24"/>
        </w:rPr>
      </w:r>
      <w:r w:rsidR="00C04CFF" w:rsidRPr="00F33908">
        <w:rPr>
          <w:b/>
          <w:color w:val="0000FF"/>
          <w:szCs w:val="24"/>
        </w:rPr>
        <w:fldChar w:fldCharType="separate"/>
      </w:r>
      <w:r w:rsidR="00E47ACA">
        <w:rPr>
          <w:b/>
          <w:color w:val="0000FF"/>
          <w:szCs w:val="24"/>
        </w:rPr>
        <w:t>9.2</w:t>
      </w:r>
      <w:r w:rsidR="00C04CFF" w:rsidRPr="00F33908">
        <w:rPr>
          <w:b/>
          <w:color w:val="0000FF"/>
          <w:szCs w:val="24"/>
        </w:rPr>
        <w:fldChar w:fldCharType="end"/>
      </w:r>
      <w:r w:rsidRPr="007A3223">
        <w:rPr>
          <w:szCs w:val="24"/>
        </w:rPr>
        <w:t>.</w:t>
      </w:r>
    </w:p>
    <w:p w14:paraId="32636AD1" w14:textId="02E3765A" w:rsidR="009F08FB" w:rsidRPr="007A3223" w:rsidRDefault="009F08FB" w:rsidP="009F08FB">
      <w:pPr>
        <w:spacing w:after="0"/>
        <w:rPr>
          <w:szCs w:val="24"/>
        </w:rPr>
      </w:pPr>
      <w:r w:rsidRPr="007A3223">
        <w:rPr>
          <w:szCs w:val="24"/>
        </w:rPr>
        <w:t xml:space="preserve">SAE reports will be submitted to the Center for Cancer Research (CCR) at: OSROSafety@mail.nih.gov and to the CCR PI and study coordinator.  CCR SAE report form and instructions can be found at: </w:t>
      </w:r>
      <w:hyperlink r:id="rId78" w:history="1">
        <w:r w:rsidR="001677BA" w:rsidRPr="00D730D7">
          <w:rPr>
            <w:rStyle w:val="Hyperlink"/>
          </w:rPr>
          <w:t>https://ccrod.cancer.gov/confluence/display/CCRCRO/Forms+and+Instructions</w:t>
        </w:r>
      </w:hyperlink>
    </w:p>
    <w:p w14:paraId="3ECE98B8" w14:textId="2B059D6F" w:rsidR="009F08FB" w:rsidRPr="007A3223" w:rsidRDefault="009F08FB" w:rsidP="009F08FB">
      <w:pPr>
        <w:spacing w:after="0"/>
        <w:rPr>
          <w:szCs w:val="24"/>
        </w:rPr>
      </w:pPr>
      <w:r w:rsidRPr="007A3223">
        <w:rPr>
          <w:szCs w:val="24"/>
        </w:rPr>
        <w:t>Following the assessment of the SAE by OSRO, other supporting documentation of the event may be requested by the OSRO Safety and should be provided as soon as possible.</w:t>
      </w:r>
    </w:p>
    <w:p w14:paraId="471156ED" w14:textId="77777777" w:rsidR="00D85901" w:rsidRPr="007A3223" w:rsidRDefault="00D85901" w:rsidP="00D85901">
      <w:pPr>
        <w:pStyle w:val="Heading2"/>
      </w:pPr>
      <w:bookmarkStart w:id="318" w:name="_Toc82444390"/>
      <w:r w:rsidRPr="007A3223">
        <w:rPr>
          <w:lang w:val="en-US"/>
        </w:rPr>
        <w:t xml:space="preserve">Safety </w:t>
      </w:r>
      <w:r w:rsidRPr="007A3223">
        <w:t xml:space="preserve">Reporting Criteria to the </w:t>
      </w:r>
      <w:r w:rsidRPr="007A3223">
        <w:rPr>
          <w:lang w:val="en-US"/>
        </w:rPr>
        <w:t>Pharmaceutical Collaborators</w:t>
      </w:r>
      <w:bookmarkEnd w:id="318"/>
    </w:p>
    <w:p w14:paraId="7F4094E4"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All events listed below must be reported in the defined timelines to CCRsafety@mail.nih.gov. </w:t>
      </w:r>
    </w:p>
    <w:p w14:paraId="0CAF5E6D" w14:textId="284FE436" w:rsidR="00D85901" w:rsidRPr="007A3223" w:rsidRDefault="00D85901" w:rsidP="00D85901">
      <w:pPr>
        <w:widowControl w:val="0"/>
        <w:autoSpaceDE w:val="0"/>
        <w:autoSpaceDN w:val="0"/>
        <w:adjustRightInd w:val="0"/>
        <w:rPr>
          <w:color w:val="000000"/>
          <w:szCs w:val="24"/>
        </w:rPr>
      </w:pPr>
      <w:r w:rsidRPr="007A3223">
        <w:rPr>
          <w:color w:val="000000"/>
          <w:szCs w:val="24"/>
        </w:rPr>
        <w:t>The CCR Office of Regulatory Affairs will send all reports to the manufacturer, as described below, for SAEs, SUSARs, AESIs, overdoses, and pregnancies.</w:t>
      </w:r>
    </w:p>
    <w:p w14:paraId="7CE44A96" w14:textId="77777777" w:rsidR="00D85901" w:rsidRPr="007A3223" w:rsidRDefault="00D85901" w:rsidP="00D85901">
      <w:pPr>
        <w:rPr>
          <w:lang w:eastAsia="x-none"/>
        </w:rPr>
      </w:pPr>
      <w:r w:rsidRPr="007A3223">
        <w:rPr>
          <w:lang w:eastAsia="x-none"/>
        </w:rPr>
        <w:t xml:space="preserve">If any pregnancy occurs in the course of the study, then the investigator should inform the appropriate AstraZeneca representatives within 1 day, ie, immediately, but </w:t>
      </w:r>
      <w:r w:rsidRPr="007A3223">
        <w:rPr>
          <w:b/>
          <w:lang w:eastAsia="x-none"/>
        </w:rPr>
        <w:t xml:space="preserve">no later than 24 hours </w:t>
      </w:r>
      <w:r w:rsidRPr="007A3223">
        <w:rPr>
          <w:lang w:eastAsia="x-none"/>
        </w:rPr>
        <w:t>of when he or she becomes aware of it.</w:t>
      </w:r>
    </w:p>
    <w:p w14:paraId="5D0E544D"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The Investigator will notify AstraZeneca/MedImmune via email to: </w:t>
      </w:r>
      <w:hyperlink r:id="rId79" w:history="1">
        <w:r w:rsidRPr="00F33908">
          <w:rPr>
            <w:rStyle w:val="Hyperlink"/>
          </w:rPr>
          <w:t>AEMailboxClinicalTrialTCS@astrazeneca.com</w:t>
        </w:r>
      </w:hyperlink>
      <w:r w:rsidRPr="007A3223">
        <w:rPr>
          <w:color w:val="1F497D"/>
        </w:rPr>
        <w:t xml:space="preserve"> </w:t>
      </w:r>
      <w:r w:rsidRPr="00F33908">
        <w:rPr>
          <w:color w:val="000000"/>
          <w:szCs w:val="24"/>
        </w:rPr>
        <w:t>in a written IND. Safety Report (MedWatch, Form 3500A) as soon as possibl</w:t>
      </w:r>
      <w:r w:rsidRPr="007A3223">
        <w:rPr>
          <w:color w:val="000000"/>
          <w:szCs w:val="24"/>
        </w:rPr>
        <w:t xml:space="preserve">e and no later than 3 business days for death or life threatening or 7 business days for all SAEs for which serious criteria apply. To the extent possible, any AE whose severity and attribution require expedited submission of the AE report to the FDA will be sent to AstraZeneca/MedImmune and company in advance of report submission to the FDA. </w:t>
      </w:r>
    </w:p>
    <w:p w14:paraId="09C4F8E6" w14:textId="77777777" w:rsidR="00D85901" w:rsidRPr="007A3223" w:rsidRDefault="00D85901" w:rsidP="00D85901">
      <w:pPr>
        <w:widowControl w:val="0"/>
        <w:tabs>
          <w:tab w:val="left" w:pos="1884"/>
        </w:tabs>
        <w:autoSpaceDE w:val="0"/>
        <w:autoSpaceDN w:val="0"/>
        <w:adjustRightInd w:val="0"/>
        <w:rPr>
          <w:color w:val="000000"/>
          <w:szCs w:val="24"/>
        </w:rPr>
      </w:pPr>
      <w:r w:rsidRPr="007A3223">
        <w:rPr>
          <w:color w:val="000000"/>
          <w:szCs w:val="24"/>
        </w:rPr>
        <w:t>The Investigative site must also indicate, either in the SAE report or the fax cover page, the causality of events in relation to each of the study medications and if the SAE is related to disease progression, as determined by the principal investigator. Any event or hospitalization that is unequivocally due to progression of disease, as determined by the PI, will not be reported as an SAE to the FDA, however should be communicated to AstraZeneca/MedImmune.</w:t>
      </w:r>
    </w:p>
    <w:p w14:paraId="648D4ABF"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 A cover page should accompany the MedWatch form indicating the following: </w:t>
      </w:r>
    </w:p>
    <w:p w14:paraId="1B796E43" w14:textId="4AFFDE88" w:rsidR="00D85901" w:rsidRPr="007A3223" w:rsidRDefault="003F439F" w:rsidP="00FB66BA">
      <w:pPr>
        <w:pStyle w:val="MediumList2-Accent41"/>
        <w:widowControl w:val="0"/>
        <w:numPr>
          <w:ilvl w:val="0"/>
          <w:numId w:val="43"/>
        </w:numPr>
        <w:autoSpaceDE w:val="0"/>
        <w:autoSpaceDN w:val="0"/>
        <w:adjustRightInd w:val="0"/>
        <w:rPr>
          <w:color w:val="000000"/>
        </w:rPr>
      </w:pPr>
      <w:r>
        <w:t>Durvalumab</w:t>
      </w:r>
      <w:r w:rsidR="00D85901" w:rsidRPr="007A3223">
        <w:t>, olaparib, and cediranib</w:t>
      </w:r>
      <w:r w:rsidR="00D85901" w:rsidRPr="007A3223">
        <w:rPr>
          <w:color w:val="000000"/>
        </w:rPr>
        <w:t xml:space="preserve"> Investigator Sponsored Study (ISS) </w:t>
      </w:r>
    </w:p>
    <w:p w14:paraId="1C87B0E5" w14:textId="77777777" w:rsidR="00D85901" w:rsidRPr="007A3223" w:rsidRDefault="00D85901" w:rsidP="00FB66BA">
      <w:pPr>
        <w:pStyle w:val="MediumList2-Accent41"/>
        <w:widowControl w:val="0"/>
        <w:numPr>
          <w:ilvl w:val="0"/>
          <w:numId w:val="43"/>
        </w:numPr>
        <w:autoSpaceDE w:val="0"/>
        <w:autoSpaceDN w:val="0"/>
        <w:adjustRightInd w:val="0"/>
        <w:spacing w:after="44"/>
        <w:rPr>
          <w:color w:val="000000"/>
        </w:rPr>
      </w:pPr>
      <w:r w:rsidRPr="007A3223">
        <w:rPr>
          <w:color w:val="000000"/>
        </w:rPr>
        <w:t xml:space="preserve">The investigator IND number assigned by the FDA </w:t>
      </w:r>
    </w:p>
    <w:p w14:paraId="1C9A0FA5" w14:textId="77777777" w:rsidR="00D85901" w:rsidRPr="007A3223" w:rsidRDefault="00D85901" w:rsidP="00FB66BA">
      <w:pPr>
        <w:pStyle w:val="MediumList2-Accent41"/>
        <w:widowControl w:val="0"/>
        <w:numPr>
          <w:ilvl w:val="0"/>
          <w:numId w:val="43"/>
        </w:numPr>
        <w:autoSpaceDE w:val="0"/>
        <w:autoSpaceDN w:val="0"/>
        <w:adjustRightInd w:val="0"/>
        <w:spacing w:after="44"/>
        <w:rPr>
          <w:color w:val="000000"/>
        </w:rPr>
      </w:pPr>
      <w:r w:rsidRPr="007A3223">
        <w:rPr>
          <w:color w:val="000000"/>
        </w:rPr>
        <w:t xml:space="preserve">The investigator’s name and address </w:t>
      </w:r>
    </w:p>
    <w:p w14:paraId="5D56E73C" w14:textId="77777777" w:rsidR="00D85901" w:rsidRPr="007A3223" w:rsidRDefault="00D85901" w:rsidP="00FB66BA">
      <w:pPr>
        <w:pStyle w:val="MediumList2-Accent41"/>
        <w:widowControl w:val="0"/>
        <w:numPr>
          <w:ilvl w:val="0"/>
          <w:numId w:val="43"/>
        </w:numPr>
        <w:autoSpaceDE w:val="0"/>
        <w:autoSpaceDN w:val="0"/>
        <w:adjustRightInd w:val="0"/>
        <w:spacing w:after="44"/>
        <w:rPr>
          <w:color w:val="000000"/>
        </w:rPr>
      </w:pPr>
      <w:r w:rsidRPr="007A3223">
        <w:rPr>
          <w:color w:val="000000"/>
        </w:rPr>
        <w:t>The trial name and AstraZeneca/MedImmune Reference number (ESR-14-10366)</w:t>
      </w:r>
    </w:p>
    <w:p w14:paraId="69F1CEC6" w14:textId="77777777" w:rsidR="00D85901" w:rsidRPr="007A3223" w:rsidRDefault="00D85901" w:rsidP="00FB66BA">
      <w:pPr>
        <w:pStyle w:val="MediumList2-Accent41"/>
        <w:widowControl w:val="0"/>
        <w:numPr>
          <w:ilvl w:val="0"/>
          <w:numId w:val="43"/>
        </w:numPr>
        <w:autoSpaceDE w:val="0"/>
        <w:autoSpaceDN w:val="0"/>
        <w:adjustRightInd w:val="0"/>
        <w:rPr>
          <w:color w:val="000000"/>
        </w:rPr>
      </w:pPr>
      <w:r w:rsidRPr="007A3223">
        <w:rPr>
          <w:color w:val="000000"/>
        </w:rPr>
        <w:t xml:space="preserve">Causality </w:t>
      </w:r>
    </w:p>
    <w:p w14:paraId="7C9663EF"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Follow-up information on SAEs must also be reported by the investigator to NCI and then </w:t>
      </w:r>
      <w:r w:rsidRPr="007A3223">
        <w:rPr>
          <w:color w:val="000000"/>
          <w:szCs w:val="24"/>
        </w:rPr>
        <w:lastRenderedPageBreak/>
        <w:t xml:space="preserve">AstraZeneca/MedImmune within 3 business days for death or life threatening or 7 business days for all SAEs for which serious criteria apply after initial receipt of the information. </w:t>
      </w:r>
    </w:p>
    <w:p w14:paraId="3084B825"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If follow-up indicates a change in the SAE from serious to fatal or life threatening, this information also needs to be communicated to NCI and AstraZeneca/MedImmune within 2 business days. If follow-up indicates a change from serious to non-serious, this information needs to be communicated to NCI and AstraZeneca/MedImmune within 7 business days. </w:t>
      </w:r>
    </w:p>
    <w:p w14:paraId="6E9921B4" w14:textId="77777777" w:rsidR="00D85901" w:rsidRPr="007A3223" w:rsidRDefault="00D85901" w:rsidP="00D85901">
      <w:pPr>
        <w:widowControl w:val="0"/>
        <w:autoSpaceDE w:val="0"/>
        <w:autoSpaceDN w:val="0"/>
        <w:adjustRightInd w:val="0"/>
        <w:rPr>
          <w:color w:val="000000"/>
          <w:szCs w:val="24"/>
        </w:rPr>
      </w:pPr>
      <w:r w:rsidRPr="007A3223">
        <w:rPr>
          <w:color w:val="000000"/>
          <w:szCs w:val="24"/>
        </w:rPr>
        <w:t xml:space="preserve">All SAEs will be reported to AstraZeneca/MedImmune on a MedWatch form using the following guidelines: </w:t>
      </w:r>
    </w:p>
    <w:p w14:paraId="03AEF46D" w14:textId="77777777" w:rsidR="00D85901" w:rsidRPr="007A3223" w:rsidRDefault="00D85901" w:rsidP="00FB66BA">
      <w:pPr>
        <w:pStyle w:val="ListParagraph"/>
        <w:numPr>
          <w:ilvl w:val="0"/>
          <w:numId w:val="44"/>
        </w:numPr>
      </w:pPr>
      <w:r w:rsidRPr="007A3223">
        <w:t xml:space="preserve">if there is more than one SAE listed on the MedWatch form, each should be bulleted or numbered </w:t>
      </w:r>
    </w:p>
    <w:p w14:paraId="69E39ACA" w14:textId="77777777" w:rsidR="00D85901" w:rsidRPr="007A3223" w:rsidRDefault="00D85901" w:rsidP="00FB66BA">
      <w:pPr>
        <w:pStyle w:val="ListParagraph"/>
        <w:numPr>
          <w:ilvl w:val="0"/>
          <w:numId w:val="44"/>
        </w:numPr>
      </w:pPr>
      <w:r w:rsidRPr="007A3223">
        <w:t xml:space="preserve">causality for each SAE must be specified in the narrative section </w:t>
      </w:r>
    </w:p>
    <w:p w14:paraId="5BB62321" w14:textId="77777777" w:rsidR="00D85901" w:rsidRPr="007A3223" w:rsidRDefault="00D85901" w:rsidP="00FB66BA">
      <w:pPr>
        <w:pStyle w:val="ListParagraph"/>
        <w:numPr>
          <w:ilvl w:val="0"/>
          <w:numId w:val="44"/>
        </w:numPr>
      </w:pPr>
      <w:r w:rsidRPr="007A3223">
        <w:t xml:space="preserve">the date the site notified NCI and </w:t>
      </w:r>
      <w:r w:rsidRPr="007A3223">
        <w:rPr>
          <w:color w:val="000000"/>
        </w:rPr>
        <w:t xml:space="preserve">AstraZeneca/MedImmune </w:t>
      </w:r>
      <w:r w:rsidRPr="007A3223">
        <w:t xml:space="preserve">of the SAE must be specified in the narrative section </w:t>
      </w:r>
    </w:p>
    <w:p w14:paraId="756E8A78" w14:textId="77777777" w:rsidR="00D85901" w:rsidRPr="007A3223" w:rsidRDefault="00D85901" w:rsidP="00FB66BA">
      <w:pPr>
        <w:pStyle w:val="ListParagraph"/>
        <w:numPr>
          <w:ilvl w:val="0"/>
          <w:numId w:val="45"/>
        </w:numPr>
      </w:pPr>
      <w:r w:rsidRPr="007A3223">
        <w:t>initial and follow-up MedWatch reports should be numbered either in the narrative section or in section G.7 of the MedWatch form</w:t>
      </w:r>
    </w:p>
    <w:p w14:paraId="2CC3037F" w14:textId="77777777" w:rsidR="00D85901" w:rsidRPr="007A3223" w:rsidRDefault="00D85901" w:rsidP="00D85901">
      <w:r w:rsidRPr="007A3223">
        <w:rPr>
          <w:color w:val="000000"/>
          <w:szCs w:val="24"/>
        </w:rPr>
        <w:t xml:space="preserve">Once a MedWatch form is completed, it will be sent to AstraZeneca/MedImmune via email at: </w:t>
      </w:r>
      <w:hyperlink r:id="rId80" w:history="1">
        <w:r w:rsidRPr="00F33908">
          <w:rPr>
            <w:rStyle w:val="Hyperlink"/>
          </w:rPr>
          <w:t>AEMailboxClinicalTrialTCS@astrazeneca.com</w:t>
        </w:r>
      </w:hyperlink>
    </w:p>
    <w:p w14:paraId="222BFEBD" w14:textId="7F79A727" w:rsidR="00B0042D" w:rsidRDefault="00B0042D" w:rsidP="00B0042D">
      <w:pPr>
        <w:pStyle w:val="Heading2"/>
      </w:pPr>
      <w:bookmarkStart w:id="319" w:name="_Toc82444391"/>
      <w:r w:rsidRPr="007A3223">
        <w:t>Reporting Pregnancy</w:t>
      </w:r>
      <w:bookmarkEnd w:id="319"/>
      <w:r w:rsidRPr="007A3223">
        <w:t xml:space="preserve"> </w:t>
      </w:r>
    </w:p>
    <w:p w14:paraId="790E7DD3" w14:textId="111C7718" w:rsidR="00A23E13" w:rsidRPr="00A23E13" w:rsidRDefault="00A23E13" w:rsidP="00A23E13">
      <w:pPr>
        <w:rPr>
          <w:lang w:val="x-none" w:eastAsia="x-none"/>
        </w:rPr>
      </w:pPr>
      <w:r w:rsidRPr="00A23E13">
        <w:rPr>
          <w:lang w:val="x-none" w:eastAsia="x-none"/>
        </w:rPr>
        <w:t>All required pregnancy reports/follow-up to OSRO will be submitted to: OSROSafety@mail.nih.gov and to the CCR PI and study coordinator.  Forms and instructions can be found here: https://ccrod.cancer.gov/confluence/display/CCRCRO/Forms+and+Instructions</w:t>
      </w:r>
    </w:p>
    <w:p w14:paraId="4B24B9C3" w14:textId="01446581" w:rsidR="007E6176" w:rsidRPr="007A3223" w:rsidRDefault="007E6176" w:rsidP="000C1D10">
      <w:pPr>
        <w:pStyle w:val="Heading3"/>
      </w:pPr>
      <w:r w:rsidRPr="007A3223">
        <w:t>Maternal exposure</w:t>
      </w:r>
    </w:p>
    <w:p w14:paraId="5AF75191" w14:textId="56EB9BF3" w:rsidR="007E6176" w:rsidRPr="007A3223" w:rsidRDefault="007E6176" w:rsidP="007E6176">
      <w:pPr>
        <w:spacing w:after="0"/>
        <w:rPr>
          <w:szCs w:val="24"/>
        </w:rPr>
      </w:pPr>
      <w:r w:rsidRPr="007A3223">
        <w:rPr>
          <w:szCs w:val="24"/>
        </w:rPr>
        <w:t xml:space="preserve">If a patient becomes pregnant during the course of the study, the study treatment should be discontinued immediately, and the pregnancy reported to the Sponsor no later than 24 hours of when the Investigator becomes aware of it. The Investigator should notify the Sponsor no later than 24 hours of when the outcome of the </w:t>
      </w:r>
      <w:r w:rsidR="009A270A" w:rsidRPr="007A3223">
        <w:rPr>
          <w:szCs w:val="24"/>
        </w:rPr>
        <w:t>p</w:t>
      </w:r>
      <w:r w:rsidRPr="007A3223">
        <w:rPr>
          <w:szCs w:val="24"/>
        </w:rPr>
        <w:t>regnancy become known,</w:t>
      </w:r>
    </w:p>
    <w:p w14:paraId="5D011ECF" w14:textId="554AD88B" w:rsidR="007E6176" w:rsidRPr="00F33908" w:rsidRDefault="007E6176" w:rsidP="007E6176">
      <w:pPr>
        <w:spacing w:after="0"/>
        <w:rPr>
          <w:szCs w:val="24"/>
        </w:rPr>
      </w:pPr>
      <w:r w:rsidRPr="007A3223">
        <w:rPr>
          <w:szCs w:val="24"/>
        </w:rPr>
        <w:t>Pregnancy itself is not regarded as an SAE. However, congenital abnormalities or birth defects and spontaneous miscarriages that meet serious criteria (</w:t>
      </w:r>
      <w:r w:rsidR="00533B57" w:rsidRPr="00F33908">
        <w:rPr>
          <w:b/>
          <w:color w:val="0000FF"/>
          <w:szCs w:val="24"/>
        </w:rPr>
        <w:fldChar w:fldCharType="begin"/>
      </w:r>
      <w:r w:rsidR="00533B57" w:rsidRPr="007A3223">
        <w:rPr>
          <w:b/>
          <w:color w:val="0000FF"/>
          <w:szCs w:val="24"/>
        </w:rPr>
        <w:instrText xml:space="preserve"> REF _Ref9920154 \r \h  \* MERGEFORMAT </w:instrText>
      </w:r>
      <w:r w:rsidR="00533B57" w:rsidRPr="00F33908">
        <w:rPr>
          <w:b/>
          <w:color w:val="0000FF"/>
          <w:szCs w:val="24"/>
        </w:rPr>
      </w:r>
      <w:r w:rsidR="00533B57" w:rsidRPr="00F33908">
        <w:rPr>
          <w:b/>
          <w:color w:val="0000FF"/>
          <w:szCs w:val="24"/>
        </w:rPr>
        <w:fldChar w:fldCharType="separate"/>
      </w:r>
      <w:r w:rsidR="00E47ACA">
        <w:rPr>
          <w:b/>
          <w:color w:val="0000FF"/>
          <w:szCs w:val="24"/>
        </w:rPr>
        <w:t>9.1.2</w:t>
      </w:r>
      <w:r w:rsidR="00533B57" w:rsidRPr="00F33908">
        <w:rPr>
          <w:b/>
          <w:color w:val="0000FF"/>
          <w:szCs w:val="24"/>
        </w:rPr>
        <w:fldChar w:fldCharType="end"/>
      </w:r>
      <w:r w:rsidRPr="007A3223">
        <w:rPr>
          <w:szCs w:val="24"/>
        </w:rPr>
        <w:t xml:space="preserve">) should be reported as SAEs. </w:t>
      </w:r>
    </w:p>
    <w:p w14:paraId="0F07E410" w14:textId="77777777" w:rsidR="007E6176" w:rsidRPr="007A3223" w:rsidRDefault="007E6176" w:rsidP="007E6176">
      <w:pPr>
        <w:spacing w:after="0"/>
        <w:rPr>
          <w:szCs w:val="24"/>
        </w:rPr>
      </w:pPr>
      <w:r w:rsidRPr="007A3223">
        <w:rPr>
          <w:szCs w:val="24"/>
        </w:rPr>
        <w:t>The outcome of all pregnancies (spontaneous miscarriage, elective termination, ectopic pregnancy, normal birth, or congenital abnormality) should be followed up and documented.</w:t>
      </w:r>
    </w:p>
    <w:p w14:paraId="3CC4ECC4" w14:textId="7104A28A" w:rsidR="007E6176" w:rsidRPr="007A3223" w:rsidRDefault="007E6176" w:rsidP="000C1D10">
      <w:pPr>
        <w:pStyle w:val="Heading3"/>
      </w:pPr>
      <w:r w:rsidRPr="007A3223">
        <w:t>Paternal exposure</w:t>
      </w:r>
    </w:p>
    <w:p w14:paraId="69BBE275" w14:textId="5508D22F" w:rsidR="007E6176" w:rsidRPr="007A3223" w:rsidRDefault="007E6176" w:rsidP="007E6176">
      <w:pPr>
        <w:spacing w:after="0"/>
        <w:rPr>
          <w:szCs w:val="24"/>
        </w:rPr>
      </w:pPr>
      <w:r w:rsidRPr="007A3223">
        <w:rPr>
          <w:szCs w:val="24"/>
        </w:rPr>
        <w:t xml:space="preserve">Male patients should refrain from fathering a child or donating sperm during the study and for </w:t>
      </w:r>
      <w:r w:rsidR="00273D08" w:rsidRPr="007A3223">
        <w:rPr>
          <w:szCs w:val="24"/>
        </w:rPr>
        <w:t>3 months</w:t>
      </w:r>
      <w:r w:rsidRPr="007A3223">
        <w:rPr>
          <w:szCs w:val="24"/>
        </w:rPr>
        <w:t xml:space="preserve"> after the last dose of </w:t>
      </w:r>
      <w:r w:rsidR="003F439F">
        <w:rPr>
          <w:lang w:eastAsia="x-none"/>
        </w:rPr>
        <w:t>Durvalumab</w:t>
      </w:r>
      <w:r w:rsidR="00197597" w:rsidRPr="007A3223">
        <w:rPr>
          <w:lang w:eastAsia="x-none"/>
        </w:rPr>
        <w:t>, cediranib, and/or olaparib</w:t>
      </w:r>
      <w:r w:rsidRPr="007A3223">
        <w:rPr>
          <w:szCs w:val="24"/>
        </w:rPr>
        <w:t>.</w:t>
      </w:r>
    </w:p>
    <w:p w14:paraId="1BE0BB21" w14:textId="30736E24" w:rsidR="007E6176" w:rsidRPr="007A3223" w:rsidRDefault="007E6176" w:rsidP="007E6176">
      <w:pPr>
        <w:spacing w:after="0"/>
        <w:rPr>
          <w:szCs w:val="24"/>
        </w:rPr>
      </w:pPr>
      <w:r w:rsidRPr="007A3223">
        <w:rPr>
          <w:szCs w:val="24"/>
        </w:rPr>
        <w:t xml:space="preserve">Pregnancy of the patient’s partner is not considered to be an AE. However, the outcome of all pregnancies (spontaneous miscarriage, elective termination, ectopic pregnancy, normal birth, or congenital abnormality) occurring from the date of the first dose until </w:t>
      </w:r>
      <w:r w:rsidR="00273D08" w:rsidRPr="007A3223">
        <w:rPr>
          <w:szCs w:val="24"/>
        </w:rPr>
        <w:t>3 months</w:t>
      </w:r>
      <w:r w:rsidRPr="007A3223">
        <w:rPr>
          <w:szCs w:val="24"/>
        </w:rPr>
        <w:t xml:space="preserve"> after the last dose should, if possible, be followed up and documented.</w:t>
      </w:r>
    </w:p>
    <w:p w14:paraId="5CA1986D" w14:textId="77777777" w:rsidR="007243D3" w:rsidRPr="007A3223" w:rsidRDefault="007243D3" w:rsidP="00F267E9">
      <w:pPr>
        <w:pStyle w:val="Heading2"/>
      </w:pPr>
      <w:bookmarkStart w:id="320" w:name="_Toc11168634"/>
      <w:bookmarkStart w:id="321" w:name="_Toc82444392"/>
      <w:bookmarkStart w:id="322" w:name="_Hlk11169880"/>
      <w:r w:rsidRPr="007A3223">
        <w:lastRenderedPageBreak/>
        <w:t>Regulatory Reporting for Studies Conducted Under CCR</w:t>
      </w:r>
      <w:r w:rsidRPr="007A3223">
        <w:noBreakHyphen/>
        <w:t>Sponsored IND</w:t>
      </w:r>
      <w:bookmarkEnd w:id="320"/>
      <w:bookmarkEnd w:id="321"/>
    </w:p>
    <w:p w14:paraId="3E617141" w14:textId="77777777" w:rsidR="007243D3" w:rsidRPr="007A3223" w:rsidRDefault="007243D3" w:rsidP="007243D3">
      <w:pPr>
        <w:rPr>
          <w:rFonts w:eastAsia="Calibri"/>
          <w:color w:val="000000"/>
          <w:szCs w:val="24"/>
        </w:rPr>
      </w:pPr>
      <w:r w:rsidRPr="007A3223">
        <w:rPr>
          <w:rFonts w:eastAsia="Calibri"/>
          <w:color w:val="000000"/>
          <w:szCs w:val="24"/>
        </w:rPr>
        <w:t xml:space="preserve">Following notification from the investigator, CCR, the IND sponsor, will report any suspected adverse reaction that is both serious and unexpected.  CCR will report an AE as a suspected adverse reaction only if there is evidence to suggest a causal relationship between the study product and the adverse event.  CCR will notify FDA and all participating investigators (i.e., all investigators to whom the sponsor is providing drug under its INDs or under any investigator’s IND) in an IND safety report of potential serious risks from clinical trials or any other source, as soon as possible, in accordance to 21 CFR Part 312.32. </w:t>
      </w:r>
    </w:p>
    <w:p w14:paraId="3B42946B" w14:textId="77777777" w:rsidR="007243D3" w:rsidRPr="007A3223" w:rsidRDefault="007243D3" w:rsidP="007243D3">
      <w:pPr>
        <w:rPr>
          <w:rFonts w:eastAsia="Calibri"/>
          <w:color w:val="000000"/>
          <w:szCs w:val="24"/>
        </w:rPr>
      </w:pPr>
      <w:r w:rsidRPr="007A3223">
        <w:rPr>
          <w:rFonts w:eastAsia="Calibri"/>
          <w:color w:val="000000"/>
          <w:szCs w:val="24"/>
        </w:rPr>
        <w:t>All serious events will be reported to the FDA at least annually in a summary format.</w:t>
      </w:r>
    </w:p>
    <w:p w14:paraId="62C6C028" w14:textId="27E46ADF" w:rsidR="007243D3" w:rsidRPr="007A3223" w:rsidRDefault="007C7632" w:rsidP="00D20197">
      <w:pPr>
        <w:pStyle w:val="Heading1"/>
        <w:rPr>
          <w:rFonts w:hint="eastAsia"/>
        </w:rPr>
      </w:pPr>
      <w:bookmarkStart w:id="323" w:name="_Toc82444393"/>
      <w:bookmarkEnd w:id="322"/>
      <w:r w:rsidRPr="007A3223">
        <w:t>Clinical Monitoring</w:t>
      </w:r>
      <w:r w:rsidR="00B070BA" w:rsidRPr="007A3223">
        <w:t xml:space="preserve"> Plan</w:t>
      </w:r>
      <w:bookmarkEnd w:id="323"/>
    </w:p>
    <w:p w14:paraId="000B98EF" w14:textId="6EFD727F" w:rsidR="004052F4" w:rsidRPr="007A3223" w:rsidRDefault="004052F4" w:rsidP="004052F4">
      <w:pPr>
        <w:spacing w:after="0"/>
        <w:rPr>
          <w:szCs w:val="24"/>
        </w:rPr>
      </w:pPr>
      <w:r w:rsidRPr="007A3223">
        <w:rPr>
          <w:szCs w:val="24"/>
        </w:rPr>
        <w:t>As a sponsor for clinical trials, FDA regulations require the CCR to maintain a monitoring program. The CCR’s program allows for confirmation of: study data, specifically data that could affect the interpretation of primary</w:t>
      </w:r>
      <w:r w:rsidR="00EA3962" w:rsidRPr="007A3223">
        <w:rPr>
          <w:szCs w:val="24"/>
        </w:rPr>
        <w:t xml:space="preserve"> and secondary</w:t>
      </w:r>
      <w:r w:rsidRPr="007A3223">
        <w:rPr>
          <w:szCs w:val="24"/>
        </w:rPr>
        <w:t xml:space="preserve"> study endpoints; adherence to the protocol, regulations, </w:t>
      </w:r>
      <w:r w:rsidR="00EA3962" w:rsidRPr="007A3223">
        <w:rPr>
          <w:rFonts w:eastAsia="Calibri"/>
        </w:rPr>
        <w:t xml:space="preserve">ICH E6, </w:t>
      </w:r>
      <w:r w:rsidRPr="007A3223">
        <w:rPr>
          <w:szCs w:val="24"/>
        </w:rPr>
        <w:t>and SOPs; and human subjects protection. This is done through independent verification of study data with source documentation focusing on:</w:t>
      </w:r>
    </w:p>
    <w:p w14:paraId="57F6A838" w14:textId="77777777" w:rsidR="004052F4" w:rsidRPr="007A3223" w:rsidRDefault="004052F4" w:rsidP="001315B8">
      <w:pPr>
        <w:tabs>
          <w:tab w:val="left" w:pos="360"/>
        </w:tabs>
        <w:spacing w:after="0"/>
        <w:ind w:left="360"/>
        <w:rPr>
          <w:szCs w:val="24"/>
        </w:rPr>
      </w:pPr>
      <w:r w:rsidRPr="007A3223">
        <w:rPr>
          <w:szCs w:val="24"/>
        </w:rPr>
        <w:t>•</w:t>
      </w:r>
      <w:r w:rsidRPr="007A3223">
        <w:rPr>
          <w:szCs w:val="24"/>
        </w:rPr>
        <w:tab/>
        <w:t>Informed consent process</w:t>
      </w:r>
    </w:p>
    <w:p w14:paraId="2CA04A4F" w14:textId="77777777" w:rsidR="004052F4" w:rsidRPr="007A3223" w:rsidRDefault="004052F4" w:rsidP="001315B8">
      <w:pPr>
        <w:tabs>
          <w:tab w:val="left" w:pos="360"/>
        </w:tabs>
        <w:spacing w:after="0"/>
        <w:ind w:left="360"/>
        <w:rPr>
          <w:szCs w:val="24"/>
        </w:rPr>
      </w:pPr>
      <w:r w:rsidRPr="007A3223">
        <w:rPr>
          <w:szCs w:val="24"/>
        </w:rPr>
        <w:t>•</w:t>
      </w:r>
      <w:r w:rsidRPr="007A3223">
        <w:rPr>
          <w:szCs w:val="24"/>
        </w:rPr>
        <w:tab/>
        <w:t>Eligibility confirmation</w:t>
      </w:r>
    </w:p>
    <w:p w14:paraId="1C4F7146" w14:textId="77777777" w:rsidR="004052F4" w:rsidRPr="007A3223" w:rsidRDefault="004052F4" w:rsidP="001315B8">
      <w:pPr>
        <w:tabs>
          <w:tab w:val="left" w:pos="360"/>
        </w:tabs>
        <w:spacing w:after="0"/>
        <w:ind w:left="360"/>
        <w:rPr>
          <w:szCs w:val="24"/>
        </w:rPr>
      </w:pPr>
      <w:r w:rsidRPr="007A3223">
        <w:rPr>
          <w:szCs w:val="24"/>
        </w:rPr>
        <w:t>•</w:t>
      </w:r>
      <w:r w:rsidRPr="007A3223">
        <w:rPr>
          <w:szCs w:val="24"/>
        </w:rPr>
        <w:tab/>
        <w:t>Drug administration and accountability</w:t>
      </w:r>
    </w:p>
    <w:p w14:paraId="2EB9433A" w14:textId="77777777" w:rsidR="004052F4" w:rsidRPr="007A3223" w:rsidRDefault="004052F4" w:rsidP="001315B8">
      <w:pPr>
        <w:tabs>
          <w:tab w:val="left" w:pos="360"/>
        </w:tabs>
        <w:spacing w:after="0"/>
        <w:ind w:left="360"/>
        <w:rPr>
          <w:szCs w:val="24"/>
        </w:rPr>
      </w:pPr>
      <w:r w:rsidRPr="007A3223">
        <w:rPr>
          <w:szCs w:val="24"/>
        </w:rPr>
        <w:t>•</w:t>
      </w:r>
      <w:r w:rsidRPr="007A3223">
        <w:rPr>
          <w:szCs w:val="24"/>
        </w:rPr>
        <w:tab/>
        <w:t>Adverse events monitoring</w:t>
      </w:r>
    </w:p>
    <w:p w14:paraId="1454D5C6" w14:textId="77777777" w:rsidR="004052F4" w:rsidRPr="007A3223" w:rsidRDefault="004052F4" w:rsidP="001315B8">
      <w:pPr>
        <w:tabs>
          <w:tab w:val="left" w:pos="360"/>
        </w:tabs>
        <w:spacing w:after="0"/>
        <w:ind w:left="360"/>
        <w:rPr>
          <w:szCs w:val="24"/>
        </w:rPr>
      </w:pPr>
      <w:r w:rsidRPr="007A3223">
        <w:rPr>
          <w:szCs w:val="24"/>
        </w:rPr>
        <w:t>•</w:t>
      </w:r>
      <w:r w:rsidRPr="007A3223">
        <w:rPr>
          <w:szCs w:val="24"/>
        </w:rPr>
        <w:tab/>
        <w:t>Response assessment.</w:t>
      </w:r>
    </w:p>
    <w:p w14:paraId="1599CE45" w14:textId="77777777" w:rsidR="004052F4" w:rsidRPr="007A3223" w:rsidRDefault="004052F4" w:rsidP="004052F4">
      <w:pPr>
        <w:spacing w:after="0"/>
        <w:rPr>
          <w:szCs w:val="24"/>
        </w:rPr>
      </w:pPr>
      <w:r w:rsidRPr="007A3223">
        <w:rPr>
          <w:szCs w:val="24"/>
        </w:rPr>
        <w:t>The monitoring program also extends to multi-site research when the CCR is the coordinating center.</w:t>
      </w:r>
    </w:p>
    <w:p w14:paraId="50107CA3" w14:textId="7DB774AD" w:rsidR="004379A3" w:rsidRPr="007A3223" w:rsidRDefault="004052F4">
      <w:pPr>
        <w:spacing w:after="0"/>
      </w:pPr>
      <w:r w:rsidRPr="007A3223">
        <w:rPr>
          <w:szCs w:val="24"/>
        </w:rPr>
        <w:t xml:space="preserve">This trial will be monitored by personnel employed by a </w:t>
      </w:r>
      <w:r w:rsidR="00902F28" w:rsidRPr="007A3223">
        <w:rPr>
          <w:szCs w:val="24"/>
        </w:rPr>
        <w:t>CCR</w:t>
      </w:r>
      <w:r w:rsidRPr="007A3223">
        <w:rPr>
          <w:szCs w:val="24"/>
        </w:rPr>
        <w:t xml:space="preserve"> contractor. Monitors are qualified by training and experience to monitor the progress of clinical trials. Personnel monitoring this study will not be affiliated in any way with the trial conduct.</w:t>
      </w:r>
    </w:p>
    <w:p w14:paraId="0CFA2DC1" w14:textId="77777777" w:rsidR="00EE484C" w:rsidRPr="007A3223" w:rsidRDefault="00EE484C" w:rsidP="00D20197">
      <w:pPr>
        <w:pStyle w:val="Heading1"/>
        <w:rPr>
          <w:rFonts w:hint="eastAsia"/>
        </w:rPr>
      </w:pPr>
      <w:bookmarkStart w:id="324" w:name="_Toc489625738"/>
      <w:bookmarkStart w:id="325" w:name="_Ref410405485"/>
      <w:bookmarkStart w:id="326" w:name="_Ref410406033"/>
      <w:bookmarkStart w:id="327" w:name="_Toc82444394"/>
      <w:bookmarkStart w:id="328" w:name="_Ref405293310"/>
      <w:bookmarkStart w:id="329" w:name="_Ref405293311"/>
      <w:bookmarkEnd w:id="324"/>
      <w:r w:rsidRPr="007A3223">
        <w:t>STATISTICAL CONSIDERATIONS</w:t>
      </w:r>
      <w:bookmarkEnd w:id="325"/>
      <w:bookmarkEnd w:id="326"/>
      <w:bookmarkEnd w:id="327"/>
      <w:r w:rsidRPr="007A3223">
        <w:t xml:space="preserve">  </w:t>
      </w:r>
      <w:bookmarkEnd w:id="328"/>
      <w:bookmarkEnd w:id="329"/>
    </w:p>
    <w:p w14:paraId="1B8B8129" w14:textId="5BD0C650" w:rsidR="00010077" w:rsidRPr="007A3223" w:rsidRDefault="000F49B4" w:rsidP="00ED703B">
      <w:pPr>
        <w:pStyle w:val="Heading2"/>
      </w:pPr>
      <w:bookmarkStart w:id="330" w:name="_Toc489625740"/>
      <w:bookmarkStart w:id="331" w:name="_Toc82444395"/>
      <w:bookmarkEnd w:id="330"/>
      <w:r w:rsidRPr="007A3223">
        <w:t>Phase</w:t>
      </w:r>
      <w:r w:rsidR="00AB1169" w:rsidRPr="007A3223">
        <w:t xml:space="preserve"> I and Phase II Ovarian Cancer C</w:t>
      </w:r>
      <w:r w:rsidRPr="007A3223">
        <w:t>ohort</w:t>
      </w:r>
      <w:r w:rsidR="00AB1169" w:rsidRPr="007A3223">
        <w:t xml:space="preserve"> </w:t>
      </w:r>
      <w:r w:rsidR="0089253C" w:rsidRPr="007A3223">
        <w:t xml:space="preserve">1 </w:t>
      </w:r>
      <w:r w:rsidR="00AB1169" w:rsidRPr="007A3223">
        <w:t>(</w:t>
      </w:r>
      <w:r w:rsidR="00116C22">
        <w:rPr>
          <w:lang w:val="en-US"/>
        </w:rPr>
        <w:t>Durvalumab</w:t>
      </w:r>
      <w:r w:rsidR="00614D72" w:rsidRPr="007A3223">
        <w:t>+</w:t>
      </w:r>
      <w:r w:rsidR="00AB1169" w:rsidRPr="007A3223">
        <w:t xml:space="preserve">O and </w:t>
      </w:r>
      <w:r w:rsidR="00116C22">
        <w:rPr>
          <w:lang w:val="en-US"/>
        </w:rPr>
        <w:t>Durvalumab</w:t>
      </w:r>
      <w:r w:rsidR="00614D72" w:rsidRPr="007A3223">
        <w:t>+</w:t>
      </w:r>
      <w:r w:rsidR="00AB1169" w:rsidRPr="007A3223">
        <w:t>C)</w:t>
      </w:r>
      <w:bookmarkEnd w:id="331"/>
    </w:p>
    <w:p w14:paraId="51E6D3A4" w14:textId="3C3CC817" w:rsidR="00387723" w:rsidRPr="007A3223" w:rsidRDefault="00D77D37" w:rsidP="00387723">
      <w:pPr>
        <w:spacing w:after="0"/>
        <w:rPr>
          <w:bCs/>
          <w:szCs w:val="24"/>
        </w:rPr>
      </w:pPr>
      <w:r w:rsidRPr="007A3223">
        <w:rPr>
          <w:bCs/>
          <w:szCs w:val="24"/>
        </w:rPr>
        <w:t xml:space="preserve">The primary objectives of this study are to determine the </w:t>
      </w:r>
      <w:r w:rsidR="00010077" w:rsidRPr="007A3223">
        <w:rPr>
          <w:bCs/>
          <w:szCs w:val="24"/>
        </w:rPr>
        <w:t xml:space="preserve">recommended phase 2 dose </w:t>
      </w:r>
      <w:r w:rsidR="000F49B4" w:rsidRPr="007A3223">
        <w:rPr>
          <w:bCs/>
          <w:szCs w:val="24"/>
        </w:rPr>
        <w:t xml:space="preserve">(RP2D) </w:t>
      </w:r>
      <w:r w:rsidRPr="007A3223">
        <w:rPr>
          <w:bCs/>
          <w:szCs w:val="24"/>
        </w:rPr>
        <w:t xml:space="preserve">of </w:t>
      </w:r>
      <w:r w:rsidR="00116C22">
        <w:rPr>
          <w:bCs/>
          <w:szCs w:val="24"/>
        </w:rPr>
        <w:t>Durvalumab</w:t>
      </w:r>
      <w:r w:rsidRPr="007A3223">
        <w:rPr>
          <w:bCs/>
          <w:szCs w:val="24"/>
        </w:rPr>
        <w:t>/olaparib (</w:t>
      </w:r>
      <w:r w:rsidR="00116C22">
        <w:rPr>
          <w:bCs/>
          <w:szCs w:val="24"/>
        </w:rPr>
        <w:t>Durvalumab</w:t>
      </w:r>
      <w:r w:rsidR="00E36357" w:rsidRPr="007A3223">
        <w:rPr>
          <w:bCs/>
          <w:szCs w:val="24"/>
        </w:rPr>
        <w:t>+</w:t>
      </w:r>
      <w:r w:rsidRPr="007A3223">
        <w:rPr>
          <w:bCs/>
          <w:szCs w:val="24"/>
        </w:rPr>
        <w:t>O)</w:t>
      </w:r>
      <w:r w:rsidR="00E125AF" w:rsidRPr="007A3223">
        <w:rPr>
          <w:bCs/>
          <w:szCs w:val="24"/>
        </w:rPr>
        <w:t xml:space="preserve">, </w:t>
      </w:r>
      <w:r w:rsidR="00116C22">
        <w:rPr>
          <w:bCs/>
          <w:szCs w:val="24"/>
        </w:rPr>
        <w:t>Durvalumab</w:t>
      </w:r>
      <w:r w:rsidRPr="007A3223">
        <w:rPr>
          <w:bCs/>
          <w:szCs w:val="24"/>
        </w:rPr>
        <w:t>/cediranib (</w:t>
      </w:r>
      <w:r w:rsidR="00116C22">
        <w:rPr>
          <w:bCs/>
          <w:szCs w:val="24"/>
        </w:rPr>
        <w:t>Durvalumab</w:t>
      </w:r>
      <w:r w:rsidR="00E36357" w:rsidRPr="007A3223">
        <w:rPr>
          <w:bCs/>
          <w:szCs w:val="24"/>
        </w:rPr>
        <w:t>+</w:t>
      </w:r>
      <w:r w:rsidRPr="007A3223">
        <w:rPr>
          <w:bCs/>
          <w:szCs w:val="24"/>
        </w:rPr>
        <w:t xml:space="preserve">C) </w:t>
      </w:r>
      <w:r w:rsidR="00E125AF" w:rsidRPr="007A3223">
        <w:rPr>
          <w:bCs/>
          <w:szCs w:val="24"/>
        </w:rPr>
        <w:t xml:space="preserve">and </w:t>
      </w:r>
      <w:r w:rsidR="00116C22">
        <w:rPr>
          <w:bCs/>
          <w:szCs w:val="24"/>
        </w:rPr>
        <w:t>Durvalumab</w:t>
      </w:r>
      <w:r w:rsidR="00E125AF" w:rsidRPr="007A3223">
        <w:rPr>
          <w:bCs/>
          <w:szCs w:val="24"/>
        </w:rPr>
        <w:t>/olaparib/cediranib (</w:t>
      </w:r>
      <w:r w:rsidR="00116C22">
        <w:rPr>
          <w:bCs/>
          <w:szCs w:val="24"/>
        </w:rPr>
        <w:t>Durvalumab</w:t>
      </w:r>
      <w:r w:rsidR="00E125AF" w:rsidRPr="007A3223">
        <w:rPr>
          <w:bCs/>
          <w:szCs w:val="24"/>
        </w:rPr>
        <w:t xml:space="preserve">+O+C) </w:t>
      </w:r>
      <w:r w:rsidRPr="007A3223">
        <w:rPr>
          <w:bCs/>
          <w:szCs w:val="24"/>
        </w:rPr>
        <w:t xml:space="preserve">in advanced tumors and to determine the preliminary clinical activity </w:t>
      </w:r>
      <w:r w:rsidR="00C50CB7" w:rsidRPr="007A3223">
        <w:rPr>
          <w:bCs/>
          <w:szCs w:val="24"/>
        </w:rPr>
        <w:t xml:space="preserve">in </w:t>
      </w:r>
      <w:r w:rsidRPr="007A3223">
        <w:rPr>
          <w:bCs/>
          <w:szCs w:val="24"/>
        </w:rPr>
        <w:t>recurrent ovarian cancer</w:t>
      </w:r>
      <w:r w:rsidR="00C50CB7" w:rsidRPr="007A3223">
        <w:rPr>
          <w:bCs/>
          <w:szCs w:val="24"/>
        </w:rPr>
        <w:t xml:space="preserve"> and other </w:t>
      </w:r>
      <w:r w:rsidR="008765A9" w:rsidRPr="007A3223">
        <w:rPr>
          <w:bCs/>
          <w:szCs w:val="24"/>
        </w:rPr>
        <w:t>solid tumors</w:t>
      </w:r>
      <w:r w:rsidRPr="007A3223">
        <w:rPr>
          <w:bCs/>
          <w:szCs w:val="24"/>
        </w:rPr>
        <w:t>. Secondary objectives are to determine the safety and toxicity, progression free survival (PFS)</w:t>
      </w:r>
      <w:r w:rsidR="00536F48" w:rsidRPr="007A3223">
        <w:rPr>
          <w:bCs/>
          <w:szCs w:val="24"/>
        </w:rPr>
        <w:t>, response rate, and the potential relationship between pretreatment tumor PD-L1 expression obtained from biopsies and clinical response</w:t>
      </w:r>
      <w:r w:rsidR="00C63A68" w:rsidRPr="007A3223">
        <w:rPr>
          <w:bCs/>
          <w:szCs w:val="24"/>
        </w:rPr>
        <w:t xml:space="preserve"> </w:t>
      </w:r>
      <w:r w:rsidRPr="007A3223">
        <w:rPr>
          <w:bCs/>
          <w:szCs w:val="24"/>
        </w:rPr>
        <w:t>in all patients enrolled in the phase II portion of the trial.</w:t>
      </w:r>
    </w:p>
    <w:p w14:paraId="1F521AF0" w14:textId="70EF7CCA" w:rsidR="00124DDD" w:rsidRPr="007A3223" w:rsidRDefault="009C5A83" w:rsidP="00AB1169">
      <w:pPr>
        <w:spacing w:after="0"/>
        <w:rPr>
          <w:bCs/>
          <w:szCs w:val="24"/>
          <w:lang w:eastAsia="ko-KR"/>
        </w:rPr>
      </w:pPr>
      <w:r w:rsidRPr="007A3223">
        <w:rPr>
          <w:bCs/>
          <w:szCs w:val="24"/>
        </w:rPr>
        <w:t xml:space="preserve">The trial begins as a phase I study with separate dose escalations planned to evaluate safety in patients receiving </w:t>
      </w:r>
      <w:r w:rsidR="00116C22">
        <w:rPr>
          <w:bCs/>
          <w:szCs w:val="24"/>
        </w:rPr>
        <w:t>Durvalumab</w:t>
      </w:r>
      <w:r w:rsidR="00E36357" w:rsidRPr="007A3223">
        <w:rPr>
          <w:bCs/>
          <w:szCs w:val="24"/>
        </w:rPr>
        <w:t>+</w:t>
      </w:r>
      <w:r w:rsidRPr="007A3223">
        <w:rPr>
          <w:bCs/>
          <w:szCs w:val="24"/>
        </w:rPr>
        <w:t>O</w:t>
      </w:r>
      <w:r w:rsidR="00E125AF" w:rsidRPr="007A3223">
        <w:rPr>
          <w:bCs/>
          <w:szCs w:val="24"/>
        </w:rPr>
        <w:t xml:space="preserve">, </w:t>
      </w:r>
      <w:r w:rsidR="00116C22">
        <w:rPr>
          <w:bCs/>
          <w:szCs w:val="24"/>
        </w:rPr>
        <w:t>Durvalumab</w:t>
      </w:r>
      <w:r w:rsidR="00E36357" w:rsidRPr="007A3223">
        <w:rPr>
          <w:bCs/>
          <w:szCs w:val="24"/>
        </w:rPr>
        <w:t>+</w:t>
      </w:r>
      <w:r w:rsidRPr="007A3223">
        <w:rPr>
          <w:bCs/>
          <w:szCs w:val="24"/>
        </w:rPr>
        <w:t>C</w:t>
      </w:r>
      <w:r w:rsidR="00E125AF" w:rsidRPr="007A3223">
        <w:rPr>
          <w:bCs/>
          <w:szCs w:val="24"/>
        </w:rPr>
        <w:t xml:space="preserve"> and </w:t>
      </w:r>
      <w:r w:rsidR="00116C22">
        <w:rPr>
          <w:bCs/>
          <w:szCs w:val="24"/>
        </w:rPr>
        <w:t>Durvalumab</w:t>
      </w:r>
      <w:r w:rsidR="00E125AF" w:rsidRPr="007A3223">
        <w:rPr>
          <w:bCs/>
          <w:szCs w:val="24"/>
        </w:rPr>
        <w:t>+O+C</w:t>
      </w:r>
      <w:r w:rsidRPr="007A3223">
        <w:rPr>
          <w:bCs/>
          <w:szCs w:val="24"/>
        </w:rPr>
        <w:t xml:space="preserve">. For </w:t>
      </w:r>
      <w:r w:rsidR="00E125AF" w:rsidRPr="007A3223">
        <w:rPr>
          <w:bCs/>
          <w:szCs w:val="24"/>
        </w:rPr>
        <w:t xml:space="preserve">all phase I </w:t>
      </w:r>
      <w:r w:rsidR="00AA167C" w:rsidRPr="007A3223">
        <w:rPr>
          <w:bCs/>
          <w:szCs w:val="24"/>
        </w:rPr>
        <w:t>arms</w:t>
      </w:r>
      <w:r w:rsidRPr="007A3223">
        <w:rPr>
          <w:bCs/>
          <w:szCs w:val="24"/>
        </w:rPr>
        <w:t xml:space="preserve">, using a standard 3+3 design, with </w:t>
      </w:r>
      <w:r w:rsidR="00775E8C" w:rsidRPr="007A3223">
        <w:rPr>
          <w:bCs/>
          <w:szCs w:val="24"/>
        </w:rPr>
        <w:t>3</w:t>
      </w:r>
      <w:r w:rsidRPr="007A3223">
        <w:rPr>
          <w:bCs/>
          <w:szCs w:val="24"/>
        </w:rPr>
        <w:t xml:space="preserve"> dose levels maximally explored in each </w:t>
      </w:r>
      <w:r w:rsidR="00AA167C" w:rsidRPr="007A3223">
        <w:rPr>
          <w:bCs/>
          <w:szCs w:val="24"/>
        </w:rPr>
        <w:t xml:space="preserve">arm </w:t>
      </w:r>
      <w:r w:rsidR="00775E8C" w:rsidRPr="007A3223">
        <w:rPr>
          <w:bCs/>
          <w:szCs w:val="24"/>
        </w:rPr>
        <w:t>(for example, patients could start on dose level 1, go to dose level -1 and then to dose level -2</w:t>
      </w:r>
      <w:r w:rsidR="009D4C1C" w:rsidRPr="007A3223">
        <w:rPr>
          <w:bCs/>
          <w:szCs w:val="24"/>
        </w:rPr>
        <w:t xml:space="preserve"> or patients could </w:t>
      </w:r>
      <w:r w:rsidR="009D4C1C" w:rsidRPr="007A3223">
        <w:rPr>
          <w:bCs/>
          <w:szCs w:val="24"/>
        </w:rPr>
        <w:lastRenderedPageBreak/>
        <w:t>start on dose level 1, go to dose level 2 and then to dose level 3</w:t>
      </w:r>
      <w:r w:rsidR="00775E8C" w:rsidRPr="007A3223">
        <w:rPr>
          <w:bCs/>
          <w:szCs w:val="24"/>
        </w:rPr>
        <w:t>)</w:t>
      </w:r>
      <w:r w:rsidRPr="007A3223">
        <w:rPr>
          <w:bCs/>
          <w:szCs w:val="24"/>
        </w:rPr>
        <w:t>, a maximum of 1</w:t>
      </w:r>
      <w:r w:rsidR="00775E8C" w:rsidRPr="007A3223">
        <w:rPr>
          <w:bCs/>
          <w:szCs w:val="24"/>
        </w:rPr>
        <w:t>8</w:t>
      </w:r>
      <w:r w:rsidRPr="007A3223">
        <w:rPr>
          <w:bCs/>
          <w:szCs w:val="24"/>
        </w:rPr>
        <w:t xml:space="preserve"> patients </w:t>
      </w:r>
      <w:r w:rsidR="00775E8C" w:rsidRPr="007A3223">
        <w:rPr>
          <w:bCs/>
          <w:szCs w:val="24"/>
        </w:rPr>
        <w:t xml:space="preserve">for </w:t>
      </w:r>
      <w:r w:rsidR="00B1179A">
        <w:rPr>
          <w:bCs/>
          <w:szCs w:val="24"/>
        </w:rPr>
        <w:t>Durvalumab</w:t>
      </w:r>
      <w:r w:rsidR="00E36357" w:rsidRPr="007A3223">
        <w:rPr>
          <w:bCs/>
          <w:szCs w:val="24"/>
        </w:rPr>
        <w:t>+</w:t>
      </w:r>
      <w:r w:rsidR="00775E8C" w:rsidRPr="007A3223">
        <w:rPr>
          <w:bCs/>
          <w:szCs w:val="24"/>
        </w:rPr>
        <w:t>O</w:t>
      </w:r>
      <w:r w:rsidR="00E125AF" w:rsidRPr="007A3223">
        <w:rPr>
          <w:bCs/>
          <w:szCs w:val="24"/>
        </w:rPr>
        <w:t xml:space="preserve">, a maximum of </w:t>
      </w:r>
      <w:r w:rsidR="00E36357" w:rsidRPr="007A3223">
        <w:rPr>
          <w:bCs/>
          <w:szCs w:val="24"/>
        </w:rPr>
        <w:t xml:space="preserve">36 </w:t>
      </w:r>
      <w:r w:rsidR="00775E8C" w:rsidRPr="007A3223">
        <w:rPr>
          <w:bCs/>
          <w:szCs w:val="24"/>
        </w:rPr>
        <w:t xml:space="preserve">for </w:t>
      </w:r>
      <w:r w:rsidR="00E36357" w:rsidRPr="007A3223">
        <w:rPr>
          <w:bCs/>
          <w:szCs w:val="24"/>
        </w:rPr>
        <w:t xml:space="preserve">both </w:t>
      </w:r>
      <w:r w:rsidR="00B1179A">
        <w:rPr>
          <w:bCs/>
          <w:szCs w:val="24"/>
        </w:rPr>
        <w:t>Durvalumab</w:t>
      </w:r>
      <w:r w:rsidR="00E36357" w:rsidRPr="007A3223">
        <w:rPr>
          <w:bCs/>
          <w:szCs w:val="24"/>
        </w:rPr>
        <w:t>+</w:t>
      </w:r>
      <w:r w:rsidR="00775E8C" w:rsidRPr="007A3223">
        <w:rPr>
          <w:bCs/>
          <w:szCs w:val="24"/>
        </w:rPr>
        <w:t xml:space="preserve">C </w:t>
      </w:r>
      <w:r w:rsidR="00E36357" w:rsidRPr="007A3223">
        <w:rPr>
          <w:bCs/>
          <w:szCs w:val="24"/>
        </w:rPr>
        <w:t xml:space="preserve">daily schedule and </w:t>
      </w:r>
      <w:r w:rsidR="00B1179A">
        <w:rPr>
          <w:bCs/>
          <w:szCs w:val="24"/>
        </w:rPr>
        <w:t>Durvalumab</w:t>
      </w:r>
      <w:r w:rsidR="00E36357" w:rsidRPr="007A3223">
        <w:rPr>
          <w:bCs/>
          <w:szCs w:val="24"/>
        </w:rPr>
        <w:t xml:space="preserve">+C intermittent schedule </w:t>
      </w:r>
      <w:r w:rsidR="00AA167C" w:rsidRPr="007A3223">
        <w:rPr>
          <w:bCs/>
          <w:szCs w:val="24"/>
        </w:rPr>
        <w:t>arms</w:t>
      </w:r>
      <w:r w:rsidR="00E125AF" w:rsidRPr="007A3223">
        <w:rPr>
          <w:bCs/>
          <w:szCs w:val="24"/>
        </w:rPr>
        <w:t xml:space="preserve">, and a maximum of 12 patients for </w:t>
      </w:r>
      <w:r w:rsidR="00B1179A">
        <w:rPr>
          <w:bCs/>
          <w:szCs w:val="24"/>
        </w:rPr>
        <w:t>Durvalumab</w:t>
      </w:r>
      <w:r w:rsidR="00E125AF" w:rsidRPr="007A3223">
        <w:rPr>
          <w:bCs/>
          <w:szCs w:val="24"/>
        </w:rPr>
        <w:t>+O+C</w:t>
      </w:r>
      <w:r w:rsidR="00E36357" w:rsidRPr="007A3223">
        <w:rPr>
          <w:bCs/>
          <w:szCs w:val="24"/>
        </w:rPr>
        <w:t xml:space="preserve"> </w:t>
      </w:r>
      <w:r w:rsidRPr="007A3223">
        <w:rPr>
          <w:bCs/>
          <w:szCs w:val="24"/>
        </w:rPr>
        <w:t xml:space="preserve">would be required to be accrued in the phase I portion of the trial. </w:t>
      </w:r>
      <w:r w:rsidR="00A94B71" w:rsidRPr="007A3223">
        <w:rPr>
          <w:bCs/>
          <w:szCs w:val="24"/>
        </w:rPr>
        <w:t xml:space="preserve">An additional 3 slots will be allowed to account for inevaluable patients.  </w:t>
      </w:r>
      <w:r w:rsidR="00775E8C" w:rsidRPr="007A3223">
        <w:rPr>
          <w:bCs/>
          <w:szCs w:val="24"/>
        </w:rPr>
        <w:t xml:space="preserve">Therefore, up to </w:t>
      </w:r>
      <w:r w:rsidR="00E125AF" w:rsidRPr="007A3223">
        <w:rPr>
          <w:bCs/>
          <w:szCs w:val="24"/>
        </w:rPr>
        <w:t>6</w:t>
      </w:r>
      <w:r w:rsidR="00A94B71" w:rsidRPr="007A3223">
        <w:rPr>
          <w:bCs/>
          <w:szCs w:val="24"/>
        </w:rPr>
        <w:t>9</w:t>
      </w:r>
      <w:r w:rsidR="00775E8C" w:rsidRPr="007A3223">
        <w:rPr>
          <w:bCs/>
          <w:szCs w:val="24"/>
        </w:rPr>
        <w:t xml:space="preserve"> total patients may be required for phase I altogether. </w:t>
      </w:r>
    </w:p>
    <w:p w14:paraId="2BE0334B" w14:textId="1FB0A4E5" w:rsidR="009C5A83" w:rsidRPr="00F33908" w:rsidRDefault="009C5A83" w:rsidP="000F49B4">
      <w:pPr>
        <w:spacing w:after="0"/>
        <w:rPr>
          <w:bCs/>
          <w:szCs w:val="24"/>
        </w:rPr>
      </w:pPr>
      <w:r w:rsidRPr="007A3223">
        <w:rPr>
          <w:bCs/>
          <w:szCs w:val="24"/>
        </w:rPr>
        <w:t xml:space="preserve">Following completion of the phase I portion of the trial for each </w:t>
      </w:r>
      <w:r w:rsidR="00AA167C" w:rsidRPr="007A3223">
        <w:rPr>
          <w:bCs/>
          <w:szCs w:val="24"/>
        </w:rPr>
        <w:t>arm</w:t>
      </w:r>
      <w:r w:rsidRPr="007A3223">
        <w:rPr>
          <w:bCs/>
          <w:szCs w:val="24"/>
        </w:rPr>
        <w:t>, the phase II portion will be undertaken. It is expected that the overall fraction of patients who are likely to respond to single agent treatment would be approximately 15% based on the relevant literature. If a large majority of patients have platinum-resistant recurrent ovarian cancer, poorer prognosis would be expected. Following assignment to treatment, patients in each arm will be treated accordingly and their response determined. In order to ensure that the trial does not continue to enroll patients to either arm in the event that the response rates are substantially below a reasonable level, each arm will be conducted using a two-stage Simon optimal design</w:t>
      </w:r>
      <w:hyperlink w:anchor="_ENREF_169" w:tooltip="Simon, 1989 #83" w:history="1">
        <w:r w:rsidR="00F77861" w:rsidRPr="00244551">
          <w:rPr>
            <w:rStyle w:val="Hyperlink"/>
            <w:szCs w:val="24"/>
          </w:rPr>
          <w:fldChar w:fldCharType="begin"/>
        </w:r>
        <w:r w:rsidR="00E27C67" w:rsidRPr="00244551">
          <w:rPr>
            <w:rStyle w:val="Hyperlink"/>
            <w:szCs w:val="24"/>
          </w:rPr>
          <w:instrText xml:space="preserve"> ADDIN EN.CITE &lt;EndNote&gt;&lt;Cite&gt;&lt;Author&gt;Simon&lt;/Author&gt;&lt;Year&gt;1989&lt;/Year&gt;&lt;RecNum&gt;83&lt;/RecNum&gt;&lt;DisplayText&gt;&lt;style face="superscript"&gt;169&lt;/style&gt;&lt;/DisplayText&gt;&lt;record&gt;&lt;rec-number&gt;83&lt;/rec-number&gt;&lt;foreign-keys&gt;&lt;key app="EN" db-id="fd5pzdff0z5dt7er5swxsd2m2te2fd9saae5" timestamp="1426604768"&gt;83&lt;/key&gt;&lt;/foreign-keys&gt;&lt;ref-type name="Journal Article"&gt;17&lt;/ref-type&gt;&lt;contributors&gt;&lt;authors&gt;&lt;author&gt;Simon, R.&lt;/author&gt;&lt;/authors&gt;&lt;/contributors&gt;&lt;auth-address&gt;Biometric Research Branch, National Cancer Institute, Bethesda, Maryland 20892.&lt;/auth-address&gt;&lt;titles&gt;&lt;title&gt;Optimal two-stage designs for phase II clinical trials&lt;/title&gt;&lt;secondary-title&gt;Control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trials&lt;/abbr-1&gt;&lt;/alt-periodical&gt;&lt;pages&gt;1-10&lt;/pages&gt;&lt;volume&gt;10&lt;/volume&gt;&lt;number&gt;1&lt;/number&gt;&lt;edition&gt;1989/03/01&lt;/edition&gt;&lt;keywords&gt;&lt;keyword&gt;Drug Evaluation/*methods&lt;/keyword&gt;&lt;keyword&gt;Humans&lt;/keyword&gt;&lt;keyword&gt;Neoplasms/*drug therapy&lt;/keyword&gt;&lt;keyword&gt;*Research Design&lt;/keyword&gt;&lt;keyword&gt;Statistics as Topic&lt;/keyword&gt;&lt;/keywords&gt;&lt;dates&gt;&lt;year&gt;1989&lt;/year&gt;&lt;pub-dates&gt;&lt;date&gt;Mar&lt;/date&gt;&lt;/pub-dates&gt;&lt;/dates&gt;&lt;isbn&gt;0197-2456 (Print)&amp;#xD;0197-2456 (Linking)&lt;/isbn&gt;&lt;accession-num&gt;2702835&lt;/accession-num&gt;&lt;urls&gt;&lt;related-urls&gt;&lt;url&gt;http://www.ncbi.nlm.nih.gov/pubmed/2702835&lt;/url&gt;&lt;/related-urls&gt;&lt;/urls&gt;&lt;language&gt;eng&lt;/language&gt;&lt;/record&gt;&lt;/Cite&gt;&lt;/EndNote&gt;</w:instrText>
        </w:r>
        <w:r w:rsidR="00F77861" w:rsidRPr="00244551">
          <w:rPr>
            <w:rStyle w:val="Hyperlink"/>
            <w:szCs w:val="24"/>
          </w:rPr>
          <w:fldChar w:fldCharType="separate"/>
        </w:r>
        <w:r w:rsidR="00E27C67" w:rsidRPr="00244551">
          <w:rPr>
            <w:rStyle w:val="Hyperlink"/>
            <w:noProof/>
            <w:szCs w:val="24"/>
            <w:vertAlign w:val="superscript"/>
          </w:rPr>
          <w:t>169</w:t>
        </w:r>
        <w:r w:rsidR="00F77861" w:rsidRPr="00244551">
          <w:rPr>
            <w:rStyle w:val="Hyperlink"/>
            <w:szCs w:val="24"/>
          </w:rPr>
          <w:fldChar w:fldCharType="end"/>
        </w:r>
      </w:hyperlink>
      <w:r w:rsidRPr="007A3223">
        <w:rPr>
          <w:bCs/>
          <w:szCs w:val="24"/>
        </w:rPr>
        <w:t xml:space="preserve"> as follows. </w:t>
      </w:r>
    </w:p>
    <w:p w14:paraId="09DB7B56" w14:textId="70FA10DA" w:rsidR="000F49B4" w:rsidRPr="007A3223" w:rsidRDefault="00C50CB7" w:rsidP="00021AD0">
      <w:pPr>
        <w:spacing w:after="0"/>
        <w:rPr>
          <w:bCs/>
          <w:szCs w:val="24"/>
        </w:rPr>
      </w:pPr>
      <w:r w:rsidRPr="007A3223">
        <w:rPr>
          <w:bCs/>
          <w:szCs w:val="24"/>
        </w:rPr>
        <w:t xml:space="preserve">Randomization procedures do not apply to the Phase I and Phase II portions of the study. The arms will be open concurrently and treatment assignment for each patient will be at the PI’s discretion and/or based on prior treatment history. </w:t>
      </w:r>
      <w:r w:rsidR="009C5A83" w:rsidRPr="007A3223">
        <w:rPr>
          <w:bCs/>
          <w:szCs w:val="24"/>
        </w:rPr>
        <w:t>In each arm, th</w:t>
      </w:r>
      <w:r w:rsidR="009C5A83" w:rsidRPr="007A3223">
        <w:rPr>
          <w:szCs w:val="24"/>
        </w:rPr>
        <w:t xml:space="preserve">e study will be conducted using an optimal two-stage phase II trial design, in order to rule out an unacceptably low 10% response rate (p0=0.10) in favor of a greatly improved overall response rate of 30% (p1=0.30). The trial will set alpha=0.10 (probability of accepting a poor treatment=0.10) and beta = 0.10 (probability of rejecting a good treatment=0.10). </w:t>
      </w:r>
    </w:p>
    <w:p w14:paraId="44173828" w14:textId="6146C059" w:rsidR="000F49B4" w:rsidRPr="007A3223" w:rsidRDefault="009C5A83" w:rsidP="00021AD0">
      <w:pPr>
        <w:spacing w:after="0"/>
        <w:rPr>
          <w:szCs w:val="24"/>
        </w:rPr>
      </w:pPr>
      <w:r w:rsidRPr="007A3223">
        <w:rPr>
          <w:bCs/>
          <w:szCs w:val="24"/>
        </w:rPr>
        <w:t xml:space="preserve">For each of the </w:t>
      </w:r>
      <w:r w:rsidR="00B1179A">
        <w:rPr>
          <w:bCs/>
          <w:szCs w:val="24"/>
        </w:rPr>
        <w:t>Durvalumab</w:t>
      </w:r>
      <w:r w:rsidR="00614D72" w:rsidRPr="007A3223">
        <w:rPr>
          <w:szCs w:val="24"/>
        </w:rPr>
        <w:t>+</w:t>
      </w:r>
      <w:r w:rsidR="000F49B4" w:rsidRPr="007A3223">
        <w:rPr>
          <w:szCs w:val="24"/>
        </w:rPr>
        <w:t>O</w:t>
      </w:r>
      <w:r w:rsidRPr="007A3223">
        <w:rPr>
          <w:szCs w:val="24"/>
        </w:rPr>
        <w:t xml:space="preserve"> or the </w:t>
      </w:r>
      <w:r w:rsidR="00B1179A">
        <w:rPr>
          <w:szCs w:val="24"/>
        </w:rPr>
        <w:t>Durvalumab</w:t>
      </w:r>
      <w:r w:rsidR="00614D72" w:rsidRPr="007A3223">
        <w:rPr>
          <w:szCs w:val="24"/>
        </w:rPr>
        <w:t>+</w:t>
      </w:r>
      <w:r w:rsidR="000F49B4" w:rsidRPr="007A3223">
        <w:rPr>
          <w:szCs w:val="24"/>
        </w:rPr>
        <w:t>C</w:t>
      </w:r>
      <w:r w:rsidRPr="007A3223">
        <w:rPr>
          <w:szCs w:val="24"/>
        </w:rPr>
        <w:t xml:space="preserve"> </w:t>
      </w:r>
      <w:r w:rsidRPr="007A3223">
        <w:rPr>
          <w:bCs/>
          <w:szCs w:val="24"/>
        </w:rPr>
        <w:t xml:space="preserve">arms, </w:t>
      </w:r>
      <w:r w:rsidRPr="007A3223">
        <w:rPr>
          <w:szCs w:val="24"/>
        </w:rPr>
        <w:t>the first stage will initially enroll 12 evaluable patients to the appropriate arm, and if 0 to 1 of the 12 have a response, then no further patients will be accrued to that arm.</w:t>
      </w:r>
      <w:r w:rsidRPr="007A3223">
        <w:rPr>
          <w:bCs/>
          <w:szCs w:val="24"/>
        </w:rPr>
        <w:t xml:space="preserve"> If only one arm has 2 or more responses in the first 12 patients, only that arm will remain open for accrual of the remaining patients. If</w:t>
      </w:r>
      <w:r w:rsidRPr="007A3223">
        <w:rPr>
          <w:szCs w:val="24"/>
        </w:rPr>
        <w:t xml:space="preserve"> 2 or more of the first 12 patients have response, then accrual would continue on one or both arms until a total of 35 patients have enrolled on the appropriate arms. If there are 2 to 5 responses in 35 patients on an arm, this would be an uninterestingly low response rate. If there were 6 or more responses in 35 patients on an arm (17.1%), this may be sufficiently interesting to warrant further study in later trials. Under the null hypothesis (10% response rate), the probability of early termination of either arm is 65.9%.</w:t>
      </w:r>
      <w:r w:rsidR="000F49B4" w:rsidRPr="007A3223">
        <w:rPr>
          <w:szCs w:val="24"/>
        </w:rPr>
        <w:t xml:space="preserve">   </w:t>
      </w:r>
    </w:p>
    <w:p w14:paraId="49D22CEC" w14:textId="05191FC6" w:rsidR="009C5A83" w:rsidRPr="007A3223" w:rsidRDefault="009C5A83" w:rsidP="00021AD0">
      <w:pPr>
        <w:spacing w:after="0"/>
        <w:rPr>
          <w:szCs w:val="24"/>
        </w:rPr>
      </w:pPr>
      <w:r w:rsidRPr="007A3223">
        <w:rPr>
          <w:szCs w:val="24"/>
        </w:rPr>
        <w:t>PFS will also be estimated and compared between the two arms as a secondary endpoint, using Kaplan-Meier curves with a two-tailed log-rank test. The analyses will be considered exploratory and descriptive since the study does not have sufficient power to detect a large difference between two curves. This analysis will be done for all patients as well as within subsets of patients as determined by the adequacy of patient numbers in subsets.  Response rates and safety and toxicity will also be evaluated in gBRCAm-based and platinum sensitivity-based subsets in the phase II portion of the trial if sufficient patients are available in appropriate categories.</w:t>
      </w:r>
    </w:p>
    <w:p w14:paraId="1F124423" w14:textId="77777777" w:rsidR="00124DDD" w:rsidRPr="007A3223" w:rsidRDefault="009C5A83" w:rsidP="006B6FE9">
      <w:pPr>
        <w:spacing w:after="0"/>
        <w:rPr>
          <w:szCs w:val="24"/>
          <w:lang w:eastAsia="ko-KR"/>
        </w:rPr>
      </w:pPr>
      <w:r w:rsidRPr="007A3223">
        <w:rPr>
          <w:szCs w:val="24"/>
        </w:rPr>
        <w:t xml:space="preserve">If a death </w:t>
      </w:r>
      <w:r w:rsidR="007D3A91" w:rsidRPr="007A3223">
        <w:rPr>
          <w:szCs w:val="24"/>
        </w:rPr>
        <w:t xml:space="preserve">attributed to study treatment </w:t>
      </w:r>
      <w:r w:rsidRPr="007A3223">
        <w:rPr>
          <w:szCs w:val="24"/>
        </w:rPr>
        <w:t xml:space="preserve">occurs on either arm during either the phase I or the phase II portion of the trial, accrual to that treatment arm will stop at that point, but accrual will continue to the other arm. In addition, during the phase II portion of the study, patients will be monitored for development of severe toxicity. If the cumulative fraction of patients with a DLT equals or exceeds 1/3 at any point on a given arm during phase II, no further patients will be </w:t>
      </w:r>
      <w:r w:rsidRPr="007A3223">
        <w:rPr>
          <w:szCs w:val="24"/>
        </w:rPr>
        <w:lastRenderedPageBreak/>
        <w:t xml:space="preserve">enrolled onto that arm as soon as this has been identified; patients will still be permitted to accrue to the other arm. </w:t>
      </w:r>
    </w:p>
    <w:p w14:paraId="1ACCA37F" w14:textId="77777777" w:rsidR="00205DF1" w:rsidRPr="007A3223" w:rsidRDefault="00E26159" w:rsidP="006B6FE9">
      <w:pPr>
        <w:spacing w:after="0"/>
        <w:rPr>
          <w:szCs w:val="24"/>
        </w:rPr>
      </w:pPr>
      <w:r w:rsidRPr="007A3223">
        <w:rPr>
          <w:szCs w:val="24"/>
        </w:rPr>
        <w:t xml:space="preserve">If accrual continues on </w:t>
      </w:r>
      <w:r w:rsidR="00205DF1" w:rsidRPr="007A3223">
        <w:rPr>
          <w:szCs w:val="24"/>
        </w:rPr>
        <w:t xml:space="preserve">one or </w:t>
      </w:r>
      <w:r w:rsidRPr="007A3223">
        <w:rPr>
          <w:szCs w:val="24"/>
        </w:rPr>
        <w:t xml:space="preserve">both arms </w:t>
      </w:r>
      <w:r w:rsidR="00D65AFE" w:rsidRPr="007A3223">
        <w:rPr>
          <w:szCs w:val="24"/>
        </w:rPr>
        <w:t xml:space="preserve">of the phase II portion of the trial </w:t>
      </w:r>
      <w:r w:rsidRPr="007A3223">
        <w:rPr>
          <w:szCs w:val="24"/>
        </w:rPr>
        <w:t xml:space="preserve">until a total of 35 patients have enrolled on the appropriate arms, </w:t>
      </w:r>
      <w:r w:rsidR="00D65AFE" w:rsidRPr="007A3223">
        <w:rPr>
          <w:szCs w:val="24"/>
        </w:rPr>
        <w:t>pre-treatmen</w:t>
      </w:r>
      <w:r w:rsidR="002B2966" w:rsidRPr="007A3223">
        <w:rPr>
          <w:szCs w:val="24"/>
        </w:rPr>
        <w:t xml:space="preserve">t PD-L1 expression levels will </w:t>
      </w:r>
      <w:r w:rsidR="00D65AFE" w:rsidRPr="007A3223">
        <w:rPr>
          <w:szCs w:val="24"/>
        </w:rPr>
        <w:t>have been obtained from all the phase II patients if possible</w:t>
      </w:r>
      <w:r w:rsidR="002B2966" w:rsidRPr="007A3223">
        <w:rPr>
          <w:szCs w:val="24"/>
        </w:rPr>
        <w:t>.</w:t>
      </w:r>
      <w:r w:rsidR="00D65AFE" w:rsidRPr="007A3223">
        <w:rPr>
          <w:szCs w:val="24"/>
        </w:rPr>
        <w:t xml:space="preserve"> </w:t>
      </w:r>
      <w:r w:rsidR="002B2966" w:rsidRPr="007A3223">
        <w:rPr>
          <w:szCs w:val="24"/>
        </w:rPr>
        <w:t>If there are</w:t>
      </w:r>
      <w:r w:rsidR="000F49B4" w:rsidRPr="007A3223">
        <w:rPr>
          <w:szCs w:val="24"/>
        </w:rPr>
        <w:t xml:space="preserve"> </w:t>
      </w:r>
      <w:r w:rsidRPr="007A3223">
        <w:rPr>
          <w:szCs w:val="24"/>
        </w:rPr>
        <w:t>17 evaluable patients</w:t>
      </w:r>
      <w:r w:rsidR="00BE3B5F" w:rsidRPr="007A3223">
        <w:rPr>
          <w:szCs w:val="24"/>
        </w:rPr>
        <w:t xml:space="preserve"> who respond and 17 who don’t respond, then there would be</w:t>
      </w:r>
      <w:r w:rsidRPr="007A3223">
        <w:rPr>
          <w:szCs w:val="24"/>
        </w:rPr>
        <w:t xml:space="preserve"> </w:t>
      </w:r>
      <w:r w:rsidR="00205DF1" w:rsidRPr="007A3223">
        <w:rPr>
          <w:szCs w:val="24"/>
        </w:rPr>
        <w:t>80% power to compare the pre-treatment PD-L1 levels between responders and non-responders with a 1.0 SD effect size, using a two-sided two-group t-test using a 0.05 alpha level.  If there were 9 responders and 25 non-responders, there would be 70% power for the same calculation, or 80% or greater power to detect a larger effect size. The analyses will be done within each arm as well as for both arms together, with appropriate explanation of the results. For the other translational endpoints, each endpoint data analysis will provide 80% power to compare the changes between the two arms, from pre- to post-cycle 1 for a single endpoint, with a 1.0 SD effect size, using a two-sided two-group t-test using a</w:t>
      </w:r>
      <w:r w:rsidR="00486516" w:rsidRPr="007A3223">
        <w:rPr>
          <w:szCs w:val="24"/>
        </w:rPr>
        <w:t xml:space="preserve"> </w:t>
      </w:r>
      <w:r w:rsidR="00205DF1" w:rsidRPr="007A3223">
        <w:rPr>
          <w:szCs w:val="24"/>
        </w:rPr>
        <w:t>0.05 alpha level. These other translational studies are all being done with exploratory intent; thus, there is no formal correction for the multiple tests being evaluated, but that the results should be presented in the context of the number of tests performed.</w:t>
      </w:r>
    </w:p>
    <w:p w14:paraId="37A8FC21" w14:textId="77777777" w:rsidR="00EA1F04" w:rsidRPr="007A3223" w:rsidRDefault="00EA1F04">
      <w:pPr>
        <w:spacing w:after="0"/>
        <w:ind w:firstLine="360"/>
        <w:rPr>
          <w:szCs w:val="24"/>
        </w:rPr>
      </w:pPr>
    </w:p>
    <w:p w14:paraId="68DD5248" w14:textId="724E04C6" w:rsidR="000F49B4" w:rsidRPr="007A3223" w:rsidRDefault="000F49B4" w:rsidP="00ED703B">
      <w:pPr>
        <w:pStyle w:val="Heading2"/>
      </w:pPr>
      <w:bookmarkStart w:id="332" w:name="_Toc82444396"/>
      <w:r w:rsidRPr="007A3223">
        <w:t xml:space="preserve">Phase II triple negative breast cancer </w:t>
      </w:r>
      <w:r w:rsidR="00AB1169" w:rsidRPr="007A3223">
        <w:t>(TNBC) C</w:t>
      </w:r>
      <w:r w:rsidRPr="007A3223">
        <w:t>ohort</w:t>
      </w:r>
      <w:r w:rsidR="0089253C" w:rsidRPr="007A3223">
        <w:t xml:space="preserve"> 5</w:t>
      </w:r>
      <w:r w:rsidR="00AB1169" w:rsidRPr="007A3223">
        <w:t xml:space="preserve"> (</w:t>
      </w:r>
      <w:r w:rsidR="00B1179A">
        <w:rPr>
          <w:lang w:val="en-US"/>
        </w:rPr>
        <w:t>Durvalumab</w:t>
      </w:r>
      <w:r w:rsidR="00614D72" w:rsidRPr="007A3223">
        <w:t>+</w:t>
      </w:r>
      <w:r w:rsidR="00AB1169" w:rsidRPr="007A3223">
        <w:t>O only)</w:t>
      </w:r>
      <w:bookmarkEnd w:id="332"/>
    </w:p>
    <w:p w14:paraId="0DAA7B43" w14:textId="361A1618" w:rsidR="00EA1F04" w:rsidRPr="007A3223" w:rsidRDefault="00EA1F04" w:rsidP="000F49B4">
      <w:pPr>
        <w:spacing w:after="0"/>
      </w:pPr>
      <w:r w:rsidRPr="007A3223">
        <w:t xml:space="preserve">The primary objective of this trial is to determine the adequacy of the clinical response rate in patients with triple negative breast cancer </w:t>
      </w:r>
      <w:r w:rsidR="00AB1169" w:rsidRPr="007A3223">
        <w:t xml:space="preserve">(TNBC) </w:t>
      </w:r>
      <w:r w:rsidRPr="007A3223">
        <w:t xml:space="preserve">who receive treatment at the </w:t>
      </w:r>
      <w:r w:rsidR="000F49B4" w:rsidRPr="007A3223">
        <w:t xml:space="preserve">RP2D </w:t>
      </w:r>
      <w:r w:rsidRPr="007A3223">
        <w:t xml:space="preserve">of </w:t>
      </w:r>
      <w:r w:rsidR="00B1179A">
        <w:t>Durvalumab</w:t>
      </w:r>
      <w:r w:rsidR="00614D72" w:rsidRPr="007A3223">
        <w:t>+</w:t>
      </w:r>
      <w:r w:rsidRPr="007A3223">
        <w:t>O.</w:t>
      </w:r>
    </w:p>
    <w:p w14:paraId="60476A6B" w14:textId="4B1A6250" w:rsidR="00EA1F04" w:rsidRPr="007A3223" w:rsidRDefault="00EA1F04" w:rsidP="000F49B4">
      <w:pPr>
        <w:spacing w:after="0"/>
      </w:pPr>
      <w:r w:rsidRPr="007A3223">
        <w:t xml:space="preserve">In similar patients with </w:t>
      </w:r>
      <w:r w:rsidR="00AB1169" w:rsidRPr="007A3223">
        <w:t>TNBC</w:t>
      </w:r>
      <w:r w:rsidRPr="007A3223">
        <w:t xml:space="preserve"> who ordinarily would receive combination treatment, the clinical response rate may be estimated to be approximately 30-35% </w:t>
      </w:r>
      <w:hyperlink w:anchor="_ENREF_121" w:tooltip="Tutt, 2015 #2" w:history="1">
        <w:r w:rsidR="00F77861" w:rsidRPr="00244551">
          <w:rPr>
            <w:rStyle w:val="Hyperlink"/>
          </w:rPr>
          <w:fldChar w:fldCharType="begin">
            <w:fldData xml:space="preserve">PEVuZE5vdGU+PENpdGU+PEF1dGhvcj5UdXR0PC9BdXRob3I+PFllYXI+MjAxNTwvWWVhcj48UmVj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</w:fldData>
          </w:fldChar>
        </w:r>
        <w:r w:rsidR="00F77861" w:rsidRPr="00244551">
          <w:rPr>
            <w:rStyle w:val="Hyperlink"/>
          </w:rPr>
          <w:instrText xml:space="preserve"> ADDIN EN.CITE </w:instrText>
        </w:r>
        <w:r w:rsidR="00F77861" w:rsidRPr="00197723">
          <w:rPr>
            <w:rStyle w:val="Hyperlink"/>
          </w:rPr>
          <w:fldChar w:fldCharType="begin">
            <w:fldData xml:space="preserve">PEVuZE5vdGU+PENpdGU+PEF1dGhvcj5UdXR0PC9BdXRob3I+PFllYXI+MjAxNTwvWWVhcj48UmVj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</w:fldData>
          </w:fldChar>
        </w:r>
        <w:r w:rsidR="00F77861" w:rsidRPr="00244551">
          <w:rPr>
            <w:rStyle w:val="Hyperlink"/>
          </w:rPr>
          <w:instrText xml:space="preserve"> ADDIN EN.CITE.DATA </w:instrText>
        </w:r>
        <w:r w:rsidR="00F77861" w:rsidRPr="00197723">
          <w:rPr>
            <w:rStyle w:val="Hyperlink"/>
          </w:rPr>
        </w:r>
        <w:r w:rsidR="00F77861" w:rsidRPr="00197723">
          <w:rPr>
            <w:rStyle w:val="Hyperlink"/>
          </w:rPr>
          <w:fldChar w:fldCharType="end"/>
        </w:r>
        <w:r w:rsidR="00F77861" w:rsidRPr="00244551">
          <w:rPr>
            <w:rStyle w:val="Hyperlink"/>
          </w:rPr>
        </w:r>
        <w:r w:rsidR="00F77861" w:rsidRPr="00244551">
          <w:rPr>
            <w:rStyle w:val="Hyperlink"/>
          </w:rPr>
          <w:fldChar w:fldCharType="separate"/>
        </w:r>
        <w:r w:rsidR="00F77861" w:rsidRPr="00244551">
          <w:rPr>
            <w:rStyle w:val="Hyperlink"/>
            <w:noProof/>
            <w:vertAlign w:val="superscript"/>
          </w:rPr>
          <w:t>121</w:t>
        </w:r>
        <w:r w:rsidR="00F77861" w:rsidRPr="00244551">
          <w:rPr>
            <w:rStyle w:val="Hyperlink"/>
          </w:rPr>
          <w:fldChar w:fldCharType="end"/>
        </w:r>
      </w:hyperlink>
      <w:r w:rsidRPr="007A3223">
        <w:t xml:space="preserve">. Preliminary, limited data suggest that patients </w:t>
      </w:r>
      <w:r w:rsidR="00AB1169" w:rsidRPr="00F33908">
        <w:t>with gBRCAm</w:t>
      </w:r>
      <w:r w:rsidRPr="00F33908">
        <w:t xml:space="preserve"> </w:t>
      </w:r>
      <w:r w:rsidRPr="007A3223">
        <w:t xml:space="preserve">may have a response rate as high as 60-65%, while </w:t>
      </w:r>
      <w:r w:rsidR="00AB1169" w:rsidRPr="007A3223">
        <w:t>TNBC</w:t>
      </w:r>
      <w:r w:rsidRPr="007A3223">
        <w:t xml:space="preserve"> patients</w:t>
      </w:r>
      <w:r w:rsidR="00AB1169" w:rsidRPr="007A3223">
        <w:t xml:space="preserve"> with BRCAwt</w:t>
      </w:r>
      <w:r w:rsidRPr="007A3223">
        <w:t xml:space="preserve">, many of whom have been previously treated, may have response rates of approximately 15-20% overall. Because of the potential disparity in the response rates for these two subsets of patients with </w:t>
      </w:r>
      <w:r w:rsidR="00AB1169" w:rsidRPr="007A3223">
        <w:t>TNBC</w:t>
      </w:r>
      <w:r w:rsidRPr="007A3223">
        <w:t xml:space="preserve">, each cohort will be enrolled separately using a design appropriate to each cohort.  </w:t>
      </w:r>
    </w:p>
    <w:p w14:paraId="25610D79" w14:textId="21CE5B6E" w:rsidR="00EA1F04" w:rsidRPr="007A3223" w:rsidRDefault="00EA1F04" w:rsidP="000F49B4">
      <w:pPr>
        <w:spacing w:after="0"/>
      </w:pPr>
      <w:r w:rsidRPr="007A3223">
        <w:t xml:space="preserve">For the </w:t>
      </w:r>
      <w:r w:rsidR="00AB1169" w:rsidRPr="007A3223">
        <w:t xml:space="preserve">TNBC </w:t>
      </w:r>
      <w:r w:rsidRPr="007A3223">
        <w:t>patients</w:t>
      </w:r>
      <w:r w:rsidR="00AB1169" w:rsidRPr="007A3223">
        <w:t xml:space="preserve"> with BRCAwt</w:t>
      </w:r>
      <w:r w:rsidRPr="007A3223">
        <w:t xml:space="preserve">, estimated to be 65-80% of patients who may enroll, the goal would be to determine if using </w:t>
      </w:r>
      <w:r w:rsidR="00B1179A">
        <w:t>Durvalumab</w:t>
      </w:r>
      <w:r w:rsidR="00614D72" w:rsidRPr="007A3223">
        <w:t>+</w:t>
      </w:r>
      <w:r w:rsidRPr="007A3223">
        <w:t>O would rule out a 10% response rate and target a rate of 30%. For these patients, the trial will be conducted using a Simon Minimax two-stage phase II trial design</w:t>
      </w:r>
      <w:hyperlink w:anchor="_ENREF_170" w:tooltip="Simon, 1989 #435" w:history="1">
        <w:r w:rsidR="00F77861" w:rsidRPr="00244551">
          <w:rPr>
            <w:rStyle w:val="Hyperlink"/>
          </w:rPr>
          <w:fldChar w:fldCharType="begin"/>
        </w:r>
        <w:r w:rsidR="00E27C67" w:rsidRPr="00244551">
          <w:rPr>
            <w:rStyle w:val="Hyperlink"/>
          </w:rPr>
          <w:instrText xml:space="preserve"> ADDIN EN.CITE &lt;EndNote&gt;&lt;Cite&gt;&lt;Author&gt;Simon&lt;/Author&gt;&lt;Year&gt;1989&lt;/Year&gt;&lt;RecNum&gt;435&lt;/RecNum&gt;&lt;DisplayText&gt;&lt;style face="superscript"&gt;170&lt;/style&gt;&lt;/DisplayText&gt;&lt;record&gt;&lt;rec-number&gt;435&lt;/rec-number&gt;&lt;foreign-keys&gt;&lt;key app="EN" db-id="prx2xsr2l00v0kefx0kprex8f990pe2fpr05" timestamp="1441978224"&gt;435&lt;/key&gt;&lt;/foreign-keys&gt;&lt;ref-type name="Journal Article"&gt;17&lt;/ref-type&gt;&lt;contributors&gt;&lt;authors&gt;&lt;author&gt;Simon, R.&lt;/author&gt;&lt;/authors&gt;&lt;/contributors&gt;&lt;titles&gt;&lt;title&gt;OPTIMAL 2-STAGE DESIGNS FOR PHASE-II CLINICAL-TRIALS&lt;/title&gt;&lt;secondary-title&gt;Controlled Clinical Trials&lt;/secondary-title&gt;&lt;/titles&gt;&lt;periodical&gt;&lt;full-title&gt;Controlled Clinical Trials&lt;/full-title&gt;&lt;/periodical&gt;&lt;pages&gt;1-10&lt;/pages&gt;&lt;volume&gt;10&lt;/volume&gt;&lt;number&gt;1&lt;/number&gt;&lt;dates&gt;&lt;year&gt;1989&lt;/year&gt;&lt;pub-dates&gt;&lt;date&gt;Mar&lt;/date&gt;&lt;/pub-dates&gt;&lt;/dates&gt;&lt;isbn&gt;0197-2456&lt;/isbn&gt;&lt;accession-num&gt;WOS:A1989U002800001&lt;/accession-num&gt;&lt;urls&gt;&lt;related-urls&gt;&lt;url&gt;&amp;lt;Go to ISI&amp;gt;://WOS:A1989U002800001&lt;/url&gt;&lt;/related-urls&gt;&lt;/urls&gt;&lt;electronic-resource-num&gt;10.1016/0197-2456(89)90015-9&lt;/electronic-resource-num&gt;&lt;/record&gt;&lt;/Cite&gt;&lt;/EndNote&gt;</w:instrText>
        </w:r>
        <w:r w:rsidR="00F77861" w:rsidRPr="00244551">
          <w:rPr>
            <w:rStyle w:val="Hyperlink"/>
          </w:rPr>
          <w:fldChar w:fldCharType="separate"/>
        </w:r>
        <w:r w:rsidR="00E27C67" w:rsidRPr="00244551">
          <w:rPr>
            <w:rStyle w:val="Hyperlink"/>
            <w:noProof/>
            <w:vertAlign w:val="superscript"/>
          </w:rPr>
          <w:t>170</w:t>
        </w:r>
        <w:r w:rsidR="00F77861" w:rsidRPr="00244551">
          <w:rPr>
            <w:rStyle w:val="Hyperlink"/>
          </w:rPr>
          <w:fldChar w:fldCharType="end"/>
        </w:r>
      </w:hyperlink>
      <w:r w:rsidRPr="007A3223">
        <w:t xml:space="preserve"> in order to rule out an unacceptably low PR+CR rate of 10% (p0=0.10) in favor of an improved </w:t>
      </w:r>
      <w:r w:rsidRPr="00F33908">
        <w:t xml:space="preserve">response rate of </w:t>
      </w:r>
      <w:r w:rsidRPr="007A3223">
        <w:t xml:space="preserve">30% (p1=0.30). With alpha=0.10 (probability of accepting a poor treatment=0.10) and beta = 0.10 (probability of rejecting a good treatment=0.10), this first stage will enroll 16 evaluable patients, and if 0 to 1 of the 16 have a clinical response, then no further patients will be accrued. If 2 or more of the first 16 patients have a response, then accrual would continue until a total of 25 evaluable patients have been enrolled. As it may take several months to determine if a patient has experienced a response, a temporary pause in the accrual may be necessary to ensure that enrollment to the second stage is warranted. If there are 2 to 4 patients with a response out of 25 patients, this would be an uninterestingly low response rate. If there were 5 or more of 25 (20%) who experienced a </w:t>
      </w:r>
      <w:r w:rsidRPr="007A3223">
        <w:lastRenderedPageBreak/>
        <w:t>response, this would be sufficiently interesting to warrant further study in later trials. Under the null hypothesis (10% response rate), the probability of early termination is 51%.</w:t>
      </w:r>
    </w:p>
    <w:p w14:paraId="3DF15085" w14:textId="04965418" w:rsidR="00EA1F04" w:rsidRPr="007A3223" w:rsidRDefault="00EA1F04" w:rsidP="000F49B4">
      <w:pPr>
        <w:spacing w:after="0"/>
      </w:pPr>
      <w:r w:rsidRPr="007A3223">
        <w:t xml:space="preserve">For the </w:t>
      </w:r>
      <w:r w:rsidR="00AB1169" w:rsidRPr="007A3223">
        <w:t>TNBC</w:t>
      </w:r>
      <w:r w:rsidRPr="007A3223">
        <w:t xml:space="preserve"> patients</w:t>
      </w:r>
      <w:r w:rsidR="00AB1169" w:rsidRPr="007A3223">
        <w:t xml:space="preserve"> with gBRCAm</w:t>
      </w:r>
      <w:r w:rsidRPr="007A3223">
        <w:t xml:space="preserve">, estimated to be 20-35% of all patients who may enroll, the limited number of patients who may enroll during the time that the </w:t>
      </w:r>
      <w:r w:rsidR="00AB1169" w:rsidRPr="007A3223">
        <w:t xml:space="preserve">BRCAwt </w:t>
      </w:r>
      <w:r w:rsidRPr="007A3223">
        <w:t xml:space="preserve">patients are accruing suggests that a small single stage design be used for this cohort of patients. There is only preliminary, limited data on the clinical response rate for these patients, so the objective will be to form an approximate estimate of their response rate to </w:t>
      </w:r>
      <w:r w:rsidR="00B1179A">
        <w:t>Durvalumab</w:t>
      </w:r>
      <w:r w:rsidR="00614D72" w:rsidRPr="007A3223">
        <w:t>+</w:t>
      </w:r>
      <w:r w:rsidRPr="007A3223">
        <w:t xml:space="preserve">O. A single cohort of 10 patients will be enrolled who have </w:t>
      </w:r>
      <w:r w:rsidR="00AB1169" w:rsidRPr="007A3223">
        <w:t>gBRCAm-related TNBC</w:t>
      </w:r>
      <w:r w:rsidRPr="007A3223">
        <w:t>, and the response rate for them will be estimated separately from that of BRC</w:t>
      </w:r>
      <w:r w:rsidR="00AB1169" w:rsidRPr="007A3223">
        <w:t xml:space="preserve">Awt </w:t>
      </w:r>
      <w:r w:rsidRPr="007A3223">
        <w:t xml:space="preserve">patients on this trial. There will be an early stopping rule implemented in this cohort: in view of the anticipated modestly high response rate for these patients, if 0 clinical responses are identified in the first 5 patients </w:t>
      </w:r>
      <w:r w:rsidR="00AB1169" w:rsidRPr="007A3223">
        <w:t>with gBRCAm</w:t>
      </w:r>
      <w:r w:rsidRPr="007A3223">
        <w:t xml:space="preserve"> then no further </w:t>
      </w:r>
      <w:r w:rsidR="00AB1169" w:rsidRPr="007A3223">
        <w:t>g</w:t>
      </w:r>
      <w:r w:rsidRPr="007A3223">
        <w:t>BRC</w:t>
      </w:r>
      <w:r w:rsidR="00AB1169" w:rsidRPr="007A3223">
        <w:t>Am</w:t>
      </w:r>
      <w:r w:rsidRPr="007A3223">
        <w:t xml:space="preserve"> patients will be enrolled since the upper one-tailed 90% CI about 0/5 is 37%, which is substantially below the anticipated response rate for these patients and would justify enrolling no further patients once this can be determined.</w:t>
      </w:r>
    </w:p>
    <w:p w14:paraId="4D3373B6" w14:textId="1451F5C2" w:rsidR="00EA1F04" w:rsidRPr="007A3223" w:rsidRDefault="00EA1F04" w:rsidP="000F49B4">
      <w:pPr>
        <w:spacing w:after="0"/>
      </w:pPr>
      <w:r w:rsidRPr="007A3223">
        <w:t>The secondary objectives will each be evaluated using standard statistical methods, which will largely consist of reporting descriptive statistics and associated 95% confidence intervals. Time to event endpoints such as duration of response, progression free survival, and overall survival, will be determined using a Kaplan-Meier curve. Subset analyses of patients may be performed in a descriptive fashion after accrual has been completed. Any statistical testing performed will have results presented without formal adjustment for multiple comparisons.</w:t>
      </w:r>
    </w:p>
    <w:p w14:paraId="49EAFC16" w14:textId="77777777" w:rsidR="00EA1F04" w:rsidRPr="007A3223" w:rsidRDefault="00EA1F04" w:rsidP="00AB1169">
      <w:pPr>
        <w:spacing w:after="0"/>
      </w:pPr>
      <w:r w:rsidRPr="007A3223">
        <w:rPr>
          <w:bCs/>
        </w:rPr>
        <w:t xml:space="preserve"> </w:t>
      </w:r>
    </w:p>
    <w:p w14:paraId="56D5B234" w14:textId="1EF1CD37" w:rsidR="00BB7A5A" w:rsidRPr="007A3223" w:rsidRDefault="00BB7A5A" w:rsidP="00ED703B">
      <w:pPr>
        <w:pStyle w:val="Heading2"/>
      </w:pPr>
      <w:bookmarkStart w:id="333" w:name="_Toc82444397"/>
      <w:r w:rsidRPr="007A3223">
        <w:t xml:space="preserve">Phase II </w:t>
      </w:r>
      <w:r w:rsidR="00AB1169" w:rsidRPr="007A3223">
        <w:t>non-small cell lung cancer (</w:t>
      </w:r>
      <w:r w:rsidRPr="007A3223">
        <w:t>NSCLC</w:t>
      </w:r>
      <w:r w:rsidR="00AB1169" w:rsidRPr="007A3223">
        <w:t>)</w:t>
      </w:r>
      <w:r w:rsidRPr="007A3223">
        <w:t xml:space="preserve"> </w:t>
      </w:r>
      <w:r w:rsidR="00AB1169" w:rsidRPr="007A3223">
        <w:t>C</w:t>
      </w:r>
      <w:r w:rsidRPr="007A3223">
        <w:t xml:space="preserve">ohort </w:t>
      </w:r>
      <w:r w:rsidR="0089253C" w:rsidRPr="007A3223">
        <w:t xml:space="preserve">2 </w:t>
      </w:r>
      <w:r w:rsidR="00AB1169" w:rsidRPr="007A3223">
        <w:t>(</w:t>
      </w:r>
      <w:r w:rsidR="00B1179A">
        <w:rPr>
          <w:lang w:val="en-US"/>
        </w:rPr>
        <w:t>Durvalumab</w:t>
      </w:r>
      <w:r w:rsidR="00614D72" w:rsidRPr="007A3223">
        <w:t>+</w:t>
      </w:r>
      <w:r w:rsidR="00AB1169" w:rsidRPr="007A3223">
        <w:t xml:space="preserve">O and </w:t>
      </w:r>
      <w:r w:rsidR="00B1179A">
        <w:rPr>
          <w:lang w:val="en-US"/>
        </w:rPr>
        <w:t>Durvalumab</w:t>
      </w:r>
      <w:r w:rsidR="00614D72" w:rsidRPr="007A3223">
        <w:t>+</w:t>
      </w:r>
      <w:r w:rsidR="00AB1169" w:rsidRPr="007A3223">
        <w:t>C)</w:t>
      </w:r>
      <w:bookmarkEnd w:id="333"/>
    </w:p>
    <w:p w14:paraId="5F226967" w14:textId="53D70DD2" w:rsidR="00BB7A5A" w:rsidRPr="007A3223" w:rsidRDefault="00BB7A5A" w:rsidP="003754C5">
      <w:pPr>
        <w:spacing w:after="0"/>
        <w:rPr>
          <w:szCs w:val="24"/>
        </w:rPr>
      </w:pPr>
      <w:r w:rsidRPr="007A3223">
        <w:rPr>
          <w:szCs w:val="24"/>
        </w:rPr>
        <w:t xml:space="preserve">NSCLC patients will be enrolled in both </w:t>
      </w:r>
      <w:r w:rsidR="005A7896">
        <w:rPr>
          <w:szCs w:val="24"/>
        </w:rPr>
        <w:t>Durvalumab</w:t>
      </w:r>
      <w:r w:rsidR="00614D72" w:rsidRPr="007A3223">
        <w:rPr>
          <w:szCs w:val="24"/>
        </w:rPr>
        <w:t>+</w:t>
      </w:r>
      <w:r w:rsidRPr="007A3223">
        <w:rPr>
          <w:szCs w:val="24"/>
        </w:rPr>
        <w:t xml:space="preserve">C and </w:t>
      </w:r>
      <w:r w:rsidR="005A7896">
        <w:rPr>
          <w:szCs w:val="24"/>
        </w:rPr>
        <w:t>Durvalumab</w:t>
      </w:r>
      <w:r w:rsidR="00614D72" w:rsidRPr="007A3223">
        <w:rPr>
          <w:szCs w:val="24"/>
        </w:rPr>
        <w:t>+</w:t>
      </w:r>
      <w:r w:rsidRPr="007A3223">
        <w:rPr>
          <w:szCs w:val="24"/>
        </w:rPr>
        <w:t>O arms</w:t>
      </w:r>
      <w:r w:rsidR="009149D1" w:rsidRPr="007A3223">
        <w:rPr>
          <w:szCs w:val="24"/>
        </w:rPr>
        <w:t xml:space="preserve">. Randomization procedures do not apply to the Phase II NSCLC cohort. The arms will be open concurrently and treatment assignment for each patient will be at the PI’s discretion and/or based on prior treatment history. </w:t>
      </w:r>
      <w:r w:rsidRPr="007A3223">
        <w:rPr>
          <w:szCs w:val="24"/>
        </w:rPr>
        <w:t xml:space="preserve">The primary objective is to determine whether the combination of </w:t>
      </w:r>
      <w:r w:rsidR="005A7896">
        <w:rPr>
          <w:szCs w:val="24"/>
        </w:rPr>
        <w:t>Durvalumab</w:t>
      </w:r>
      <w:r w:rsidR="00614D72" w:rsidRPr="007A3223">
        <w:rPr>
          <w:szCs w:val="24"/>
        </w:rPr>
        <w:t>+</w:t>
      </w:r>
      <w:r w:rsidRPr="007A3223">
        <w:rPr>
          <w:szCs w:val="24"/>
        </w:rPr>
        <w:t xml:space="preserve">C or </w:t>
      </w:r>
      <w:r w:rsidR="005A7896">
        <w:rPr>
          <w:szCs w:val="24"/>
        </w:rPr>
        <w:t>Durvalumab</w:t>
      </w:r>
      <w:r w:rsidR="00614D72" w:rsidRPr="007A3223">
        <w:rPr>
          <w:szCs w:val="24"/>
        </w:rPr>
        <w:t>+</w:t>
      </w:r>
      <w:r w:rsidRPr="007A3223">
        <w:rPr>
          <w:szCs w:val="24"/>
        </w:rPr>
        <w:t xml:space="preserve">O is able to be associated with improved PFS in patients with NSCLC compared to that associated with </w:t>
      </w:r>
      <w:r w:rsidR="00E72786" w:rsidRPr="007A3223">
        <w:rPr>
          <w:szCs w:val="24"/>
        </w:rPr>
        <w:t>an</w:t>
      </w:r>
      <w:r w:rsidRPr="007A3223">
        <w:rPr>
          <w:szCs w:val="24"/>
        </w:rPr>
        <w:t xml:space="preserve"> immune checkpoint inhibitor. </w:t>
      </w:r>
    </w:p>
    <w:p w14:paraId="46327F91" w14:textId="3EFEB18D" w:rsidR="00BB7A5A" w:rsidRDefault="00BB7A5A" w:rsidP="00BB7A5A">
      <w:pPr>
        <w:rPr>
          <w:szCs w:val="24"/>
        </w:rPr>
      </w:pPr>
      <w:r w:rsidRPr="007A3223">
        <w:rPr>
          <w:szCs w:val="24"/>
        </w:rPr>
        <w:t xml:space="preserve">Data from a published trial of nivolumab indicated that patients with NSCLC experience a median PFS of 3.5 months, and another study determined a median of 3.7 months for those treated with pembrolizumab. The goal is to determine if use of </w:t>
      </w:r>
      <w:r w:rsidR="005A7896">
        <w:rPr>
          <w:szCs w:val="24"/>
        </w:rPr>
        <w:t>Durvalumab</w:t>
      </w:r>
      <w:r w:rsidR="00614D72" w:rsidRPr="007A3223">
        <w:rPr>
          <w:szCs w:val="24"/>
        </w:rPr>
        <w:t>+</w:t>
      </w:r>
      <w:r w:rsidRPr="007A3223">
        <w:rPr>
          <w:szCs w:val="24"/>
        </w:rPr>
        <w:t xml:space="preserve">O or </w:t>
      </w:r>
      <w:r w:rsidR="005A7896">
        <w:rPr>
          <w:szCs w:val="24"/>
        </w:rPr>
        <w:t>Durvalumab</w:t>
      </w:r>
      <w:r w:rsidR="00614D72" w:rsidRPr="007A3223">
        <w:rPr>
          <w:szCs w:val="24"/>
        </w:rPr>
        <w:t>+</w:t>
      </w:r>
      <w:r w:rsidRPr="007A3223">
        <w:rPr>
          <w:szCs w:val="24"/>
        </w:rPr>
        <w:t xml:space="preserve">C in NSCLC is able to be associated with an improved PFS from 3.5 months to 6.0 months. With 37 evaluable patients receiving </w:t>
      </w:r>
      <w:r w:rsidR="005A7896">
        <w:rPr>
          <w:szCs w:val="24"/>
        </w:rPr>
        <w:t>Durvalumab</w:t>
      </w:r>
      <w:r w:rsidR="00614D72" w:rsidRPr="007A3223">
        <w:rPr>
          <w:szCs w:val="24"/>
        </w:rPr>
        <w:t>+</w:t>
      </w:r>
      <w:r w:rsidRPr="007A3223">
        <w:rPr>
          <w:szCs w:val="24"/>
        </w:rPr>
        <w:t xml:space="preserve">O and 37 receiving </w:t>
      </w:r>
      <w:r w:rsidR="005A7896">
        <w:rPr>
          <w:szCs w:val="24"/>
        </w:rPr>
        <w:t>Durvalumab</w:t>
      </w:r>
      <w:r w:rsidR="00614D72" w:rsidRPr="007A3223">
        <w:rPr>
          <w:szCs w:val="24"/>
        </w:rPr>
        <w:t>+</w:t>
      </w:r>
      <w:r w:rsidRPr="007A3223">
        <w:rPr>
          <w:szCs w:val="24"/>
        </w:rPr>
        <w:t xml:space="preserve">C, randomly assigned to each arm without stratification, assuming accrual would take place over approximately 1 to 1.5 years, and assuming that there would be at least 6 months of additional potential follow-up after the last patient has received either therapy, there would be 80% power to determine whether there is a difference between a 3.5 month median PFS and an improved 6 month median PFS, with a one sided 0.10 alpha level test, using the method of Brookmeyer and Crowley (Brookmeyer R and Crowley, JJ. A confidence interval for the median survival time. </w:t>
      </w:r>
      <w:r w:rsidRPr="007A3223">
        <w:rPr>
          <w:i/>
          <w:iCs/>
          <w:szCs w:val="24"/>
        </w:rPr>
        <w:t>Biometrics,</w:t>
      </w:r>
      <w:r w:rsidRPr="007A3223">
        <w:rPr>
          <w:szCs w:val="24"/>
        </w:rPr>
        <w:t xml:space="preserve"> 38, 29-41, 1982.).  For each cohort, an early stopping rule will be implemented: if after 20 patients have been enrolled and potentially followed for 3 months, the median PFS is 3.5 months or less, that arm will no longer enroll any patients.  In practice, Kaplan-Meier curves and </w:t>
      </w:r>
      <w:r w:rsidRPr="007A3223">
        <w:rPr>
          <w:szCs w:val="24"/>
        </w:rPr>
        <w:lastRenderedPageBreak/>
        <w:t>appropriate confidence intervals at selected time points will be provided to help interpret results relative to the expected results.</w:t>
      </w:r>
    </w:p>
    <w:p w14:paraId="23B5016A" w14:textId="77777777" w:rsidR="001315B8" w:rsidRPr="007A3223" w:rsidRDefault="001315B8" w:rsidP="00BB7A5A">
      <w:pPr>
        <w:rPr>
          <w:szCs w:val="24"/>
        </w:rPr>
      </w:pPr>
    </w:p>
    <w:p w14:paraId="3D9B6570" w14:textId="4BEE363A" w:rsidR="00BB7A5A" w:rsidRPr="007A3223" w:rsidRDefault="00BB7A5A" w:rsidP="00ED703B">
      <w:pPr>
        <w:pStyle w:val="Heading2"/>
      </w:pPr>
      <w:bookmarkStart w:id="334" w:name="_Toc489625744"/>
      <w:bookmarkStart w:id="335" w:name="_Toc82444398"/>
      <w:bookmarkEnd w:id="334"/>
      <w:r w:rsidRPr="007A3223">
        <w:t xml:space="preserve">Phase II </w:t>
      </w:r>
      <w:r w:rsidR="00AB1169" w:rsidRPr="007A3223">
        <w:t>small cell lung cancer (</w:t>
      </w:r>
      <w:r w:rsidRPr="007A3223">
        <w:t>SCLC</w:t>
      </w:r>
      <w:r w:rsidR="00AB1169" w:rsidRPr="007A3223">
        <w:t>)</w:t>
      </w:r>
      <w:r w:rsidRPr="007A3223">
        <w:t xml:space="preserve"> Cohort</w:t>
      </w:r>
      <w:r w:rsidR="00AB1169" w:rsidRPr="007A3223">
        <w:t xml:space="preserve"> </w:t>
      </w:r>
      <w:r w:rsidR="0089253C" w:rsidRPr="007A3223">
        <w:t xml:space="preserve">3 </w:t>
      </w:r>
      <w:r w:rsidR="00AB1169" w:rsidRPr="007A3223">
        <w:t>(</w:t>
      </w:r>
      <w:r w:rsidR="005A7896">
        <w:rPr>
          <w:lang w:val="en-US"/>
        </w:rPr>
        <w:t>Durvalumab</w:t>
      </w:r>
      <w:r w:rsidR="00E72786" w:rsidRPr="007A3223">
        <w:t>+</w:t>
      </w:r>
      <w:r w:rsidR="00AB1169" w:rsidRPr="007A3223">
        <w:t>O only)</w:t>
      </w:r>
      <w:bookmarkEnd w:id="335"/>
    </w:p>
    <w:p w14:paraId="0D8F51BB" w14:textId="0CA33E44" w:rsidR="00BB7A5A" w:rsidRPr="007A3223" w:rsidRDefault="00BB7A5A" w:rsidP="00BB7A5A">
      <w:pPr>
        <w:rPr>
          <w:szCs w:val="24"/>
        </w:rPr>
      </w:pPr>
      <w:r w:rsidRPr="007A3223">
        <w:rPr>
          <w:szCs w:val="24"/>
        </w:rPr>
        <w:t xml:space="preserve">SCLC patients will only receive </w:t>
      </w:r>
      <w:r w:rsidR="005A7896">
        <w:rPr>
          <w:szCs w:val="24"/>
        </w:rPr>
        <w:t>Durvalumab</w:t>
      </w:r>
      <w:r w:rsidR="00E72786" w:rsidRPr="007A3223">
        <w:rPr>
          <w:szCs w:val="24"/>
        </w:rPr>
        <w:t>+</w:t>
      </w:r>
      <w:r w:rsidRPr="007A3223">
        <w:rPr>
          <w:szCs w:val="24"/>
        </w:rPr>
        <w:t>O. For patients with SCLC, this trial will be conducted using an optimal two-stage phase II trial design (Simon R, Controlled Clinical Trials 10:1-10, 1989) in order to rule out an unacceptably low PR+CR rate of 15% (p0=0.15) in favor of an improved response rate of 35% (p1=0.35). With alpha=0.10 (probability of accepting a poor treatment=0.10) and beta = 0.10 (probability of rejecting a good treatment=0.10), this first stage will initially enroll 19 evaluable patients, and if 0 to 3 of the 19 have a response, then no further patients will be accrued in this cohort. If 4 or more of the first 19 patients have a response, then accrual would continue until a total of 33 patients have been enrolled. As it may take several weeks to determine if a patient has experienced a response, a temporary pause in the accrual may be necessary to ensure that enrollment to the second stage is warranted. If there are 4 to 7 responses in 33 patients, this would be an uninterestingly low response rate. If there were 8 or more responses in 33 patients (24.2%), this would be sufficiently interesting to warrant further study in later trials. Under the null hypothesis (15% response rate), the probability of early termination is 68%.</w:t>
      </w:r>
    </w:p>
    <w:p w14:paraId="4E3F36D1" w14:textId="77777777" w:rsidR="00BB7A5A" w:rsidRPr="007A3223" w:rsidRDefault="00BB7A5A" w:rsidP="00BB7A5A"/>
    <w:p w14:paraId="6A26DF7E" w14:textId="6D987F75" w:rsidR="00BB7A5A" w:rsidRPr="007A3223" w:rsidRDefault="00BB7A5A" w:rsidP="00ED703B">
      <w:pPr>
        <w:pStyle w:val="Heading2"/>
      </w:pPr>
      <w:bookmarkStart w:id="336" w:name="_Toc82444399"/>
      <w:r w:rsidRPr="007A3223">
        <w:t xml:space="preserve">Phase II </w:t>
      </w:r>
      <w:r w:rsidR="00AB1169" w:rsidRPr="007A3223">
        <w:t>metastatic castrate-resistance prostate cancer (</w:t>
      </w:r>
      <w:r w:rsidRPr="007A3223">
        <w:t>mCRPC</w:t>
      </w:r>
      <w:r w:rsidR="00AB1169" w:rsidRPr="007A3223">
        <w:t>)</w:t>
      </w:r>
      <w:r w:rsidRPr="007A3223">
        <w:t xml:space="preserve"> Cohort</w:t>
      </w:r>
      <w:r w:rsidR="00AB1169" w:rsidRPr="007A3223">
        <w:t xml:space="preserve"> </w:t>
      </w:r>
      <w:r w:rsidR="0089253C" w:rsidRPr="007A3223">
        <w:t xml:space="preserve">4 </w:t>
      </w:r>
      <w:r w:rsidR="00AB1169" w:rsidRPr="007A3223">
        <w:t>(</w:t>
      </w:r>
      <w:r w:rsidR="005A7896">
        <w:rPr>
          <w:lang w:val="en-US"/>
        </w:rPr>
        <w:t>Durvalumab</w:t>
      </w:r>
      <w:r w:rsidR="00E72786" w:rsidRPr="007A3223">
        <w:t>+</w:t>
      </w:r>
      <w:r w:rsidR="00AB1169" w:rsidRPr="007A3223">
        <w:t>O only)</w:t>
      </w:r>
      <w:bookmarkEnd w:id="336"/>
    </w:p>
    <w:p w14:paraId="7058D05E" w14:textId="5D535A16" w:rsidR="00BB7A5A" w:rsidRPr="007A3223" w:rsidRDefault="00BB7A5A" w:rsidP="00BB7A5A">
      <w:pPr>
        <w:rPr>
          <w:szCs w:val="24"/>
        </w:rPr>
      </w:pPr>
      <w:r w:rsidRPr="007A3223">
        <w:rPr>
          <w:szCs w:val="24"/>
        </w:rPr>
        <w:t xml:space="preserve">The primary objective of this trial is to establish in a small number of patients if the progression free survival (PFS) of patients treated with </w:t>
      </w:r>
      <w:r w:rsidR="005A7896">
        <w:rPr>
          <w:szCs w:val="24"/>
        </w:rPr>
        <w:t>Durvalumab</w:t>
      </w:r>
      <w:r w:rsidRPr="007A3223">
        <w:rPr>
          <w:szCs w:val="24"/>
        </w:rPr>
        <w:t xml:space="preserve"> in combination with olaparib (</w:t>
      </w:r>
      <w:r w:rsidR="005A7896">
        <w:rPr>
          <w:szCs w:val="24"/>
        </w:rPr>
        <w:t>Durvalumab</w:t>
      </w:r>
      <w:r w:rsidR="00E72786" w:rsidRPr="007A3223">
        <w:rPr>
          <w:szCs w:val="24"/>
        </w:rPr>
        <w:t>+</w:t>
      </w:r>
      <w:r w:rsidRPr="007A3223">
        <w:rPr>
          <w:szCs w:val="24"/>
        </w:rPr>
        <w:t xml:space="preserve">O) for mCRPC is sufficiently high to consider further development of this regimen in that patient population. </w:t>
      </w:r>
    </w:p>
    <w:p w14:paraId="1A3EA00F" w14:textId="72BEE36C" w:rsidR="00BB7A5A" w:rsidRPr="007A3223" w:rsidRDefault="00BB7A5A" w:rsidP="0024283C">
      <w:pPr>
        <w:spacing w:after="0"/>
        <w:rPr>
          <w:szCs w:val="24"/>
        </w:rPr>
      </w:pPr>
      <w:r w:rsidRPr="007A3223">
        <w:rPr>
          <w:szCs w:val="24"/>
        </w:rPr>
        <w:t xml:space="preserve">Once the optimal dose level of </w:t>
      </w:r>
      <w:r w:rsidR="005A7896">
        <w:rPr>
          <w:szCs w:val="24"/>
        </w:rPr>
        <w:t>Durvalumab</w:t>
      </w:r>
      <w:r w:rsidR="00E72786" w:rsidRPr="007A3223">
        <w:rPr>
          <w:szCs w:val="24"/>
        </w:rPr>
        <w:t>+</w:t>
      </w:r>
      <w:r w:rsidRPr="007A3223">
        <w:rPr>
          <w:szCs w:val="24"/>
        </w:rPr>
        <w:t xml:space="preserve">O has been determined, patients with mCRPC will be enrolled in a pilot/phase II evaluation to determine if the use of </w:t>
      </w:r>
      <w:r w:rsidR="005A7896">
        <w:rPr>
          <w:szCs w:val="24"/>
        </w:rPr>
        <w:t>Durvalumab</w:t>
      </w:r>
      <w:r w:rsidR="00E72786" w:rsidRPr="007A3223">
        <w:rPr>
          <w:szCs w:val="24"/>
        </w:rPr>
        <w:t>+</w:t>
      </w:r>
      <w:r w:rsidRPr="007A3223">
        <w:rPr>
          <w:szCs w:val="24"/>
        </w:rPr>
        <w:t xml:space="preserve">O can be associated with an improved PFS consistent with 70% PFS at 4 months compared to an estimated 50% PFS at 4 months.  With 25 evaluable patients receiving </w:t>
      </w:r>
      <w:r w:rsidR="005A7896">
        <w:rPr>
          <w:szCs w:val="24"/>
        </w:rPr>
        <w:t>Durvalumab</w:t>
      </w:r>
      <w:r w:rsidR="00E72786" w:rsidRPr="007A3223">
        <w:rPr>
          <w:szCs w:val="24"/>
        </w:rPr>
        <w:t>+</w:t>
      </w:r>
      <w:r w:rsidRPr="007A3223">
        <w:rPr>
          <w:szCs w:val="24"/>
        </w:rPr>
        <w:t xml:space="preserve">O and assuming accrual would take place over approximately 3 years, and that there would be at least 8 months of additional potential follow-up after the last patient has received therapy, there would be 80% power to determine whether there is a difference between a 50% 4 month PFS and an improved 70% 4 month PFS, with a one sided 0.10 alpha level test, using the method of Brookmeyer and Crowley (Brookmeyer R and Crowley, JJ. A confidence interval for the median survival time, </w:t>
      </w:r>
      <w:r w:rsidRPr="007A3223">
        <w:rPr>
          <w:i/>
          <w:iCs/>
          <w:szCs w:val="24"/>
        </w:rPr>
        <w:t>Biometrics,</w:t>
      </w:r>
      <w:r w:rsidRPr="007A3223">
        <w:rPr>
          <w:szCs w:val="24"/>
        </w:rPr>
        <w:t xml:space="preserve"> 38, 29-41, 1982).  In addition, an early stopping rule will be implemented: if after 12 patients have been enrolled and potentially followed for 6 months, the 4 month PFS is 50% or less, this mCRPC cohort will no longer enroll any patients.  In practice, Kaplan-Meier curves and appropriate confidence intervals at selected time points will be provided to help interpret results relative to the expected results.</w:t>
      </w:r>
    </w:p>
    <w:p w14:paraId="6F8F274E" w14:textId="47CAD329" w:rsidR="00AB1169" w:rsidRPr="007A3223" w:rsidRDefault="00AB1169" w:rsidP="0024283C">
      <w:pPr>
        <w:spacing w:after="0"/>
        <w:rPr>
          <w:szCs w:val="24"/>
        </w:rPr>
      </w:pPr>
    </w:p>
    <w:p w14:paraId="685671F9" w14:textId="040A0E9A" w:rsidR="001C46D3" w:rsidRPr="007A3223" w:rsidRDefault="003F104A" w:rsidP="000C1D10">
      <w:pPr>
        <w:pStyle w:val="Heading3"/>
      </w:pPr>
      <w:r w:rsidRPr="007A3223">
        <w:rPr>
          <w:b/>
        </w:rPr>
        <w:lastRenderedPageBreak/>
        <w:t>E</w:t>
      </w:r>
      <w:r w:rsidR="004E7B09" w:rsidRPr="007A3223">
        <w:rPr>
          <w:b/>
        </w:rPr>
        <w:t>xpansion cohort</w:t>
      </w:r>
      <w:r w:rsidRPr="007A3223">
        <w:t xml:space="preserve"> (effective with amendment M [version date 7/19/2017])</w:t>
      </w:r>
    </w:p>
    <w:p w14:paraId="0ED4F418" w14:textId="2027A158" w:rsidR="00D2520F" w:rsidRPr="007A3223" w:rsidRDefault="00D2520F" w:rsidP="006B6FE9">
      <w:r w:rsidRPr="007A3223">
        <w:t xml:space="preserve">The primary objective of this </w:t>
      </w:r>
      <w:r w:rsidR="0005770D" w:rsidRPr="007A3223">
        <w:t xml:space="preserve">expansion </w:t>
      </w:r>
      <w:r w:rsidRPr="007A3223">
        <w:t xml:space="preserve">cohort is to determine the clinical response rate to </w:t>
      </w:r>
      <w:r w:rsidR="005A7896">
        <w:t>Durvalumab</w:t>
      </w:r>
      <w:r w:rsidRPr="007A3223">
        <w:t>-O in patients with prostate cancer who do not have a DNA damage repair pathway mutation. At present, in patients who do not have a DNA damage repair pathway mutation, the objective response rate is approximately 20-25% with a checkpoint inhibitor alone. As such, the objective of this study will be to determine if the objective response rate may be raised to be 30% or higher in these patients.</w:t>
      </w:r>
    </w:p>
    <w:p w14:paraId="1AA4FC69" w14:textId="48831263" w:rsidR="00D2520F" w:rsidRPr="007A3223" w:rsidRDefault="00D2520F" w:rsidP="00D2520F">
      <w:pPr>
        <w:spacing w:after="0"/>
        <w:rPr>
          <w:szCs w:val="24"/>
        </w:rPr>
      </w:pPr>
      <w:r w:rsidRPr="007A3223">
        <w:rPr>
          <w:szCs w:val="24"/>
        </w:rPr>
        <w:t xml:space="preserve">Because determination of the presence of a DNA damage repair pathway mutation cannot be made until after treatment will have been underway or completed, the trial will plan to enroll 65 patients in this cohort based on the following assumptions. It is expected that approximately 30% of patients will have the DNA damage repair pathway mutation and 70% will not. Thus, out of 65 patients, it is anticipated that approximately 45 patients (69.2%) will not have the DNA damage repair pathway mutation, but it is possible that as few as 40 (or even less) may have this condition. For these patients without the DNA damage repair pathway mutation, it would be desirable if their response rate would exceed 20% and be consistent with 35% or greater.  An exact binomial test with a 0.10 one-sided significance level test will have 84% power to detect a difference between a 20% response rate and a 35% response rage when there are 45 patients. </w:t>
      </w:r>
      <w:r w:rsidR="0005770D" w:rsidRPr="007A3223">
        <w:rPr>
          <w:szCs w:val="24"/>
        </w:rPr>
        <w:t xml:space="preserve">     </w:t>
      </w:r>
      <w:r w:rsidRPr="007A3223">
        <w:rPr>
          <w:szCs w:val="24"/>
        </w:rPr>
        <w:t>Using that as a guideline, if there are 45 patients without the DNA damage repair pathway mutations who receive the combination treatment, 14 responses in 45 patients (31.1%) would be associated with a two-sided 90% exact confidence interval of 19.9-44.3%, and 13 responses in 45 (28.9%) would be associated with a two-sided 90% exact confidence interval of 18.0-42.0%. With 40 patients without the proper mutations, 13 responses in 40 (32.5%) is associated with a confidence interval of 20.4-46.6%, and 12 responses in 40 (30.0%) would have a confidence interval of 18.3-44.0%. The values for 41-44 patients have similar confidence intervals. Thus, in the expected range of 40-45 patients without mutations, a minimum of 12-13 responses, but preferably 14 or more depending on the number without a DNA damage repair pathway mutation, would be the lowest numbers of responses obtained which could be considered sufficiently interesting to allow the treatment to be evaluated further in these patients.</w:t>
      </w:r>
    </w:p>
    <w:p w14:paraId="46740AC1" w14:textId="676547D0" w:rsidR="00D2520F" w:rsidRPr="007A3223" w:rsidRDefault="00D2520F" w:rsidP="00732D92">
      <w:r w:rsidRPr="007A3223">
        <w:t>If among the first 12 treated patients with prostate cancer who do not have DNA damage repair pathway mutations, only 1 of 12 responds, then no further patients will be enrolled as soon as this can be determined,  since the upper one-sided 90% CI bound on 1/12 = 28.8%, which would be below the intended goal of 30% or greater response rate in these patients.</w:t>
      </w:r>
    </w:p>
    <w:p w14:paraId="6CCD7A4F" w14:textId="6D4C17E3" w:rsidR="00D2520F" w:rsidRPr="007A3223" w:rsidRDefault="00D2520F" w:rsidP="006B6FE9">
      <w:r w:rsidRPr="007A3223">
        <w:t xml:space="preserve">In a published study of 16 patients with prostate cancer who have one of a set of specified mutations, 14 (87.5%) had experienced a clinical response when treated with olaparib alone. While it is unlikely that this could be improved upon, it would be of interest to explore if a similarly high response rate could be seen in patients treated at the NCI with </w:t>
      </w:r>
      <w:r w:rsidR="004E6757">
        <w:t>Durvalumab</w:t>
      </w:r>
      <w:r w:rsidRPr="007A3223">
        <w:t xml:space="preserve"> and olaparib (</w:t>
      </w:r>
      <w:r w:rsidR="004E6757">
        <w:t>Durvalumab</w:t>
      </w:r>
      <w:r w:rsidRPr="007A3223">
        <w:t xml:space="preserve">-O). In the remaining patients, estimated to be 20-25 from among the 65 total patients to be enrolled, the fraction who respond to </w:t>
      </w:r>
      <w:r w:rsidR="004E6757">
        <w:t>Durvalumab</w:t>
      </w:r>
      <w:r w:rsidRPr="007A3223">
        <w:t>-O will be determined and reported along with 80% and 95% two-sided confidence intervals.</w:t>
      </w:r>
    </w:p>
    <w:p w14:paraId="7B1CF2FF" w14:textId="20BA99DE" w:rsidR="00D2520F" w:rsidRPr="007A3223" w:rsidRDefault="00D2520F" w:rsidP="006B6FE9">
      <w:r w:rsidRPr="007A3223">
        <w:t>Patients who are included in the other mCRPC cohort who can have their DNA damage repair pathway mutation status determined may be included as part of this cohort. Thus, depending on how many of the 25 patients in that cohort may be included, as few as 40 additional evaluable patients may need to be enrolled for evaluation in this cohort.</w:t>
      </w:r>
    </w:p>
    <w:p w14:paraId="650FDF10" w14:textId="3002D1A7" w:rsidR="0042188B" w:rsidRPr="007A3223" w:rsidRDefault="0042188B" w:rsidP="006B6FE9"/>
    <w:p w14:paraId="61E3BC97" w14:textId="1B3D5B53" w:rsidR="0024283C" w:rsidRPr="007A3223" w:rsidRDefault="0024283C" w:rsidP="00ED703B">
      <w:pPr>
        <w:pStyle w:val="Heading2"/>
      </w:pPr>
      <w:bookmarkStart w:id="337" w:name="_Toc82444400"/>
      <w:r w:rsidRPr="007A3223">
        <w:t>Phase II colorectal cancer (CRC) Cohort</w:t>
      </w:r>
      <w:r w:rsidR="006E231B" w:rsidRPr="007A3223">
        <w:t xml:space="preserve"> 6</w:t>
      </w:r>
      <w:r w:rsidRPr="007A3223">
        <w:t xml:space="preserve"> (</w:t>
      </w:r>
      <w:r w:rsidR="00237EB1" w:rsidRPr="007A3223">
        <w:t>C+</w:t>
      </w:r>
      <w:r w:rsidR="004E6757">
        <w:rPr>
          <w:lang w:val="en-US"/>
        </w:rPr>
        <w:t>Durvalumab</w:t>
      </w:r>
      <w:r w:rsidRPr="007A3223">
        <w:t xml:space="preserve"> only)</w:t>
      </w:r>
      <w:bookmarkEnd w:id="337"/>
    </w:p>
    <w:p w14:paraId="78C6E45D" w14:textId="4449CB59" w:rsidR="00AB1169" w:rsidRPr="007A3223" w:rsidRDefault="009B0016" w:rsidP="001315B8">
      <w:pPr>
        <w:spacing w:after="0"/>
      </w:pPr>
      <w:r w:rsidRPr="007A3223">
        <w:t xml:space="preserve">After establishment of a safe and tolerable dose for </w:t>
      </w:r>
      <w:r w:rsidR="004E6757">
        <w:t>Durvalumab</w:t>
      </w:r>
      <w:r w:rsidRPr="007A3223">
        <w:t xml:space="preserve">+C, a cohort of N=13 patients with CRC will be enrolled. </w:t>
      </w:r>
      <w:r w:rsidR="00AB1169" w:rsidRPr="007A3223">
        <w:t xml:space="preserve">Based on studies in a similar (refractory) patient population the expected median </w:t>
      </w:r>
      <w:r w:rsidR="0024283C" w:rsidRPr="007A3223">
        <w:t xml:space="preserve">progression free survival (PFS) </w:t>
      </w:r>
      <w:r w:rsidR="00AB1169" w:rsidRPr="007A3223">
        <w:t>is approximately 1.9</w:t>
      </w:r>
      <w:r w:rsidR="0024283C" w:rsidRPr="007A3223">
        <w:t xml:space="preserve"> </w:t>
      </w:r>
      <w:r w:rsidR="00AB1169" w:rsidRPr="007A3223">
        <w:t xml:space="preserve">months. The primary objective of this portion of the trial is to determine in a preliminary fashion whether the use of </w:t>
      </w:r>
      <w:r w:rsidR="00237EB1" w:rsidRPr="007A3223">
        <w:t>C+</w:t>
      </w:r>
      <w:r w:rsidR="004E6757">
        <w:t>Durvalumab</w:t>
      </w:r>
      <w:r w:rsidR="00AB1169" w:rsidRPr="007A3223">
        <w:t xml:space="preserve"> may be able to be associated with improved </w:t>
      </w:r>
      <w:r w:rsidR="0024283C" w:rsidRPr="007A3223">
        <w:t>PFS</w:t>
      </w:r>
      <w:r w:rsidR="0024283C" w:rsidRPr="007A3223" w:rsidDel="0024283C">
        <w:t xml:space="preserve"> </w:t>
      </w:r>
      <w:r w:rsidR="00AB1169" w:rsidRPr="007A3223">
        <w:t xml:space="preserve">in patients with irinotecan-refractory colon cancer compared to that associated with ISIS183750 and irinotecan. </w:t>
      </w:r>
    </w:p>
    <w:p w14:paraId="0133B921" w14:textId="64A8BB1A" w:rsidR="00AB1169" w:rsidRPr="007A3223" w:rsidRDefault="00AB1169" w:rsidP="0024283C">
      <w:pPr>
        <w:spacing w:after="0"/>
      </w:pPr>
      <w:r w:rsidRPr="007A3223">
        <w:t xml:space="preserve">Data from the NCI in patients with irinotecan-refractory </w:t>
      </w:r>
      <w:r w:rsidR="0024283C" w:rsidRPr="007A3223">
        <w:t>CRC</w:t>
      </w:r>
      <w:r w:rsidRPr="007A3223">
        <w:t xml:space="preserve"> treated with ISIS183750 in combination with irinotecan indicated that the expected median PFS of a similar patient population was 1.9 months. The goal is to determine in a preliminary fashion if use of </w:t>
      </w:r>
      <w:r w:rsidR="004E6757">
        <w:t>Durvalumab</w:t>
      </w:r>
      <w:r w:rsidR="00E72786" w:rsidRPr="007A3223">
        <w:t>+</w:t>
      </w:r>
      <w:r w:rsidRPr="007A3223">
        <w:t xml:space="preserve">C in such patients with irinotecan-refractory colon cancer may potentially be able to be associated with an improved PFS from 1.9 months to a level consistent with 5.0 months. With 13 evaluable patients receiving </w:t>
      </w:r>
      <w:r w:rsidR="00237EB1" w:rsidRPr="007A3223">
        <w:t>C+</w:t>
      </w:r>
      <w:r w:rsidR="004E6757">
        <w:t>Durvalumab</w:t>
      </w:r>
      <w:r w:rsidRPr="007A3223">
        <w:t>, assuming accrual would take place over approximately 9 to 12 months, and assuming that there would be at least 4 months of additional potential follow-up after the last patient has received therapy, there would be 80% power to determine whether there is a difference between a 1.9 month median PFS and an improved 5 month median PFS, with a one sided 0.10 alpha level test, using the method of Brookmeyer and Crowley (Brookmeyer R and Crowley, JJ. A confidence interval for the median survival time. Biometrics, 38, 29-41, 1982.). In practice, Kaplan-Meier curves and appropriate confidence intervals at selected time points will be provided to help interpret results relative to the expected results.</w:t>
      </w:r>
      <w:r w:rsidR="0024283C" w:rsidRPr="007A3223">
        <w:t xml:space="preserve"> </w:t>
      </w:r>
      <w:r w:rsidRPr="007A3223">
        <w:t xml:space="preserve">In addition, preliminary estimates of overall survival and of the clinical response rate will also be determined, each reported as being preliminary, secondary results, with appropriate confidence intervals.  Biopsies </w:t>
      </w:r>
      <w:r w:rsidR="0024283C" w:rsidRPr="007A3223">
        <w:t xml:space="preserve">(mandatory pretreatment and optional post-treatment) </w:t>
      </w:r>
      <w:r w:rsidRPr="007A3223">
        <w:t>will also be obtained to determine changes in the levels of correlative parameters. For a given measure, if there are at least</w:t>
      </w:r>
      <w:r w:rsidR="0024283C" w:rsidRPr="007A3223">
        <w:t xml:space="preserve"> </w:t>
      </w:r>
      <w:r w:rsidRPr="007A3223">
        <w:t>10 evaluable patients with determinations at the two time-points, there would be at least 80% power to detect a change equal to one SD of the change (effect size=1.0), using a paired t-test with a 0.05 two-sided significance level. In practice, unless the changes are normally distributed (p&gt;0.05 by a Shapiro-Wilks test), a Wilcoxon signed rank test will be used. The results of the correlative studies will be reported without formal adjustment for multiple comparisons, but in the context of the number of such tests performed.</w:t>
      </w:r>
    </w:p>
    <w:p w14:paraId="5CDF1FB3" w14:textId="381EC91C" w:rsidR="008F5828" w:rsidRPr="007A3223" w:rsidRDefault="00D2699D" w:rsidP="008F5828">
      <w:pPr>
        <w:pStyle w:val="Heading2"/>
      </w:pPr>
      <w:bookmarkStart w:id="338" w:name="_Toc82444401"/>
      <w:r w:rsidRPr="007A3223">
        <w:rPr>
          <w:lang w:val="en-US"/>
        </w:rPr>
        <w:t xml:space="preserve">Phase II </w:t>
      </w:r>
      <w:r w:rsidR="004E6757">
        <w:rPr>
          <w:lang w:val="en-US"/>
        </w:rPr>
        <w:t>Durvalumab</w:t>
      </w:r>
      <w:r w:rsidR="008F5828" w:rsidRPr="007A3223">
        <w:t>+O+C in patients with ovarian cancer</w:t>
      </w:r>
      <w:bookmarkEnd w:id="338"/>
    </w:p>
    <w:p w14:paraId="26D7F3C8" w14:textId="29C3C6D2" w:rsidR="008F5828" w:rsidRPr="007A3223" w:rsidRDefault="008F5828" w:rsidP="008F5828">
      <w:pPr>
        <w:spacing w:after="0"/>
      </w:pPr>
      <w:r w:rsidRPr="007A3223">
        <w:t xml:space="preserve">Effective with amendment M (version date 7/19/2017), patients with ovarian cancer will be enrolled to receive this combination. The primary objective of this cohort will be to estimate the overall response rate in patients with recurrent ovarian cancer. </w:t>
      </w:r>
    </w:p>
    <w:p w14:paraId="0D060EE3" w14:textId="540D2565" w:rsidR="008F5828" w:rsidRPr="007A3223" w:rsidRDefault="008F5828" w:rsidP="008F5828">
      <w:pPr>
        <w:spacing w:after="0"/>
        <w:rPr>
          <w:szCs w:val="24"/>
        </w:rPr>
      </w:pPr>
      <w:r w:rsidRPr="007A3223">
        <w:rPr>
          <w:szCs w:val="24"/>
        </w:rPr>
        <w:t xml:space="preserve">Preliminary results from this trial in patients with ovarian cancer show 2 PRs in 10 patients treated with </w:t>
      </w:r>
      <w:r w:rsidR="004E6757">
        <w:rPr>
          <w:szCs w:val="24"/>
        </w:rPr>
        <w:t>Durvalumab</w:t>
      </w:r>
      <w:r w:rsidRPr="007A3223">
        <w:rPr>
          <w:szCs w:val="24"/>
        </w:rPr>
        <w:t xml:space="preserve">+O and 3 PRs in 7 patients treated with </w:t>
      </w:r>
      <w:r w:rsidR="004E6757">
        <w:rPr>
          <w:szCs w:val="24"/>
        </w:rPr>
        <w:t>Durvalumab</w:t>
      </w:r>
      <w:r w:rsidRPr="007A3223">
        <w:rPr>
          <w:szCs w:val="24"/>
        </w:rPr>
        <w:t xml:space="preserve">+C. It would be desirable if the overall response rate to </w:t>
      </w:r>
      <w:r w:rsidR="004E6757">
        <w:rPr>
          <w:szCs w:val="24"/>
        </w:rPr>
        <w:t>Durvalumab</w:t>
      </w:r>
      <w:r w:rsidRPr="007A3223">
        <w:rPr>
          <w:szCs w:val="24"/>
        </w:rPr>
        <w:t xml:space="preserve">+O+C would demonstrate at least the same overall results or better than the experience with </w:t>
      </w:r>
      <w:r w:rsidR="004E6757">
        <w:rPr>
          <w:szCs w:val="24"/>
        </w:rPr>
        <w:t>Durvalumab</w:t>
      </w:r>
      <w:r w:rsidRPr="007A3223">
        <w:rPr>
          <w:szCs w:val="24"/>
        </w:rPr>
        <w:t xml:space="preserve">plus either agent alone. Recognizing the early nature of the results to date, this arm of the trial will be conducted using an optimal two-stage phase II trial design in order to rule out an unacceptably low PR+CR rate of 20% (p0=020) in favor of an improved response rate of 40% (p1=0.40). With alpha=0.10 (probability of accepting a poor treatment=0.10) and beta = 0.10 (probability of rejecting a good </w:t>
      </w:r>
      <w:r w:rsidRPr="007A3223">
        <w:rPr>
          <w:szCs w:val="24"/>
        </w:rPr>
        <w:lastRenderedPageBreak/>
        <w:t xml:space="preserve">treatment=0.10), </w:t>
      </w:r>
      <w:r w:rsidRPr="007A3223">
        <w:t>t</w:t>
      </w:r>
      <w:r w:rsidRPr="007A3223">
        <w:rPr>
          <w:szCs w:val="24"/>
        </w:rPr>
        <w:t>he first stage will initially enroll 17 evaluable patients, and if 0 to 3 of the 17 have a response, then no further patients will be accrued.</w:t>
      </w:r>
      <w:r w:rsidRPr="007A3223">
        <w:rPr>
          <w:bCs/>
          <w:szCs w:val="24"/>
        </w:rPr>
        <w:t xml:space="preserve"> </w:t>
      </w:r>
      <w:r w:rsidRPr="007A3223">
        <w:rPr>
          <w:szCs w:val="24"/>
        </w:rPr>
        <w:t xml:space="preserve">As it may take several weeks to determine if a patient has experienced a response, a temporary pause in the accrual may be necessary to ensure that enrollment to the second stage is warranted. </w:t>
      </w:r>
      <w:r w:rsidRPr="007A3223">
        <w:rPr>
          <w:bCs/>
          <w:szCs w:val="24"/>
        </w:rPr>
        <w:t>If</w:t>
      </w:r>
      <w:r w:rsidRPr="007A3223">
        <w:rPr>
          <w:szCs w:val="24"/>
        </w:rPr>
        <w:t xml:space="preserve"> 4 or more of the first 17 patients have a response, then accrual would continue until a total of 37 patients have enrolled. If there are 4 to 10 responses in 37 patients, this would be an uninterestingly low response rate. If there were 11 or more responses in 37 patients (29.7%), this may be sufficiently interesting to warrant further study in later trials. Under the null hypothesis (20% response rate), the probability of early termination is 54.9%.   At the conclusion of accrual to this cohort, the patients will have their response rates reported overall, and a separate exploratory analysis according to whether the patients are platinum-sensitive or platinum-resistant may also be undertaken. In all cases, the actual response rates and the associated 95% confidence intervals will be reported.</w:t>
      </w:r>
    </w:p>
    <w:p w14:paraId="3851C57C" w14:textId="77777777" w:rsidR="00BB7A5A" w:rsidRPr="007A3223" w:rsidRDefault="00BB7A5A" w:rsidP="00ED703B">
      <w:pPr>
        <w:pStyle w:val="Heading2"/>
      </w:pPr>
      <w:bookmarkStart w:id="339" w:name="_Toc489625750"/>
      <w:bookmarkStart w:id="340" w:name="_Toc82444402"/>
      <w:bookmarkEnd w:id="339"/>
      <w:r w:rsidRPr="007A3223">
        <w:t>Expected patient enrollment and accrual ceiling</w:t>
      </w:r>
      <w:bookmarkEnd w:id="340"/>
      <w:r w:rsidRPr="007A3223">
        <w:t xml:space="preserve"> </w:t>
      </w:r>
    </w:p>
    <w:p w14:paraId="3552A41E" w14:textId="77777777" w:rsidR="00F80DB9" w:rsidRPr="007A3223" w:rsidRDefault="00BB7A5A" w:rsidP="006570B8">
      <w:pPr>
        <w:rPr>
          <w:bCs/>
        </w:rPr>
      </w:pPr>
      <w:r w:rsidRPr="007A3223">
        <w:t>For Phase I and Phase II OvCa cohort</w:t>
      </w:r>
      <w:r w:rsidR="006E231B" w:rsidRPr="007A3223">
        <w:t xml:space="preserve"> 1</w:t>
      </w:r>
      <w:r w:rsidRPr="007A3223">
        <w:t xml:space="preserve">, it is expected that 24-36 patients per year may enroll onto this trial. Thus, approximately 3-3.5 years may be required in order to enroll up to </w:t>
      </w:r>
      <w:r w:rsidR="008D5172" w:rsidRPr="007A3223">
        <w:t xml:space="preserve">66 </w:t>
      </w:r>
      <w:r w:rsidR="009D4359" w:rsidRPr="007A3223">
        <w:t xml:space="preserve">evaluable </w:t>
      </w:r>
      <w:r w:rsidRPr="007A3223">
        <w:t xml:space="preserve">patients in the phase I portion and </w:t>
      </w:r>
      <w:r w:rsidR="004E1838" w:rsidRPr="007A3223">
        <w:t>to enroll up</w:t>
      </w:r>
      <w:r w:rsidR="00C5794E" w:rsidRPr="007A3223">
        <w:t xml:space="preserve"> </w:t>
      </w:r>
      <w:r w:rsidR="004E1838" w:rsidRPr="007A3223">
        <w:t>to 107</w:t>
      </w:r>
      <w:r w:rsidR="005649C1" w:rsidRPr="007A3223">
        <w:t xml:space="preserve"> </w:t>
      </w:r>
      <w:r w:rsidRPr="007A3223">
        <w:t xml:space="preserve">evaluable patients in the phase II portion, </w:t>
      </w:r>
      <w:r w:rsidRPr="007A3223">
        <w:rPr>
          <w:bCs/>
        </w:rPr>
        <w:t xml:space="preserve">allowing for a small number of inevaluable patients, the accrual ceiling should be set at </w:t>
      </w:r>
      <w:r w:rsidR="005915FA" w:rsidRPr="007A3223">
        <w:rPr>
          <w:bCs/>
        </w:rPr>
        <w:t xml:space="preserve">183 </w:t>
      </w:r>
      <w:r w:rsidRPr="007A3223">
        <w:rPr>
          <w:bCs/>
        </w:rPr>
        <w:t xml:space="preserve">patients.  </w:t>
      </w:r>
    </w:p>
    <w:p w14:paraId="1F22EC95" w14:textId="77777777" w:rsidR="00F80DB9" w:rsidRPr="007A3223" w:rsidRDefault="00F80DB9" w:rsidP="006570B8">
      <w:pPr>
        <w:rPr>
          <w:bCs/>
        </w:rPr>
      </w:pPr>
    </w:p>
    <w:p w14:paraId="31282963" w14:textId="7062793A" w:rsidR="00BB7A5A" w:rsidRPr="007A3223" w:rsidRDefault="0024283C" w:rsidP="006570B8">
      <w:pPr>
        <w:rPr>
          <w:bCs/>
        </w:rPr>
      </w:pPr>
      <w:r w:rsidRPr="007A3223">
        <w:rPr>
          <w:bCs/>
        </w:rPr>
        <w:t>For Phase II TNBC patients</w:t>
      </w:r>
      <w:r w:rsidR="006E231B" w:rsidRPr="007A3223">
        <w:rPr>
          <w:bCs/>
        </w:rPr>
        <w:t xml:space="preserve"> cohort 5</w:t>
      </w:r>
      <w:r w:rsidRPr="007A3223">
        <w:rPr>
          <w:bCs/>
        </w:rPr>
        <w:t>, i</w:t>
      </w:r>
      <w:r w:rsidR="00AB1169" w:rsidRPr="007A3223">
        <w:rPr>
          <w:bCs/>
        </w:rPr>
        <w:t xml:space="preserve">t is expected that approximately </w:t>
      </w:r>
      <w:r w:rsidRPr="007A3223">
        <w:rPr>
          <w:bCs/>
        </w:rPr>
        <w:t>20-24</w:t>
      </w:r>
      <w:r w:rsidR="00AB1169" w:rsidRPr="007A3223">
        <w:rPr>
          <w:bCs/>
        </w:rPr>
        <w:t xml:space="preserve"> patients per </w:t>
      </w:r>
      <w:r w:rsidRPr="007A3223">
        <w:rPr>
          <w:bCs/>
        </w:rPr>
        <w:t>year</w:t>
      </w:r>
      <w:r w:rsidR="00AB1169" w:rsidRPr="007A3223">
        <w:rPr>
          <w:bCs/>
        </w:rPr>
        <w:t xml:space="preserve"> may enroll on this trial; thus it is anticipated that approximately one and half years may be required for accrual of up to 35 evaluable patients, approximately 25 patients with BRCAwt and approximately 10 patients with BRCAwt. In order to allow for a small number of non-evaluable patients, the accrual ceiling will be set at 38.</w:t>
      </w:r>
    </w:p>
    <w:p w14:paraId="273B6E12" w14:textId="39FC5AD8" w:rsidR="00F80DB9" w:rsidRPr="007A3223" w:rsidRDefault="00BB7A5A" w:rsidP="00F80DB9">
      <w:r w:rsidRPr="007A3223">
        <w:t>To conduct this Phase II pilot portion of the trial in all three lung cancer arms</w:t>
      </w:r>
      <w:r w:rsidR="006E231B" w:rsidRPr="007A3223">
        <w:t xml:space="preserve"> (cohorts 2 and 3)</w:t>
      </w:r>
      <w:r w:rsidRPr="007A3223">
        <w:t>, a total of up to 37+33=</w:t>
      </w:r>
      <w:r w:rsidR="00AF5738" w:rsidRPr="007A3223">
        <w:t>70</w:t>
      </w:r>
      <w:r w:rsidRPr="007A3223">
        <w:t xml:space="preserve"> patients may be required. Based upon current accrual rates it is anticipated that all three cohorts can complete accrual in less than 2 years. In order to allow for a small number of inevaluable patients, the accrual ceiling for this portion of the trial will be set at </w:t>
      </w:r>
      <w:r w:rsidR="00DD2B37" w:rsidRPr="007A3223">
        <w:t>78</w:t>
      </w:r>
      <w:r w:rsidRPr="007A3223">
        <w:t>.</w:t>
      </w:r>
    </w:p>
    <w:p w14:paraId="649744CD" w14:textId="56DBD958" w:rsidR="0024283C" w:rsidRPr="007A3223" w:rsidRDefault="00BB7A5A" w:rsidP="006570B8">
      <w:r w:rsidRPr="007A3223">
        <w:t xml:space="preserve">For Phase II </w:t>
      </w:r>
      <w:r w:rsidR="00842D5F" w:rsidRPr="007A3223">
        <w:t>mCRPC</w:t>
      </w:r>
      <w:r w:rsidRPr="007A3223">
        <w:t xml:space="preserve"> cohort</w:t>
      </w:r>
      <w:r w:rsidR="006E231B" w:rsidRPr="007A3223">
        <w:t xml:space="preserve"> 4</w:t>
      </w:r>
      <w:r w:rsidRPr="007A3223">
        <w:t xml:space="preserve">, </w:t>
      </w:r>
      <w:r w:rsidR="0005770D" w:rsidRPr="007A3223">
        <w:t xml:space="preserve">it is expected that approximately 1-2 patients per month may enroll onto this cohort in the trial. Thus, it is expected that 3 - 5 years may be required to enroll up to 65 evaluable patients. To allow for a small number of inevaluable patients, the accrual ceiling for this cohort will be set at 70 patients. </w:t>
      </w:r>
    </w:p>
    <w:p w14:paraId="5F1AA23B" w14:textId="4AA46FA1" w:rsidR="00F80DB9" w:rsidRPr="007A3223" w:rsidRDefault="0024283C" w:rsidP="00F80DB9">
      <w:r w:rsidRPr="007A3223">
        <w:t>For Phase II CRC cohort</w:t>
      </w:r>
      <w:r w:rsidR="006E231B" w:rsidRPr="007A3223">
        <w:t xml:space="preserve"> 6</w:t>
      </w:r>
      <w:r w:rsidRPr="007A3223">
        <w:t>, in order to enroll 13 evaluable CRC patients, the accrual ceiling for this portion of the trial will be set at 15 patients; it is anticipated that all patients for this cohort will be accrued within one year.</w:t>
      </w:r>
      <w:r w:rsidR="00F80DB9" w:rsidRPr="007A3223">
        <w:t xml:space="preserve"> </w:t>
      </w:r>
    </w:p>
    <w:p w14:paraId="318AAC63" w14:textId="66DD7842" w:rsidR="00BB7A5A" w:rsidRPr="007A3223" w:rsidRDefault="00BB7A5A" w:rsidP="00206319">
      <w:r w:rsidRPr="007A3223">
        <w:t>In order to enroll patients o</w:t>
      </w:r>
      <w:r w:rsidR="005C59D3" w:rsidRPr="007A3223">
        <w:t>f</w:t>
      </w:r>
      <w:r w:rsidRPr="007A3223">
        <w:t xml:space="preserve"> all </w:t>
      </w:r>
      <w:r w:rsidR="0024283C" w:rsidRPr="007A3223">
        <w:t>six disease types</w:t>
      </w:r>
      <w:r w:rsidR="006E231B" w:rsidRPr="007A3223">
        <w:t xml:space="preserve"> (cohorts 1-6)</w:t>
      </w:r>
      <w:r w:rsidRPr="007A3223">
        <w:t xml:space="preserve"> </w:t>
      </w:r>
      <w:r w:rsidR="005C59D3" w:rsidRPr="007A3223">
        <w:t>and the</w:t>
      </w:r>
      <w:r w:rsidRPr="007A3223">
        <w:t xml:space="preserve"> </w:t>
      </w:r>
      <w:r w:rsidR="001978BF" w:rsidRPr="007A3223">
        <w:t>four</w:t>
      </w:r>
      <w:r w:rsidRPr="007A3223">
        <w:t xml:space="preserve"> treatment arms (</w:t>
      </w:r>
      <w:r w:rsidR="004E6757">
        <w:t>Durvalumab</w:t>
      </w:r>
      <w:r w:rsidR="00E72786" w:rsidRPr="007A3223">
        <w:t>+</w:t>
      </w:r>
      <w:r w:rsidRPr="007A3223">
        <w:t>O</w:t>
      </w:r>
      <w:r w:rsidR="008C1FF0" w:rsidRPr="007A3223">
        <w:t>,</w:t>
      </w:r>
      <w:r w:rsidRPr="007A3223">
        <w:t xml:space="preserve">  </w:t>
      </w:r>
      <w:r w:rsidR="004E6757">
        <w:t>Durvalumab</w:t>
      </w:r>
      <w:r w:rsidR="00E72786" w:rsidRPr="007A3223">
        <w:t>+</w:t>
      </w:r>
      <w:r w:rsidRPr="007A3223">
        <w:t>C</w:t>
      </w:r>
      <w:r w:rsidR="008C1FF0" w:rsidRPr="007A3223">
        <w:t>,</w:t>
      </w:r>
      <w:r w:rsidR="003F5884" w:rsidRPr="007A3223">
        <w:t xml:space="preserve"> C+</w:t>
      </w:r>
      <w:r w:rsidR="004E6757">
        <w:t>Durvalumab</w:t>
      </w:r>
      <w:r w:rsidR="008C1FF0" w:rsidRPr="007A3223">
        <w:t xml:space="preserve"> and </w:t>
      </w:r>
      <w:r w:rsidR="004E6757">
        <w:t>Durvalumab</w:t>
      </w:r>
      <w:r w:rsidR="008C1FF0" w:rsidRPr="007A3223">
        <w:t>+</w:t>
      </w:r>
      <w:r w:rsidR="00062CC7" w:rsidRPr="007A3223">
        <w:t>O</w:t>
      </w:r>
      <w:r w:rsidR="008C1FF0" w:rsidRPr="007A3223">
        <w:t>+C</w:t>
      </w:r>
      <w:r w:rsidRPr="007A3223">
        <w:t>)</w:t>
      </w:r>
      <w:r w:rsidR="008C1FF0" w:rsidRPr="007A3223">
        <w:t xml:space="preserve"> </w:t>
      </w:r>
      <w:r w:rsidR="005C59D3" w:rsidRPr="007A3223">
        <w:t xml:space="preserve">as described above </w:t>
      </w:r>
      <w:r w:rsidR="008C1FF0" w:rsidRPr="007A3223">
        <w:t>for the Phase I and II portions of the trial</w:t>
      </w:r>
      <w:r w:rsidRPr="007A3223">
        <w:t xml:space="preserve">, the </w:t>
      </w:r>
      <w:r w:rsidR="008C1FF0" w:rsidRPr="007A3223">
        <w:t xml:space="preserve">overall </w:t>
      </w:r>
      <w:r w:rsidRPr="007A3223">
        <w:t xml:space="preserve">accrual ceiling will be set at </w:t>
      </w:r>
      <w:r w:rsidR="00AF5738" w:rsidRPr="007A3223">
        <w:t>384</w:t>
      </w:r>
      <w:r w:rsidRPr="007A3223">
        <w:t xml:space="preserve"> patients. </w:t>
      </w:r>
    </w:p>
    <w:p w14:paraId="34F37246" w14:textId="77777777" w:rsidR="00C766D2" w:rsidRPr="007A3223" w:rsidRDefault="00356E4A" w:rsidP="00C766D2">
      <w:r w:rsidRPr="007A3223">
        <w:t xml:space="preserve">Effective with Amendment O (version date 7/25/2018), </w:t>
      </w:r>
    </w:p>
    <w:p w14:paraId="3C4DA52E" w14:textId="595B5DC2" w:rsidR="00C766D2" w:rsidRPr="007A3223" w:rsidRDefault="00882B40" w:rsidP="00FB66BA">
      <w:pPr>
        <w:pStyle w:val="ListParagraph"/>
        <w:numPr>
          <w:ilvl w:val="0"/>
          <w:numId w:val="45"/>
        </w:numPr>
      </w:pPr>
      <w:r w:rsidRPr="007A3223">
        <w:rPr>
          <w:lang w:val="en-US"/>
        </w:rPr>
        <w:lastRenderedPageBreak/>
        <w:t xml:space="preserve">Phase II </w:t>
      </w:r>
      <w:r w:rsidR="004E6757">
        <w:rPr>
          <w:lang w:val="en-US"/>
        </w:rPr>
        <w:t>Durvalumab</w:t>
      </w:r>
      <w:r w:rsidR="00C766D2" w:rsidRPr="007A3223">
        <w:t>+O</w:t>
      </w:r>
      <w:r w:rsidR="003324BC" w:rsidRPr="007A3223">
        <w:t xml:space="preserve"> Ovarian cancer cohort </w:t>
      </w:r>
      <w:r w:rsidR="003324BC" w:rsidRPr="007A3223">
        <w:rPr>
          <w:lang w:val="en-US"/>
        </w:rPr>
        <w:t>was</w:t>
      </w:r>
      <w:r w:rsidR="00C766D2" w:rsidRPr="007A3223">
        <w:t xml:space="preserve"> closed due to completed enrollment.</w:t>
      </w:r>
    </w:p>
    <w:p w14:paraId="397F87F7" w14:textId="2128B6E4" w:rsidR="00C766D2" w:rsidRPr="007A3223" w:rsidRDefault="00882B40" w:rsidP="00FB66BA">
      <w:pPr>
        <w:pStyle w:val="ListParagraph"/>
        <w:numPr>
          <w:ilvl w:val="0"/>
          <w:numId w:val="45"/>
        </w:numPr>
      </w:pPr>
      <w:r w:rsidRPr="007A3223">
        <w:rPr>
          <w:lang w:val="en-US"/>
        </w:rPr>
        <w:t xml:space="preserve">Phase II </w:t>
      </w:r>
      <w:r w:rsidR="004E6757">
        <w:rPr>
          <w:lang w:val="en-US"/>
        </w:rPr>
        <w:t>Durvalumab</w:t>
      </w:r>
      <w:r w:rsidR="00C766D2" w:rsidRPr="007A3223">
        <w:rPr>
          <w:lang w:val="en-US"/>
        </w:rPr>
        <w:t>+O</w:t>
      </w:r>
      <w:r w:rsidR="00C766D2" w:rsidRPr="007A3223">
        <w:t xml:space="preserve"> Small cell lung cancer cohort</w:t>
      </w:r>
      <w:r w:rsidR="003324BC" w:rsidRPr="007A3223">
        <w:rPr>
          <w:lang w:val="en-US"/>
        </w:rPr>
        <w:t xml:space="preserve"> was</w:t>
      </w:r>
      <w:r w:rsidR="00C766D2" w:rsidRPr="007A3223">
        <w:t xml:space="preserve"> closed due to completed enrollment</w:t>
      </w:r>
      <w:r w:rsidR="00C766D2" w:rsidRPr="007A3223">
        <w:rPr>
          <w:lang w:val="en-US"/>
        </w:rPr>
        <w:t>.</w:t>
      </w:r>
    </w:p>
    <w:p w14:paraId="08882166" w14:textId="54DD662D" w:rsidR="00C766D2" w:rsidRPr="007A3223" w:rsidRDefault="00882B40" w:rsidP="00FB66BA">
      <w:pPr>
        <w:pStyle w:val="ListParagraph"/>
        <w:numPr>
          <w:ilvl w:val="0"/>
          <w:numId w:val="45"/>
        </w:numPr>
      </w:pPr>
      <w:r w:rsidRPr="007A3223">
        <w:rPr>
          <w:lang w:val="en-US"/>
        </w:rPr>
        <w:t xml:space="preserve">Phase II </w:t>
      </w:r>
      <w:r w:rsidR="004E6757">
        <w:rPr>
          <w:lang w:val="en-US"/>
        </w:rPr>
        <w:t>Durvalumab</w:t>
      </w:r>
      <w:r w:rsidR="00C766D2" w:rsidRPr="007A3223">
        <w:t>+C Non-small cell lung cancer cohort</w:t>
      </w:r>
      <w:r w:rsidR="003324BC" w:rsidRPr="007A3223">
        <w:rPr>
          <w:lang w:val="en-US"/>
        </w:rPr>
        <w:t xml:space="preserve"> was</w:t>
      </w:r>
      <w:r w:rsidR="00C766D2" w:rsidRPr="007A3223">
        <w:t xml:space="preserve"> closed due to slow accrual.</w:t>
      </w:r>
      <w:r w:rsidR="00C766D2" w:rsidRPr="007A3223">
        <w:rPr>
          <w:lang w:val="en-US"/>
        </w:rPr>
        <w:t xml:space="preserve"> No patient</w:t>
      </w:r>
      <w:r w:rsidR="00880C77" w:rsidRPr="007A3223">
        <w:rPr>
          <w:lang w:val="en-US"/>
        </w:rPr>
        <w:t>s</w:t>
      </w:r>
      <w:r w:rsidRPr="007A3223">
        <w:rPr>
          <w:lang w:val="en-US"/>
        </w:rPr>
        <w:t xml:space="preserve"> </w:t>
      </w:r>
      <w:r w:rsidR="00C766D2" w:rsidRPr="007A3223">
        <w:rPr>
          <w:lang w:val="en-US"/>
        </w:rPr>
        <w:t xml:space="preserve">enrolled </w:t>
      </w:r>
      <w:r w:rsidRPr="007A3223">
        <w:rPr>
          <w:lang w:val="en-US"/>
        </w:rPr>
        <w:t>on</w:t>
      </w:r>
      <w:r w:rsidR="00C766D2" w:rsidRPr="007A3223">
        <w:rPr>
          <w:lang w:val="en-US"/>
        </w:rPr>
        <w:t xml:space="preserve"> this </w:t>
      </w:r>
      <w:r w:rsidR="004E6757">
        <w:rPr>
          <w:lang w:val="en-US"/>
        </w:rPr>
        <w:t>Durvalumab</w:t>
      </w:r>
      <w:r w:rsidR="00C766D2" w:rsidRPr="007A3223">
        <w:rPr>
          <w:lang w:val="en-US"/>
        </w:rPr>
        <w:t xml:space="preserve">+C arm. </w:t>
      </w:r>
    </w:p>
    <w:p w14:paraId="7928C797" w14:textId="4CA5A271" w:rsidR="00356E4A" w:rsidRPr="007A3223" w:rsidRDefault="00882B40" w:rsidP="00FB66BA">
      <w:pPr>
        <w:pStyle w:val="ListParagraph"/>
        <w:numPr>
          <w:ilvl w:val="0"/>
          <w:numId w:val="45"/>
        </w:numPr>
      </w:pPr>
      <w:r w:rsidRPr="007A3223">
        <w:rPr>
          <w:lang w:val="en-US"/>
        </w:rPr>
        <w:t xml:space="preserve">Phase II </w:t>
      </w:r>
      <w:r w:rsidR="004E6757">
        <w:rPr>
          <w:lang w:val="en-US"/>
        </w:rPr>
        <w:t>Durvalumab</w:t>
      </w:r>
      <w:r w:rsidRPr="007A3223">
        <w:rPr>
          <w:lang w:val="en-US"/>
        </w:rPr>
        <w:t>+C</w:t>
      </w:r>
      <w:r w:rsidR="00C766D2" w:rsidRPr="007A3223">
        <w:t xml:space="preserve"> CRC cohort </w:t>
      </w:r>
      <w:r w:rsidR="003324BC" w:rsidRPr="007A3223">
        <w:rPr>
          <w:lang w:val="en-US"/>
        </w:rPr>
        <w:t>was</w:t>
      </w:r>
      <w:r w:rsidR="00C766D2" w:rsidRPr="007A3223">
        <w:t xml:space="preserve"> closed due to completed enrollment. </w:t>
      </w:r>
    </w:p>
    <w:p w14:paraId="30DD3A88" w14:textId="77777777" w:rsidR="00356E4A" w:rsidRPr="007A3223" w:rsidRDefault="00356E4A" w:rsidP="00206319"/>
    <w:p w14:paraId="27205CE7" w14:textId="77777777" w:rsidR="006E0CC3" w:rsidRPr="007A3223" w:rsidRDefault="006E0CC3" w:rsidP="00D20197">
      <w:pPr>
        <w:pStyle w:val="Heading1"/>
        <w:rPr>
          <w:rFonts w:hint="eastAsia"/>
        </w:rPr>
      </w:pPr>
      <w:bookmarkStart w:id="341" w:name="_Toc489625752"/>
      <w:bookmarkStart w:id="342" w:name="_Toc405293542"/>
      <w:bookmarkStart w:id="343" w:name="_Toc82444403"/>
      <w:bookmarkEnd w:id="341"/>
      <w:r w:rsidRPr="007A3223">
        <w:t>COLLABORATIVE AGREEMENTS</w:t>
      </w:r>
      <w:bookmarkEnd w:id="342"/>
      <w:bookmarkEnd w:id="343"/>
    </w:p>
    <w:p w14:paraId="1F98D7FF" w14:textId="09559794" w:rsidR="006E0CC3" w:rsidRPr="007A3223" w:rsidRDefault="006E0CC3" w:rsidP="006E0CC3">
      <w:r w:rsidRPr="007A3223">
        <w:t xml:space="preserve">The study agents, </w:t>
      </w:r>
      <w:r w:rsidR="00AB1C3A">
        <w:t>Durvalumab</w:t>
      </w:r>
      <w:r w:rsidRPr="007A3223">
        <w:t xml:space="preserve">, olaparib and cediranib will be provided under an umbrella CRADA </w:t>
      </w:r>
      <w:r w:rsidR="00500872" w:rsidRPr="007A3223">
        <w:t xml:space="preserve">(#2299) </w:t>
      </w:r>
      <w:r w:rsidR="00943573" w:rsidRPr="007A3223">
        <w:t>executed</w:t>
      </w:r>
      <w:r w:rsidRPr="007A3223">
        <w:t xml:space="preserve"> between the manufacturers (AstraZeneca and MedImmune) and the Women’s Malignanc</w:t>
      </w:r>
      <w:r w:rsidR="003837B6" w:rsidRPr="007A3223">
        <w:t>ies</w:t>
      </w:r>
      <w:r w:rsidRPr="007A3223">
        <w:t xml:space="preserve"> Branch, Center for Cancer Research, National Cancer Institute.</w:t>
      </w:r>
    </w:p>
    <w:p w14:paraId="45A30F74" w14:textId="77777777" w:rsidR="00057ADE" w:rsidRPr="007A3223" w:rsidRDefault="00057ADE" w:rsidP="006E0CC3">
      <w:pPr>
        <w:rPr>
          <w:bCs/>
        </w:rPr>
      </w:pPr>
      <w:bookmarkStart w:id="344" w:name="_Ref421525621"/>
      <w:r w:rsidRPr="007A3223">
        <w:rPr>
          <w:bCs/>
        </w:rPr>
        <w:t xml:space="preserve">A Sample Transfer Agreement with the </w:t>
      </w:r>
      <w:r w:rsidR="003550E2" w:rsidRPr="007A3223">
        <w:rPr>
          <w:bCs/>
        </w:rPr>
        <w:t xml:space="preserve">designated collaborating institution </w:t>
      </w:r>
      <w:r w:rsidRPr="007A3223">
        <w:rPr>
          <w:bCs/>
        </w:rPr>
        <w:t>will be executed prior to the shipment of any samples from NCI to the collaborator(s) for the purpose of biomarker, correlative, and/or special studies</w:t>
      </w:r>
      <w:r w:rsidR="005F770D" w:rsidRPr="007A3223">
        <w:rPr>
          <w:bCs/>
        </w:rPr>
        <w:t xml:space="preserve"> (effective with the Phase II portion of the trial)</w:t>
      </w:r>
      <w:r w:rsidRPr="007A3223">
        <w:rPr>
          <w:bCs/>
        </w:rPr>
        <w:t>.</w:t>
      </w:r>
      <w:bookmarkEnd w:id="344"/>
      <w:r w:rsidRPr="007A3223">
        <w:rPr>
          <w:bCs/>
        </w:rPr>
        <w:t xml:space="preserve"> </w:t>
      </w:r>
    </w:p>
    <w:p w14:paraId="386B8E38" w14:textId="77777777" w:rsidR="006D54FD" w:rsidRPr="007A3223" w:rsidRDefault="006D54FD" w:rsidP="006E0CC3">
      <w:pPr>
        <w:rPr>
          <w:bCs/>
        </w:rPr>
      </w:pPr>
    </w:p>
    <w:p w14:paraId="31320E8E" w14:textId="77777777" w:rsidR="00EE484C" w:rsidRPr="007A3223" w:rsidRDefault="00EE484C" w:rsidP="00D20197">
      <w:pPr>
        <w:pStyle w:val="Heading1"/>
        <w:rPr>
          <w:rFonts w:hint="eastAsia"/>
        </w:rPr>
      </w:pPr>
      <w:bookmarkStart w:id="345" w:name="_Toc489625754"/>
      <w:bookmarkStart w:id="346" w:name="_Toc82444404"/>
      <w:bookmarkEnd w:id="345"/>
      <w:r w:rsidRPr="007A3223">
        <w:t>HUMAN SUBJECTS PROTECTIONS</w:t>
      </w:r>
      <w:bookmarkEnd w:id="346"/>
      <w:r w:rsidRPr="007A3223">
        <w:t xml:space="preserve"> </w:t>
      </w:r>
    </w:p>
    <w:p w14:paraId="68653925" w14:textId="77777777" w:rsidR="00EE484C" w:rsidRPr="007A3223" w:rsidRDefault="00EE484C" w:rsidP="00ED703B">
      <w:pPr>
        <w:pStyle w:val="Heading2"/>
      </w:pPr>
      <w:bookmarkStart w:id="347" w:name="_Toc405293122"/>
      <w:bookmarkStart w:id="348" w:name="_Toc405293544"/>
      <w:bookmarkStart w:id="349" w:name="_Toc82444405"/>
      <w:bookmarkEnd w:id="347"/>
      <w:bookmarkEnd w:id="348"/>
      <w:r w:rsidRPr="007A3223">
        <w:t>Rationale For Subject Selection</w:t>
      </w:r>
      <w:bookmarkEnd w:id="349"/>
    </w:p>
    <w:p w14:paraId="0E4E3F4C" w14:textId="77777777" w:rsidR="00EE484C" w:rsidRPr="007A3223" w:rsidRDefault="00EE484C" w:rsidP="00EE484C">
      <w:pPr>
        <w:spacing w:after="0"/>
        <w:rPr>
          <w:i/>
          <w:color w:val="000000"/>
          <w:szCs w:val="24"/>
        </w:rPr>
      </w:pPr>
      <w:r w:rsidRPr="007A3223">
        <w:rPr>
          <w:szCs w:val="24"/>
        </w:rPr>
        <w:t>Subjects from all racial and ethnic groups are eligible for this trial if they meet the eligibility criteria.  Efforts will be made to extend the accrual to a representative population.  If differences in outcome that correlate to racial or ethnic identity are noted, accrual may be expanded or additional studies may be performed to investigate those differences more fully.</w:t>
      </w:r>
    </w:p>
    <w:p w14:paraId="6ADF0DF0" w14:textId="77777777" w:rsidR="00EE484C" w:rsidRPr="007A3223" w:rsidRDefault="00EE484C" w:rsidP="00ED703B">
      <w:pPr>
        <w:pStyle w:val="Heading2"/>
      </w:pPr>
      <w:bookmarkStart w:id="350" w:name="_Toc82444406"/>
      <w:r w:rsidRPr="007A3223">
        <w:t>Participation of Children</w:t>
      </w:r>
      <w:bookmarkEnd w:id="350"/>
    </w:p>
    <w:p w14:paraId="0A26AD65" w14:textId="33A4CA07" w:rsidR="00EE484C" w:rsidRPr="007A3223" w:rsidRDefault="00EE484C" w:rsidP="00EE484C">
      <w:pPr>
        <w:spacing w:after="0"/>
        <w:rPr>
          <w:szCs w:val="24"/>
        </w:rPr>
      </w:pPr>
      <w:r w:rsidRPr="007A3223">
        <w:rPr>
          <w:szCs w:val="24"/>
        </w:rPr>
        <w:t xml:space="preserve">The age group for enrollment on this trial is 18 or more years of age.  Because no dosing or adverse event data are currently available on the use of </w:t>
      </w:r>
      <w:r w:rsidR="00AB1C3A">
        <w:rPr>
          <w:szCs w:val="24"/>
        </w:rPr>
        <w:t>Durvalumab</w:t>
      </w:r>
      <w:r w:rsidR="001E4538" w:rsidRPr="007A3223">
        <w:rPr>
          <w:szCs w:val="24"/>
        </w:rPr>
        <w:t xml:space="preserve">, </w:t>
      </w:r>
      <w:r w:rsidRPr="007A3223">
        <w:rPr>
          <w:szCs w:val="24"/>
        </w:rPr>
        <w:t>cediranib or olaparib in participants &lt;</w:t>
      </w:r>
      <w:r w:rsidR="00F269EF" w:rsidRPr="007A3223">
        <w:rPr>
          <w:szCs w:val="24"/>
        </w:rPr>
        <w:t xml:space="preserve"> </w:t>
      </w:r>
      <w:r w:rsidRPr="007A3223">
        <w:rPr>
          <w:szCs w:val="24"/>
        </w:rPr>
        <w:t xml:space="preserve">18 years of age, children are excluded from this study. </w:t>
      </w:r>
    </w:p>
    <w:p w14:paraId="04A4A570" w14:textId="77777777" w:rsidR="0081732D" w:rsidRPr="008D6881" w:rsidRDefault="0081732D" w:rsidP="008D6881">
      <w:pPr>
        <w:pStyle w:val="Heading2"/>
      </w:pPr>
      <w:bookmarkStart w:id="351" w:name="_Ref468091895"/>
      <w:bookmarkStart w:id="352" w:name="_Toc468112407"/>
      <w:bookmarkStart w:id="353" w:name="_Toc82444407"/>
      <w:r w:rsidRPr="008D6881">
        <w:t>Participation of Subjects Unable to Give Consent</w:t>
      </w:r>
      <w:bookmarkEnd w:id="351"/>
      <w:bookmarkEnd w:id="352"/>
      <w:bookmarkEnd w:id="353"/>
    </w:p>
    <w:p w14:paraId="6CF84C40" w14:textId="77777777" w:rsidR="008D6881" w:rsidRDefault="0081732D" w:rsidP="00EE484C">
      <w:pPr>
        <w:spacing w:after="0"/>
        <w:rPr>
          <w:szCs w:val="24"/>
        </w:rPr>
      </w:pPr>
      <w:r w:rsidRPr="007A3223">
        <w:rPr>
          <w:szCs w:val="24"/>
        </w:rPr>
        <w:t xml:space="preserve">Adults unable to give consent are excluded from enrolling in the protocol.  However re-consent may be necessary and there is a possibility, though unlikely, that subjects could become decisionally impaired. For this reason and because there is a prospect of direct benefit from research participation (section </w:t>
      </w:r>
      <w:r w:rsidR="0030649A" w:rsidRPr="00F33908">
        <w:rPr>
          <w:b/>
          <w:color w:val="0000FF"/>
          <w:szCs w:val="24"/>
        </w:rPr>
        <w:fldChar w:fldCharType="begin"/>
      </w:r>
      <w:r w:rsidR="0030649A" w:rsidRPr="007A3223">
        <w:rPr>
          <w:b/>
          <w:color w:val="0000FF"/>
          <w:szCs w:val="24"/>
        </w:rPr>
        <w:instrText xml:space="preserve"> REF _Ref472083418 \r \h  \* MERGEFORMAT </w:instrText>
      </w:r>
      <w:r w:rsidR="0030649A" w:rsidRPr="00F33908">
        <w:rPr>
          <w:b/>
          <w:color w:val="0000FF"/>
          <w:szCs w:val="24"/>
        </w:rPr>
      </w:r>
      <w:r w:rsidR="0030649A" w:rsidRPr="00F33908">
        <w:rPr>
          <w:b/>
          <w:color w:val="0000FF"/>
          <w:szCs w:val="24"/>
        </w:rPr>
        <w:fldChar w:fldCharType="separate"/>
      </w:r>
      <w:r w:rsidR="00E47ACA">
        <w:rPr>
          <w:b/>
          <w:color w:val="0000FF"/>
          <w:szCs w:val="24"/>
        </w:rPr>
        <w:t>13.4</w:t>
      </w:r>
      <w:r w:rsidR="0030649A" w:rsidRPr="00F33908">
        <w:rPr>
          <w:b/>
          <w:color w:val="0000FF"/>
          <w:szCs w:val="24"/>
        </w:rPr>
        <w:fldChar w:fldCharType="end"/>
      </w:r>
      <w:r w:rsidRPr="007A3223">
        <w:rPr>
          <w:rFonts w:hint="eastAsia"/>
          <w:szCs w:val="24"/>
        </w:rPr>
        <w:t xml:space="preserve">), all subjects </w:t>
      </w:r>
      <w:r w:rsidRPr="00F33908">
        <w:rPr>
          <w:rFonts w:hint="eastAsia"/>
          <w:szCs w:val="24"/>
        </w:rPr>
        <w:t>≥</w:t>
      </w:r>
      <w:r w:rsidRPr="007A3223">
        <w:rPr>
          <w:szCs w:val="24"/>
        </w:rPr>
        <w:t xml:space="preserve"> age 18 will be offered the opportunity to fill in their wishes for research and care, and assign a substitute decision maker on the </w:t>
      </w:r>
      <w:r w:rsidRPr="007A3223">
        <w:rPr>
          <w:rFonts w:hint="eastAsia"/>
          <w:szCs w:val="24"/>
        </w:rPr>
        <w:t>“</w:t>
      </w:r>
      <w:r w:rsidRPr="007A3223">
        <w:rPr>
          <w:szCs w:val="24"/>
        </w:rPr>
        <w:t>NIH Advance Directive for Health Care and Medical Research Participation” form so that another person can make decisions about their medical care in the event that they become incapacitated or cognitively impaired during the course of the study.</w:t>
      </w:r>
    </w:p>
    <w:p w14:paraId="59F39606" w14:textId="0A2E34AC" w:rsidR="006637E3" w:rsidRPr="007A3223" w:rsidRDefault="0081732D" w:rsidP="00EE484C">
      <w:pPr>
        <w:spacing w:after="0"/>
        <w:rPr>
          <w:szCs w:val="24"/>
        </w:rPr>
      </w:pPr>
      <w:r w:rsidRPr="007A3223">
        <w:rPr>
          <w:szCs w:val="24"/>
        </w:rPr>
        <w:t>Note: The PI or AI will contact the NIH Ability to Consent Assessment Team</w:t>
      </w:r>
      <w:r w:rsidR="009D3623" w:rsidRPr="007A3223">
        <w:rPr>
          <w:szCs w:val="24"/>
        </w:rPr>
        <w:t xml:space="preserve"> </w:t>
      </w:r>
      <w:r w:rsidR="009D3623" w:rsidRPr="007A3223">
        <w:rPr>
          <w:rFonts w:eastAsia="Calibri"/>
          <w:szCs w:val="24"/>
        </w:rPr>
        <w:t>(ACAT)</w:t>
      </w:r>
      <w:r w:rsidRPr="007A3223">
        <w:rPr>
          <w:szCs w:val="24"/>
        </w:rPr>
        <w:t xml:space="preserve"> for evaluation</w:t>
      </w:r>
      <w:r w:rsidR="00E313CD" w:rsidRPr="007A3223">
        <w:rPr>
          <w:rFonts w:eastAsia="Calibri"/>
        </w:rPr>
        <w:t xml:space="preserve"> </w:t>
      </w:r>
      <w:r w:rsidR="008D6881" w:rsidRPr="008D6881">
        <w:rPr>
          <w:rFonts w:eastAsia="Calibri"/>
          <w:szCs w:val="24"/>
        </w:rPr>
        <w:t xml:space="preserve">to assess </w:t>
      </w:r>
      <w:r w:rsidR="008D6881" w:rsidRPr="008D6881">
        <w:rPr>
          <w:rFonts w:eastAsia="Calibri"/>
        </w:rPr>
        <w:t xml:space="preserve">ongoing capacity of the subjects and to identify an LAR, </w:t>
      </w:r>
      <w:r w:rsidR="00E313CD" w:rsidRPr="007A3223">
        <w:rPr>
          <w:rFonts w:eastAsia="Calibri"/>
        </w:rPr>
        <w:t>as needed</w:t>
      </w:r>
      <w:r w:rsidR="008D6881">
        <w:rPr>
          <w:rFonts w:eastAsia="Calibri"/>
        </w:rPr>
        <w:t>.</w:t>
      </w:r>
      <w:r w:rsidR="00E313CD" w:rsidRPr="007A3223">
        <w:rPr>
          <w:rFonts w:eastAsia="Calibri"/>
        </w:rPr>
        <w:t xml:space="preserve"> </w:t>
      </w:r>
      <w:r w:rsidR="006637E3" w:rsidRPr="006637E3">
        <w:rPr>
          <w:rFonts w:eastAsia="Calibri"/>
        </w:rPr>
        <w:t xml:space="preserve">Please see section </w:t>
      </w:r>
      <w:r w:rsidR="00CE08D1" w:rsidRPr="00CE08D1">
        <w:rPr>
          <w:rFonts w:eastAsia="SimSun" w:cs="Arial"/>
          <w:b/>
          <w:color w:val="0000FF"/>
          <w:szCs w:val="24"/>
        </w:rPr>
        <w:fldChar w:fldCharType="begin"/>
      </w:r>
      <w:r w:rsidR="00CE08D1" w:rsidRPr="00CE08D1">
        <w:rPr>
          <w:rFonts w:eastAsia="Calibri"/>
          <w:b/>
          <w:color w:val="0000FF"/>
        </w:rPr>
        <w:instrText xml:space="preserve"> REF _Ref55200664 \n \h </w:instrText>
      </w:r>
      <w:r w:rsidR="00CE08D1" w:rsidRPr="00CE08D1">
        <w:rPr>
          <w:rFonts w:eastAsia="SimSun" w:cs="Arial"/>
          <w:b/>
          <w:color w:val="0000FF"/>
          <w:szCs w:val="24"/>
        </w:rPr>
        <w:instrText xml:space="preserve"> \* MERGEFORMAT </w:instrText>
      </w:r>
      <w:r w:rsidR="00CE08D1" w:rsidRPr="00CE08D1">
        <w:rPr>
          <w:rFonts w:eastAsia="SimSun" w:cs="Arial"/>
          <w:b/>
          <w:color w:val="0000FF"/>
          <w:szCs w:val="24"/>
        </w:rPr>
      </w:r>
      <w:r w:rsidR="00CE08D1" w:rsidRPr="00CE08D1">
        <w:rPr>
          <w:rFonts w:eastAsia="SimSun" w:cs="Arial"/>
          <w:b/>
          <w:color w:val="0000FF"/>
          <w:szCs w:val="24"/>
        </w:rPr>
        <w:fldChar w:fldCharType="separate"/>
      </w:r>
      <w:r w:rsidR="00CE08D1" w:rsidRPr="00CE08D1">
        <w:rPr>
          <w:rFonts w:eastAsia="Calibri"/>
          <w:b/>
          <w:color w:val="0000FF"/>
        </w:rPr>
        <w:t>13.6.1</w:t>
      </w:r>
      <w:r w:rsidR="00CE08D1" w:rsidRPr="00CE08D1">
        <w:rPr>
          <w:rFonts w:eastAsia="SimSun" w:cs="Arial"/>
          <w:b/>
          <w:color w:val="0000FF"/>
          <w:szCs w:val="24"/>
        </w:rPr>
        <w:fldChar w:fldCharType="end"/>
      </w:r>
      <w:r w:rsidR="00CE08D1">
        <w:rPr>
          <w:rFonts w:eastAsia="SimSun" w:cs="Arial"/>
          <w:b/>
          <w:color w:val="0000FF"/>
          <w:szCs w:val="24"/>
        </w:rPr>
        <w:t xml:space="preserve"> </w:t>
      </w:r>
      <w:r w:rsidR="006637E3" w:rsidRPr="006637E3">
        <w:rPr>
          <w:rFonts w:eastAsia="Calibri"/>
        </w:rPr>
        <w:t>for consent procedure.</w:t>
      </w:r>
    </w:p>
    <w:p w14:paraId="08D6C340" w14:textId="77777777" w:rsidR="00EE484C" w:rsidRPr="007A3223" w:rsidRDefault="00EE484C" w:rsidP="007B28DD">
      <w:pPr>
        <w:pStyle w:val="Heading2"/>
      </w:pPr>
      <w:bookmarkStart w:id="354" w:name="_Toc82444408"/>
      <w:r w:rsidRPr="007A3223">
        <w:lastRenderedPageBreak/>
        <w:t>Evaluation of Benefits and Risks/Discomforts</w:t>
      </w:r>
      <w:bookmarkEnd w:id="354"/>
    </w:p>
    <w:p w14:paraId="320D33A3" w14:textId="77777777" w:rsidR="00EE484C" w:rsidRPr="007A3223" w:rsidRDefault="00EE484C" w:rsidP="000C1D10">
      <w:pPr>
        <w:pStyle w:val="Heading3"/>
      </w:pPr>
      <w:r w:rsidRPr="007A3223">
        <w:t>Risks</w:t>
      </w:r>
    </w:p>
    <w:p w14:paraId="3F82AF55" w14:textId="77777777" w:rsidR="00EE484C" w:rsidRPr="007A3223" w:rsidRDefault="00EE484C" w:rsidP="00EE484C">
      <w:pPr>
        <w:pStyle w:val="Heading4"/>
        <w:rPr>
          <w:noProof w:val="0"/>
        </w:rPr>
      </w:pPr>
      <w:r w:rsidRPr="007A3223">
        <w:rPr>
          <w:noProof w:val="0"/>
        </w:rPr>
        <w:t>Study Drug Risks</w:t>
      </w:r>
    </w:p>
    <w:p w14:paraId="138D35C9" w14:textId="77777777" w:rsidR="00EE484C" w:rsidRPr="007A3223" w:rsidRDefault="00EE484C" w:rsidP="00EE484C">
      <w:pPr>
        <w:spacing w:after="0"/>
        <w:rPr>
          <w:szCs w:val="24"/>
        </w:rPr>
      </w:pPr>
      <w:r w:rsidRPr="007A3223">
        <w:rPr>
          <w:szCs w:val="24"/>
        </w:rPr>
        <w:t xml:space="preserve">The primary risks to patients participating in this research study are associated with the toxicities of the study agents, </w:t>
      </w:r>
      <w:r w:rsidR="001E4538" w:rsidRPr="007A3223">
        <w:rPr>
          <w:szCs w:val="24"/>
        </w:rPr>
        <w:t xml:space="preserve">as outlined in </w:t>
      </w:r>
      <w:r w:rsidRPr="007A3223">
        <w:rPr>
          <w:szCs w:val="24"/>
        </w:rPr>
        <w:t>the Investigator Brochure and in the informed consent.  Patients will be routinely monitored while on study in order to detect and treat any adverse events as quickly as possible.</w:t>
      </w:r>
    </w:p>
    <w:p w14:paraId="2B5514B2" w14:textId="77777777" w:rsidR="00EE484C" w:rsidRPr="007A3223" w:rsidRDefault="00EE484C" w:rsidP="001E1B53">
      <w:pPr>
        <w:pStyle w:val="ListParagraph"/>
        <w:numPr>
          <w:ilvl w:val="0"/>
          <w:numId w:val="15"/>
        </w:numPr>
        <w:ind w:left="360"/>
      </w:pPr>
      <w:r w:rsidRPr="007A3223">
        <w:t xml:space="preserve">In brief, the most common adverse events (AEs) with cediranib included fatigue, diarrhea, nausea, vomiting, hoarseness, hand-foot syndrome, and hypertension.  </w:t>
      </w:r>
    </w:p>
    <w:p w14:paraId="7A07BEBC" w14:textId="77777777" w:rsidR="00EE484C" w:rsidRPr="007A3223" w:rsidRDefault="00EE484C" w:rsidP="001E1B53">
      <w:pPr>
        <w:pStyle w:val="ListParagraph"/>
        <w:numPr>
          <w:ilvl w:val="0"/>
          <w:numId w:val="15"/>
        </w:numPr>
        <w:ind w:left="360"/>
      </w:pPr>
      <w:r w:rsidRPr="007A3223">
        <w:t xml:space="preserve">AEs considered to be associated with olaparib included anemia (mild to moderate), neutropenia (mild to moderate), and thrombocytopenia (mild to moderated, sometimes severe), stomatitis, nausea and vomiting (mild to moderate), and fatigue (mild to moderate). </w:t>
      </w:r>
    </w:p>
    <w:p w14:paraId="162D3CD8" w14:textId="53E75066" w:rsidR="00EE484C" w:rsidRPr="007A3223" w:rsidRDefault="00EE484C" w:rsidP="001E1B53">
      <w:pPr>
        <w:pStyle w:val="ListParagraph"/>
        <w:numPr>
          <w:ilvl w:val="0"/>
          <w:numId w:val="15"/>
        </w:numPr>
        <w:ind w:left="360"/>
      </w:pPr>
      <w:r w:rsidRPr="007A3223">
        <w:t xml:space="preserve">AEs associated with </w:t>
      </w:r>
      <w:r w:rsidR="00AB1C3A">
        <w:rPr>
          <w:lang w:val="en-US"/>
        </w:rPr>
        <w:t>Durvalumab</w:t>
      </w:r>
      <w:r w:rsidRPr="007A3223">
        <w:t xml:space="preserve"> include fatigue, nausea, dyspnea, diarrhea, vomiting, pyrexia, myalgia, hypothyroidism, decreased appetite, dizziness, cough, pruritus, rash, abdominal pain, increased aspartate aminotransferase and alanine aminotransferase, arthralgia, asthenia, influenza-like illness, edema peripheral, headache, dry skin, and constipation; Grade 3 or higher AEs included increased aspartate aminotransferase, hypothyroidism, vomiting, fatigue, infusion-related reaction, troponin, dehydration, and arthralgia.</w:t>
      </w:r>
    </w:p>
    <w:p w14:paraId="3D11A828" w14:textId="77777777" w:rsidR="00EE484C" w:rsidRPr="007A3223" w:rsidRDefault="00EE484C" w:rsidP="00EE484C">
      <w:pPr>
        <w:pStyle w:val="Heading4"/>
        <w:rPr>
          <w:noProof w:val="0"/>
        </w:rPr>
      </w:pPr>
      <w:r w:rsidRPr="007A3223">
        <w:rPr>
          <w:noProof w:val="0"/>
        </w:rPr>
        <w:t>Specimen Collection Risks</w:t>
      </w:r>
    </w:p>
    <w:p w14:paraId="108C7253" w14:textId="21AEAFCD" w:rsidR="00EE484C" w:rsidRPr="007A3223" w:rsidRDefault="00EE484C" w:rsidP="001315B8">
      <w:pPr>
        <w:spacing w:after="0"/>
        <w:rPr>
          <w:szCs w:val="24"/>
        </w:rPr>
      </w:pPr>
      <w:r w:rsidRPr="007A3223">
        <w:rPr>
          <w:szCs w:val="24"/>
        </w:rPr>
        <w:t>Risks include those associated with specimen collection</w:t>
      </w:r>
      <w:r w:rsidR="0090254D" w:rsidRPr="007A3223">
        <w:rPr>
          <w:szCs w:val="24"/>
        </w:rPr>
        <w:t xml:space="preserve"> including</w:t>
      </w:r>
      <w:r w:rsidRPr="007A3223">
        <w:rPr>
          <w:szCs w:val="24"/>
        </w:rPr>
        <w:t xml:space="preserve"> pain, bleeding and the possibility of infection at the sampling site. All care will be taken to minimize risks that may be incurred by tumor sampling. However, there are procedure-related risks (such as bleeding, infection and visceral injury) that will be explained fully during informed consent. If patients suffer any physical injury as a result of the biopsy, immediate medical treatment is available at the NIH’s Clinical Center in Bethesda, Maryland. Although no compensation is available, any injury will be fully evaluated and treated in keeping with the benefits or care to which patients are entitled under applicable regulations.</w:t>
      </w:r>
    </w:p>
    <w:p w14:paraId="770A9DF6" w14:textId="77777777" w:rsidR="00EE484C" w:rsidRPr="007A3223" w:rsidRDefault="00EE484C" w:rsidP="00EE484C">
      <w:pPr>
        <w:pStyle w:val="Heading4"/>
        <w:rPr>
          <w:noProof w:val="0"/>
        </w:rPr>
      </w:pPr>
      <w:r w:rsidRPr="007A3223">
        <w:rPr>
          <w:noProof w:val="0"/>
        </w:rPr>
        <w:t>Privacy Risks</w:t>
      </w:r>
    </w:p>
    <w:p w14:paraId="6D5ACEF7" w14:textId="77777777" w:rsidR="00EE484C" w:rsidRPr="007A3223" w:rsidRDefault="00EE484C" w:rsidP="006570B8">
      <w:r w:rsidRPr="007A3223">
        <w:t xml:space="preserve">This includes the risk that data related to your BRCA status can be released to members of the public, insurers, employers, or law enforcement agencies. </w:t>
      </w:r>
    </w:p>
    <w:p w14:paraId="4FC2C973" w14:textId="77777777" w:rsidR="00EE484C" w:rsidRPr="007A3223" w:rsidRDefault="00EE484C" w:rsidP="006570B8">
      <w:r w:rsidRPr="007A3223">
        <w:t xml:space="preserve">As part of study efforts to provide confidentiality of subject information, this study will obtain a Certificate of </w:t>
      </w:r>
      <w:r w:rsidR="004B583A" w:rsidRPr="007A3223">
        <w:t>Confidentiality, which</w:t>
      </w:r>
      <w:r w:rsidRPr="007A3223">
        <w:t xml:space="preserve"> helps to prevent forced disclosure of personally identifiable research information. The Certificate of Confidentiality allows investigators on this trial to refuse to disclose identifying information related to the research participants, should such disclosure have adverse consequences for subjects or damage their financial standing, employability, insurability or reputation. The informed consent includes the appropriate coverage and restrictions of the Certificate of Confidentiality.</w:t>
      </w:r>
    </w:p>
    <w:p w14:paraId="5087FC73" w14:textId="77777777" w:rsidR="00EE484C" w:rsidRPr="007A3223" w:rsidRDefault="00EE484C" w:rsidP="00EE484C">
      <w:pPr>
        <w:pStyle w:val="Heading4"/>
        <w:rPr>
          <w:noProof w:val="0"/>
        </w:rPr>
      </w:pPr>
      <w:r w:rsidRPr="007A3223">
        <w:rPr>
          <w:noProof w:val="0"/>
        </w:rPr>
        <w:t>Radiation Risks</w:t>
      </w:r>
    </w:p>
    <w:p w14:paraId="0876167E" w14:textId="77777777" w:rsidR="0013191B" w:rsidRPr="000E74F8" w:rsidRDefault="0013191B" w:rsidP="0013191B">
      <w:pPr>
        <w:rPr>
          <w:rFonts w:eastAsia="DengXian"/>
          <w:szCs w:val="24"/>
          <w:lang w:eastAsia="zh-CN"/>
        </w:rPr>
      </w:pPr>
      <w:r w:rsidRPr="000E74F8">
        <w:rPr>
          <w:rFonts w:eastAsia="DengXian"/>
          <w:szCs w:val="24"/>
          <w:lang w:eastAsia="zh-CN"/>
        </w:rPr>
        <w:t>The study will involve radiation from the following sources:</w:t>
      </w:r>
    </w:p>
    <w:p w14:paraId="3549A742" w14:textId="7602F53B" w:rsidR="0013191B" w:rsidRPr="000E74F8" w:rsidRDefault="0013191B" w:rsidP="00FB66BA">
      <w:pPr>
        <w:numPr>
          <w:ilvl w:val="0"/>
          <w:numId w:val="75"/>
        </w:numPr>
        <w:spacing w:after="240"/>
        <w:jc w:val="both"/>
        <w:rPr>
          <w:rFonts w:eastAsia="Times New Roman"/>
          <w:szCs w:val="24"/>
        </w:rPr>
      </w:pPr>
      <w:r w:rsidRPr="000E74F8">
        <w:rPr>
          <w:rFonts w:eastAsia="Times New Roman"/>
          <w:szCs w:val="24"/>
        </w:rPr>
        <w:lastRenderedPageBreak/>
        <w:t>Up to 3 CT scans for the collection of biopsies</w:t>
      </w:r>
      <w:r w:rsidR="00F46CF1">
        <w:rPr>
          <w:rFonts w:eastAsia="Times New Roman"/>
          <w:szCs w:val="24"/>
        </w:rPr>
        <w:t xml:space="preserve"> (Phase II participants only)</w:t>
      </w:r>
    </w:p>
    <w:p w14:paraId="65A24D64" w14:textId="06E9F7FE" w:rsidR="0013191B" w:rsidRDefault="0013191B" w:rsidP="00FB66BA">
      <w:pPr>
        <w:numPr>
          <w:ilvl w:val="0"/>
          <w:numId w:val="75"/>
        </w:numPr>
        <w:spacing w:after="240"/>
        <w:jc w:val="both"/>
        <w:rPr>
          <w:rFonts w:eastAsia="Times New Roman"/>
          <w:szCs w:val="24"/>
        </w:rPr>
      </w:pPr>
      <w:r w:rsidRPr="000E74F8">
        <w:rPr>
          <w:rFonts w:eastAsia="Times New Roman"/>
          <w:szCs w:val="24"/>
        </w:rPr>
        <w:t xml:space="preserve">Up to </w:t>
      </w:r>
      <w:r w:rsidR="00756C5C">
        <w:rPr>
          <w:rFonts w:eastAsia="Times New Roman"/>
          <w:szCs w:val="24"/>
        </w:rPr>
        <w:t>8</w:t>
      </w:r>
      <w:r w:rsidRPr="000E74F8">
        <w:rPr>
          <w:rFonts w:eastAsia="Times New Roman"/>
          <w:szCs w:val="24"/>
        </w:rPr>
        <w:t xml:space="preserve"> CT scans per year for disease assessment</w:t>
      </w:r>
      <w:r w:rsidR="009B2103">
        <w:rPr>
          <w:rFonts w:eastAsia="Times New Roman"/>
          <w:szCs w:val="24"/>
        </w:rPr>
        <w:t xml:space="preserve"> for all participants except for the Ph II Cohort 4 (Prostate Cancer), which has up to </w:t>
      </w:r>
      <w:r w:rsidR="00B74EE9">
        <w:rPr>
          <w:rFonts w:eastAsia="Times New Roman"/>
          <w:szCs w:val="24"/>
        </w:rPr>
        <w:t xml:space="preserve">6 </w:t>
      </w:r>
      <w:r w:rsidR="009B2103">
        <w:rPr>
          <w:rFonts w:eastAsia="Times New Roman"/>
          <w:szCs w:val="24"/>
        </w:rPr>
        <w:t>CT scans per year.</w:t>
      </w:r>
    </w:p>
    <w:p w14:paraId="71409584" w14:textId="5CF91BF1" w:rsidR="00731BE8" w:rsidRPr="00731BE8" w:rsidRDefault="00385F31" w:rsidP="00FB66BA">
      <w:pPr>
        <w:numPr>
          <w:ilvl w:val="0"/>
          <w:numId w:val="75"/>
        </w:numPr>
        <w:spacing w:after="240"/>
        <w:jc w:val="both"/>
        <w:rPr>
          <w:rFonts w:eastAsia="Times New Roman"/>
          <w:szCs w:val="24"/>
        </w:rPr>
      </w:pPr>
      <w:r>
        <w:rPr>
          <w:rFonts w:eastAsia="Times New Roman"/>
          <w:szCs w:val="24"/>
        </w:rPr>
        <w:t xml:space="preserve">Up to </w:t>
      </w:r>
      <w:r w:rsidR="006A37C6">
        <w:rPr>
          <w:rFonts w:eastAsia="Times New Roman"/>
          <w:szCs w:val="24"/>
        </w:rPr>
        <w:t>6</w:t>
      </w:r>
      <w:r>
        <w:rPr>
          <w:rFonts w:eastAsia="Times New Roman"/>
          <w:szCs w:val="24"/>
        </w:rPr>
        <w:t xml:space="preserve"> </w:t>
      </w:r>
      <w:r w:rsidR="00731BE8" w:rsidRPr="00731BE8">
        <w:rPr>
          <w:rFonts w:eastAsia="Times New Roman"/>
          <w:szCs w:val="24"/>
        </w:rPr>
        <w:t>technetium-99 bone scan</w:t>
      </w:r>
      <w:r w:rsidR="00731BE8">
        <w:rPr>
          <w:rFonts w:eastAsia="Times New Roman"/>
          <w:szCs w:val="24"/>
        </w:rPr>
        <w:t>s for disease assessment (</w:t>
      </w:r>
      <w:r w:rsidR="00731BE8" w:rsidRPr="00731BE8">
        <w:rPr>
          <w:rFonts w:eastAsia="Times New Roman"/>
          <w:szCs w:val="24"/>
        </w:rPr>
        <w:t>Ph II Cohort 4 Prostate Cancer</w:t>
      </w:r>
      <w:r w:rsidR="00731BE8">
        <w:rPr>
          <w:rFonts w:eastAsia="Times New Roman"/>
          <w:szCs w:val="24"/>
        </w:rPr>
        <w:t xml:space="preserve"> only)</w:t>
      </w:r>
    </w:p>
    <w:p w14:paraId="1E7FDAEF" w14:textId="0BCBDF71" w:rsidR="0013191B" w:rsidRDefault="0013191B" w:rsidP="0013191B">
      <w:pPr>
        <w:rPr>
          <w:rFonts w:eastAsia="Calibri"/>
          <w:szCs w:val="24"/>
          <w:lang w:eastAsia="zh-CN"/>
        </w:rPr>
      </w:pPr>
      <w:r w:rsidRPr="000E74F8">
        <w:rPr>
          <w:rFonts w:eastAsia="DengXian"/>
          <w:szCs w:val="24"/>
          <w:lang w:eastAsia="zh-CN"/>
        </w:rPr>
        <w:t>Subjects in th</w:t>
      </w:r>
      <w:r w:rsidR="001B57C4">
        <w:rPr>
          <w:rFonts w:eastAsia="DengXian"/>
          <w:szCs w:val="24"/>
          <w:lang w:eastAsia="zh-CN"/>
        </w:rPr>
        <w:t>e Phase I portion of the</w:t>
      </w:r>
      <w:r w:rsidRPr="000E74F8">
        <w:rPr>
          <w:rFonts w:eastAsia="DengXian"/>
          <w:szCs w:val="24"/>
          <w:lang w:eastAsia="zh-CN"/>
        </w:rPr>
        <w:t xml:space="preserve"> study may be exposed to approximately </w:t>
      </w:r>
      <w:r w:rsidR="001B57C4">
        <w:rPr>
          <w:rFonts w:eastAsia="DengXian"/>
          <w:szCs w:val="24"/>
          <w:lang w:eastAsia="zh-CN"/>
        </w:rPr>
        <w:t>8.8</w:t>
      </w:r>
      <w:r w:rsidRPr="000E74F8">
        <w:rPr>
          <w:rFonts w:eastAsia="DengXian"/>
          <w:szCs w:val="24"/>
          <w:lang w:eastAsia="zh-CN"/>
        </w:rPr>
        <w:t xml:space="preserve"> rem. This amount is more than would be expected from everyday background radiation. Being exposed to excess radiation can increase the risk of cancer. </w:t>
      </w:r>
      <w:r w:rsidRPr="000E74F8">
        <w:rPr>
          <w:rFonts w:eastAsia="Times"/>
          <w:szCs w:val="24"/>
          <w:lang w:eastAsia="zh-CN"/>
        </w:rPr>
        <w:t>The risk of getting cancer from the radiation exposure in</w:t>
      </w:r>
      <w:r w:rsidR="001B57C4">
        <w:rPr>
          <w:rFonts w:eastAsia="Times"/>
          <w:szCs w:val="24"/>
          <w:lang w:eastAsia="zh-CN"/>
        </w:rPr>
        <w:t xml:space="preserve"> the Phase I portion of</w:t>
      </w:r>
      <w:r w:rsidRPr="000E74F8">
        <w:rPr>
          <w:rFonts w:eastAsia="Times"/>
          <w:szCs w:val="24"/>
          <w:lang w:eastAsia="zh-CN"/>
        </w:rPr>
        <w:t xml:space="preserve"> this study is </w:t>
      </w:r>
      <w:r w:rsidR="001B57C4">
        <w:rPr>
          <w:rFonts w:eastAsia="Times"/>
          <w:szCs w:val="24"/>
          <w:lang w:eastAsia="zh-CN"/>
        </w:rPr>
        <w:t>0.9</w:t>
      </w:r>
      <w:r>
        <w:rPr>
          <w:rFonts w:eastAsia="Times"/>
          <w:szCs w:val="24"/>
          <w:lang w:eastAsia="zh-CN"/>
        </w:rPr>
        <w:t xml:space="preserve"> </w:t>
      </w:r>
      <w:r w:rsidRPr="000E74F8">
        <w:rPr>
          <w:rFonts w:eastAsia="Times"/>
          <w:szCs w:val="24"/>
          <w:lang w:eastAsia="zh-CN"/>
        </w:rPr>
        <w:t>out of 100 (</w:t>
      </w:r>
      <w:r w:rsidR="001B57C4">
        <w:rPr>
          <w:rFonts w:eastAsia="Times"/>
          <w:szCs w:val="24"/>
          <w:lang w:eastAsia="zh-CN"/>
        </w:rPr>
        <w:t>0.9</w:t>
      </w:r>
      <w:r w:rsidRPr="000E74F8">
        <w:rPr>
          <w:rFonts w:eastAsia="Times"/>
          <w:szCs w:val="24"/>
          <w:lang w:eastAsia="zh-CN"/>
        </w:rPr>
        <w:t>%) and of getting a fatal cancer is 0.</w:t>
      </w:r>
      <w:r w:rsidR="001B57C4">
        <w:rPr>
          <w:rFonts w:eastAsia="Times"/>
          <w:szCs w:val="24"/>
          <w:lang w:eastAsia="zh-CN"/>
        </w:rPr>
        <w:t>4</w:t>
      </w:r>
      <w:r w:rsidRPr="000E74F8">
        <w:rPr>
          <w:rFonts w:eastAsia="Times"/>
          <w:szCs w:val="24"/>
          <w:lang w:eastAsia="zh-CN"/>
        </w:rPr>
        <w:t xml:space="preserve"> out of 100 (0.</w:t>
      </w:r>
      <w:r w:rsidR="001B57C4">
        <w:rPr>
          <w:rFonts w:eastAsia="Times"/>
          <w:szCs w:val="24"/>
          <w:lang w:eastAsia="zh-CN"/>
        </w:rPr>
        <w:t>4</w:t>
      </w:r>
      <w:r w:rsidRPr="000E74F8">
        <w:rPr>
          <w:rFonts w:eastAsia="Times"/>
          <w:szCs w:val="24"/>
          <w:lang w:eastAsia="zh-CN"/>
        </w:rPr>
        <w:t>%).</w:t>
      </w:r>
      <w:r w:rsidRPr="000E74F8">
        <w:rPr>
          <w:rFonts w:eastAsia="Calibri"/>
          <w:szCs w:val="24"/>
          <w:lang w:eastAsia="zh-CN"/>
        </w:rPr>
        <w:t xml:space="preserve"> </w:t>
      </w:r>
    </w:p>
    <w:p w14:paraId="3DFBBE54" w14:textId="676E1582" w:rsidR="00E87F0E" w:rsidRDefault="00E87F0E" w:rsidP="00E87F0E">
      <w:pPr>
        <w:rPr>
          <w:rFonts w:eastAsia="Calibri"/>
          <w:szCs w:val="24"/>
          <w:lang w:eastAsia="zh-CN"/>
        </w:rPr>
      </w:pPr>
      <w:r>
        <w:rPr>
          <w:rFonts w:eastAsia="Calibri"/>
          <w:szCs w:val="24"/>
          <w:lang w:eastAsia="zh-CN"/>
        </w:rPr>
        <w:t xml:space="preserve">Subjects in Phase II Cohort 4 </w:t>
      </w:r>
      <w:r w:rsidRPr="000E74F8">
        <w:rPr>
          <w:rFonts w:eastAsia="DengXian"/>
          <w:szCs w:val="24"/>
          <w:lang w:eastAsia="zh-CN"/>
        </w:rPr>
        <w:t xml:space="preserve">may be exposed to approximately </w:t>
      </w:r>
      <w:r>
        <w:rPr>
          <w:rFonts w:eastAsia="Calibri"/>
          <w:szCs w:val="24"/>
          <w:lang w:eastAsia="zh-CN"/>
        </w:rPr>
        <w:t xml:space="preserve">11.34 rem. </w:t>
      </w:r>
      <w:r w:rsidRPr="000E74F8">
        <w:rPr>
          <w:rFonts w:eastAsia="Times"/>
          <w:szCs w:val="24"/>
          <w:lang w:eastAsia="zh-CN"/>
        </w:rPr>
        <w:t>The risk of getting cancer from the radiation exposure in</w:t>
      </w:r>
      <w:r>
        <w:rPr>
          <w:rFonts w:eastAsia="Times"/>
          <w:szCs w:val="24"/>
          <w:lang w:eastAsia="zh-CN"/>
        </w:rPr>
        <w:t xml:space="preserve"> Phase II Cohort 4</w:t>
      </w:r>
      <w:r w:rsidRPr="000E74F8">
        <w:rPr>
          <w:rFonts w:eastAsia="Times"/>
          <w:szCs w:val="24"/>
          <w:lang w:eastAsia="zh-CN"/>
        </w:rPr>
        <w:t xml:space="preserve"> is </w:t>
      </w:r>
      <w:r>
        <w:rPr>
          <w:rFonts w:eastAsia="Times"/>
          <w:szCs w:val="24"/>
          <w:lang w:eastAsia="zh-CN"/>
        </w:rPr>
        <w:t xml:space="preserve">1.1 </w:t>
      </w:r>
      <w:r w:rsidRPr="000E74F8">
        <w:rPr>
          <w:rFonts w:eastAsia="Times"/>
          <w:szCs w:val="24"/>
          <w:lang w:eastAsia="zh-CN"/>
        </w:rPr>
        <w:t>out of 100 (</w:t>
      </w:r>
      <w:r>
        <w:rPr>
          <w:rFonts w:eastAsia="Times"/>
          <w:szCs w:val="24"/>
          <w:lang w:eastAsia="zh-CN"/>
        </w:rPr>
        <w:t>1.1</w:t>
      </w:r>
      <w:r w:rsidRPr="000E74F8">
        <w:rPr>
          <w:rFonts w:eastAsia="Times"/>
          <w:szCs w:val="24"/>
          <w:lang w:eastAsia="zh-CN"/>
        </w:rPr>
        <w:t>%) and of getting a fatal cancer is 0.</w:t>
      </w:r>
      <w:r>
        <w:rPr>
          <w:rFonts w:eastAsia="Times"/>
          <w:szCs w:val="24"/>
          <w:lang w:eastAsia="zh-CN"/>
        </w:rPr>
        <w:t>6</w:t>
      </w:r>
      <w:r w:rsidRPr="000E74F8">
        <w:rPr>
          <w:rFonts w:eastAsia="Times"/>
          <w:szCs w:val="24"/>
          <w:lang w:eastAsia="zh-CN"/>
        </w:rPr>
        <w:t xml:space="preserve"> out of 100 (0.</w:t>
      </w:r>
      <w:r>
        <w:rPr>
          <w:rFonts w:eastAsia="Times"/>
          <w:szCs w:val="24"/>
          <w:lang w:eastAsia="zh-CN"/>
        </w:rPr>
        <w:t>6</w:t>
      </w:r>
      <w:r w:rsidRPr="000E74F8">
        <w:rPr>
          <w:rFonts w:eastAsia="Times"/>
          <w:szCs w:val="24"/>
          <w:lang w:eastAsia="zh-CN"/>
        </w:rPr>
        <w:t>%).</w:t>
      </w:r>
      <w:r w:rsidRPr="000E74F8">
        <w:rPr>
          <w:rFonts w:eastAsia="Calibri"/>
          <w:szCs w:val="24"/>
          <w:lang w:eastAsia="zh-CN"/>
        </w:rPr>
        <w:t xml:space="preserve"> </w:t>
      </w:r>
    </w:p>
    <w:p w14:paraId="75B866AF" w14:textId="4C3504CA" w:rsidR="00E87F0E" w:rsidRPr="00E87F0E" w:rsidRDefault="00E87F0E" w:rsidP="0013191B">
      <w:pPr>
        <w:rPr>
          <w:rFonts w:eastAsia="Calibri"/>
          <w:szCs w:val="24"/>
          <w:lang w:eastAsia="zh-CN"/>
        </w:rPr>
      </w:pPr>
      <w:r>
        <w:rPr>
          <w:rFonts w:eastAsia="Calibri"/>
          <w:szCs w:val="24"/>
          <w:lang w:eastAsia="zh-CN"/>
        </w:rPr>
        <w:t xml:space="preserve">Subjects in all other Phase II Cohorts (1, 2, 3, 5, and 6) </w:t>
      </w:r>
      <w:r w:rsidRPr="000E74F8">
        <w:rPr>
          <w:rFonts w:eastAsia="DengXian"/>
          <w:szCs w:val="24"/>
          <w:lang w:eastAsia="zh-CN"/>
        </w:rPr>
        <w:t xml:space="preserve">may be exposed to approximately </w:t>
      </w:r>
      <w:r>
        <w:rPr>
          <w:rFonts w:eastAsia="Calibri"/>
          <w:szCs w:val="24"/>
          <w:lang w:eastAsia="zh-CN"/>
        </w:rPr>
        <w:t xml:space="preserve">11.2 rem. </w:t>
      </w:r>
      <w:r w:rsidRPr="000E74F8">
        <w:rPr>
          <w:rFonts w:eastAsia="Times"/>
          <w:szCs w:val="24"/>
          <w:lang w:eastAsia="zh-CN"/>
        </w:rPr>
        <w:t>The risk of getting cancer from the radiation exposure in</w:t>
      </w:r>
      <w:r>
        <w:rPr>
          <w:rFonts w:eastAsia="Times"/>
          <w:szCs w:val="24"/>
          <w:lang w:eastAsia="zh-CN"/>
        </w:rPr>
        <w:t xml:space="preserve"> Phase II Cohort 4</w:t>
      </w:r>
      <w:r w:rsidRPr="000E74F8">
        <w:rPr>
          <w:rFonts w:eastAsia="Times"/>
          <w:szCs w:val="24"/>
          <w:lang w:eastAsia="zh-CN"/>
        </w:rPr>
        <w:t xml:space="preserve"> is </w:t>
      </w:r>
      <w:r>
        <w:rPr>
          <w:rFonts w:eastAsia="Times"/>
          <w:szCs w:val="24"/>
          <w:lang w:eastAsia="zh-CN"/>
        </w:rPr>
        <w:t xml:space="preserve">1.1 </w:t>
      </w:r>
      <w:r w:rsidRPr="000E74F8">
        <w:rPr>
          <w:rFonts w:eastAsia="Times"/>
          <w:szCs w:val="24"/>
          <w:lang w:eastAsia="zh-CN"/>
        </w:rPr>
        <w:t>out of 100 (</w:t>
      </w:r>
      <w:r>
        <w:rPr>
          <w:rFonts w:eastAsia="Times"/>
          <w:szCs w:val="24"/>
          <w:lang w:eastAsia="zh-CN"/>
        </w:rPr>
        <w:t>1.1</w:t>
      </w:r>
      <w:r w:rsidRPr="000E74F8">
        <w:rPr>
          <w:rFonts w:eastAsia="Times"/>
          <w:szCs w:val="24"/>
          <w:lang w:eastAsia="zh-CN"/>
        </w:rPr>
        <w:t>%) and of getting a fatal cancer is 0.</w:t>
      </w:r>
      <w:r>
        <w:rPr>
          <w:rFonts w:eastAsia="Times"/>
          <w:szCs w:val="24"/>
          <w:lang w:eastAsia="zh-CN"/>
        </w:rPr>
        <w:t>6</w:t>
      </w:r>
      <w:r w:rsidRPr="000E74F8">
        <w:rPr>
          <w:rFonts w:eastAsia="Times"/>
          <w:szCs w:val="24"/>
          <w:lang w:eastAsia="zh-CN"/>
        </w:rPr>
        <w:t xml:space="preserve"> out of 100 (0.</w:t>
      </w:r>
      <w:r>
        <w:rPr>
          <w:rFonts w:eastAsia="Times"/>
          <w:szCs w:val="24"/>
          <w:lang w:eastAsia="zh-CN"/>
        </w:rPr>
        <w:t>6</w:t>
      </w:r>
      <w:r w:rsidRPr="000E74F8">
        <w:rPr>
          <w:rFonts w:eastAsia="Times"/>
          <w:szCs w:val="24"/>
          <w:lang w:eastAsia="zh-CN"/>
        </w:rPr>
        <w:t>%).</w:t>
      </w:r>
      <w:r w:rsidRPr="000E74F8">
        <w:rPr>
          <w:rFonts w:eastAsia="Calibri"/>
          <w:szCs w:val="24"/>
          <w:lang w:eastAsia="zh-CN"/>
        </w:rPr>
        <w:t xml:space="preserve"> </w:t>
      </w:r>
    </w:p>
    <w:p w14:paraId="6D163B1D" w14:textId="591F3CFB" w:rsidR="009B53E0" w:rsidRPr="009D0B66" w:rsidRDefault="00D8147F" w:rsidP="009D0B66">
      <w:pPr>
        <w:pStyle w:val="Heading4"/>
        <w:rPr>
          <w:noProof w:val="0"/>
        </w:rPr>
      </w:pPr>
      <w:bookmarkStart w:id="355" w:name="_Toc41566121"/>
      <w:r>
        <w:rPr>
          <w:noProof w:val="0"/>
          <w:lang w:val="en-US"/>
        </w:rPr>
        <w:t xml:space="preserve">Risks from </w:t>
      </w:r>
      <w:r w:rsidR="00BD4D35">
        <w:rPr>
          <w:noProof w:val="0"/>
          <w:lang w:val="en-US"/>
        </w:rPr>
        <w:t>B</w:t>
      </w:r>
      <w:r w:rsidR="009B53E0" w:rsidRPr="009D0B66">
        <w:rPr>
          <w:noProof w:val="0"/>
        </w:rPr>
        <w:t xml:space="preserve">lood </w:t>
      </w:r>
      <w:r w:rsidR="00BD4D35">
        <w:rPr>
          <w:noProof w:val="0"/>
          <w:lang w:val="en-US"/>
        </w:rPr>
        <w:t>D</w:t>
      </w:r>
      <w:r w:rsidR="009B53E0" w:rsidRPr="009D0B66">
        <w:rPr>
          <w:noProof w:val="0"/>
        </w:rPr>
        <w:t>raws: Side effects of blood draws include pain and bruising, lightheadedness, and rarely, fainting.</w:t>
      </w:r>
      <w:bookmarkEnd w:id="355"/>
    </w:p>
    <w:p w14:paraId="08E6AA25" w14:textId="30B597AE" w:rsidR="009B53E0" w:rsidRDefault="00D8147F" w:rsidP="009D0B66">
      <w:pPr>
        <w:pStyle w:val="Heading4"/>
        <w:rPr>
          <w:noProof w:val="0"/>
        </w:rPr>
      </w:pPr>
      <w:bookmarkStart w:id="356" w:name="_Toc41566122"/>
      <w:r>
        <w:rPr>
          <w:noProof w:val="0"/>
          <w:lang w:val="en-US"/>
        </w:rPr>
        <w:t xml:space="preserve">Risks of </w:t>
      </w:r>
      <w:r w:rsidR="009B53E0" w:rsidRPr="009D0B66">
        <w:rPr>
          <w:noProof w:val="0"/>
        </w:rPr>
        <w:t xml:space="preserve">CT </w:t>
      </w:r>
      <w:r w:rsidR="00BD4D35">
        <w:rPr>
          <w:noProof w:val="0"/>
          <w:lang w:val="en-US"/>
        </w:rPr>
        <w:t>S</w:t>
      </w:r>
      <w:r w:rsidR="009B53E0" w:rsidRPr="009D0B66">
        <w:rPr>
          <w:noProof w:val="0"/>
        </w:rPr>
        <w:t>cans:  In addition to the radiation risks discussed above, risks associated with CT scans are allergic reaction to and kidney damage from the contrast dye, nausea, vomiting, and anxiety.</w:t>
      </w:r>
      <w:bookmarkEnd w:id="356"/>
    </w:p>
    <w:p w14:paraId="4188C8F3" w14:textId="1B5960FE" w:rsidR="00F9205D" w:rsidRPr="00F9205D" w:rsidRDefault="00F9205D" w:rsidP="00F9205D">
      <w:pPr>
        <w:pStyle w:val="Heading4"/>
        <w:rPr>
          <w:noProof w:val="0"/>
          <w:lang w:val="en-US"/>
        </w:rPr>
      </w:pPr>
      <w:r w:rsidRPr="00F9205D">
        <w:rPr>
          <w:noProof w:val="0"/>
          <w:lang w:val="en-US"/>
        </w:rPr>
        <w:t xml:space="preserve">Risks of Technetium-99 </w:t>
      </w:r>
      <w:r w:rsidR="0022515A">
        <w:rPr>
          <w:noProof w:val="0"/>
          <w:lang w:val="en-US"/>
        </w:rPr>
        <w:t>B</w:t>
      </w:r>
      <w:r w:rsidRPr="00F9205D">
        <w:rPr>
          <w:noProof w:val="0"/>
          <w:lang w:val="en-US"/>
        </w:rPr>
        <w:t xml:space="preserve">one </w:t>
      </w:r>
      <w:r w:rsidR="0022515A">
        <w:rPr>
          <w:noProof w:val="0"/>
          <w:lang w:val="en-US"/>
        </w:rPr>
        <w:t>S</w:t>
      </w:r>
      <w:r w:rsidRPr="00F9205D">
        <w:rPr>
          <w:noProof w:val="0"/>
          <w:lang w:val="en-US"/>
        </w:rPr>
        <w:t>cans</w:t>
      </w:r>
      <w:r w:rsidR="0022515A">
        <w:rPr>
          <w:lang w:val="en-US"/>
        </w:rPr>
        <w:t>:</w:t>
      </w:r>
      <w:r w:rsidR="0022515A" w:rsidRPr="0022515A">
        <w:rPr>
          <w:noProof w:val="0"/>
          <w:lang w:val="en-US"/>
        </w:rPr>
        <w:t xml:space="preserve"> In addition to the radiation</w:t>
      </w:r>
      <w:r w:rsidR="00F94EB3">
        <w:rPr>
          <w:noProof w:val="0"/>
          <w:lang w:val="en-US"/>
        </w:rPr>
        <w:t xml:space="preserve"> risks</w:t>
      </w:r>
      <w:r w:rsidR="0022515A" w:rsidRPr="0022515A">
        <w:rPr>
          <w:noProof w:val="0"/>
          <w:lang w:val="en-US"/>
        </w:rPr>
        <w:t xml:space="preserve"> described above, </w:t>
      </w:r>
      <w:r w:rsidR="002F66D8">
        <w:rPr>
          <w:noProof w:val="0"/>
          <w:lang w:val="en-US"/>
        </w:rPr>
        <w:t>risks associated with t</w:t>
      </w:r>
      <w:r w:rsidR="002F66D8" w:rsidRPr="00F9205D">
        <w:rPr>
          <w:noProof w:val="0"/>
          <w:lang w:val="en-US"/>
        </w:rPr>
        <w:t xml:space="preserve">echnetium-99 </w:t>
      </w:r>
      <w:r w:rsidR="002F66D8">
        <w:rPr>
          <w:noProof w:val="0"/>
          <w:lang w:val="en-US"/>
        </w:rPr>
        <w:t>b</w:t>
      </w:r>
      <w:r w:rsidR="002F66D8" w:rsidRPr="00F9205D">
        <w:rPr>
          <w:noProof w:val="0"/>
          <w:lang w:val="en-US"/>
        </w:rPr>
        <w:t xml:space="preserve">one </w:t>
      </w:r>
      <w:r w:rsidR="002F66D8">
        <w:rPr>
          <w:noProof w:val="0"/>
          <w:lang w:val="en-US"/>
        </w:rPr>
        <w:t>s</w:t>
      </w:r>
      <w:r w:rsidR="002F66D8" w:rsidRPr="00F9205D">
        <w:rPr>
          <w:noProof w:val="0"/>
          <w:lang w:val="en-US"/>
        </w:rPr>
        <w:t>cans</w:t>
      </w:r>
      <w:r w:rsidR="002F66D8" w:rsidRPr="0022515A">
        <w:rPr>
          <w:noProof w:val="0"/>
          <w:lang w:val="en-US"/>
        </w:rPr>
        <w:t xml:space="preserve"> </w:t>
      </w:r>
      <w:r w:rsidR="002F66D8">
        <w:rPr>
          <w:noProof w:val="0"/>
          <w:lang w:val="en-US"/>
        </w:rPr>
        <w:t xml:space="preserve">are </w:t>
      </w:r>
      <w:r w:rsidR="0022515A" w:rsidRPr="0022515A">
        <w:rPr>
          <w:noProof w:val="0"/>
          <w:lang w:val="en-US"/>
        </w:rPr>
        <w:t xml:space="preserve">pain, bruising, </w:t>
      </w:r>
      <w:r w:rsidR="00E00AB8">
        <w:rPr>
          <w:noProof w:val="0"/>
          <w:lang w:val="en-US"/>
        </w:rPr>
        <w:t xml:space="preserve">injection site </w:t>
      </w:r>
      <w:r w:rsidR="0022515A" w:rsidRPr="0022515A">
        <w:rPr>
          <w:noProof w:val="0"/>
          <w:lang w:val="en-US"/>
        </w:rPr>
        <w:t xml:space="preserve">infection, </w:t>
      </w:r>
      <w:r w:rsidR="00E00AB8">
        <w:rPr>
          <w:noProof w:val="0"/>
          <w:lang w:val="en-US"/>
        </w:rPr>
        <w:t>and</w:t>
      </w:r>
      <w:r w:rsidR="0022515A" w:rsidRPr="0022515A">
        <w:rPr>
          <w:noProof w:val="0"/>
          <w:lang w:val="en-US"/>
        </w:rPr>
        <w:t xml:space="preserve"> allergic reaction to the contrast agent.</w:t>
      </w:r>
    </w:p>
    <w:p w14:paraId="12905E96" w14:textId="77777777" w:rsidR="00EE484C" w:rsidRPr="007A3223" w:rsidRDefault="00EE484C" w:rsidP="000C1D10">
      <w:pPr>
        <w:pStyle w:val="Heading3"/>
      </w:pPr>
      <w:r w:rsidRPr="007A3223">
        <w:t>Benefits</w:t>
      </w:r>
    </w:p>
    <w:p w14:paraId="47896700" w14:textId="459B204B" w:rsidR="00EE484C" w:rsidRDefault="00EE484C" w:rsidP="001315B8">
      <w:pPr>
        <w:spacing w:after="0"/>
        <w:rPr>
          <w:szCs w:val="24"/>
        </w:rPr>
      </w:pPr>
      <w:r w:rsidRPr="007A3223">
        <w:rPr>
          <w:szCs w:val="24"/>
        </w:rPr>
        <w:t>The potential benefit to a patient on this study is a reduction in the bulk of their tumor and improvement in cancer lesions, which may or may not have favorable impact on symptoms and/or survival.</w:t>
      </w:r>
    </w:p>
    <w:p w14:paraId="6B32A866" w14:textId="77777777" w:rsidR="001315B8" w:rsidRPr="007A3223" w:rsidRDefault="001315B8" w:rsidP="001315B8">
      <w:pPr>
        <w:spacing w:after="0"/>
        <w:rPr>
          <w:szCs w:val="24"/>
        </w:rPr>
      </w:pPr>
    </w:p>
    <w:p w14:paraId="4B8AA2D2" w14:textId="77777777" w:rsidR="00EE484C" w:rsidRPr="007A3223" w:rsidRDefault="00EE484C" w:rsidP="00ED703B">
      <w:pPr>
        <w:pStyle w:val="Heading2"/>
      </w:pPr>
      <w:bookmarkStart w:id="357" w:name="_Toc489625762"/>
      <w:bookmarkStart w:id="358" w:name="_Ref472083418"/>
      <w:bookmarkStart w:id="359" w:name="_Toc82444409"/>
      <w:bookmarkStart w:id="360" w:name="_Hlk3390229"/>
      <w:bookmarkEnd w:id="357"/>
      <w:r w:rsidRPr="007A3223">
        <w:t>Risks/Benefits Analysis</w:t>
      </w:r>
      <w:bookmarkEnd w:id="358"/>
      <w:bookmarkEnd w:id="359"/>
    </w:p>
    <w:bookmarkEnd w:id="360"/>
    <w:p w14:paraId="20953306" w14:textId="77777777" w:rsidR="00EE484C" w:rsidRPr="007A3223" w:rsidRDefault="00EE484C" w:rsidP="008657F9">
      <w:r w:rsidRPr="007A3223">
        <w:t xml:space="preserve">Patients will receive clinical evaluation of their disease at the NCI Clinical Center.  This protocol may or may not benefit an individual, but the results may help the investigators learn more about the disease and develop new treatments for patients with this disease.  </w:t>
      </w:r>
    </w:p>
    <w:p w14:paraId="16D333C4" w14:textId="77777777" w:rsidR="00EE484C" w:rsidRPr="007A3223" w:rsidRDefault="00EE484C" w:rsidP="006570B8">
      <w:r w:rsidRPr="007A3223">
        <w:t xml:space="preserve">Patients will be examined and evaluated prior to enrollment.  All evaluation to monitor the treatment of patients will be recorded in the patient record.  If patients suffer any physical injury as a result of participation in this study, immediate medical treatment is available at the Clinical Center, NCI, in Bethesda, Maryland.  </w:t>
      </w:r>
    </w:p>
    <w:p w14:paraId="3F759DBA" w14:textId="0D010BAD" w:rsidR="00EE484C" w:rsidRPr="007A3223" w:rsidRDefault="00EE484C" w:rsidP="006570B8">
      <w:r w:rsidRPr="007A3223">
        <w:lastRenderedPageBreak/>
        <w:t xml:space="preserve">Although no compensation is available, any injury will be evaluated and treated in keeping with the benefits or care to which </w:t>
      </w:r>
      <w:r w:rsidR="00772708" w:rsidRPr="007A3223">
        <w:t>patients</w:t>
      </w:r>
      <w:r w:rsidRPr="007A3223">
        <w:t xml:space="preserve"> are entitled under applicable regulations.  In all </w:t>
      </w:r>
      <w:r w:rsidR="00772708" w:rsidRPr="007A3223">
        <w:t>publications</w:t>
      </w:r>
      <w:r w:rsidRPr="007A3223">
        <w:t xml:space="preserve"> and presentation resulting from this trial, patients’ anonymity will be protected to the maximum extent possible.  Authorized personnel from the NCI and Food and Drug Administration (FDA) or other regulatory </w:t>
      </w:r>
      <w:r w:rsidR="00772708" w:rsidRPr="007A3223">
        <w:t>authorities</w:t>
      </w:r>
      <w:r w:rsidRPr="007A3223">
        <w:t xml:space="preserve"> may have access to research files in order to </w:t>
      </w:r>
      <w:r w:rsidR="00772708" w:rsidRPr="007A3223">
        <w:t>verify</w:t>
      </w:r>
      <w:r w:rsidRPr="007A3223">
        <w:t xml:space="preserve"> that </w:t>
      </w:r>
      <w:r w:rsidR="00772708" w:rsidRPr="007A3223">
        <w:t>patients’</w:t>
      </w:r>
      <w:r w:rsidRPr="007A3223">
        <w:t>’ rights have been appropriately safeguarded.  In addition, patient names will be given to the Central Registration Office to register and verify eligibility.</w:t>
      </w:r>
    </w:p>
    <w:p w14:paraId="1E30B2E7" w14:textId="77777777" w:rsidR="00EE484C" w:rsidRPr="007A3223" w:rsidRDefault="00EE484C" w:rsidP="00EE484C">
      <w:pPr>
        <w:spacing w:after="0"/>
        <w:rPr>
          <w:szCs w:val="24"/>
        </w:rPr>
      </w:pPr>
    </w:p>
    <w:p w14:paraId="4D4C0296" w14:textId="77777777" w:rsidR="00772708" w:rsidRPr="007A3223" w:rsidRDefault="00772708" w:rsidP="00ED703B">
      <w:pPr>
        <w:pStyle w:val="Heading2"/>
      </w:pPr>
      <w:bookmarkStart w:id="361" w:name="_Ref67519466"/>
      <w:bookmarkStart w:id="362" w:name="_Toc82444410"/>
      <w:bookmarkStart w:id="363" w:name="_Hlk42774332"/>
      <w:r w:rsidRPr="007A3223">
        <w:t>Consent Process and Documentation</w:t>
      </w:r>
      <w:bookmarkEnd w:id="361"/>
      <w:bookmarkEnd w:id="362"/>
    </w:p>
    <w:bookmarkEnd w:id="363"/>
    <w:p w14:paraId="0739CD70" w14:textId="7D4A71BC" w:rsidR="000660B8" w:rsidRPr="00932E24" w:rsidRDefault="000660B8" w:rsidP="00B92B92">
      <w:r w:rsidRPr="00932E24">
        <w:t xml:space="preserve">The informed consent document will be provided </w:t>
      </w:r>
      <w:r w:rsidR="00B92B92">
        <w:t xml:space="preserve">as a physical or electronic document </w:t>
      </w:r>
      <w:r w:rsidRPr="00932E24">
        <w:t>to the participant or consent designee(s) (e.g., legally authorized representative [LAR] if participant is an adult unable to consent) for review prior to consenting.  A designated study investigator will carefully explain the procedures and tests involved in this study, and the associated risks, discomforts and benefits. In order to minimize potential coercion, as much time as is needed to review the document will be given, including an opportunity to discuss it with friends, family members and/or other advisors, and to ask questions of any designated study investigator. A signed informed consent document will be obtained prior to entry onto the study.</w:t>
      </w:r>
    </w:p>
    <w:p w14:paraId="369CD65B" w14:textId="0B5D12D1" w:rsidR="00B92B92" w:rsidRDefault="000660B8" w:rsidP="000660B8">
      <w:r w:rsidRPr="0056429E">
        <w:t xml:space="preserve">The initial consent process as well as re-consent, when required, may take place in person or remotely (e.g., via telephone or other NIH approved remote platforms </w:t>
      </w:r>
      <w:r w:rsidR="009B4BD8" w:rsidRPr="009B4BD8">
        <w:t xml:space="preserve">used in compliance with </w:t>
      </w:r>
      <w:r w:rsidR="001315B8">
        <w:t xml:space="preserve">local </w:t>
      </w:r>
      <w:r w:rsidR="009B4BD8" w:rsidRPr="009B4BD8">
        <w:t>policy</w:t>
      </w:r>
      <w:r w:rsidR="001315B8">
        <w:t>, including</w:t>
      </w:r>
      <w:r w:rsidR="009B4BD8" w:rsidRPr="009B4BD8">
        <w:t xml:space="preserve"> </w:t>
      </w:r>
      <w:r w:rsidR="00B92B92">
        <w:t>HRPP Policy 303</w:t>
      </w:r>
      <w:r w:rsidR="009B4BD8" w:rsidRPr="009B4BD8">
        <w:t>)</w:t>
      </w:r>
      <w:r w:rsidR="009B4BD8">
        <w:t xml:space="preserve"> </w:t>
      </w:r>
      <w:r w:rsidRPr="0056429E">
        <w:t>per discretion of the designated study investigator and with the agreement of the participant/consent designee(s).  Whether in person or remote, the privacy of the subject will be maintained. Consenting investigators (and participant/consent designee, when in person) will be located in a private area (e.g., clinic consult room). When consent is conducted remotely, the participant/consent designee will be informed of the private nature of the discussion and will be encouraged to relocate to a more private setting if needed.</w:t>
      </w:r>
      <w:r>
        <w:t xml:space="preserve"> </w:t>
      </w:r>
    </w:p>
    <w:p w14:paraId="4F8AF6E3" w14:textId="5A78F8E0" w:rsidR="000660B8" w:rsidRDefault="000660B8" w:rsidP="000660B8">
      <w:r>
        <w:t xml:space="preserve"> </w:t>
      </w:r>
      <w:r w:rsidR="00B92B92">
        <w:t>Note: When required, witness signature will be obtained similarly as described for the investigator and participant as described below.</w:t>
      </w:r>
    </w:p>
    <w:p w14:paraId="7E2F32D5" w14:textId="162943F6" w:rsidR="00F93A72" w:rsidRPr="00F93A72" w:rsidRDefault="00F93A72" w:rsidP="00F93A72">
      <w:pPr>
        <w:rPr>
          <w:rFonts w:eastAsia="Calibri"/>
        </w:rPr>
      </w:pPr>
      <w:r w:rsidRPr="00F93A72">
        <w:rPr>
          <w:rFonts w:eastAsia="Calibri"/>
        </w:rPr>
        <w:t xml:space="preserve">Consent will be documented with required signatures on the physical document (which includes the printout of an electronic document sent to participant) </w:t>
      </w:r>
      <w:r w:rsidRPr="00252EB4">
        <w:rPr>
          <w:rFonts w:eastAsia="Calibri"/>
        </w:rPr>
        <w:t>or on the electronic document.</w:t>
      </w:r>
      <w:r w:rsidRPr="00F93A72">
        <w:rPr>
          <w:rFonts w:eastAsia="Calibri"/>
        </w:rPr>
        <w:t xml:space="preserve">  </w:t>
      </w:r>
      <w:bookmarkStart w:id="364" w:name="_Hlk71298745"/>
      <w:r w:rsidRPr="00F93A72">
        <w:rPr>
          <w:rFonts w:eastAsia="Calibri"/>
        </w:rPr>
        <w:t xml:space="preserve">Signatures on electronic documents are described below.  Note: FDA only regulates electronic signatures (i.e., an electronic timestamp is generated at the time of signature) in FDA regulated research.  </w:t>
      </w:r>
      <w:bookmarkEnd w:id="364"/>
    </w:p>
    <w:p w14:paraId="4A2D01D9" w14:textId="77777777" w:rsidR="00D31B4B" w:rsidRPr="00D31B4B" w:rsidRDefault="00D31B4B" w:rsidP="00D31B4B">
      <w:pPr>
        <w:keepNext/>
        <w:jc w:val="both"/>
        <w:rPr>
          <w:rFonts w:eastAsia="Calibri"/>
          <w:sz w:val="22"/>
          <w:u w:val="single"/>
        </w:rPr>
      </w:pPr>
      <w:r w:rsidRPr="00D31B4B">
        <w:rPr>
          <w:rFonts w:eastAsia="Calibri"/>
          <w:u w:val="single"/>
        </w:rPr>
        <w:t>Manual (non-electronic) signature on electronic document</w:t>
      </w:r>
      <w:r w:rsidRPr="00D31B4B">
        <w:rPr>
          <w:rFonts w:eastAsia="Calibri"/>
        </w:rPr>
        <w:t>:</w:t>
      </w:r>
    </w:p>
    <w:p w14:paraId="3BACC975" w14:textId="77777777" w:rsidR="00D31B4B" w:rsidRPr="00D31B4B" w:rsidRDefault="00D31B4B" w:rsidP="00D31B4B">
      <w:pPr>
        <w:rPr>
          <w:rFonts w:eastAsia="Calibri"/>
        </w:rPr>
      </w:pPr>
      <w:r w:rsidRPr="00D31B4B">
        <w:rPr>
          <w:rFonts w:eastAsia="Calibri"/>
        </w:rPr>
        <w:t xml:space="preserve">When a manual signature on an electronic document is used for the documentation of consent at the NIH Clinical Center, this study will use the Adobe platform (which is not 21 CFR Part 11 compliant) to obtain the required signatures. </w:t>
      </w:r>
    </w:p>
    <w:p w14:paraId="6EB96F5C" w14:textId="77777777" w:rsidR="00D31B4B" w:rsidRPr="00D31B4B" w:rsidRDefault="00D31B4B" w:rsidP="00D31B4B">
      <w:pPr>
        <w:rPr>
          <w:rFonts w:eastAsia="Calibri"/>
        </w:rPr>
      </w:pPr>
      <w:r w:rsidRPr="00D31B4B">
        <w:rPr>
          <w:rFonts w:eastAsia="Calibri"/>
        </w:rPr>
        <w:t xml:space="preserve">During the consent process, participants and investigators will view individual copies of the approved consent document on screens at their respective locations.  </w:t>
      </w:r>
    </w:p>
    <w:p w14:paraId="5AF1FECD" w14:textId="77777777" w:rsidR="00D31B4B" w:rsidRPr="00D31B4B" w:rsidRDefault="00D31B4B" w:rsidP="00D31B4B">
      <w:pPr>
        <w:rPr>
          <w:rFonts w:eastAsia="Calibri"/>
          <w:sz w:val="22"/>
        </w:rPr>
      </w:pPr>
      <w:r w:rsidRPr="00D31B4B">
        <w:rPr>
          <w:rFonts w:eastAsia="Calibri"/>
          <w:color w:val="FF0000"/>
        </w:rPr>
        <w:t xml:space="preserve">Both the investigator and the subject will sign the document using a finger, stylus or mouse. </w:t>
      </w:r>
    </w:p>
    <w:p w14:paraId="0E7F96B0" w14:textId="77777777" w:rsidR="00D31B4B" w:rsidRPr="00D31B4B" w:rsidRDefault="00D31B4B" w:rsidP="00D31B4B">
      <w:pPr>
        <w:keepNext/>
        <w:rPr>
          <w:rFonts w:eastAsia="Calibri"/>
          <w:u w:val="single"/>
        </w:rPr>
      </w:pPr>
      <w:r w:rsidRPr="00D31B4B">
        <w:rPr>
          <w:rFonts w:eastAsia="Calibri"/>
          <w:u w:val="single"/>
        </w:rPr>
        <w:lastRenderedPageBreak/>
        <w:t>Electronic signature on electronic document</w:t>
      </w:r>
      <w:r w:rsidRPr="00D31B4B">
        <w:rPr>
          <w:rFonts w:eastAsia="Calibri"/>
        </w:rPr>
        <w:t>:</w:t>
      </w:r>
    </w:p>
    <w:p w14:paraId="4FC496A8" w14:textId="155B25E5" w:rsidR="00D31B4B" w:rsidRPr="00D31B4B" w:rsidRDefault="00D31B4B" w:rsidP="00D31B4B">
      <w:pPr>
        <w:rPr>
          <w:rFonts w:eastAsia="Calibri"/>
          <w:szCs w:val="24"/>
        </w:rPr>
      </w:pPr>
      <w:r w:rsidRPr="00D31B4B">
        <w:rPr>
          <w:rFonts w:eastAsia="Calibri"/>
          <w:szCs w:val="24"/>
        </w:rPr>
        <w:t>When permitted by the NIH Clinical Center,</w:t>
      </w:r>
      <w:r w:rsidRPr="00D31B4B">
        <w:rPr>
          <w:rFonts w:eastAsia="Calibri"/>
        </w:rPr>
        <w:t xml:space="preserve"> an electronic signature may be obtained using the iMedConsent platform to obtain the required signatures </w:t>
      </w:r>
      <w:r w:rsidRPr="00D31B4B">
        <w:rPr>
          <w:rFonts w:eastAsia="Calibri"/>
          <w:szCs w:val="24"/>
        </w:rPr>
        <w:t>once it is designated as 21 CFR Part 11 compliant.</w:t>
      </w:r>
    </w:p>
    <w:p w14:paraId="43D49820" w14:textId="77777777" w:rsidR="00D31B4B" w:rsidRPr="00D31B4B" w:rsidRDefault="00D31B4B" w:rsidP="00D31B4B">
      <w:pPr>
        <w:rPr>
          <w:rFonts w:eastAsia="Calibri"/>
        </w:rPr>
      </w:pPr>
      <w:r w:rsidRPr="00D31B4B">
        <w:rPr>
          <w:rFonts w:eastAsia="Calibri"/>
        </w:rPr>
        <w:t xml:space="preserve">During the consent process, participants and investigators will view individual copies of the approved consent document on screens at their respective locations.  </w:t>
      </w:r>
    </w:p>
    <w:p w14:paraId="4DDCEF72" w14:textId="77777777" w:rsidR="00D31B4B" w:rsidRPr="00D31B4B" w:rsidRDefault="00D31B4B" w:rsidP="00D31B4B">
      <w:pPr>
        <w:rPr>
          <w:rFonts w:eastAsia="Calibri"/>
        </w:rPr>
      </w:pPr>
      <w:r w:rsidRPr="00D31B4B">
        <w:rPr>
          <w:rFonts w:eastAsia="Calibri"/>
        </w:rPr>
        <w:t>The identity of the participant will be determined by a prompt which will require the provision of information from a form of government-issued identification prior to obtaining the signature.  If participant does not have such identification available, security questions will be used to confirm identity.</w:t>
      </w:r>
    </w:p>
    <w:p w14:paraId="6DF08B01" w14:textId="07B0CAF3" w:rsidR="00F93A72" w:rsidRPr="007A569A" w:rsidRDefault="00D31B4B" w:rsidP="000660B8">
      <w:pPr>
        <w:rPr>
          <w:rFonts w:eastAsia="Calibri"/>
          <w:szCs w:val="24"/>
        </w:rPr>
      </w:pPr>
      <w:r w:rsidRPr="00D31B4B">
        <w:rPr>
          <w:rFonts w:eastAsia="Calibri"/>
          <w:szCs w:val="24"/>
        </w:rPr>
        <w:t>Both the investigator and the subject will sign the document electronically per system prompts.</w:t>
      </w:r>
    </w:p>
    <w:p w14:paraId="1A1B22AF" w14:textId="4C9CEDF5" w:rsidR="00694646" w:rsidRDefault="00694646" w:rsidP="000660B8">
      <w:pPr>
        <w:rPr>
          <w:szCs w:val="24"/>
        </w:rPr>
      </w:pPr>
      <w:r>
        <w:rPr>
          <w:szCs w:val="24"/>
        </w:rPr>
        <w:t>For the</w:t>
      </w:r>
      <w:r w:rsidRPr="007E017C">
        <w:rPr>
          <w:szCs w:val="24"/>
        </w:rPr>
        <w:t xml:space="preserve"> optional </w:t>
      </w:r>
      <w:r>
        <w:rPr>
          <w:szCs w:val="24"/>
        </w:rPr>
        <w:t>research biopsies</w:t>
      </w:r>
      <w:r w:rsidRPr="007E017C">
        <w:rPr>
          <w:szCs w:val="24"/>
        </w:rPr>
        <w:t xml:space="preserve"> in the protocol, the patient will consent at the time of the procedure.</w:t>
      </w:r>
      <w:r>
        <w:rPr>
          <w:szCs w:val="24"/>
        </w:rPr>
        <w:t xml:space="preserve"> </w:t>
      </w:r>
      <w:r w:rsidRPr="007E017C">
        <w:rPr>
          <w:szCs w:val="24"/>
        </w:rPr>
        <w:t>If the patient refuses the optional biopsy at that time, the refusal will be documented in the medical record and in the research record.</w:t>
      </w:r>
    </w:p>
    <w:p w14:paraId="3817A709" w14:textId="77777777" w:rsidR="00116C14" w:rsidRPr="00116C14" w:rsidRDefault="00116C14" w:rsidP="00116C14">
      <w:pPr>
        <w:pStyle w:val="Heading3"/>
      </w:pPr>
      <w:bookmarkStart w:id="365" w:name="_Ref55200664"/>
      <w:bookmarkStart w:id="366" w:name="_Toc61361877"/>
      <w:r w:rsidRPr="00116C14">
        <w:t>Consent Process for Adults Who Lack Capacity to Consent to Research Participation</w:t>
      </w:r>
      <w:bookmarkEnd w:id="365"/>
      <w:bookmarkEnd w:id="366"/>
    </w:p>
    <w:p w14:paraId="3B61A57F" w14:textId="631377A7" w:rsidR="00116C14" w:rsidRDefault="0038203C" w:rsidP="000660B8">
      <w:r w:rsidRPr="0038203C">
        <w:t xml:space="preserve">For participants addressed in section </w:t>
      </w:r>
      <w:r w:rsidR="00C9513E" w:rsidRPr="00C9513E">
        <w:rPr>
          <w:b/>
          <w:bCs/>
          <w:color w:val="0000FF"/>
        </w:rPr>
        <w:fldChar w:fldCharType="begin"/>
      </w:r>
      <w:r w:rsidR="00C9513E" w:rsidRPr="00C9513E">
        <w:rPr>
          <w:b/>
          <w:bCs/>
          <w:color w:val="0000FF"/>
        </w:rPr>
        <w:instrText xml:space="preserve"> REF _Ref468091895 \n \h  \* MERGEFORMAT </w:instrText>
      </w:r>
      <w:r w:rsidR="00C9513E" w:rsidRPr="00C9513E">
        <w:rPr>
          <w:b/>
          <w:bCs/>
          <w:color w:val="0000FF"/>
        </w:rPr>
      </w:r>
      <w:r w:rsidR="00C9513E" w:rsidRPr="00C9513E">
        <w:rPr>
          <w:b/>
          <w:bCs/>
          <w:color w:val="0000FF"/>
        </w:rPr>
        <w:fldChar w:fldCharType="separate"/>
      </w:r>
      <w:r w:rsidR="00C9513E" w:rsidRPr="00C9513E">
        <w:rPr>
          <w:b/>
          <w:bCs/>
          <w:color w:val="0000FF"/>
        </w:rPr>
        <w:t>13.3</w:t>
      </w:r>
      <w:r w:rsidR="00C9513E" w:rsidRPr="00C9513E">
        <w:rPr>
          <w:b/>
          <w:bCs/>
          <w:color w:val="0000FF"/>
        </w:rPr>
        <w:fldChar w:fldCharType="end"/>
      </w:r>
      <w:r w:rsidRPr="0038203C">
        <w:t>, a</w:t>
      </w:r>
      <w:r w:rsidR="00595C7F">
        <w:t>n</w:t>
      </w:r>
      <w:r w:rsidRPr="0038203C">
        <w:t xml:space="preserve"> LAR will be identified consistent with Policy 403 and informed consent obtained from the LAR, as described in Section </w:t>
      </w:r>
      <w:r w:rsidR="00521765" w:rsidRPr="00521765">
        <w:rPr>
          <w:b/>
          <w:bCs/>
          <w:color w:val="0000FF"/>
        </w:rPr>
        <w:fldChar w:fldCharType="begin"/>
      </w:r>
      <w:r w:rsidR="00521765" w:rsidRPr="00521765">
        <w:rPr>
          <w:b/>
          <w:bCs/>
          <w:color w:val="0000FF"/>
        </w:rPr>
        <w:instrText xml:space="preserve"> REF _Ref67519466 \n \h  \* MERGEFORMAT </w:instrText>
      </w:r>
      <w:r w:rsidR="00521765" w:rsidRPr="00521765">
        <w:rPr>
          <w:b/>
          <w:bCs/>
          <w:color w:val="0000FF"/>
        </w:rPr>
      </w:r>
      <w:r w:rsidR="00521765" w:rsidRPr="00521765">
        <w:rPr>
          <w:b/>
          <w:bCs/>
          <w:color w:val="0000FF"/>
        </w:rPr>
        <w:fldChar w:fldCharType="separate"/>
      </w:r>
      <w:r w:rsidR="00521765" w:rsidRPr="00521765">
        <w:rPr>
          <w:b/>
          <w:bCs/>
          <w:color w:val="0000FF"/>
        </w:rPr>
        <w:t>13.6</w:t>
      </w:r>
      <w:r w:rsidR="00521765" w:rsidRPr="00521765">
        <w:rPr>
          <w:b/>
          <w:bCs/>
          <w:color w:val="0000FF"/>
        </w:rPr>
        <w:fldChar w:fldCharType="end"/>
      </w:r>
      <w:r w:rsidRPr="0038203C">
        <w:t>.</w:t>
      </w:r>
    </w:p>
    <w:p w14:paraId="5A799622" w14:textId="77777777" w:rsidR="008B2EC1" w:rsidRPr="008B2EC1" w:rsidRDefault="008B2EC1" w:rsidP="000C1D10">
      <w:pPr>
        <w:pStyle w:val="Heading3"/>
      </w:pPr>
      <w:bookmarkStart w:id="367" w:name="_Ref500757284"/>
      <w:bookmarkStart w:id="368" w:name="_Toc531258730"/>
      <w:bookmarkStart w:id="369" w:name="_Toc10120827"/>
      <w:r w:rsidRPr="008B2EC1">
        <w:t>Request for Waiver of Consent for Screening Activities</w:t>
      </w:r>
      <w:bookmarkEnd w:id="367"/>
      <w:bookmarkEnd w:id="368"/>
      <w:bookmarkEnd w:id="369"/>
    </w:p>
    <w:p w14:paraId="695438DE" w14:textId="7680589F" w:rsidR="006144A6" w:rsidRDefault="006144A6" w:rsidP="006144A6">
      <w:r>
        <w:t xml:space="preserve">Prior to the subject signing the consent for this study pre-screening activities listed in section </w:t>
      </w:r>
      <w:r w:rsidR="00864676" w:rsidRPr="00864676">
        <w:rPr>
          <w:b/>
          <w:color w:val="0000FF"/>
        </w:rPr>
        <w:fldChar w:fldCharType="begin"/>
      </w:r>
      <w:r w:rsidR="00864676" w:rsidRPr="00864676">
        <w:rPr>
          <w:b/>
          <w:color w:val="0000FF"/>
        </w:rPr>
        <w:instrText xml:space="preserve"> REF _Ref42775845 \n \h  \* MERGEFORMAT </w:instrText>
      </w:r>
      <w:r w:rsidR="00864676" w:rsidRPr="00864676">
        <w:rPr>
          <w:b/>
          <w:color w:val="0000FF"/>
        </w:rPr>
      </w:r>
      <w:r w:rsidR="00864676" w:rsidRPr="00864676">
        <w:rPr>
          <w:b/>
          <w:color w:val="0000FF"/>
        </w:rPr>
        <w:fldChar w:fldCharType="separate"/>
      </w:r>
      <w:r w:rsidR="00E47ACA">
        <w:rPr>
          <w:b/>
          <w:color w:val="0000FF"/>
        </w:rPr>
        <w:t>2.7.1</w:t>
      </w:r>
      <w:r w:rsidR="00864676" w:rsidRPr="00864676">
        <w:rPr>
          <w:b/>
          <w:color w:val="0000FF"/>
        </w:rPr>
        <w:fldChar w:fldCharType="end"/>
      </w:r>
      <w:r w:rsidRPr="00864676">
        <w:rPr>
          <w:b/>
          <w:color w:val="0000FF"/>
        </w:rPr>
        <w:t xml:space="preserve"> </w:t>
      </w:r>
      <w:r w:rsidRPr="008D323A">
        <w:t xml:space="preserve">may be performed. </w:t>
      </w:r>
    </w:p>
    <w:p w14:paraId="3FF6C125" w14:textId="666A76D9" w:rsidR="002C654C" w:rsidRDefault="006144A6" w:rsidP="006144A6">
      <w:pPr>
        <w:spacing w:after="0"/>
      </w:pPr>
      <w:r>
        <w:t>We request a waiver of consent for these activities as they involve only minimal risk to the subjects.  A waiver will not adversely affect the rights and welfare of the subjects given that the activities are only intended to determine suitability for screening for participation in research protocols.  These activities could not practicably be carried out without the wavier as central recruiting services, utilized in the NIH Clinical Center, perform pre-screening activities for multiple studies and obtaining consent for each one is beyond their resources.  The subjects will be provided with additional pertinent information after participation as they will be informed whether or not they are eligible to sign a consent for additional screening</w:t>
      </w:r>
      <w:r w:rsidR="001315B8">
        <w:t>.</w:t>
      </w:r>
    </w:p>
    <w:p w14:paraId="1D5E4C8F" w14:textId="77777777" w:rsidR="001315B8" w:rsidRPr="007A3223" w:rsidRDefault="001315B8" w:rsidP="006144A6">
      <w:pPr>
        <w:spacing w:after="0"/>
        <w:rPr>
          <w:szCs w:val="24"/>
        </w:rPr>
      </w:pPr>
    </w:p>
    <w:p w14:paraId="785C6FEB" w14:textId="77777777" w:rsidR="00EE484C" w:rsidRPr="007A3223" w:rsidRDefault="00EE484C" w:rsidP="00ED703B">
      <w:pPr>
        <w:pStyle w:val="Heading2"/>
      </w:pPr>
      <w:bookmarkStart w:id="370" w:name="_Toc82444411"/>
      <w:r w:rsidRPr="007A3223">
        <w:t>Study Documentation</w:t>
      </w:r>
      <w:bookmarkEnd w:id="370"/>
    </w:p>
    <w:p w14:paraId="0F162534" w14:textId="12CDB8C0" w:rsidR="00EE484C" w:rsidRDefault="00EE484C" w:rsidP="006B6FE9">
      <w:r w:rsidRPr="007A3223">
        <w:t>The investigator must prepare and maintain adequate and accurate case histories designed to record all observations and other data pertinent to the study for each research participant. This</w:t>
      </w:r>
      <w:r w:rsidR="001315B8">
        <w:t xml:space="preserve"> </w:t>
      </w:r>
      <w:r w:rsidRPr="007A3223">
        <w:t>information enables the study to be fully documented and the study data to be subsequently</w:t>
      </w:r>
      <w:r w:rsidR="001315B8">
        <w:t xml:space="preserve"> </w:t>
      </w:r>
      <w:r w:rsidRPr="007A3223">
        <w:t>verified.</w:t>
      </w:r>
    </w:p>
    <w:p w14:paraId="023A59BD" w14:textId="77777777" w:rsidR="001315B8" w:rsidRPr="007A3223" w:rsidRDefault="001315B8" w:rsidP="006B6FE9"/>
    <w:p w14:paraId="490BB9C9" w14:textId="77777777" w:rsidR="00EE484C" w:rsidRPr="007A3223" w:rsidRDefault="00EE484C" w:rsidP="00ED703B">
      <w:pPr>
        <w:pStyle w:val="Heading2"/>
      </w:pPr>
      <w:bookmarkStart w:id="371" w:name="_Toc489625766"/>
      <w:bookmarkStart w:id="372" w:name="_Toc82444412"/>
      <w:bookmarkEnd w:id="371"/>
      <w:r w:rsidRPr="007A3223">
        <w:t>Records Retention</w:t>
      </w:r>
      <w:bookmarkEnd w:id="372"/>
    </w:p>
    <w:p w14:paraId="61E332CD" w14:textId="77777777" w:rsidR="00EE484C" w:rsidRPr="007A3223" w:rsidRDefault="00EE484C" w:rsidP="00EE484C">
      <w:pPr>
        <w:widowControl w:val="0"/>
        <w:autoSpaceDE w:val="0"/>
        <w:autoSpaceDN w:val="0"/>
        <w:adjustRightInd w:val="0"/>
        <w:spacing w:after="0"/>
        <w:rPr>
          <w:color w:val="000000"/>
          <w:szCs w:val="24"/>
        </w:rPr>
      </w:pPr>
      <w:r w:rsidRPr="007A3223">
        <w:rPr>
          <w:color w:val="000000"/>
          <w:szCs w:val="24"/>
        </w:rPr>
        <w:t>All study-related documents must be retained for the maximum period required by applicable federal regulations and guidelines or institutional policies.</w:t>
      </w:r>
    </w:p>
    <w:p w14:paraId="6420DA0E" w14:textId="77777777" w:rsidR="00F317F3" w:rsidRPr="007A3223" w:rsidRDefault="00F317F3" w:rsidP="00EE484C">
      <w:pPr>
        <w:widowControl w:val="0"/>
        <w:autoSpaceDE w:val="0"/>
        <w:autoSpaceDN w:val="0"/>
        <w:adjustRightInd w:val="0"/>
        <w:spacing w:after="0"/>
        <w:rPr>
          <w:szCs w:val="24"/>
        </w:rPr>
      </w:pPr>
    </w:p>
    <w:p w14:paraId="74FCE53D" w14:textId="77777777" w:rsidR="00021C7F" w:rsidRPr="00021C7F" w:rsidRDefault="00021C7F" w:rsidP="00021C7F">
      <w:pPr>
        <w:pStyle w:val="Heading1"/>
        <w:rPr>
          <w:rFonts w:hint="eastAsia"/>
        </w:rPr>
      </w:pPr>
      <w:bookmarkStart w:id="373" w:name="_Toc82444413"/>
      <w:r w:rsidRPr="00021C7F">
        <w:t>REGULATORY AND OPERATIONAL CONSIDERATIONS</w:t>
      </w:r>
      <w:bookmarkEnd w:id="373"/>
      <w:r w:rsidRPr="00021C7F">
        <w:t xml:space="preserve"> </w:t>
      </w:r>
    </w:p>
    <w:p w14:paraId="3609E71D" w14:textId="7282FEC9" w:rsidR="00021C7F" w:rsidRDefault="00FB66BA" w:rsidP="00FB66BA">
      <w:pPr>
        <w:pStyle w:val="Heading2"/>
      </w:pPr>
      <w:bookmarkStart w:id="374" w:name="_Toc82444414"/>
      <w:r w:rsidRPr="00FB66BA">
        <w:t>STUDY DISCONTINUATION AND CLOSURE</w:t>
      </w:r>
      <w:bookmarkEnd w:id="374"/>
    </w:p>
    <w:p w14:paraId="3FD02C4C" w14:textId="474D8429" w:rsidR="00AD6FAC" w:rsidRPr="00AD6FAC" w:rsidRDefault="00AD6FAC" w:rsidP="00AD6FAC">
      <w:pPr>
        <w:rPr>
          <w:lang w:val="x-none" w:eastAsia="x-none"/>
        </w:rPr>
      </w:pPr>
      <w:r w:rsidRPr="00AD6FAC">
        <w:rPr>
          <w:lang w:val="x-none" w:eastAsia="x-none"/>
        </w:rPr>
        <w:t>This study may be temporarily suspended or prematurely terminated if there is sufficient reasonable cause.  Written notification, documenting the reason for study suspension or termination, will be provided by the suspending or terminating party to study participants, investigator, funding agency, the Investigational New Drug (IND) sponsor and regulatory authorities.  If the study is prematurely terminated or suspended, the Principal Investigator (PI) will promptly inform study participants, the Institutional Review Board (IRB), and sponsor and will provide the reason(s) for the termination or suspension.  Study participants will be contacted, as applicable, and be informed of changes to study visit schedule.</w:t>
      </w:r>
    </w:p>
    <w:p w14:paraId="3040285E" w14:textId="79354BAE" w:rsidR="00AD6FAC" w:rsidRPr="00AD6FAC" w:rsidRDefault="00AD6FAC" w:rsidP="00AD6FAC">
      <w:pPr>
        <w:rPr>
          <w:lang w:val="x-none" w:eastAsia="x-none"/>
        </w:rPr>
      </w:pPr>
      <w:r w:rsidRPr="00AD6FAC">
        <w:rPr>
          <w:lang w:val="x-none" w:eastAsia="x-none"/>
        </w:rPr>
        <w:t>Circumstances that may warrant termination or suspension include, but are not limited to:</w:t>
      </w:r>
    </w:p>
    <w:p w14:paraId="28595FF0" w14:textId="4FBBBA96" w:rsidR="00AD6FAC" w:rsidRPr="00A45FF2" w:rsidRDefault="00AD6FAC" w:rsidP="00A45FF2">
      <w:pPr>
        <w:pStyle w:val="ListParagraph"/>
        <w:numPr>
          <w:ilvl w:val="0"/>
          <w:numId w:val="78"/>
        </w:numPr>
      </w:pPr>
      <w:r w:rsidRPr="00A45FF2">
        <w:t>Determination of unexpected, significant, or unacceptable risk to participants</w:t>
      </w:r>
    </w:p>
    <w:p w14:paraId="07C24019" w14:textId="202AA9CF" w:rsidR="00AD6FAC" w:rsidRPr="00A45FF2" w:rsidRDefault="00AD6FAC" w:rsidP="00A45FF2">
      <w:pPr>
        <w:pStyle w:val="ListParagraph"/>
        <w:numPr>
          <w:ilvl w:val="0"/>
          <w:numId w:val="78"/>
        </w:numPr>
      </w:pPr>
      <w:r w:rsidRPr="00A45FF2">
        <w:t xml:space="preserve">Demonstration of efficacy that would warrant stopping   </w:t>
      </w:r>
    </w:p>
    <w:p w14:paraId="4221C49E" w14:textId="42B4FD44" w:rsidR="00AD6FAC" w:rsidRPr="00477B88" w:rsidRDefault="00AD6FAC" w:rsidP="00A45FF2">
      <w:pPr>
        <w:pStyle w:val="ListParagraph"/>
        <w:numPr>
          <w:ilvl w:val="0"/>
          <w:numId w:val="78"/>
        </w:numPr>
      </w:pPr>
      <w:r w:rsidRPr="00477B88">
        <w:t>Insufficient compliance to protocol requirements</w:t>
      </w:r>
    </w:p>
    <w:p w14:paraId="2480AA75" w14:textId="02D9AF13" w:rsidR="00AD6FAC" w:rsidRPr="000A524C" w:rsidRDefault="00AD6FAC" w:rsidP="00A45FF2">
      <w:pPr>
        <w:pStyle w:val="ListParagraph"/>
        <w:numPr>
          <w:ilvl w:val="0"/>
          <w:numId w:val="78"/>
        </w:numPr>
      </w:pPr>
      <w:r w:rsidRPr="000A524C">
        <w:t>Data that are not sufficiently complete and/or evaluable</w:t>
      </w:r>
    </w:p>
    <w:p w14:paraId="771801CC" w14:textId="183FAB88" w:rsidR="00AD6FAC" w:rsidRPr="005F5522" w:rsidRDefault="00AD6FAC" w:rsidP="00A45FF2">
      <w:pPr>
        <w:pStyle w:val="ListParagraph"/>
        <w:numPr>
          <w:ilvl w:val="0"/>
          <w:numId w:val="78"/>
        </w:numPr>
      </w:pPr>
      <w:r w:rsidRPr="005F5522">
        <w:t>Determination that the primary endpoint has been met</w:t>
      </w:r>
    </w:p>
    <w:p w14:paraId="6F09F142" w14:textId="7358CB60" w:rsidR="00AD6FAC" w:rsidRPr="008E27C1" w:rsidRDefault="00AD6FAC" w:rsidP="00A45FF2">
      <w:pPr>
        <w:pStyle w:val="ListParagraph"/>
        <w:numPr>
          <w:ilvl w:val="0"/>
          <w:numId w:val="78"/>
        </w:numPr>
      </w:pPr>
      <w:r w:rsidRPr="008E27C1">
        <w:t>Determination of futility</w:t>
      </w:r>
    </w:p>
    <w:p w14:paraId="267556D6" w14:textId="4C8726B0" w:rsidR="00AD6FAC" w:rsidRDefault="00AD6FAC" w:rsidP="00670214">
      <w:pPr>
        <w:rPr>
          <w:lang w:val="x-none" w:eastAsia="x-none"/>
        </w:rPr>
      </w:pPr>
      <w:r w:rsidRPr="00AD6FAC">
        <w:rPr>
          <w:lang w:val="x-none" w:eastAsia="x-none"/>
        </w:rPr>
        <w:t>Study may resume once concerns about safety, protocol compliance, and data quality are addressed, and satisfy the sponsor, IRB and as applicable, Food and Drug Administration (FDA).</w:t>
      </w:r>
    </w:p>
    <w:p w14:paraId="77E40A79" w14:textId="77777777" w:rsidR="001315B8" w:rsidRDefault="001315B8" w:rsidP="00670214">
      <w:pPr>
        <w:rPr>
          <w:lang w:val="x-none" w:eastAsia="x-none"/>
        </w:rPr>
      </w:pPr>
    </w:p>
    <w:p w14:paraId="26226A2B" w14:textId="28C4B95C" w:rsidR="00477B88" w:rsidRDefault="00477B88" w:rsidP="00477B88">
      <w:pPr>
        <w:pStyle w:val="Heading2"/>
      </w:pPr>
      <w:bookmarkStart w:id="375" w:name="_Toc82444415"/>
      <w:r w:rsidRPr="00477B88">
        <w:t>QUALITY ASSURANCE AND QUALITY CONTROL</w:t>
      </w:r>
      <w:bookmarkEnd w:id="375"/>
    </w:p>
    <w:p w14:paraId="06BFFD99" w14:textId="0DFF6DAC" w:rsidR="00A20351" w:rsidRPr="00A20351" w:rsidRDefault="001315B8" w:rsidP="00A20351">
      <w:pPr>
        <w:rPr>
          <w:lang w:val="x-none" w:eastAsia="x-none"/>
        </w:rPr>
      </w:pPr>
      <w:r>
        <w:rPr>
          <w:lang w:eastAsia="x-none"/>
        </w:rPr>
        <w:t>The</w:t>
      </w:r>
      <w:r w:rsidR="00A20351" w:rsidRPr="00A20351">
        <w:rPr>
          <w:lang w:val="x-none" w:eastAsia="x-none"/>
        </w:rPr>
        <w:t xml:space="preserve"> clinical site will perform internal quality management of study conduct, data and biological specimen collection, documentation and completion.  An individualized quality management plan will be developed to describe a site’s quality management.</w:t>
      </w:r>
    </w:p>
    <w:p w14:paraId="0E709886" w14:textId="77777777" w:rsidR="00A20351" w:rsidRPr="00A20351" w:rsidRDefault="00A20351" w:rsidP="00A20351">
      <w:pPr>
        <w:rPr>
          <w:lang w:val="x-none" w:eastAsia="x-none"/>
        </w:rPr>
      </w:pPr>
      <w:r w:rsidRPr="00A20351">
        <w:rPr>
          <w:lang w:val="x-none" w:eastAsia="x-none"/>
        </w:rPr>
        <w:t>Quality control (QC) procedures will be implemented beginning with the data entry system and data QC checks that will be run on the database will be generated. Any missing data or data anomalies will be communicated to the site(s) for clarification/resolution.</w:t>
      </w:r>
    </w:p>
    <w:p w14:paraId="1097FA2A" w14:textId="77777777" w:rsidR="00A20351" w:rsidRPr="00A20351" w:rsidRDefault="00A20351" w:rsidP="00A20351">
      <w:pPr>
        <w:rPr>
          <w:lang w:val="x-none" w:eastAsia="x-none"/>
        </w:rPr>
      </w:pPr>
      <w:r w:rsidRPr="00A20351">
        <w:rPr>
          <w:lang w:val="x-none" w:eastAsia="x-none"/>
        </w:rPr>
        <w:t xml:space="preserve">Following written Standard Operating Procedures (SOPs), the monitors will verify that the clinical trial is conducted and data are generated and biological specimens are collected, documented (recorded), and reported in compliance with the protocol, International Conference on Harmonisation Good Clinical Practice (ICH GCP), and applicable regulatory requirements (e.g., Good Laboratory Practices (GLP), Good Manufacturing Practices (GMP)). </w:t>
      </w:r>
    </w:p>
    <w:p w14:paraId="1E07CC20" w14:textId="59DB7196" w:rsidR="00652824" w:rsidRDefault="00A20351" w:rsidP="00A20351">
      <w:pPr>
        <w:rPr>
          <w:lang w:val="x-none" w:eastAsia="x-none"/>
        </w:rPr>
      </w:pPr>
      <w:r w:rsidRPr="00A20351">
        <w:rPr>
          <w:lang w:val="x-none" w:eastAsia="x-none"/>
        </w:rPr>
        <w:t>The investigational site will provide direct access to all trial related sites, source data/documents, and reports for the purpose of monitoring and auditing by the sponsor, and inspection by local and regulatory authorities.</w:t>
      </w:r>
    </w:p>
    <w:p w14:paraId="52A15E2F" w14:textId="77777777" w:rsidR="001315B8" w:rsidRDefault="001315B8" w:rsidP="00A20351">
      <w:pPr>
        <w:rPr>
          <w:lang w:val="x-none" w:eastAsia="x-none"/>
        </w:rPr>
      </w:pPr>
    </w:p>
    <w:p w14:paraId="4B6CA3B3" w14:textId="06BE3BAE" w:rsidR="000A524C" w:rsidRDefault="000A524C" w:rsidP="000A524C">
      <w:pPr>
        <w:pStyle w:val="Heading2"/>
      </w:pPr>
      <w:bookmarkStart w:id="376" w:name="_Toc82444416"/>
      <w:r w:rsidRPr="000A524C">
        <w:lastRenderedPageBreak/>
        <w:t>CONFLICT OF INTEREST POLICY</w:t>
      </w:r>
      <w:bookmarkEnd w:id="376"/>
    </w:p>
    <w:p w14:paraId="4B043649" w14:textId="13A710FC" w:rsidR="000A524C" w:rsidRDefault="000A524C" w:rsidP="000A524C">
      <w:pPr>
        <w:rPr>
          <w:lang w:val="x-none" w:eastAsia="x-none"/>
        </w:rPr>
      </w:pPr>
      <w:r w:rsidRPr="000A524C">
        <w:rPr>
          <w:lang w:val="x-none" w:eastAsia="x-none"/>
        </w:rPr>
        <w:t>The independence of this study from any actual or perceived influence, such as by the pharmaceutical industry, is critical.  Therefore, any actual conflict of interest of persons who have a role in the design, conduct, analysis, publication, or any aspect of this trial will be disclosed and managed. Furthermore, persons who have a perceived conflict of interest will be required to have such conflicts managed in a way that is appropriate to their participation in the design and conduct of this trial.  The study leadership in conjunction with the National Cancer Institute has established policies and procedures for all study group members to disclose all conflicts of interest and will establish a mechanism for the management of all reported dualities of interest.</w:t>
      </w:r>
    </w:p>
    <w:p w14:paraId="0B435A35" w14:textId="77777777" w:rsidR="001315B8" w:rsidRDefault="001315B8" w:rsidP="000A524C">
      <w:pPr>
        <w:rPr>
          <w:lang w:val="x-none" w:eastAsia="x-none"/>
        </w:rPr>
      </w:pPr>
    </w:p>
    <w:p w14:paraId="3F439699" w14:textId="563F8A88" w:rsidR="000A524C" w:rsidRDefault="005F5522" w:rsidP="005F5522">
      <w:pPr>
        <w:pStyle w:val="Heading2"/>
      </w:pPr>
      <w:bookmarkStart w:id="377" w:name="_Toc82444417"/>
      <w:r w:rsidRPr="005F5522">
        <w:t>CONFIDENTIALITY AND PRIVACY</w:t>
      </w:r>
      <w:bookmarkEnd w:id="377"/>
    </w:p>
    <w:p w14:paraId="4EC9EEA9" w14:textId="77777777" w:rsidR="00492B03" w:rsidRPr="00492B03" w:rsidRDefault="00492B03" w:rsidP="00492B03">
      <w:pPr>
        <w:rPr>
          <w:lang w:val="x-none" w:eastAsia="x-none"/>
        </w:rPr>
      </w:pPr>
      <w:r w:rsidRPr="00492B03">
        <w:rPr>
          <w:lang w:val="x-none" w:eastAsia="x-none"/>
        </w:rPr>
        <w:t xml:space="preserve">Participant confidentiality and privacy is strictly held in trust by the participating investigators, their staff, and the sponsor(s). This confidentiality is extended to cover testing of biological samples and genetic tests in addition to the clinical information relating to participants. Therefore, the study protocol, documentation, data, and all other information generated will be held in strict confidence. No information concerning the study or the data will be released to any unauthorized third party without prior written approval of the sponsor. </w:t>
      </w:r>
    </w:p>
    <w:p w14:paraId="33D5ADA6" w14:textId="77777777" w:rsidR="00492B03" w:rsidRPr="00492B03" w:rsidRDefault="00492B03" w:rsidP="00492B03">
      <w:pPr>
        <w:rPr>
          <w:lang w:val="x-none" w:eastAsia="x-none"/>
        </w:rPr>
      </w:pPr>
      <w:r w:rsidRPr="00492B03">
        <w:rPr>
          <w:lang w:val="x-none" w:eastAsia="x-none"/>
        </w:rPr>
        <w:t>All research activities will be conducted in as private a setting as possible.</w:t>
      </w:r>
    </w:p>
    <w:p w14:paraId="2773947F" w14:textId="77777777" w:rsidR="00492B03" w:rsidRPr="00492B03" w:rsidRDefault="00492B03" w:rsidP="00492B03">
      <w:pPr>
        <w:rPr>
          <w:lang w:val="x-none" w:eastAsia="x-none"/>
        </w:rPr>
      </w:pPr>
      <w:r w:rsidRPr="00492B03">
        <w:rPr>
          <w:lang w:val="x-none" w:eastAsia="x-none"/>
        </w:rPr>
        <w:t>The study monitor, other authorized representatives of the sponsor, representatives of the Institutional Review Board (IRB), and/or regulatory agencies may inspect all documents and records required to be maintained by the investigator, including but not limited to, medical records (office, clinic, or hospital) and pharmacy records for the participants in this study. The clinical study site will permit access to such records.</w:t>
      </w:r>
    </w:p>
    <w:p w14:paraId="181481CA" w14:textId="77777777" w:rsidR="00492B03" w:rsidRPr="00492B03" w:rsidRDefault="00492B03" w:rsidP="00492B03">
      <w:pPr>
        <w:rPr>
          <w:lang w:val="x-none" w:eastAsia="x-none"/>
        </w:rPr>
      </w:pPr>
      <w:r w:rsidRPr="00492B03">
        <w:rPr>
          <w:lang w:val="x-none" w:eastAsia="x-none"/>
        </w:rPr>
        <w:t>The study participant’s contact information will be securely stored at the/each clinical site for internal use during the study. At the end of the study, all records will continue to be kept in a secure location for as long a period as dictated by the reviewing IRB, Institutional policies, or sponsor requirements.</w:t>
      </w:r>
    </w:p>
    <w:p w14:paraId="65C3D7F4" w14:textId="50373E97" w:rsidR="00492B03" w:rsidRPr="00492B03" w:rsidRDefault="00492B03" w:rsidP="00492B03">
      <w:pPr>
        <w:rPr>
          <w:lang w:val="x-none" w:eastAsia="x-none"/>
        </w:rPr>
      </w:pPr>
      <w:r w:rsidRPr="00492B03">
        <w:rPr>
          <w:lang w:val="x-none" w:eastAsia="x-none"/>
        </w:rPr>
        <w:t xml:space="preserve">Study participant research data, which is for purposes of statistical analysis and scientific reporting, will be stored </w:t>
      </w:r>
      <w:r w:rsidR="00975C0A">
        <w:rPr>
          <w:lang w:eastAsia="x-none"/>
        </w:rPr>
        <w:t>at the</w:t>
      </w:r>
      <w:r w:rsidRPr="00492B03">
        <w:rPr>
          <w:lang w:val="x-none" w:eastAsia="x-none"/>
        </w:rPr>
        <w:t xml:space="preserve"> NCI CCR. This will not include the participant’s contact or identifying information. Rather, individual participants and their research data will be identified by a unique study identification number. The study data entry and study management systems used by the NCI CCR</w:t>
      </w:r>
      <w:r w:rsidR="00975C0A">
        <w:rPr>
          <w:lang w:eastAsia="x-none"/>
        </w:rPr>
        <w:t xml:space="preserve"> </w:t>
      </w:r>
      <w:r w:rsidRPr="00492B03">
        <w:rPr>
          <w:lang w:val="x-none" w:eastAsia="x-none"/>
        </w:rPr>
        <w:t>research staff will be secured and password protected. At the end of the study, all study databases will be archived at the</w:t>
      </w:r>
      <w:r w:rsidR="00975C0A">
        <w:rPr>
          <w:lang w:eastAsia="x-none"/>
        </w:rPr>
        <w:t xml:space="preserve"> </w:t>
      </w:r>
      <w:r w:rsidRPr="00492B03">
        <w:rPr>
          <w:lang w:val="x-none" w:eastAsia="x-none"/>
        </w:rPr>
        <w:t>NIH.</w:t>
      </w:r>
    </w:p>
    <w:p w14:paraId="5EB279B7" w14:textId="3C3C82A0" w:rsidR="005F5522" w:rsidRDefault="00492B03" w:rsidP="00492B03">
      <w:pPr>
        <w:rPr>
          <w:lang w:val="x-none" w:eastAsia="x-none"/>
        </w:rPr>
      </w:pPr>
      <w:r w:rsidRPr="00492B03">
        <w:rPr>
          <w:lang w:val="x-none" w:eastAsia="x-none"/>
        </w:rPr>
        <w:t xml:space="preserve">To further protect the privacy of study participants, a Certificate of Confidentiality has been issued by the National Institutes of Health (NIH).  This certificate protects identifiable research information from forced disclosure. It allows the investigator and others who have access to research records to refuse to disclose identifying information on research participation in any civil, criminal, administrative, legislative, or other proceeding, whether at the federal, state, or local level. By protecting researchers and institutions from being compelled to disclose information that would identify research participants, Certificates of Confidentiality help achieve </w:t>
      </w:r>
      <w:r w:rsidRPr="00492B03">
        <w:rPr>
          <w:lang w:val="x-none" w:eastAsia="x-none"/>
        </w:rPr>
        <w:lastRenderedPageBreak/>
        <w:t>the research objectives and promote participation in studies by helping assure confidentiality and privacy to participants.</w:t>
      </w:r>
    </w:p>
    <w:p w14:paraId="786C130E" w14:textId="77777777" w:rsidR="001315B8" w:rsidRPr="005F5522" w:rsidRDefault="001315B8" w:rsidP="00492B03">
      <w:pPr>
        <w:rPr>
          <w:lang w:val="x-none" w:eastAsia="x-none"/>
        </w:rPr>
      </w:pPr>
    </w:p>
    <w:p w14:paraId="5B5A4764" w14:textId="42CFB970" w:rsidR="00F22C15" w:rsidRPr="007A3223" w:rsidRDefault="00F22C15" w:rsidP="00D20197">
      <w:pPr>
        <w:pStyle w:val="Heading1"/>
        <w:rPr>
          <w:rFonts w:hint="eastAsia"/>
        </w:rPr>
      </w:pPr>
      <w:bookmarkStart w:id="378" w:name="_Toc82444418"/>
      <w:r w:rsidRPr="007A3223">
        <w:t>PHARMACEUTICAL INFORMATION: DRUG Formulation and administration</w:t>
      </w:r>
      <w:bookmarkEnd w:id="378"/>
      <w:r w:rsidRPr="007A3223">
        <w:t xml:space="preserve">  </w:t>
      </w:r>
    </w:p>
    <w:p w14:paraId="3171AE48" w14:textId="6C043B6F" w:rsidR="00C57E5C" w:rsidRPr="007A3223" w:rsidRDefault="00AB1C3A" w:rsidP="00ED703B">
      <w:pPr>
        <w:pStyle w:val="Heading2"/>
      </w:pPr>
      <w:bookmarkStart w:id="379" w:name="_Toc82444419"/>
      <w:r>
        <w:rPr>
          <w:lang w:val="en-US"/>
        </w:rPr>
        <w:t>Durvalumab</w:t>
      </w:r>
      <w:bookmarkEnd w:id="379"/>
      <w:r w:rsidR="00F22C15" w:rsidRPr="007A3223">
        <w:t xml:space="preserve"> </w:t>
      </w:r>
    </w:p>
    <w:p w14:paraId="7137C9A9" w14:textId="77777777" w:rsidR="002D3A69" w:rsidRPr="007A3223" w:rsidRDefault="002D3A69" w:rsidP="000C1D10">
      <w:pPr>
        <w:pStyle w:val="Heading3"/>
      </w:pPr>
      <w:r w:rsidRPr="007A3223">
        <w:t>Source</w:t>
      </w:r>
    </w:p>
    <w:p w14:paraId="04403981" w14:textId="7968FE1E" w:rsidR="00423B05" w:rsidRPr="007A3223" w:rsidRDefault="00AB1C3A" w:rsidP="006570B8">
      <w:r>
        <w:t>Durvalumab</w:t>
      </w:r>
      <w:r w:rsidR="00F22C15" w:rsidRPr="007A3223">
        <w:t xml:space="preserve"> will be supplied under a collaborative agreement with AstraZeneca, parent company of the agent manufacturer MedImmune</w:t>
      </w:r>
      <w:r w:rsidR="00D76A6C" w:rsidRPr="007A3223">
        <w:t>, and the NCI</w:t>
      </w:r>
      <w:r w:rsidR="00F22C15" w:rsidRPr="007A3223">
        <w:t>.</w:t>
      </w:r>
    </w:p>
    <w:p w14:paraId="00C46962" w14:textId="77777777" w:rsidR="000D1B26" w:rsidRPr="007A3223" w:rsidRDefault="000D1B26" w:rsidP="000C1D10">
      <w:pPr>
        <w:pStyle w:val="Heading3"/>
      </w:pPr>
      <w:bookmarkStart w:id="380" w:name="_Toc489625771"/>
      <w:bookmarkEnd w:id="380"/>
      <w:r w:rsidRPr="007A3223">
        <w:t>Toxicities</w:t>
      </w:r>
    </w:p>
    <w:p w14:paraId="0A0B7A72" w14:textId="77777777" w:rsidR="00F22C15" w:rsidRPr="007A3223" w:rsidRDefault="00F22C15" w:rsidP="003B6D45">
      <w:pPr>
        <w:pStyle w:val="Heading4"/>
        <w:rPr>
          <w:noProof w:val="0"/>
        </w:rPr>
      </w:pPr>
      <w:r w:rsidRPr="007A3223">
        <w:rPr>
          <w:noProof w:val="0"/>
        </w:rPr>
        <w:t>Identified Toxicities</w:t>
      </w:r>
    </w:p>
    <w:p w14:paraId="75651079" w14:textId="1518DDCC" w:rsidR="0034281A" w:rsidRPr="007A3223" w:rsidRDefault="0034281A" w:rsidP="006570B8">
      <w:r w:rsidRPr="007A3223">
        <w:t xml:space="preserve">Detailed safety data are available from a </w:t>
      </w:r>
      <w:r w:rsidR="006208E2">
        <w:t>Durvalumab</w:t>
      </w:r>
      <w:r w:rsidRPr="007A3223">
        <w:t xml:space="preserve"> monotherapy study, 10</w:t>
      </w:r>
      <w:r w:rsidR="004B583A" w:rsidRPr="007A3223">
        <w:rPr>
          <w:lang w:eastAsia="ko-KR"/>
        </w:rPr>
        <w:t xml:space="preserve"> </w:t>
      </w:r>
      <w:r w:rsidRPr="007A3223">
        <w:t xml:space="preserve">mg/kg every 2 weeks cohort (NCT01693562, </w:t>
      </w:r>
      <w:r w:rsidR="006208E2">
        <w:t>Durvalumab</w:t>
      </w:r>
      <w:r w:rsidR="0053127E" w:rsidRPr="007A3223">
        <w:t xml:space="preserve"> </w:t>
      </w:r>
      <w:r w:rsidRPr="007A3223">
        <w:t>IB</w:t>
      </w:r>
      <w:r w:rsidR="0053127E" w:rsidRPr="007A3223">
        <w:t xml:space="preserve"> V</w:t>
      </w:r>
      <w:r w:rsidR="004A7C54" w:rsidRPr="007A3223">
        <w:t>8</w:t>
      </w:r>
      <w:r w:rsidR="0053127E" w:rsidRPr="007A3223">
        <w:t>.0 201</w:t>
      </w:r>
      <w:r w:rsidR="004A7C54" w:rsidRPr="007A3223">
        <w:t>5</w:t>
      </w:r>
      <w:r w:rsidRPr="007A3223">
        <w:t xml:space="preserve">). Of the </w:t>
      </w:r>
      <w:r w:rsidR="004A7C54" w:rsidRPr="007A3223">
        <w:t>694</w:t>
      </w:r>
      <w:r w:rsidRPr="007A3223">
        <w:t xml:space="preserve"> patients treated in this cohort, the majority of AEs were </w:t>
      </w:r>
      <w:r w:rsidR="00D03BCF" w:rsidRPr="007A3223">
        <w:rPr>
          <w:lang w:eastAsia="ko-KR"/>
        </w:rPr>
        <w:t>g</w:t>
      </w:r>
      <w:r w:rsidRPr="007A3223">
        <w:t xml:space="preserve">rades 1 to 2 and manageable with optimal medical treatment. AEs (all grades) related to </w:t>
      </w:r>
      <w:r w:rsidR="006208E2">
        <w:t>Durvalumab</w:t>
      </w:r>
      <w:r w:rsidRPr="007A3223">
        <w:t xml:space="preserve"> in &gt; </w:t>
      </w:r>
      <w:r w:rsidR="004A7C54" w:rsidRPr="007A3223">
        <w:t>10</w:t>
      </w:r>
      <w:r w:rsidR="005675AB" w:rsidRPr="007A3223">
        <w:t xml:space="preserve"> </w:t>
      </w:r>
      <w:r w:rsidRPr="007A3223">
        <w:t xml:space="preserve">% of patients were fatigue, nausea, </w:t>
      </w:r>
      <w:r w:rsidR="004A7C54" w:rsidRPr="007A3223">
        <w:t>dyspnea, decreased appetite, cough, constipation, diarrhea and vomiting, pyrexia and back pain, and arthralgia</w:t>
      </w:r>
      <w:r w:rsidRPr="007A3223">
        <w:t xml:space="preserve">. Treatment-related </w:t>
      </w:r>
      <w:r w:rsidR="000D6DA9" w:rsidRPr="007A3223">
        <w:t>g</w:t>
      </w:r>
      <w:r w:rsidRPr="007A3223">
        <w:t xml:space="preserve">rade 3 AEs in </w:t>
      </w:r>
      <w:r w:rsidR="004A7C54" w:rsidRPr="007A3223">
        <w:t>10</w:t>
      </w:r>
      <w:r w:rsidRPr="007A3223">
        <w:t xml:space="preserve"> or more patients were </w:t>
      </w:r>
      <w:r w:rsidR="004A7C54" w:rsidRPr="007A3223">
        <w:t xml:space="preserve">dyspnea, pneumonia, sepsis, abdominal pain, pleural effusion, and dehydration. 25 patients (3.6%) had SAEs considered to be related to </w:t>
      </w:r>
      <w:r w:rsidR="006208E2">
        <w:t>Durvalumab</w:t>
      </w:r>
      <w:r w:rsidR="004A7C54" w:rsidRPr="007A3223">
        <w:t xml:space="preserve">. </w:t>
      </w:r>
      <w:r w:rsidR="006208E2">
        <w:t>Durvalumab</w:t>
      </w:r>
      <w:r w:rsidR="004A7C54" w:rsidRPr="007A3223">
        <w:t>-related SAEs in &gt; 2 patients were colitis and pneumonitis (3 patients each). A majority of the treatment-related SAEs were grade 3 or higher in severity and recovered with or without sequelae</w:t>
      </w:r>
      <w:r w:rsidRPr="007A3223">
        <w:t xml:space="preserve">. </w:t>
      </w:r>
    </w:p>
    <w:p w14:paraId="4135EBFA" w14:textId="5190D976" w:rsidR="004A7C54" w:rsidRPr="007A3223" w:rsidRDefault="004A7C54" w:rsidP="006570B8">
      <w:r w:rsidRPr="007A3223">
        <w:t xml:space="preserve">One patient died due to pneumonia considered to be related to </w:t>
      </w:r>
      <w:r w:rsidR="006208E2">
        <w:t>Durvalumab</w:t>
      </w:r>
      <w:r w:rsidRPr="007A3223">
        <w:t xml:space="preserve">. Before this fatal event of pneumonia, this patient experienced treatment-related to grade 4 pneumonitis and grade 3 pneumonia. A total of 76 patients (11%) treated with 10 mg/kg q2 weeks permanently discontinued </w:t>
      </w:r>
      <w:r w:rsidR="006208E2">
        <w:t>Durvalumab</w:t>
      </w:r>
      <w:r w:rsidRPr="007A3223">
        <w:t xml:space="preserve"> due to AEs; events that resulted in discontinuation of </w:t>
      </w:r>
      <w:r w:rsidR="006208E2">
        <w:t>Durvalumab</w:t>
      </w:r>
      <w:r w:rsidRPr="007A3223">
        <w:t xml:space="preserve"> in &gt; 2 subjects were general physical health deterioration (6 subjects), non-small cell lung cancer (5 subjects) and colitis (3 subjects).</w:t>
      </w:r>
    </w:p>
    <w:p w14:paraId="4CAABB59" w14:textId="4FC5FFB2" w:rsidR="0095082D" w:rsidRDefault="0053127E" w:rsidP="006570B8">
      <w:r w:rsidRPr="007A3223">
        <w:t xml:space="preserve">As with any antibody, allergic reactions to dose administration are possible. </w:t>
      </w:r>
      <w:r w:rsidR="0034281A" w:rsidRPr="007A3223">
        <w:t xml:space="preserve">Across multiple </w:t>
      </w:r>
      <w:r w:rsidR="006208E2">
        <w:t>Durvalumab</w:t>
      </w:r>
      <w:r w:rsidR="0034281A" w:rsidRPr="007A3223">
        <w:t xml:space="preserve"> </w:t>
      </w:r>
      <w:r w:rsidR="004A7C54" w:rsidRPr="007A3223">
        <w:t xml:space="preserve">monotherapy </w:t>
      </w:r>
      <w:r w:rsidR="0034281A" w:rsidRPr="007A3223">
        <w:t xml:space="preserve">trials, there have been few infusion related reactions related to </w:t>
      </w:r>
      <w:r w:rsidR="006208E2">
        <w:t>Durvalumab</w:t>
      </w:r>
      <w:r w:rsidR="0034281A" w:rsidRPr="007A3223">
        <w:t>, with an incidence of 0.8</w:t>
      </w:r>
      <w:r w:rsidR="005675AB" w:rsidRPr="007A3223">
        <w:t xml:space="preserve"> </w:t>
      </w:r>
      <w:r w:rsidR="0034281A" w:rsidRPr="007A3223">
        <w:t>% (</w:t>
      </w:r>
      <w:r w:rsidR="00507F1D" w:rsidRPr="007A3223">
        <w:t>10/1,265</w:t>
      </w:r>
      <w:r w:rsidR="0034281A" w:rsidRPr="007A3223">
        <w:t xml:space="preserve"> patients). </w:t>
      </w:r>
      <w:r w:rsidR="00507F1D" w:rsidRPr="007A3223">
        <w:t xml:space="preserve">The typical onset can be within 30 minutes to 2 hours after the initiation of drug infusion, although symptoms may be delayed for up to 24 hours. The majority of reactions occur after the first or second exposure to the agent but between 10% and 30% occur during subsequent treatments. </w:t>
      </w:r>
      <w:r w:rsidR="0034281A" w:rsidRPr="007A3223">
        <w:t xml:space="preserve">In the monotherapy study with </w:t>
      </w:r>
      <w:r w:rsidR="006208E2">
        <w:t>Durvalumab</w:t>
      </w:r>
      <w:r w:rsidR="0034281A" w:rsidRPr="007A3223">
        <w:t xml:space="preserve"> 10</w:t>
      </w:r>
      <w:r w:rsidR="005675AB" w:rsidRPr="007A3223">
        <w:t xml:space="preserve"> </w:t>
      </w:r>
      <w:r w:rsidR="0034281A" w:rsidRPr="007A3223">
        <w:t xml:space="preserve">mg/kg administered every 2 weeks, 5 infusion reactions were reported as </w:t>
      </w:r>
      <w:r w:rsidR="00B87BA5" w:rsidRPr="007A3223">
        <w:t>g</w:t>
      </w:r>
      <w:r w:rsidR="0034281A" w:rsidRPr="007A3223">
        <w:t xml:space="preserve">rade 2 and 3 events. In a combination study with </w:t>
      </w:r>
      <w:r w:rsidR="006208E2">
        <w:t>Durvalumab</w:t>
      </w:r>
      <w:r w:rsidR="0034281A" w:rsidRPr="007A3223">
        <w:t xml:space="preserve"> 3 mg/kg every 2 weeks and dabrafenib or trametinib, one patient had 2 infusion reactions, reportedly </w:t>
      </w:r>
      <w:r w:rsidR="00B87BA5" w:rsidRPr="007A3223">
        <w:t>g</w:t>
      </w:r>
      <w:r w:rsidR="0034281A" w:rsidRPr="007A3223">
        <w:t xml:space="preserve">rade 1 and 2. All events resolved, were nonserious, and were managed with standard clinical practice. </w:t>
      </w:r>
    </w:p>
    <w:p w14:paraId="336E7450" w14:textId="301AD56D" w:rsidR="002749B1" w:rsidRPr="00833455" w:rsidRDefault="00EA696E" w:rsidP="006570B8">
      <w:pPr>
        <w:rPr>
          <w:b/>
          <w:bCs/>
        </w:rPr>
      </w:pPr>
      <w:r w:rsidRPr="002749B1">
        <w:rPr>
          <w:b/>
          <w:bCs/>
        </w:rPr>
        <w:t>Durvalumab IB v16</w:t>
      </w:r>
      <w:r w:rsidR="00C20C29" w:rsidRPr="002749B1">
        <w:rPr>
          <w:b/>
          <w:bCs/>
        </w:rPr>
        <w:t xml:space="preserve"> </w:t>
      </w:r>
      <w:r w:rsidR="00655354">
        <w:rPr>
          <w:b/>
          <w:bCs/>
        </w:rPr>
        <w:t>Table 30 (</w:t>
      </w:r>
      <w:r w:rsidR="00C20C29" w:rsidRPr="002749B1">
        <w:rPr>
          <w:b/>
          <w:bCs/>
        </w:rPr>
        <w:t>for reference</w:t>
      </w:r>
      <w:r w:rsidR="00655354">
        <w:rPr>
          <w:b/>
          <w:bCs/>
        </w:rPr>
        <w:t>)</w:t>
      </w:r>
      <w:r w:rsidRPr="002749B1">
        <w:rPr>
          <w:b/>
          <w:bCs/>
        </w:rPr>
        <w:t>:</w:t>
      </w:r>
    </w:p>
    <w:tbl>
      <w:tblPr>
        <w:tblW w:w="5000"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1832"/>
        <w:gridCol w:w="2651"/>
        <w:gridCol w:w="2480"/>
        <w:gridCol w:w="1234"/>
        <w:gridCol w:w="1163"/>
      </w:tblGrid>
      <w:tr w:rsidR="002749B1" w:rsidRPr="00C20C29" w14:paraId="481DD5BF" w14:textId="77777777" w:rsidTr="005443AC">
        <w:trPr>
          <w:cantSplit/>
          <w:tblHeader/>
        </w:trPr>
        <w:tc>
          <w:tcPr>
            <w:tcW w:w="5000" w:type="pct"/>
            <w:gridSpan w:val="5"/>
            <w:tcBorders>
              <w:top w:val="nil"/>
              <w:left w:val="nil"/>
              <w:bottom w:val="single" w:sz="4" w:space="0" w:color="auto"/>
              <w:right w:val="nil"/>
            </w:tcBorders>
            <w:shd w:val="clear" w:color="auto" w:fill="auto"/>
            <w:tcMar>
              <w:left w:w="0" w:type="dxa"/>
            </w:tcMar>
          </w:tcPr>
          <w:p w14:paraId="2D0F8995" w14:textId="0FC70955" w:rsidR="002749B1" w:rsidRPr="00C20C29" w:rsidRDefault="002749B1" w:rsidP="003A5711">
            <w:pPr>
              <w:rPr>
                <w:b/>
                <w:lang w:val="en-GB"/>
              </w:rPr>
            </w:pPr>
            <w:bookmarkStart w:id="381" w:name="_Ref468962055"/>
            <w:bookmarkStart w:id="382" w:name="_Toc497215305"/>
            <w:bookmarkStart w:id="383" w:name="_Toc21414908"/>
            <w:bookmarkStart w:id="384" w:name="_Toc53073457"/>
            <w:bookmarkStart w:id="385" w:name="_Toc82444465"/>
            <w:r w:rsidRPr="0054061B">
              <w:rPr>
                <w:rFonts w:eastAsia="Times New Roman"/>
                <w:b/>
                <w:bCs/>
                <w:szCs w:val="20"/>
                <w:lang w:val="x-none" w:eastAsia="x-none"/>
              </w:rPr>
              <w:lastRenderedPageBreak/>
              <w:t xml:space="preserve">Table </w:t>
            </w:r>
            <w:r w:rsidRPr="0054061B">
              <w:rPr>
                <w:rFonts w:eastAsia="Times New Roman"/>
                <w:b/>
                <w:bCs/>
                <w:szCs w:val="20"/>
                <w:lang w:val="x-none" w:eastAsia="x-none"/>
              </w:rPr>
              <w:fldChar w:fldCharType="begin"/>
            </w:r>
            <w:r w:rsidRPr="0054061B">
              <w:rPr>
                <w:rFonts w:eastAsia="Times New Roman"/>
                <w:b/>
                <w:bCs/>
                <w:szCs w:val="20"/>
                <w:lang w:val="x-none" w:eastAsia="x-none"/>
              </w:rPr>
              <w:instrText xml:space="preserve"> SEQ Table \* ARABIC </w:instrText>
            </w:r>
            <w:r w:rsidRPr="0054061B">
              <w:rPr>
                <w:rFonts w:eastAsia="Times New Roman"/>
                <w:b/>
                <w:bCs/>
                <w:szCs w:val="20"/>
                <w:lang w:val="x-none" w:eastAsia="x-none"/>
              </w:rPr>
              <w:fldChar w:fldCharType="separate"/>
            </w:r>
            <w:r w:rsidR="0054061B">
              <w:rPr>
                <w:rFonts w:eastAsia="Times New Roman"/>
                <w:b/>
                <w:bCs/>
                <w:noProof/>
                <w:szCs w:val="20"/>
                <w:lang w:val="x-none" w:eastAsia="x-none"/>
              </w:rPr>
              <w:t>31</w:t>
            </w:r>
            <w:r w:rsidRPr="0054061B">
              <w:rPr>
                <w:rFonts w:eastAsia="Times New Roman"/>
                <w:b/>
                <w:bCs/>
                <w:szCs w:val="20"/>
                <w:lang w:val="x-none" w:eastAsia="x-none"/>
              </w:rPr>
              <w:fldChar w:fldCharType="end"/>
            </w:r>
            <w:bookmarkEnd w:id="381"/>
            <w:r w:rsidRPr="00C20C29">
              <w:rPr>
                <w:b/>
                <w:lang w:val="en-GB"/>
              </w:rPr>
              <w:tab/>
              <w:t>Frequency of ADRs for Durvalumab Monotherapy From Pooled Data Across Multiple Tumour Types (N=3006)</w:t>
            </w:r>
            <w:bookmarkEnd w:id="382"/>
            <w:bookmarkEnd w:id="383"/>
            <w:bookmarkEnd w:id="384"/>
            <w:bookmarkEnd w:id="385"/>
          </w:p>
        </w:tc>
      </w:tr>
      <w:tr w:rsidR="002749B1" w:rsidRPr="00C20C29" w14:paraId="656491BA" w14:textId="77777777" w:rsidTr="008E3EC3">
        <w:trPr>
          <w:cantSplit/>
          <w:tblHeader/>
        </w:trPr>
        <w:tc>
          <w:tcPr>
            <w:tcW w:w="979" w:type="pct"/>
            <w:tcBorders>
              <w:top w:val="single" w:sz="4" w:space="0" w:color="auto"/>
            </w:tcBorders>
            <w:shd w:val="clear" w:color="auto" w:fill="auto"/>
          </w:tcPr>
          <w:p w14:paraId="3B9DD834" w14:textId="77777777" w:rsidR="002749B1" w:rsidRPr="005443AC" w:rsidRDefault="002749B1" w:rsidP="003A5711">
            <w:pPr>
              <w:rPr>
                <w:b/>
                <w:sz w:val="20"/>
                <w:szCs w:val="20"/>
                <w:lang w:val="en-GB"/>
              </w:rPr>
            </w:pPr>
            <w:r w:rsidRPr="005443AC">
              <w:rPr>
                <w:b/>
                <w:sz w:val="20"/>
                <w:szCs w:val="20"/>
                <w:lang w:val="en-GB"/>
              </w:rPr>
              <w:t>SOC</w:t>
            </w:r>
          </w:p>
        </w:tc>
        <w:tc>
          <w:tcPr>
            <w:tcW w:w="1416" w:type="pct"/>
            <w:tcBorders>
              <w:top w:val="single" w:sz="4" w:space="0" w:color="auto"/>
            </w:tcBorders>
            <w:shd w:val="clear" w:color="auto" w:fill="auto"/>
          </w:tcPr>
          <w:p w14:paraId="317C183C" w14:textId="77777777" w:rsidR="002749B1" w:rsidRPr="005443AC" w:rsidRDefault="002749B1" w:rsidP="003A5711">
            <w:pPr>
              <w:rPr>
                <w:b/>
                <w:sz w:val="20"/>
                <w:szCs w:val="20"/>
                <w:lang w:val="en-GB"/>
              </w:rPr>
            </w:pPr>
            <w:r w:rsidRPr="005443AC">
              <w:rPr>
                <w:b/>
                <w:sz w:val="20"/>
                <w:szCs w:val="20"/>
                <w:lang w:val="en-GB"/>
              </w:rPr>
              <w:t>PT/medical concept</w:t>
            </w:r>
            <w:r w:rsidRPr="005443AC">
              <w:rPr>
                <w:b/>
                <w:sz w:val="20"/>
                <w:szCs w:val="20"/>
                <w:lang w:val="en-GB"/>
              </w:rPr>
              <w:br/>
              <w:t>MedDRA (v21.1)</w:t>
            </w:r>
          </w:p>
        </w:tc>
        <w:tc>
          <w:tcPr>
            <w:tcW w:w="1325" w:type="pct"/>
            <w:tcBorders>
              <w:top w:val="single" w:sz="4" w:space="0" w:color="auto"/>
            </w:tcBorders>
            <w:shd w:val="clear" w:color="auto" w:fill="auto"/>
          </w:tcPr>
          <w:p w14:paraId="00BA8B5F" w14:textId="77777777" w:rsidR="002749B1" w:rsidRPr="005443AC" w:rsidRDefault="002749B1" w:rsidP="003A5711">
            <w:pPr>
              <w:rPr>
                <w:b/>
                <w:sz w:val="20"/>
                <w:szCs w:val="20"/>
                <w:lang w:val="en-GB"/>
              </w:rPr>
            </w:pPr>
            <w:r w:rsidRPr="005443AC">
              <w:rPr>
                <w:b/>
                <w:sz w:val="20"/>
                <w:szCs w:val="20"/>
                <w:lang w:val="en-GB"/>
              </w:rPr>
              <w:t xml:space="preserve">CIOMS frequency indicator </w:t>
            </w:r>
            <w:r w:rsidRPr="005443AC">
              <w:rPr>
                <w:b/>
                <w:sz w:val="20"/>
                <w:szCs w:val="20"/>
                <w:vertAlign w:val="superscript"/>
                <w:lang w:val="en-GB"/>
              </w:rPr>
              <w:t>a</w:t>
            </w:r>
            <w:r w:rsidRPr="005443AC">
              <w:rPr>
                <w:b/>
                <w:sz w:val="20"/>
                <w:szCs w:val="20"/>
                <w:lang w:val="en-GB"/>
              </w:rPr>
              <w:t>/</w:t>
            </w:r>
            <w:r w:rsidRPr="005443AC">
              <w:rPr>
                <w:b/>
                <w:sz w:val="20"/>
                <w:szCs w:val="20"/>
                <w:lang w:val="en-GB"/>
              </w:rPr>
              <w:br/>
              <w:t xml:space="preserve">overall frequency all CTC grades </w:t>
            </w:r>
          </w:p>
        </w:tc>
        <w:tc>
          <w:tcPr>
            <w:tcW w:w="659" w:type="pct"/>
            <w:tcBorders>
              <w:top w:val="single" w:sz="4" w:space="0" w:color="auto"/>
            </w:tcBorders>
            <w:shd w:val="clear" w:color="auto" w:fill="auto"/>
          </w:tcPr>
          <w:p w14:paraId="0F815943" w14:textId="77777777" w:rsidR="002749B1" w:rsidRPr="005443AC" w:rsidRDefault="002749B1" w:rsidP="003A5711">
            <w:pPr>
              <w:rPr>
                <w:b/>
                <w:sz w:val="20"/>
                <w:szCs w:val="20"/>
                <w:lang w:val="en-GB"/>
              </w:rPr>
            </w:pPr>
            <w:r w:rsidRPr="005443AC">
              <w:rPr>
                <w:b/>
                <w:sz w:val="20"/>
                <w:szCs w:val="20"/>
                <w:lang w:val="en-GB"/>
              </w:rPr>
              <w:t>All CTCAE Grades</w:t>
            </w:r>
            <w:r w:rsidRPr="005443AC">
              <w:rPr>
                <w:b/>
                <w:sz w:val="20"/>
                <w:szCs w:val="20"/>
                <w:lang w:val="en-GB"/>
              </w:rPr>
              <w:br/>
              <w:t>n (%)</w:t>
            </w:r>
          </w:p>
        </w:tc>
        <w:tc>
          <w:tcPr>
            <w:tcW w:w="621" w:type="pct"/>
            <w:tcBorders>
              <w:top w:val="single" w:sz="4" w:space="0" w:color="auto"/>
            </w:tcBorders>
            <w:shd w:val="clear" w:color="auto" w:fill="auto"/>
          </w:tcPr>
          <w:p w14:paraId="704A1716" w14:textId="77777777" w:rsidR="002749B1" w:rsidRPr="005443AC" w:rsidRDefault="002749B1" w:rsidP="003A5711">
            <w:pPr>
              <w:rPr>
                <w:b/>
                <w:sz w:val="20"/>
                <w:szCs w:val="20"/>
                <w:lang w:val="en-GB"/>
              </w:rPr>
            </w:pPr>
            <w:r w:rsidRPr="005443AC">
              <w:rPr>
                <w:b/>
                <w:sz w:val="20"/>
                <w:szCs w:val="20"/>
                <w:lang w:val="en-GB"/>
              </w:rPr>
              <w:t>Grade 3 or 4</w:t>
            </w:r>
            <w:r w:rsidRPr="005443AC">
              <w:rPr>
                <w:b/>
                <w:sz w:val="20"/>
                <w:szCs w:val="20"/>
                <w:lang w:val="en-GB"/>
              </w:rPr>
              <w:br/>
              <w:t>n (%)</w:t>
            </w:r>
          </w:p>
        </w:tc>
      </w:tr>
      <w:tr w:rsidR="002749B1" w:rsidRPr="00C20C29" w14:paraId="3D5A5450" w14:textId="77777777" w:rsidTr="008E3EC3">
        <w:trPr>
          <w:cantSplit/>
        </w:trPr>
        <w:tc>
          <w:tcPr>
            <w:tcW w:w="979" w:type="pct"/>
            <w:vMerge w:val="restart"/>
            <w:shd w:val="clear" w:color="auto" w:fill="auto"/>
            <w:vAlign w:val="center"/>
          </w:tcPr>
          <w:p w14:paraId="5E377000" w14:textId="77777777" w:rsidR="002749B1" w:rsidRPr="005443AC" w:rsidRDefault="002749B1" w:rsidP="003A5711">
            <w:pPr>
              <w:rPr>
                <w:bCs/>
                <w:sz w:val="20"/>
                <w:szCs w:val="20"/>
                <w:lang w:val="en-GB"/>
              </w:rPr>
            </w:pPr>
            <w:r w:rsidRPr="005443AC">
              <w:rPr>
                <w:bCs/>
                <w:sz w:val="20"/>
                <w:szCs w:val="20"/>
                <w:lang w:val="en-GB"/>
              </w:rPr>
              <w:t>Respiratory, thoracic, and mediastinal disorders</w:t>
            </w:r>
          </w:p>
        </w:tc>
        <w:tc>
          <w:tcPr>
            <w:tcW w:w="1416" w:type="pct"/>
            <w:shd w:val="clear" w:color="auto" w:fill="auto"/>
          </w:tcPr>
          <w:p w14:paraId="0FD08B44" w14:textId="77777777" w:rsidR="002749B1" w:rsidRPr="005443AC" w:rsidRDefault="002749B1" w:rsidP="003A5711">
            <w:pPr>
              <w:rPr>
                <w:sz w:val="20"/>
                <w:szCs w:val="20"/>
                <w:lang w:val="en-GB"/>
              </w:rPr>
            </w:pPr>
            <w:r w:rsidRPr="005443AC">
              <w:rPr>
                <w:sz w:val="20"/>
                <w:szCs w:val="20"/>
                <w:lang w:val="en-GB"/>
              </w:rPr>
              <w:t>Cough/productive cough</w:t>
            </w:r>
          </w:p>
        </w:tc>
        <w:tc>
          <w:tcPr>
            <w:tcW w:w="1325" w:type="pct"/>
            <w:shd w:val="clear" w:color="auto" w:fill="auto"/>
          </w:tcPr>
          <w:p w14:paraId="4E7B6C52" w14:textId="77777777" w:rsidR="002749B1" w:rsidRPr="005443AC" w:rsidRDefault="002749B1" w:rsidP="003A5711">
            <w:pPr>
              <w:rPr>
                <w:sz w:val="20"/>
                <w:szCs w:val="20"/>
                <w:lang w:val="en-GB"/>
              </w:rPr>
            </w:pPr>
            <w:r w:rsidRPr="005443AC">
              <w:rPr>
                <w:sz w:val="20"/>
                <w:szCs w:val="20"/>
                <w:lang w:val="en-GB"/>
              </w:rPr>
              <w:t xml:space="preserve">Very common </w:t>
            </w:r>
          </w:p>
        </w:tc>
        <w:tc>
          <w:tcPr>
            <w:tcW w:w="659" w:type="pct"/>
            <w:shd w:val="clear" w:color="auto" w:fill="auto"/>
          </w:tcPr>
          <w:p w14:paraId="6FF75D9A" w14:textId="77777777" w:rsidR="002749B1" w:rsidRPr="005443AC" w:rsidRDefault="002749B1" w:rsidP="003A5711">
            <w:pPr>
              <w:rPr>
                <w:sz w:val="20"/>
                <w:szCs w:val="20"/>
                <w:lang w:val="en-GB"/>
              </w:rPr>
            </w:pPr>
            <w:r w:rsidRPr="005443AC">
              <w:rPr>
                <w:sz w:val="20"/>
                <w:szCs w:val="20"/>
                <w:lang w:val="en-GB"/>
              </w:rPr>
              <w:t>646 (21.5)</w:t>
            </w:r>
          </w:p>
        </w:tc>
        <w:tc>
          <w:tcPr>
            <w:tcW w:w="621" w:type="pct"/>
            <w:shd w:val="clear" w:color="auto" w:fill="auto"/>
          </w:tcPr>
          <w:p w14:paraId="7FCED8A6" w14:textId="77777777" w:rsidR="002749B1" w:rsidRPr="005443AC" w:rsidRDefault="002749B1" w:rsidP="003A5711">
            <w:pPr>
              <w:rPr>
                <w:sz w:val="20"/>
                <w:szCs w:val="20"/>
                <w:lang w:val="en-GB"/>
              </w:rPr>
            </w:pPr>
            <w:r w:rsidRPr="005443AC">
              <w:rPr>
                <w:sz w:val="20"/>
                <w:szCs w:val="20"/>
                <w:lang w:val="en-GB"/>
              </w:rPr>
              <w:t>11 (0.4)</w:t>
            </w:r>
          </w:p>
        </w:tc>
      </w:tr>
      <w:tr w:rsidR="002749B1" w:rsidRPr="00C20C29" w14:paraId="00F58734" w14:textId="77777777" w:rsidTr="008E3EC3">
        <w:trPr>
          <w:cantSplit/>
        </w:trPr>
        <w:tc>
          <w:tcPr>
            <w:tcW w:w="979" w:type="pct"/>
            <w:vMerge/>
            <w:shd w:val="clear" w:color="auto" w:fill="auto"/>
            <w:vAlign w:val="center"/>
          </w:tcPr>
          <w:p w14:paraId="4D614C37" w14:textId="77777777" w:rsidR="002749B1" w:rsidRPr="002277DB" w:rsidRDefault="002749B1" w:rsidP="003A5711">
            <w:pPr>
              <w:rPr>
                <w:sz w:val="20"/>
                <w:szCs w:val="20"/>
                <w:lang w:val="en-GB"/>
              </w:rPr>
            </w:pPr>
          </w:p>
        </w:tc>
        <w:tc>
          <w:tcPr>
            <w:tcW w:w="1416" w:type="pct"/>
            <w:shd w:val="clear" w:color="auto" w:fill="auto"/>
          </w:tcPr>
          <w:p w14:paraId="28B5BAF0" w14:textId="77777777" w:rsidR="002749B1" w:rsidRPr="002277DB" w:rsidRDefault="002749B1" w:rsidP="003A5711">
            <w:pPr>
              <w:rPr>
                <w:sz w:val="20"/>
                <w:szCs w:val="20"/>
                <w:vertAlign w:val="superscript"/>
                <w:lang w:val="en-GB"/>
              </w:rPr>
            </w:pPr>
            <w:r w:rsidRPr="002277DB">
              <w:rPr>
                <w:sz w:val="20"/>
                <w:szCs w:val="20"/>
                <w:lang w:val="en-GB"/>
              </w:rPr>
              <w:t xml:space="preserve">Pneumonitis </w:t>
            </w:r>
            <w:r w:rsidRPr="002277DB">
              <w:rPr>
                <w:sz w:val="20"/>
                <w:szCs w:val="20"/>
                <w:vertAlign w:val="superscript"/>
                <w:lang w:val="en-GB"/>
              </w:rPr>
              <w:t xml:space="preserve"> c</w:t>
            </w:r>
          </w:p>
        </w:tc>
        <w:tc>
          <w:tcPr>
            <w:tcW w:w="1325" w:type="pct"/>
            <w:shd w:val="clear" w:color="auto" w:fill="auto"/>
          </w:tcPr>
          <w:p w14:paraId="5ED164AC" w14:textId="77777777" w:rsidR="002749B1" w:rsidRPr="002277DB" w:rsidRDefault="002749B1" w:rsidP="003A5711">
            <w:pPr>
              <w:rPr>
                <w:sz w:val="20"/>
                <w:szCs w:val="20"/>
                <w:lang w:val="en-GB"/>
              </w:rPr>
            </w:pPr>
            <w:r w:rsidRPr="002277DB">
              <w:rPr>
                <w:sz w:val="20"/>
                <w:szCs w:val="20"/>
                <w:lang w:val="en-GB"/>
              </w:rPr>
              <w:t xml:space="preserve">Common </w:t>
            </w:r>
          </w:p>
        </w:tc>
        <w:tc>
          <w:tcPr>
            <w:tcW w:w="659" w:type="pct"/>
            <w:shd w:val="clear" w:color="auto" w:fill="auto"/>
          </w:tcPr>
          <w:p w14:paraId="2210125F" w14:textId="77777777" w:rsidR="002749B1" w:rsidRPr="002277DB" w:rsidRDefault="002749B1" w:rsidP="003A5711">
            <w:pPr>
              <w:rPr>
                <w:sz w:val="20"/>
                <w:szCs w:val="20"/>
                <w:lang w:val="en-GB"/>
              </w:rPr>
            </w:pPr>
            <w:r w:rsidRPr="002277DB">
              <w:rPr>
                <w:sz w:val="20"/>
                <w:szCs w:val="20"/>
                <w:lang w:val="en-GB"/>
              </w:rPr>
              <w:t>114 (3.8)</w:t>
            </w:r>
          </w:p>
        </w:tc>
        <w:tc>
          <w:tcPr>
            <w:tcW w:w="621" w:type="pct"/>
            <w:shd w:val="clear" w:color="auto" w:fill="auto"/>
          </w:tcPr>
          <w:p w14:paraId="5D9D91F7" w14:textId="77777777" w:rsidR="002749B1" w:rsidRPr="002277DB" w:rsidRDefault="002749B1" w:rsidP="003A5711">
            <w:pPr>
              <w:rPr>
                <w:sz w:val="20"/>
                <w:szCs w:val="20"/>
                <w:lang w:val="en-GB"/>
              </w:rPr>
            </w:pPr>
            <w:r w:rsidRPr="002277DB">
              <w:rPr>
                <w:sz w:val="20"/>
                <w:szCs w:val="20"/>
                <w:lang w:val="en-GB"/>
              </w:rPr>
              <w:t>26 (0.9)</w:t>
            </w:r>
          </w:p>
        </w:tc>
      </w:tr>
      <w:tr w:rsidR="002749B1" w:rsidRPr="00C20C29" w:rsidDel="0022232E" w14:paraId="70345893" w14:textId="77777777" w:rsidTr="008E3EC3">
        <w:trPr>
          <w:cantSplit/>
        </w:trPr>
        <w:tc>
          <w:tcPr>
            <w:tcW w:w="979" w:type="pct"/>
            <w:vMerge/>
            <w:shd w:val="clear" w:color="auto" w:fill="auto"/>
            <w:vAlign w:val="center"/>
          </w:tcPr>
          <w:p w14:paraId="66507A87" w14:textId="77777777" w:rsidR="002749B1" w:rsidRPr="002277DB" w:rsidRDefault="002749B1" w:rsidP="003A5711">
            <w:pPr>
              <w:rPr>
                <w:sz w:val="20"/>
                <w:szCs w:val="20"/>
                <w:lang w:val="en-GB"/>
              </w:rPr>
            </w:pPr>
          </w:p>
        </w:tc>
        <w:tc>
          <w:tcPr>
            <w:tcW w:w="1416" w:type="pct"/>
            <w:shd w:val="clear" w:color="auto" w:fill="auto"/>
          </w:tcPr>
          <w:p w14:paraId="3879866E" w14:textId="77777777" w:rsidR="002749B1" w:rsidRPr="002277DB" w:rsidRDefault="002749B1" w:rsidP="003A5711">
            <w:pPr>
              <w:rPr>
                <w:sz w:val="20"/>
                <w:szCs w:val="20"/>
                <w:vertAlign w:val="superscript"/>
                <w:lang w:val="en-GB"/>
              </w:rPr>
            </w:pPr>
            <w:r w:rsidRPr="002277DB">
              <w:rPr>
                <w:sz w:val="20"/>
                <w:szCs w:val="20"/>
                <w:lang w:val="en-GB"/>
              </w:rPr>
              <w:t>Dysphonia</w:t>
            </w:r>
          </w:p>
        </w:tc>
        <w:tc>
          <w:tcPr>
            <w:tcW w:w="1325" w:type="pct"/>
            <w:shd w:val="clear" w:color="auto" w:fill="auto"/>
          </w:tcPr>
          <w:p w14:paraId="2926F2CB"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563D1E80" w14:textId="77777777" w:rsidR="002749B1" w:rsidRPr="002277DB" w:rsidDel="0022232E" w:rsidRDefault="002749B1" w:rsidP="003A5711">
            <w:pPr>
              <w:rPr>
                <w:sz w:val="20"/>
                <w:szCs w:val="20"/>
                <w:lang w:val="en-GB"/>
              </w:rPr>
            </w:pPr>
            <w:r w:rsidRPr="002277DB">
              <w:rPr>
                <w:sz w:val="20"/>
                <w:szCs w:val="20"/>
                <w:lang w:val="en-GB"/>
              </w:rPr>
              <w:t>93 (3.1)</w:t>
            </w:r>
          </w:p>
        </w:tc>
        <w:tc>
          <w:tcPr>
            <w:tcW w:w="621" w:type="pct"/>
            <w:shd w:val="clear" w:color="auto" w:fill="auto"/>
          </w:tcPr>
          <w:p w14:paraId="01C7FCA8" w14:textId="77777777" w:rsidR="002749B1" w:rsidRPr="002277DB" w:rsidDel="0022232E" w:rsidRDefault="002749B1" w:rsidP="003A5711">
            <w:pPr>
              <w:rPr>
                <w:sz w:val="20"/>
                <w:szCs w:val="20"/>
                <w:lang w:val="en-GB"/>
              </w:rPr>
            </w:pPr>
            <w:r w:rsidRPr="002277DB">
              <w:rPr>
                <w:sz w:val="20"/>
                <w:szCs w:val="20"/>
                <w:lang w:val="en-GB"/>
              </w:rPr>
              <w:t>2 (&lt;0.1)</w:t>
            </w:r>
          </w:p>
        </w:tc>
      </w:tr>
      <w:tr w:rsidR="002749B1" w:rsidRPr="00C20C29" w:rsidDel="0022232E" w14:paraId="4698B582" w14:textId="77777777" w:rsidTr="008E3EC3">
        <w:trPr>
          <w:cantSplit/>
        </w:trPr>
        <w:tc>
          <w:tcPr>
            <w:tcW w:w="979" w:type="pct"/>
            <w:vMerge/>
            <w:shd w:val="clear" w:color="auto" w:fill="auto"/>
            <w:vAlign w:val="center"/>
          </w:tcPr>
          <w:p w14:paraId="2336EB4E" w14:textId="77777777" w:rsidR="002749B1" w:rsidRPr="002277DB" w:rsidRDefault="002749B1" w:rsidP="003A5711">
            <w:pPr>
              <w:rPr>
                <w:sz w:val="20"/>
                <w:szCs w:val="20"/>
                <w:lang w:val="en-GB"/>
              </w:rPr>
            </w:pPr>
          </w:p>
        </w:tc>
        <w:tc>
          <w:tcPr>
            <w:tcW w:w="1416" w:type="pct"/>
            <w:shd w:val="clear" w:color="auto" w:fill="auto"/>
          </w:tcPr>
          <w:p w14:paraId="0CEDC91C" w14:textId="77777777" w:rsidR="002749B1" w:rsidRPr="002277DB" w:rsidRDefault="002749B1" w:rsidP="003A5711">
            <w:pPr>
              <w:rPr>
                <w:sz w:val="20"/>
                <w:szCs w:val="20"/>
                <w:vertAlign w:val="superscript"/>
                <w:lang w:val="en-GB"/>
              </w:rPr>
            </w:pPr>
            <w:r w:rsidRPr="002277DB">
              <w:rPr>
                <w:sz w:val="20"/>
                <w:szCs w:val="20"/>
                <w:lang w:val="en-GB"/>
              </w:rPr>
              <w:t>ILD</w:t>
            </w:r>
          </w:p>
        </w:tc>
        <w:tc>
          <w:tcPr>
            <w:tcW w:w="1325" w:type="pct"/>
            <w:shd w:val="clear" w:color="auto" w:fill="auto"/>
          </w:tcPr>
          <w:p w14:paraId="1948EC60"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1DA0D101" w14:textId="77777777" w:rsidR="002749B1" w:rsidRPr="002277DB" w:rsidDel="0022232E" w:rsidRDefault="002749B1" w:rsidP="003A5711">
            <w:pPr>
              <w:rPr>
                <w:sz w:val="20"/>
                <w:szCs w:val="20"/>
                <w:lang w:val="en-GB"/>
              </w:rPr>
            </w:pPr>
            <w:r w:rsidRPr="002277DB">
              <w:rPr>
                <w:sz w:val="20"/>
                <w:szCs w:val="20"/>
                <w:lang w:val="en-GB"/>
              </w:rPr>
              <w:t>18 (0.6)</w:t>
            </w:r>
          </w:p>
        </w:tc>
        <w:tc>
          <w:tcPr>
            <w:tcW w:w="621" w:type="pct"/>
            <w:shd w:val="clear" w:color="auto" w:fill="auto"/>
          </w:tcPr>
          <w:p w14:paraId="3D7EDAB2" w14:textId="77777777" w:rsidR="002749B1" w:rsidRPr="002277DB" w:rsidDel="0022232E" w:rsidRDefault="002749B1" w:rsidP="003A5711">
            <w:pPr>
              <w:rPr>
                <w:sz w:val="20"/>
                <w:szCs w:val="20"/>
                <w:lang w:val="en-GB"/>
              </w:rPr>
            </w:pPr>
            <w:r w:rsidRPr="002277DB">
              <w:rPr>
                <w:sz w:val="20"/>
                <w:szCs w:val="20"/>
                <w:lang w:val="en-GB"/>
              </w:rPr>
              <w:t>4 (0.1)</w:t>
            </w:r>
          </w:p>
        </w:tc>
      </w:tr>
      <w:tr w:rsidR="002749B1" w:rsidRPr="00C20C29" w14:paraId="03FF90C3" w14:textId="77777777" w:rsidTr="008E3EC3">
        <w:trPr>
          <w:cantSplit/>
        </w:trPr>
        <w:tc>
          <w:tcPr>
            <w:tcW w:w="979" w:type="pct"/>
            <w:vMerge w:val="restart"/>
            <w:shd w:val="clear" w:color="auto" w:fill="auto"/>
            <w:vAlign w:val="center"/>
          </w:tcPr>
          <w:p w14:paraId="6B7803B5" w14:textId="77777777" w:rsidR="002749B1" w:rsidRPr="005443AC" w:rsidRDefault="002749B1" w:rsidP="003A5711">
            <w:pPr>
              <w:rPr>
                <w:bCs/>
                <w:sz w:val="20"/>
                <w:szCs w:val="20"/>
                <w:lang w:val="en-GB"/>
              </w:rPr>
            </w:pPr>
            <w:r w:rsidRPr="005443AC">
              <w:rPr>
                <w:bCs/>
                <w:sz w:val="20"/>
                <w:szCs w:val="20"/>
                <w:lang w:val="en-GB"/>
              </w:rPr>
              <w:t>Hepatobiliary disorders</w:t>
            </w:r>
          </w:p>
        </w:tc>
        <w:tc>
          <w:tcPr>
            <w:tcW w:w="1416" w:type="pct"/>
            <w:shd w:val="clear" w:color="auto" w:fill="auto"/>
          </w:tcPr>
          <w:p w14:paraId="76331B88" w14:textId="77777777" w:rsidR="002749B1" w:rsidRPr="005443AC" w:rsidRDefault="002749B1" w:rsidP="003A5711">
            <w:pPr>
              <w:rPr>
                <w:sz w:val="20"/>
                <w:szCs w:val="20"/>
                <w:lang w:val="en-GB"/>
              </w:rPr>
            </w:pPr>
            <w:r w:rsidRPr="005443AC">
              <w:rPr>
                <w:sz w:val="20"/>
                <w:szCs w:val="20"/>
                <w:lang w:val="en-GB"/>
              </w:rPr>
              <w:t xml:space="preserve">ALT increased/AST increased </w:t>
            </w:r>
            <w:r w:rsidRPr="005443AC">
              <w:rPr>
                <w:sz w:val="20"/>
                <w:szCs w:val="20"/>
                <w:vertAlign w:val="superscript"/>
                <w:lang w:val="en-GB"/>
              </w:rPr>
              <w:t>b, c</w:t>
            </w:r>
          </w:p>
        </w:tc>
        <w:tc>
          <w:tcPr>
            <w:tcW w:w="1325" w:type="pct"/>
            <w:shd w:val="clear" w:color="auto" w:fill="auto"/>
          </w:tcPr>
          <w:p w14:paraId="21B41616" w14:textId="77777777" w:rsidR="002749B1" w:rsidRPr="005443AC" w:rsidRDefault="002749B1" w:rsidP="003A5711">
            <w:pPr>
              <w:rPr>
                <w:sz w:val="20"/>
                <w:szCs w:val="20"/>
                <w:lang w:val="en-GB"/>
              </w:rPr>
            </w:pPr>
            <w:r w:rsidRPr="005443AC">
              <w:rPr>
                <w:sz w:val="20"/>
                <w:szCs w:val="20"/>
                <w:lang w:val="en-GB"/>
              </w:rPr>
              <w:t xml:space="preserve">Common </w:t>
            </w:r>
          </w:p>
        </w:tc>
        <w:tc>
          <w:tcPr>
            <w:tcW w:w="659" w:type="pct"/>
            <w:shd w:val="clear" w:color="auto" w:fill="auto"/>
          </w:tcPr>
          <w:p w14:paraId="14C01034" w14:textId="77777777" w:rsidR="002749B1" w:rsidRPr="005443AC" w:rsidRDefault="002749B1" w:rsidP="003A5711">
            <w:pPr>
              <w:rPr>
                <w:sz w:val="20"/>
                <w:szCs w:val="20"/>
                <w:lang w:val="en-GB"/>
              </w:rPr>
            </w:pPr>
            <w:r w:rsidRPr="005443AC">
              <w:rPr>
                <w:sz w:val="20"/>
                <w:szCs w:val="20"/>
                <w:lang w:val="en-GB"/>
              </w:rPr>
              <w:t>244 (8.1)</w:t>
            </w:r>
          </w:p>
        </w:tc>
        <w:tc>
          <w:tcPr>
            <w:tcW w:w="621" w:type="pct"/>
            <w:shd w:val="clear" w:color="auto" w:fill="auto"/>
          </w:tcPr>
          <w:p w14:paraId="273A55F0" w14:textId="77777777" w:rsidR="002749B1" w:rsidRPr="005443AC" w:rsidRDefault="002749B1" w:rsidP="003A5711">
            <w:pPr>
              <w:rPr>
                <w:sz w:val="20"/>
                <w:szCs w:val="20"/>
                <w:lang w:val="en-GB"/>
              </w:rPr>
            </w:pPr>
            <w:r w:rsidRPr="005443AC">
              <w:rPr>
                <w:sz w:val="20"/>
                <w:szCs w:val="20"/>
                <w:lang w:val="en-GB"/>
              </w:rPr>
              <w:t>69 (2.3)</w:t>
            </w:r>
          </w:p>
        </w:tc>
      </w:tr>
      <w:tr w:rsidR="002749B1" w:rsidRPr="00C20C29" w14:paraId="5BA99071" w14:textId="77777777" w:rsidTr="008E3EC3">
        <w:trPr>
          <w:cantSplit/>
        </w:trPr>
        <w:tc>
          <w:tcPr>
            <w:tcW w:w="979" w:type="pct"/>
            <w:vMerge/>
            <w:shd w:val="clear" w:color="auto" w:fill="auto"/>
            <w:vAlign w:val="center"/>
          </w:tcPr>
          <w:p w14:paraId="7E6141A2" w14:textId="77777777" w:rsidR="002749B1" w:rsidRPr="002277DB" w:rsidRDefault="002749B1" w:rsidP="003A5711">
            <w:pPr>
              <w:rPr>
                <w:sz w:val="20"/>
                <w:szCs w:val="20"/>
                <w:lang w:val="en-GB"/>
              </w:rPr>
            </w:pPr>
          </w:p>
        </w:tc>
        <w:tc>
          <w:tcPr>
            <w:tcW w:w="1416" w:type="pct"/>
            <w:shd w:val="clear" w:color="auto" w:fill="auto"/>
          </w:tcPr>
          <w:p w14:paraId="741FD7EA" w14:textId="77777777" w:rsidR="002749B1" w:rsidRPr="002277DB" w:rsidRDefault="002749B1" w:rsidP="003A5711">
            <w:pPr>
              <w:rPr>
                <w:sz w:val="20"/>
                <w:szCs w:val="20"/>
                <w:lang w:val="en-GB"/>
              </w:rPr>
            </w:pPr>
            <w:r w:rsidRPr="002277DB">
              <w:rPr>
                <w:sz w:val="20"/>
                <w:szCs w:val="20"/>
                <w:lang w:val="en-GB"/>
              </w:rPr>
              <w:t xml:space="preserve">Hepatitis </w:t>
            </w:r>
            <w:r w:rsidRPr="002277DB">
              <w:rPr>
                <w:sz w:val="20"/>
                <w:szCs w:val="20"/>
                <w:vertAlign w:val="superscript"/>
                <w:lang w:val="en-GB"/>
              </w:rPr>
              <w:t>b, c</w:t>
            </w:r>
          </w:p>
        </w:tc>
        <w:tc>
          <w:tcPr>
            <w:tcW w:w="1325" w:type="pct"/>
            <w:shd w:val="clear" w:color="auto" w:fill="auto"/>
          </w:tcPr>
          <w:p w14:paraId="04AB13CA"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3222CF86" w14:textId="77777777" w:rsidR="002749B1" w:rsidRPr="002277DB" w:rsidRDefault="002749B1" w:rsidP="003A5711">
            <w:pPr>
              <w:rPr>
                <w:sz w:val="20"/>
                <w:szCs w:val="20"/>
                <w:lang w:val="en-GB"/>
              </w:rPr>
            </w:pPr>
            <w:r w:rsidRPr="002277DB">
              <w:rPr>
                <w:sz w:val="20"/>
                <w:szCs w:val="20"/>
                <w:lang w:val="en-GB"/>
              </w:rPr>
              <w:t>25 (0.8)</w:t>
            </w:r>
          </w:p>
        </w:tc>
        <w:tc>
          <w:tcPr>
            <w:tcW w:w="621" w:type="pct"/>
            <w:shd w:val="clear" w:color="auto" w:fill="auto"/>
          </w:tcPr>
          <w:p w14:paraId="7C8028C9" w14:textId="77777777" w:rsidR="002749B1" w:rsidRPr="002277DB" w:rsidRDefault="002749B1" w:rsidP="003A5711">
            <w:pPr>
              <w:rPr>
                <w:sz w:val="20"/>
                <w:szCs w:val="20"/>
                <w:lang w:val="en-GB"/>
              </w:rPr>
            </w:pPr>
            <w:r w:rsidRPr="002277DB">
              <w:rPr>
                <w:sz w:val="20"/>
                <w:szCs w:val="20"/>
                <w:lang w:val="en-GB"/>
              </w:rPr>
              <w:t>12 (0.4)</w:t>
            </w:r>
          </w:p>
        </w:tc>
      </w:tr>
      <w:tr w:rsidR="002749B1" w:rsidRPr="00C20C29" w14:paraId="51E82AA7" w14:textId="77777777" w:rsidTr="008E3EC3">
        <w:trPr>
          <w:cantSplit/>
        </w:trPr>
        <w:tc>
          <w:tcPr>
            <w:tcW w:w="979" w:type="pct"/>
            <w:vMerge w:val="restart"/>
            <w:shd w:val="clear" w:color="auto" w:fill="auto"/>
            <w:vAlign w:val="center"/>
          </w:tcPr>
          <w:p w14:paraId="13172EC6" w14:textId="77777777" w:rsidR="002749B1" w:rsidRPr="005443AC" w:rsidRDefault="002749B1" w:rsidP="003A5711">
            <w:pPr>
              <w:rPr>
                <w:bCs/>
                <w:sz w:val="20"/>
                <w:szCs w:val="20"/>
                <w:lang w:val="en-GB"/>
              </w:rPr>
            </w:pPr>
            <w:r w:rsidRPr="005443AC">
              <w:rPr>
                <w:bCs/>
                <w:sz w:val="20"/>
                <w:szCs w:val="20"/>
                <w:lang w:val="en-GB"/>
              </w:rPr>
              <w:t>Gastrointestinal disorders</w:t>
            </w:r>
          </w:p>
        </w:tc>
        <w:tc>
          <w:tcPr>
            <w:tcW w:w="1416" w:type="pct"/>
            <w:shd w:val="clear" w:color="auto" w:fill="auto"/>
          </w:tcPr>
          <w:p w14:paraId="7B6A0EBC" w14:textId="77777777" w:rsidR="002749B1" w:rsidRPr="005443AC" w:rsidRDefault="002749B1" w:rsidP="003A5711">
            <w:pPr>
              <w:rPr>
                <w:sz w:val="20"/>
                <w:szCs w:val="20"/>
                <w:vertAlign w:val="superscript"/>
                <w:lang w:val="en-GB"/>
              </w:rPr>
            </w:pPr>
            <w:r w:rsidRPr="005443AC">
              <w:rPr>
                <w:sz w:val="20"/>
                <w:szCs w:val="20"/>
                <w:lang w:val="en-GB"/>
              </w:rPr>
              <w:t>Diarrhoea</w:t>
            </w:r>
          </w:p>
        </w:tc>
        <w:tc>
          <w:tcPr>
            <w:tcW w:w="1325" w:type="pct"/>
            <w:shd w:val="clear" w:color="auto" w:fill="auto"/>
          </w:tcPr>
          <w:p w14:paraId="2EC433F7" w14:textId="77777777" w:rsidR="002749B1" w:rsidRPr="005443AC" w:rsidRDefault="002749B1" w:rsidP="003A5711">
            <w:pPr>
              <w:rPr>
                <w:sz w:val="20"/>
                <w:szCs w:val="20"/>
                <w:lang w:val="en-GB"/>
              </w:rPr>
            </w:pPr>
            <w:r w:rsidRPr="005443AC">
              <w:rPr>
                <w:sz w:val="20"/>
                <w:szCs w:val="20"/>
                <w:lang w:val="en-GB"/>
              </w:rPr>
              <w:t xml:space="preserve">Very common </w:t>
            </w:r>
          </w:p>
        </w:tc>
        <w:tc>
          <w:tcPr>
            <w:tcW w:w="659" w:type="pct"/>
            <w:shd w:val="clear" w:color="auto" w:fill="auto"/>
          </w:tcPr>
          <w:p w14:paraId="380A5356" w14:textId="77777777" w:rsidR="002749B1" w:rsidRPr="005443AC" w:rsidRDefault="002749B1" w:rsidP="003A5711">
            <w:pPr>
              <w:rPr>
                <w:sz w:val="20"/>
                <w:szCs w:val="20"/>
                <w:lang w:val="en-GB"/>
              </w:rPr>
            </w:pPr>
            <w:r w:rsidRPr="005443AC">
              <w:rPr>
                <w:sz w:val="20"/>
                <w:szCs w:val="20"/>
                <w:lang w:val="en-GB"/>
              </w:rPr>
              <w:t>491 (16.3)</w:t>
            </w:r>
          </w:p>
        </w:tc>
        <w:tc>
          <w:tcPr>
            <w:tcW w:w="621" w:type="pct"/>
            <w:shd w:val="clear" w:color="auto" w:fill="auto"/>
          </w:tcPr>
          <w:p w14:paraId="7F2BE474" w14:textId="77777777" w:rsidR="002749B1" w:rsidRPr="005443AC" w:rsidRDefault="002749B1" w:rsidP="003A5711">
            <w:pPr>
              <w:rPr>
                <w:sz w:val="20"/>
                <w:szCs w:val="20"/>
                <w:lang w:val="en-GB"/>
              </w:rPr>
            </w:pPr>
            <w:r w:rsidRPr="005443AC">
              <w:rPr>
                <w:sz w:val="20"/>
                <w:szCs w:val="20"/>
                <w:lang w:val="en-GB"/>
              </w:rPr>
              <w:t>19 (0.6)</w:t>
            </w:r>
          </w:p>
        </w:tc>
      </w:tr>
      <w:tr w:rsidR="002749B1" w:rsidRPr="00C20C29" w14:paraId="7B2101A6" w14:textId="77777777" w:rsidTr="008E3EC3">
        <w:trPr>
          <w:cantSplit/>
        </w:trPr>
        <w:tc>
          <w:tcPr>
            <w:tcW w:w="979" w:type="pct"/>
            <w:vMerge/>
            <w:shd w:val="clear" w:color="auto" w:fill="auto"/>
            <w:vAlign w:val="center"/>
          </w:tcPr>
          <w:p w14:paraId="52B933E4" w14:textId="77777777" w:rsidR="002749B1" w:rsidRPr="002277DB" w:rsidRDefault="002749B1" w:rsidP="003A5711">
            <w:pPr>
              <w:rPr>
                <w:sz w:val="20"/>
                <w:szCs w:val="20"/>
                <w:lang w:val="en-GB"/>
              </w:rPr>
            </w:pPr>
          </w:p>
        </w:tc>
        <w:tc>
          <w:tcPr>
            <w:tcW w:w="1416" w:type="pct"/>
            <w:shd w:val="clear" w:color="auto" w:fill="auto"/>
          </w:tcPr>
          <w:p w14:paraId="260888E6" w14:textId="77777777" w:rsidR="002749B1" w:rsidRPr="002277DB" w:rsidRDefault="002749B1" w:rsidP="003A5711">
            <w:pPr>
              <w:rPr>
                <w:sz w:val="20"/>
                <w:szCs w:val="20"/>
                <w:vertAlign w:val="superscript"/>
                <w:lang w:val="en-GB"/>
              </w:rPr>
            </w:pPr>
            <w:r w:rsidRPr="002277DB">
              <w:rPr>
                <w:sz w:val="20"/>
                <w:szCs w:val="20"/>
                <w:lang w:val="en-GB"/>
              </w:rPr>
              <w:t xml:space="preserve">Abdominal pain </w:t>
            </w:r>
            <w:r w:rsidRPr="002277DB">
              <w:rPr>
                <w:sz w:val="20"/>
                <w:szCs w:val="20"/>
                <w:vertAlign w:val="superscript"/>
                <w:lang w:val="en-GB"/>
              </w:rPr>
              <w:t>b</w:t>
            </w:r>
          </w:p>
        </w:tc>
        <w:tc>
          <w:tcPr>
            <w:tcW w:w="1325" w:type="pct"/>
            <w:shd w:val="clear" w:color="auto" w:fill="auto"/>
          </w:tcPr>
          <w:p w14:paraId="30789594" w14:textId="77777777" w:rsidR="002749B1" w:rsidRPr="002277DB" w:rsidRDefault="002749B1" w:rsidP="003A5711">
            <w:pPr>
              <w:rPr>
                <w:sz w:val="20"/>
                <w:szCs w:val="20"/>
                <w:lang w:val="en-GB"/>
              </w:rPr>
            </w:pPr>
            <w:r w:rsidRPr="002277DB">
              <w:rPr>
                <w:sz w:val="20"/>
                <w:szCs w:val="20"/>
                <w:lang w:val="en-GB"/>
              </w:rPr>
              <w:t>Very common</w:t>
            </w:r>
          </w:p>
        </w:tc>
        <w:tc>
          <w:tcPr>
            <w:tcW w:w="659" w:type="pct"/>
            <w:shd w:val="clear" w:color="auto" w:fill="auto"/>
          </w:tcPr>
          <w:p w14:paraId="1D0F272F" w14:textId="77777777" w:rsidR="002749B1" w:rsidRPr="002277DB" w:rsidRDefault="002749B1" w:rsidP="003A5711">
            <w:pPr>
              <w:rPr>
                <w:sz w:val="20"/>
                <w:szCs w:val="20"/>
                <w:lang w:val="en-GB"/>
              </w:rPr>
            </w:pPr>
            <w:r w:rsidRPr="002277DB">
              <w:rPr>
                <w:sz w:val="20"/>
                <w:szCs w:val="20"/>
                <w:lang w:val="en-GB"/>
              </w:rPr>
              <w:t>383 (12.7)</w:t>
            </w:r>
          </w:p>
        </w:tc>
        <w:tc>
          <w:tcPr>
            <w:tcW w:w="621" w:type="pct"/>
            <w:shd w:val="clear" w:color="auto" w:fill="auto"/>
          </w:tcPr>
          <w:p w14:paraId="695EF66F" w14:textId="77777777" w:rsidR="002749B1" w:rsidRPr="002277DB" w:rsidRDefault="002749B1" w:rsidP="003A5711">
            <w:pPr>
              <w:rPr>
                <w:sz w:val="20"/>
                <w:szCs w:val="20"/>
                <w:lang w:val="en-GB"/>
              </w:rPr>
            </w:pPr>
            <w:r w:rsidRPr="002277DB">
              <w:rPr>
                <w:sz w:val="20"/>
                <w:szCs w:val="20"/>
                <w:lang w:val="en-GB"/>
              </w:rPr>
              <w:t>53 (1.8)</w:t>
            </w:r>
          </w:p>
        </w:tc>
      </w:tr>
      <w:tr w:rsidR="002749B1" w:rsidRPr="00C20C29" w14:paraId="1977BEFD" w14:textId="77777777" w:rsidTr="008E3EC3">
        <w:trPr>
          <w:cantSplit/>
        </w:trPr>
        <w:tc>
          <w:tcPr>
            <w:tcW w:w="979" w:type="pct"/>
            <w:vMerge/>
            <w:shd w:val="clear" w:color="auto" w:fill="auto"/>
            <w:vAlign w:val="center"/>
          </w:tcPr>
          <w:p w14:paraId="3C492AC7" w14:textId="77777777" w:rsidR="002749B1" w:rsidRPr="002277DB" w:rsidRDefault="002749B1" w:rsidP="003A5711">
            <w:pPr>
              <w:rPr>
                <w:sz w:val="20"/>
                <w:szCs w:val="20"/>
                <w:lang w:val="en-GB"/>
              </w:rPr>
            </w:pPr>
          </w:p>
        </w:tc>
        <w:tc>
          <w:tcPr>
            <w:tcW w:w="1416" w:type="pct"/>
            <w:shd w:val="clear" w:color="auto" w:fill="auto"/>
          </w:tcPr>
          <w:p w14:paraId="5DFAD64E" w14:textId="77777777" w:rsidR="002749B1" w:rsidRPr="002277DB" w:rsidRDefault="002749B1" w:rsidP="003A5711">
            <w:pPr>
              <w:rPr>
                <w:sz w:val="20"/>
                <w:szCs w:val="20"/>
                <w:vertAlign w:val="superscript"/>
                <w:lang w:val="en-GB"/>
              </w:rPr>
            </w:pPr>
            <w:r w:rsidRPr="002277DB">
              <w:rPr>
                <w:sz w:val="20"/>
                <w:szCs w:val="20"/>
                <w:lang w:val="en-GB"/>
              </w:rPr>
              <w:t xml:space="preserve">Colitis </w:t>
            </w:r>
            <w:r w:rsidRPr="002277DB">
              <w:rPr>
                <w:sz w:val="20"/>
                <w:szCs w:val="20"/>
                <w:vertAlign w:val="superscript"/>
                <w:lang w:val="en-GB"/>
              </w:rPr>
              <w:t>b</w:t>
            </w:r>
          </w:p>
        </w:tc>
        <w:tc>
          <w:tcPr>
            <w:tcW w:w="1325" w:type="pct"/>
            <w:shd w:val="clear" w:color="auto" w:fill="auto"/>
          </w:tcPr>
          <w:p w14:paraId="7AFC4925" w14:textId="77777777" w:rsidR="002749B1" w:rsidRPr="002277DB" w:rsidRDefault="002749B1" w:rsidP="003A5711">
            <w:pPr>
              <w:rPr>
                <w:sz w:val="20"/>
                <w:szCs w:val="20"/>
                <w:lang w:val="en-GB"/>
              </w:rPr>
            </w:pPr>
            <w:r w:rsidRPr="002277DB">
              <w:rPr>
                <w:sz w:val="20"/>
                <w:szCs w:val="20"/>
                <w:lang w:val="en-GB"/>
              </w:rPr>
              <w:t xml:space="preserve">Uncommon </w:t>
            </w:r>
          </w:p>
        </w:tc>
        <w:tc>
          <w:tcPr>
            <w:tcW w:w="659" w:type="pct"/>
            <w:shd w:val="clear" w:color="auto" w:fill="auto"/>
          </w:tcPr>
          <w:p w14:paraId="3B8F1657" w14:textId="77777777" w:rsidR="002749B1" w:rsidRPr="002277DB" w:rsidRDefault="002749B1" w:rsidP="003A5711">
            <w:pPr>
              <w:rPr>
                <w:sz w:val="20"/>
                <w:szCs w:val="20"/>
                <w:lang w:val="en-GB"/>
              </w:rPr>
            </w:pPr>
            <w:r w:rsidRPr="002277DB">
              <w:rPr>
                <w:sz w:val="20"/>
                <w:szCs w:val="20"/>
                <w:lang w:val="en-GB"/>
              </w:rPr>
              <w:t>28 (0.9)</w:t>
            </w:r>
          </w:p>
        </w:tc>
        <w:tc>
          <w:tcPr>
            <w:tcW w:w="621" w:type="pct"/>
            <w:shd w:val="clear" w:color="auto" w:fill="auto"/>
          </w:tcPr>
          <w:p w14:paraId="7B58D1DB" w14:textId="77777777" w:rsidR="002749B1" w:rsidRPr="002277DB" w:rsidRDefault="002749B1" w:rsidP="003A5711">
            <w:pPr>
              <w:rPr>
                <w:sz w:val="20"/>
                <w:szCs w:val="20"/>
                <w:lang w:val="en-GB"/>
              </w:rPr>
            </w:pPr>
            <w:r w:rsidRPr="002277DB">
              <w:rPr>
                <w:sz w:val="20"/>
                <w:szCs w:val="20"/>
                <w:lang w:val="en-GB"/>
              </w:rPr>
              <w:t>10 (0.3)</w:t>
            </w:r>
          </w:p>
        </w:tc>
      </w:tr>
      <w:tr w:rsidR="002749B1" w:rsidRPr="00C20C29" w14:paraId="74DCDF90" w14:textId="77777777" w:rsidTr="008E3EC3">
        <w:trPr>
          <w:cantSplit/>
        </w:trPr>
        <w:tc>
          <w:tcPr>
            <w:tcW w:w="979" w:type="pct"/>
            <w:vMerge w:val="restart"/>
            <w:shd w:val="clear" w:color="auto" w:fill="auto"/>
            <w:vAlign w:val="center"/>
          </w:tcPr>
          <w:p w14:paraId="21E6B047" w14:textId="77777777" w:rsidR="002749B1" w:rsidRPr="005443AC" w:rsidRDefault="002749B1" w:rsidP="003A5711">
            <w:pPr>
              <w:rPr>
                <w:bCs/>
                <w:sz w:val="20"/>
                <w:szCs w:val="20"/>
                <w:lang w:val="en-GB"/>
              </w:rPr>
            </w:pPr>
            <w:r w:rsidRPr="005443AC">
              <w:rPr>
                <w:bCs/>
                <w:sz w:val="20"/>
                <w:szCs w:val="20"/>
                <w:lang w:val="en-GB"/>
              </w:rPr>
              <w:t>Endocrine disorders</w:t>
            </w:r>
          </w:p>
        </w:tc>
        <w:tc>
          <w:tcPr>
            <w:tcW w:w="1416" w:type="pct"/>
            <w:shd w:val="clear" w:color="auto" w:fill="auto"/>
          </w:tcPr>
          <w:p w14:paraId="2A054865" w14:textId="77777777" w:rsidR="002749B1" w:rsidRPr="005443AC" w:rsidRDefault="002749B1" w:rsidP="003A5711">
            <w:pPr>
              <w:rPr>
                <w:sz w:val="20"/>
                <w:szCs w:val="20"/>
                <w:vertAlign w:val="superscript"/>
                <w:lang w:val="en-GB"/>
              </w:rPr>
            </w:pPr>
            <w:r w:rsidRPr="005443AC">
              <w:rPr>
                <w:sz w:val="20"/>
                <w:szCs w:val="20"/>
                <w:lang w:val="en-GB"/>
              </w:rPr>
              <w:t xml:space="preserve">Hypothyroidism </w:t>
            </w:r>
            <w:r w:rsidRPr="005443AC">
              <w:rPr>
                <w:sz w:val="20"/>
                <w:szCs w:val="20"/>
                <w:vertAlign w:val="superscript"/>
                <w:lang w:val="en-GB"/>
              </w:rPr>
              <w:t>b</w:t>
            </w:r>
          </w:p>
        </w:tc>
        <w:tc>
          <w:tcPr>
            <w:tcW w:w="1325" w:type="pct"/>
            <w:shd w:val="clear" w:color="auto" w:fill="auto"/>
          </w:tcPr>
          <w:p w14:paraId="27B711CD" w14:textId="77777777" w:rsidR="002749B1" w:rsidRPr="005443AC" w:rsidRDefault="002749B1" w:rsidP="003A5711">
            <w:pPr>
              <w:rPr>
                <w:sz w:val="20"/>
                <w:szCs w:val="20"/>
                <w:lang w:val="en-GB"/>
              </w:rPr>
            </w:pPr>
            <w:r w:rsidRPr="005443AC">
              <w:rPr>
                <w:sz w:val="20"/>
                <w:szCs w:val="20"/>
                <w:lang w:val="en-GB"/>
              </w:rPr>
              <w:t xml:space="preserve">Very common </w:t>
            </w:r>
          </w:p>
        </w:tc>
        <w:tc>
          <w:tcPr>
            <w:tcW w:w="659" w:type="pct"/>
            <w:shd w:val="clear" w:color="auto" w:fill="auto"/>
          </w:tcPr>
          <w:p w14:paraId="3532A769" w14:textId="77777777" w:rsidR="002749B1" w:rsidRPr="005443AC" w:rsidRDefault="002749B1" w:rsidP="003A5711">
            <w:pPr>
              <w:rPr>
                <w:sz w:val="20"/>
                <w:szCs w:val="20"/>
                <w:lang w:val="en-GB"/>
              </w:rPr>
            </w:pPr>
            <w:r w:rsidRPr="005443AC">
              <w:rPr>
                <w:sz w:val="20"/>
                <w:szCs w:val="20"/>
                <w:lang w:val="en-GB"/>
              </w:rPr>
              <w:t>305 (10.1)</w:t>
            </w:r>
          </w:p>
        </w:tc>
        <w:tc>
          <w:tcPr>
            <w:tcW w:w="621" w:type="pct"/>
            <w:shd w:val="clear" w:color="auto" w:fill="auto"/>
          </w:tcPr>
          <w:p w14:paraId="734D3AFD" w14:textId="77777777" w:rsidR="002749B1" w:rsidRPr="005443AC" w:rsidRDefault="002749B1" w:rsidP="003A5711">
            <w:pPr>
              <w:rPr>
                <w:sz w:val="20"/>
                <w:szCs w:val="20"/>
                <w:lang w:val="en-GB"/>
              </w:rPr>
            </w:pPr>
            <w:r w:rsidRPr="005443AC">
              <w:rPr>
                <w:sz w:val="20"/>
                <w:szCs w:val="20"/>
                <w:lang w:val="en-GB"/>
              </w:rPr>
              <w:t>5 (0.2)</w:t>
            </w:r>
          </w:p>
        </w:tc>
      </w:tr>
      <w:tr w:rsidR="002749B1" w:rsidRPr="00C20C29" w14:paraId="22DB996A" w14:textId="77777777" w:rsidTr="008E3EC3">
        <w:trPr>
          <w:cantSplit/>
        </w:trPr>
        <w:tc>
          <w:tcPr>
            <w:tcW w:w="979" w:type="pct"/>
            <w:vMerge/>
            <w:shd w:val="clear" w:color="auto" w:fill="auto"/>
            <w:vAlign w:val="center"/>
          </w:tcPr>
          <w:p w14:paraId="587987A1" w14:textId="77777777" w:rsidR="002749B1" w:rsidRPr="002277DB" w:rsidRDefault="002749B1" w:rsidP="003A5711">
            <w:pPr>
              <w:rPr>
                <w:sz w:val="20"/>
                <w:szCs w:val="20"/>
                <w:lang w:val="en-GB"/>
              </w:rPr>
            </w:pPr>
          </w:p>
        </w:tc>
        <w:tc>
          <w:tcPr>
            <w:tcW w:w="1416" w:type="pct"/>
            <w:shd w:val="clear" w:color="auto" w:fill="auto"/>
          </w:tcPr>
          <w:p w14:paraId="4955101E" w14:textId="77777777" w:rsidR="002749B1" w:rsidRPr="002277DB" w:rsidRDefault="002749B1" w:rsidP="003A5711">
            <w:pPr>
              <w:rPr>
                <w:sz w:val="20"/>
                <w:szCs w:val="20"/>
                <w:vertAlign w:val="superscript"/>
                <w:lang w:val="en-GB"/>
              </w:rPr>
            </w:pPr>
            <w:r w:rsidRPr="002277DB">
              <w:rPr>
                <w:sz w:val="20"/>
                <w:szCs w:val="20"/>
                <w:lang w:val="en-GB"/>
              </w:rPr>
              <w:t xml:space="preserve">Hyperthyroidism </w:t>
            </w:r>
            <w:r w:rsidRPr="002277DB">
              <w:rPr>
                <w:sz w:val="20"/>
                <w:szCs w:val="20"/>
                <w:vertAlign w:val="superscript"/>
                <w:lang w:val="en-GB"/>
              </w:rPr>
              <w:t>b</w:t>
            </w:r>
          </w:p>
        </w:tc>
        <w:tc>
          <w:tcPr>
            <w:tcW w:w="1325" w:type="pct"/>
            <w:shd w:val="clear" w:color="auto" w:fill="auto"/>
          </w:tcPr>
          <w:p w14:paraId="5F582690" w14:textId="77777777" w:rsidR="002749B1" w:rsidRPr="002277DB" w:rsidRDefault="002749B1" w:rsidP="003A5711">
            <w:pPr>
              <w:rPr>
                <w:sz w:val="20"/>
                <w:szCs w:val="20"/>
                <w:lang w:val="en-GB"/>
              </w:rPr>
            </w:pPr>
            <w:r w:rsidRPr="002277DB">
              <w:rPr>
                <w:sz w:val="20"/>
                <w:szCs w:val="20"/>
                <w:lang w:val="en-GB"/>
              </w:rPr>
              <w:t xml:space="preserve">Common </w:t>
            </w:r>
          </w:p>
        </w:tc>
        <w:tc>
          <w:tcPr>
            <w:tcW w:w="659" w:type="pct"/>
            <w:shd w:val="clear" w:color="auto" w:fill="auto"/>
          </w:tcPr>
          <w:p w14:paraId="53CC5015" w14:textId="77777777" w:rsidR="002749B1" w:rsidRPr="002277DB" w:rsidRDefault="002749B1" w:rsidP="003A5711">
            <w:pPr>
              <w:rPr>
                <w:sz w:val="20"/>
                <w:szCs w:val="20"/>
                <w:lang w:val="en-GB"/>
              </w:rPr>
            </w:pPr>
            <w:r w:rsidRPr="002277DB">
              <w:rPr>
                <w:sz w:val="20"/>
                <w:szCs w:val="20"/>
                <w:lang w:val="en-GB"/>
              </w:rPr>
              <w:t>137 (4.6)</w:t>
            </w:r>
          </w:p>
        </w:tc>
        <w:tc>
          <w:tcPr>
            <w:tcW w:w="621" w:type="pct"/>
            <w:shd w:val="clear" w:color="auto" w:fill="auto"/>
          </w:tcPr>
          <w:p w14:paraId="60291370" w14:textId="77777777" w:rsidR="002749B1" w:rsidRPr="002277DB" w:rsidRDefault="002749B1" w:rsidP="003A5711">
            <w:pPr>
              <w:rPr>
                <w:sz w:val="20"/>
                <w:szCs w:val="20"/>
                <w:lang w:val="en-GB"/>
              </w:rPr>
            </w:pPr>
            <w:r w:rsidRPr="002277DB">
              <w:rPr>
                <w:sz w:val="20"/>
                <w:szCs w:val="20"/>
                <w:lang w:val="en-GB"/>
              </w:rPr>
              <w:t>0</w:t>
            </w:r>
          </w:p>
        </w:tc>
      </w:tr>
      <w:tr w:rsidR="002749B1" w:rsidRPr="00C20C29" w14:paraId="6756270B" w14:textId="77777777" w:rsidTr="008E3EC3">
        <w:trPr>
          <w:cantSplit/>
        </w:trPr>
        <w:tc>
          <w:tcPr>
            <w:tcW w:w="979" w:type="pct"/>
            <w:vMerge/>
            <w:shd w:val="clear" w:color="auto" w:fill="auto"/>
            <w:vAlign w:val="center"/>
          </w:tcPr>
          <w:p w14:paraId="5D99364C" w14:textId="77777777" w:rsidR="002749B1" w:rsidRPr="002277DB" w:rsidRDefault="002749B1" w:rsidP="003A5711">
            <w:pPr>
              <w:rPr>
                <w:sz w:val="20"/>
                <w:szCs w:val="20"/>
                <w:lang w:val="en-GB"/>
              </w:rPr>
            </w:pPr>
          </w:p>
        </w:tc>
        <w:tc>
          <w:tcPr>
            <w:tcW w:w="1416" w:type="pct"/>
            <w:shd w:val="clear" w:color="auto" w:fill="auto"/>
          </w:tcPr>
          <w:p w14:paraId="59C4E3B0" w14:textId="77777777" w:rsidR="002749B1" w:rsidRPr="002277DB" w:rsidRDefault="002749B1" w:rsidP="003A5711">
            <w:pPr>
              <w:rPr>
                <w:sz w:val="20"/>
                <w:szCs w:val="20"/>
                <w:lang w:val="en-GB"/>
              </w:rPr>
            </w:pPr>
            <w:r w:rsidRPr="002277DB">
              <w:rPr>
                <w:sz w:val="20"/>
                <w:szCs w:val="20"/>
                <w:lang w:val="en-GB"/>
              </w:rPr>
              <w:t xml:space="preserve">Thyroiditis </w:t>
            </w:r>
            <w:r w:rsidRPr="002277DB">
              <w:rPr>
                <w:sz w:val="20"/>
                <w:szCs w:val="20"/>
                <w:vertAlign w:val="superscript"/>
                <w:lang w:val="en-GB"/>
              </w:rPr>
              <w:t>b</w:t>
            </w:r>
          </w:p>
        </w:tc>
        <w:tc>
          <w:tcPr>
            <w:tcW w:w="1325" w:type="pct"/>
            <w:shd w:val="clear" w:color="auto" w:fill="auto"/>
          </w:tcPr>
          <w:p w14:paraId="715FCE38"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03774125" w14:textId="77777777" w:rsidR="002749B1" w:rsidRPr="002277DB" w:rsidRDefault="002749B1" w:rsidP="003A5711">
            <w:pPr>
              <w:rPr>
                <w:sz w:val="20"/>
                <w:szCs w:val="20"/>
                <w:lang w:val="en-GB"/>
              </w:rPr>
            </w:pPr>
            <w:r w:rsidRPr="002277DB">
              <w:rPr>
                <w:sz w:val="20"/>
                <w:szCs w:val="20"/>
                <w:lang w:val="en-GB"/>
              </w:rPr>
              <w:t>23 (0.8)</w:t>
            </w:r>
          </w:p>
        </w:tc>
        <w:tc>
          <w:tcPr>
            <w:tcW w:w="621" w:type="pct"/>
            <w:shd w:val="clear" w:color="auto" w:fill="auto"/>
          </w:tcPr>
          <w:p w14:paraId="110AD33B" w14:textId="77777777" w:rsidR="002749B1" w:rsidRPr="002277DB" w:rsidRDefault="002749B1" w:rsidP="003A5711">
            <w:pPr>
              <w:rPr>
                <w:sz w:val="20"/>
                <w:szCs w:val="20"/>
                <w:lang w:val="en-GB"/>
              </w:rPr>
            </w:pPr>
            <w:r w:rsidRPr="002277DB">
              <w:rPr>
                <w:sz w:val="20"/>
                <w:szCs w:val="20"/>
                <w:lang w:val="en-GB"/>
              </w:rPr>
              <w:t>2 (&lt;0.1)</w:t>
            </w:r>
          </w:p>
        </w:tc>
      </w:tr>
      <w:tr w:rsidR="002749B1" w:rsidRPr="00C20C29" w14:paraId="1D5DCBA5" w14:textId="77777777" w:rsidTr="008E3EC3">
        <w:trPr>
          <w:cantSplit/>
        </w:trPr>
        <w:tc>
          <w:tcPr>
            <w:tcW w:w="979" w:type="pct"/>
            <w:vMerge/>
            <w:shd w:val="clear" w:color="auto" w:fill="auto"/>
            <w:vAlign w:val="center"/>
          </w:tcPr>
          <w:p w14:paraId="6F24BC11" w14:textId="77777777" w:rsidR="002749B1" w:rsidRPr="002277DB" w:rsidRDefault="002749B1" w:rsidP="003A5711">
            <w:pPr>
              <w:rPr>
                <w:sz w:val="20"/>
                <w:szCs w:val="20"/>
                <w:lang w:val="en-GB"/>
              </w:rPr>
            </w:pPr>
          </w:p>
        </w:tc>
        <w:tc>
          <w:tcPr>
            <w:tcW w:w="1416" w:type="pct"/>
            <w:shd w:val="clear" w:color="auto" w:fill="auto"/>
          </w:tcPr>
          <w:p w14:paraId="6F4FC7AB" w14:textId="77777777" w:rsidR="002749B1" w:rsidRPr="002277DB" w:rsidRDefault="002749B1" w:rsidP="003A5711">
            <w:pPr>
              <w:rPr>
                <w:sz w:val="20"/>
                <w:szCs w:val="20"/>
                <w:vertAlign w:val="superscript"/>
                <w:lang w:val="en-GB"/>
              </w:rPr>
            </w:pPr>
            <w:r w:rsidRPr="002277DB">
              <w:rPr>
                <w:sz w:val="20"/>
                <w:szCs w:val="20"/>
                <w:lang w:val="en-GB"/>
              </w:rPr>
              <w:t>Adrenal insufficiency</w:t>
            </w:r>
          </w:p>
        </w:tc>
        <w:tc>
          <w:tcPr>
            <w:tcW w:w="1325" w:type="pct"/>
            <w:shd w:val="clear" w:color="auto" w:fill="auto"/>
          </w:tcPr>
          <w:p w14:paraId="62ABCFBF"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744DD07D" w14:textId="77777777" w:rsidR="002749B1" w:rsidRPr="002277DB" w:rsidRDefault="002749B1" w:rsidP="003A5711">
            <w:pPr>
              <w:rPr>
                <w:sz w:val="20"/>
                <w:szCs w:val="20"/>
                <w:lang w:val="en-GB"/>
              </w:rPr>
            </w:pPr>
            <w:r w:rsidRPr="002277DB">
              <w:rPr>
                <w:sz w:val="20"/>
                <w:szCs w:val="20"/>
                <w:lang w:val="en-GB"/>
              </w:rPr>
              <w:t>18 (0.6)</w:t>
            </w:r>
          </w:p>
        </w:tc>
        <w:tc>
          <w:tcPr>
            <w:tcW w:w="621" w:type="pct"/>
            <w:shd w:val="clear" w:color="auto" w:fill="auto"/>
          </w:tcPr>
          <w:p w14:paraId="68444025" w14:textId="77777777" w:rsidR="002749B1" w:rsidRPr="002277DB" w:rsidRDefault="002749B1" w:rsidP="003A5711">
            <w:pPr>
              <w:rPr>
                <w:sz w:val="20"/>
                <w:szCs w:val="20"/>
                <w:lang w:val="en-GB"/>
              </w:rPr>
            </w:pPr>
            <w:r w:rsidRPr="002277DB">
              <w:rPr>
                <w:sz w:val="20"/>
                <w:szCs w:val="20"/>
                <w:lang w:val="en-GB"/>
              </w:rPr>
              <w:t>3 (&lt;0.1)</w:t>
            </w:r>
          </w:p>
        </w:tc>
      </w:tr>
      <w:tr w:rsidR="002749B1" w:rsidRPr="00C20C29" w14:paraId="082AFB5D" w14:textId="77777777" w:rsidTr="008E3EC3">
        <w:trPr>
          <w:cantSplit/>
        </w:trPr>
        <w:tc>
          <w:tcPr>
            <w:tcW w:w="979" w:type="pct"/>
            <w:vMerge/>
            <w:shd w:val="clear" w:color="auto" w:fill="auto"/>
            <w:vAlign w:val="center"/>
          </w:tcPr>
          <w:p w14:paraId="325A4A9D" w14:textId="77777777" w:rsidR="002749B1" w:rsidRPr="002277DB" w:rsidRDefault="002749B1" w:rsidP="003A5711">
            <w:pPr>
              <w:rPr>
                <w:sz w:val="20"/>
                <w:szCs w:val="20"/>
                <w:lang w:val="en-GB"/>
              </w:rPr>
            </w:pPr>
          </w:p>
        </w:tc>
        <w:tc>
          <w:tcPr>
            <w:tcW w:w="1416" w:type="pct"/>
            <w:shd w:val="clear" w:color="auto" w:fill="auto"/>
          </w:tcPr>
          <w:p w14:paraId="4CED426D" w14:textId="77777777" w:rsidR="002749B1" w:rsidRPr="002277DB" w:rsidRDefault="002749B1" w:rsidP="003A5711">
            <w:pPr>
              <w:rPr>
                <w:sz w:val="20"/>
                <w:szCs w:val="20"/>
                <w:lang w:val="en-GB"/>
              </w:rPr>
            </w:pPr>
            <w:r w:rsidRPr="002277DB">
              <w:rPr>
                <w:sz w:val="20"/>
                <w:szCs w:val="20"/>
                <w:lang w:val="en-GB"/>
              </w:rPr>
              <w:t xml:space="preserve">Type 1 diabetes mellitus </w:t>
            </w:r>
          </w:p>
        </w:tc>
        <w:tc>
          <w:tcPr>
            <w:tcW w:w="1325" w:type="pct"/>
            <w:shd w:val="clear" w:color="auto" w:fill="auto"/>
          </w:tcPr>
          <w:p w14:paraId="451A1DD3" w14:textId="77777777" w:rsidR="002749B1" w:rsidRPr="002277DB" w:rsidRDefault="002749B1" w:rsidP="003A5711">
            <w:pPr>
              <w:rPr>
                <w:sz w:val="20"/>
                <w:szCs w:val="20"/>
                <w:lang w:val="en-GB"/>
              </w:rPr>
            </w:pPr>
            <w:r w:rsidRPr="002277DB">
              <w:rPr>
                <w:sz w:val="20"/>
                <w:szCs w:val="20"/>
                <w:lang w:val="en-GB"/>
              </w:rPr>
              <w:t>Rare</w:t>
            </w:r>
          </w:p>
        </w:tc>
        <w:tc>
          <w:tcPr>
            <w:tcW w:w="659" w:type="pct"/>
            <w:shd w:val="clear" w:color="auto" w:fill="auto"/>
          </w:tcPr>
          <w:p w14:paraId="15F6F368" w14:textId="77777777" w:rsidR="002749B1" w:rsidRPr="002277DB" w:rsidRDefault="002749B1" w:rsidP="003A5711">
            <w:pPr>
              <w:rPr>
                <w:sz w:val="20"/>
                <w:szCs w:val="20"/>
                <w:lang w:val="en-GB"/>
              </w:rPr>
            </w:pPr>
            <w:r w:rsidRPr="002277DB">
              <w:rPr>
                <w:sz w:val="20"/>
                <w:szCs w:val="20"/>
                <w:lang w:val="en-GB"/>
              </w:rPr>
              <w:t>1 (&lt;0.1)</w:t>
            </w:r>
          </w:p>
        </w:tc>
        <w:tc>
          <w:tcPr>
            <w:tcW w:w="621" w:type="pct"/>
            <w:shd w:val="clear" w:color="auto" w:fill="auto"/>
          </w:tcPr>
          <w:p w14:paraId="3DE4A8C2"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0D8C529F" w14:textId="77777777" w:rsidTr="008E3EC3">
        <w:trPr>
          <w:cantSplit/>
        </w:trPr>
        <w:tc>
          <w:tcPr>
            <w:tcW w:w="979" w:type="pct"/>
            <w:vMerge/>
            <w:shd w:val="clear" w:color="auto" w:fill="auto"/>
            <w:vAlign w:val="center"/>
          </w:tcPr>
          <w:p w14:paraId="73F9CCF0" w14:textId="77777777" w:rsidR="002749B1" w:rsidRPr="002277DB" w:rsidRDefault="002749B1" w:rsidP="003A5711">
            <w:pPr>
              <w:rPr>
                <w:sz w:val="20"/>
                <w:szCs w:val="20"/>
                <w:lang w:val="en-GB"/>
              </w:rPr>
            </w:pPr>
          </w:p>
        </w:tc>
        <w:tc>
          <w:tcPr>
            <w:tcW w:w="1416" w:type="pct"/>
            <w:shd w:val="clear" w:color="auto" w:fill="auto"/>
          </w:tcPr>
          <w:p w14:paraId="51380F31" w14:textId="77777777" w:rsidR="002749B1" w:rsidRPr="002277DB" w:rsidRDefault="002749B1" w:rsidP="003A5711">
            <w:pPr>
              <w:rPr>
                <w:sz w:val="20"/>
                <w:szCs w:val="20"/>
                <w:vertAlign w:val="superscript"/>
                <w:lang w:val="en-GB"/>
              </w:rPr>
            </w:pPr>
            <w:r w:rsidRPr="002277DB">
              <w:rPr>
                <w:sz w:val="20"/>
                <w:szCs w:val="20"/>
                <w:lang w:val="en-GB"/>
              </w:rPr>
              <w:t>Hypophysitis/Hypopituitarism</w:t>
            </w:r>
          </w:p>
        </w:tc>
        <w:tc>
          <w:tcPr>
            <w:tcW w:w="1325" w:type="pct"/>
            <w:shd w:val="clear" w:color="auto" w:fill="auto"/>
          </w:tcPr>
          <w:p w14:paraId="6EABBC51" w14:textId="77777777" w:rsidR="002749B1" w:rsidRPr="002277DB" w:rsidRDefault="002749B1" w:rsidP="003A5711">
            <w:pPr>
              <w:rPr>
                <w:sz w:val="20"/>
                <w:szCs w:val="20"/>
                <w:lang w:val="en-GB"/>
              </w:rPr>
            </w:pPr>
            <w:r w:rsidRPr="002277DB">
              <w:rPr>
                <w:sz w:val="20"/>
                <w:szCs w:val="20"/>
                <w:lang w:val="en-GB"/>
              </w:rPr>
              <w:t>Rare</w:t>
            </w:r>
          </w:p>
        </w:tc>
        <w:tc>
          <w:tcPr>
            <w:tcW w:w="659" w:type="pct"/>
            <w:shd w:val="clear" w:color="auto" w:fill="auto"/>
          </w:tcPr>
          <w:p w14:paraId="4D645062" w14:textId="77777777" w:rsidR="002749B1" w:rsidRPr="002277DB" w:rsidRDefault="002749B1" w:rsidP="003A5711">
            <w:pPr>
              <w:rPr>
                <w:sz w:val="20"/>
                <w:szCs w:val="20"/>
                <w:lang w:val="en-GB"/>
              </w:rPr>
            </w:pPr>
            <w:r w:rsidRPr="002277DB">
              <w:rPr>
                <w:sz w:val="20"/>
                <w:szCs w:val="20"/>
                <w:lang w:val="en-GB"/>
              </w:rPr>
              <w:t>2 (&lt;0.1)</w:t>
            </w:r>
          </w:p>
        </w:tc>
        <w:tc>
          <w:tcPr>
            <w:tcW w:w="621" w:type="pct"/>
            <w:shd w:val="clear" w:color="auto" w:fill="auto"/>
          </w:tcPr>
          <w:p w14:paraId="1C6C9B3E" w14:textId="77777777" w:rsidR="002749B1" w:rsidRPr="002277DB" w:rsidRDefault="002749B1" w:rsidP="003A5711">
            <w:pPr>
              <w:rPr>
                <w:sz w:val="20"/>
                <w:szCs w:val="20"/>
                <w:lang w:val="en-GB"/>
              </w:rPr>
            </w:pPr>
            <w:r w:rsidRPr="002277DB">
              <w:rPr>
                <w:sz w:val="20"/>
                <w:szCs w:val="20"/>
                <w:lang w:val="en-GB"/>
              </w:rPr>
              <w:t>2 (&lt;0.1)</w:t>
            </w:r>
          </w:p>
        </w:tc>
      </w:tr>
      <w:tr w:rsidR="002749B1" w:rsidRPr="00C20C29" w14:paraId="0D2AD8D5" w14:textId="77777777" w:rsidTr="008E3EC3">
        <w:trPr>
          <w:cantSplit/>
        </w:trPr>
        <w:tc>
          <w:tcPr>
            <w:tcW w:w="979" w:type="pct"/>
            <w:vMerge/>
            <w:shd w:val="clear" w:color="auto" w:fill="auto"/>
            <w:vAlign w:val="center"/>
          </w:tcPr>
          <w:p w14:paraId="5B4A60F9" w14:textId="77777777" w:rsidR="002749B1" w:rsidRPr="002277DB" w:rsidRDefault="002749B1" w:rsidP="003A5711">
            <w:pPr>
              <w:rPr>
                <w:sz w:val="20"/>
                <w:szCs w:val="20"/>
                <w:lang w:val="en-GB"/>
              </w:rPr>
            </w:pPr>
          </w:p>
        </w:tc>
        <w:tc>
          <w:tcPr>
            <w:tcW w:w="1416" w:type="pct"/>
            <w:shd w:val="clear" w:color="auto" w:fill="auto"/>
          </w:tcPr>
          <w:p w14:paraId="4F7707AC" w14:textId="77777777" w:rsidR="002749B1" w:rsidRPr="002277DB" w:rsidRDefault="002749B1" w:rsidP="003A5711">
            <w:pPr>
              <w:rPr>
                <w:sz w:val="20"/>
                <w:szCs w:val="20"/>
                <w:vertAlign w:val="superscript"/>
                <w:lang w:val="en-GB"/>
              </w:rPr>
            </w:pPr>
            <w:r w:rsidRPr="002277DB">
              <w:rPr>
                <w:sz w:val="20"/>
                <w:szCs w:val="20"/>
                <w:lang w:val="en-GB"/>
              </w:rPr>
              <w:t>Diabetes insipidus</w:t>
            </w:r>
          </w:p>
        </w:tc>
        <w:tc>
          <w:tcPr>
            <w:tcW w:w="1325" w:type="pct"/>
            <w:shd w:val="clear" w:color="auto" w:fill="auto"/>
          </w:tcPr>
          <w:p w14:paraId="246E3BCF" w14:textId="77777777" w:rsidR="002749B1" w:rsidRPr="002277DB" w:rsidRDefault="002749B1" w:rsidP="003A5711">
            <w:pPr>
              <w:rPr>
                <w:sz w:val="20"/>
                <w:szCs w:val="20"/>
                <w:lang w:val="en-GB"/>
              </w:rPr>
            </w:pPr>
            <w:r w:rsidRPr="002277DB">
              <w:rPr>
                <w:sz w:val="20"/>
                <w:szCs w:val="20"/>
                <w:lang w:val="en-GB"/>
              </w:rPr>
              <w:t>Rare</w:t>
            </w:r>
          </w:p>
        </w:tc>
        <w:tc>
          <w:tcPr>
            <w:tcW w:w="659" w:type="pct"/>
            <w:shd w:val="clear" w:color="auto" w:fill="auto"/>
          </w:tcPr>
          <w:p w14:paraId="33F94460" w14:textId="77777777" w:rsidR="002749B1" w:rsidRPr="002277DB" w:rsidRDefault="002749B1" w:rsidP="003A5711">
            <w:pPr>
              <w:rPr>
                <w:sz w:val="20"/>
                <w:szCs w:val="20"/>
                <w:lang w:val="en-GB"/>
              </w:rPr>
            </w:pPr>
            <w:r w:rsidRPr="002277DB">
              <w:rPr>
                <w:sz w:val="20"/>
                <w:szCs w:val="20"/>
                <w:lang w:val="en-GB"/>
              </w:rPr>
              <w:t>1 (&lt;0.1)</w:t>
            </w:r>
          </w:p>
        </w:tc>
        <w:tc>
          <w:tcPr>
            <w:tcW w:w="621" w:type="pct"/>
            <w:shd w:val="clear" w:color="auto" w:fill="auto"/>
          </w:tcPr>
          <w:p w14:paraId="7CC0D7FC"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08577CCC" w14:textId="77777777" w:rsidTr="008E3EC3">
        <w:trPr>
          <w:cantSplit/>
        </w:trPr>
        <w:tc>
          <w:tcPr>
            <w:tcW w:w="979" w:type="pct"/>
            <w:vMerge w:val="restart"/>
            <w:shd w:val="clear" w:color="auto" w:fill="auto"/>
            <w:vAlign w:val="center"/>
          </w:tcPr>
          <w:p w14:paraId="3FCD27A4" w14:textId="77777777" w:rsidR="002749B1" w:rsidRPr="005443AC" w:rsidRDefault="002749B1" w:rsidP="003A5711">
            <w:pPr>
              <w:rPr>
                <w:bCs/>
                <w:sz w:val="20"/>
                <w:szCs w:val="20"/>
                <w:lang w:val="en-GB"/>
              </w:rPr>
            </w:pPr>
            <w:r w:rsidRPr="005443AC">
              <w:rPr>
                <w:bCs/>
                <w:sz w:val="20"/>
                <w:szCs w:val="20"/>
                <w:lang w:val="en-GB"/>
              </w:rPr>
              <w:t>Renal and urinary disorders</w:t>
            </w:r>
          </w:p>
        </w:tc>
        <w:tc>
          <w:tcPr>
            <w:tcW w:w="1416" w:type="pct"/>
            <w:shd w:val="clear" w:color="auto" w:fill="auto"/>
          </w:tcPr>
          <w:p w14:paraId="3C768443" w14:textId="77777777" w:rsidR="002749B1" w:rsidRPr="005443AC" w:rsidRDefault="002749B1" w:rsidP="003A5711">
            <w:pPr>
              <w:rPr>
                <w:sz w:val="20"/>
                <w:szCs w:val="20"/>
                <w:vertAlign w:val="superscript"/>
                <w:lang w:val="en-GB"/>
              </w:rPr>
            </w:pPr>
            <w:r w:rsidRPr="005443AC">
              <w:rPr>
                <w:sz w:val="20"/>
                <w:szCs w:val="20"/>
                <w:lang w:val="en-GB"/>
              </w:rPr>
              <w:t>Blood creatinine increased</w:t>
            </w:r>
          </w:p>
        </w:tc>
        <w:tc>
          <w:tcPr>
            <w:tcW w:w="1325" w:type="pct"/>
            <w:shd w:val="clear" w:color="auto" w:fill="auto"/>
          </w:tcPr>
          <w:p w14:paraId="29BCD555" w14:textId="77777777" w:rsidR="002749B1" w:rsidRPr="005443AC" w:rsidRDefault="002749B1" w:rsidP="003A5711">
            <w:pPr>
              <w:rPr>
                <w:sz w:val="20"/>
                <w:szCs w:val="20"/>
                <w:lang w:val="en-GB"/>
              </w:rPr>
            </w:pPr>
            <w:r w:rsidRPr="005443AC">
              <w:rPr>
                <w:sz w:val="20"/>
                <w:szCs w:val="20"/>
                <w:lang w:val="en-GB"/>
              </w:rPr>
              <w:t>Common</w:t>
            </w:r>
          </w:p>
        </w:tc>
        <w:tc>
          <w:tcPr>
            <w:tcW w:w="659" w:type="pct"/>
            <w:shd w:val="clear" w:color="auto" w:fill="auto"/>
          </w:tcPr>
          <w:p w14:paraId="4C50F34C" w14:textId="77777777" w:rsidR="002749B1" w:rsidRPr="005443AC" w:rsidRDefault="002749B1" w:rsidP="003A5711">
            <w:pPr>
              <w:rPr>
                <w:sz w:val="20"/>
                <w:szCs w:val="20"/>
                <w:lang w:val="en-GB"/>
              </w:rPr>
            </w:pPr>
            <w:r w:rsidRPr="005443AC">
              <w:rPr>
                <w:sz w:val="20"/>
                <w:szCs w:val="20"/>
                <w:lang w:val="en-GB"/>
              </w:rPr>
              <w:t>105 (3.5)</w:t>
            </w:r>
          </w:p>
        </w:tc>
        <w:tc>
          <w:tcPr>
            <w:tcW w:w="621" w:type="pct"/>
            <w:shd w:val="clear" w:color="auto" w:fill="auto"/>
          </w:tcPr>
          <w:p w14:paraId="58928725" w14:textId="77777777" w:rsidR="002749B1" w:rsidRPr="005443AC" w:rsidRDefault="002749B1" w:rsidP="003A5711">
            <w:pPr>
              <w:rPr>
                <w:sz w:val="20"/>
                <w:szCs w:val="20"/>
                <w:lang w:val="en-GB"/>
              </w:rPr>
            </w:pPr>
            <w:r w:rsidRPr="005443AC">
              <w:rPr>
                <w:sz w:val="20"/>
                <w:szCs w:val="20"/>
                <w:lang w:val="en-GB"/>
              </w:rPr>
              <w:t>3 (&lt;0.1)</w:t>
            </w:r>
          </w:p>
        </w:tc>
      </w:tr>
      <w:tr w:rsidR="002749B1" w:rsidRPr="00C20C29" w14:paraId="0788D913" w14:textId="77777777" w:rsidTr="008E3EC3">
        <w:trPr>
          <w:cantSplit/>
        </w:trPr>
        <w:tc>
          <w:tcPr>
            <w:tcW w:w="979" w:type="pct"/>
            <w:vMerge/>
            <w:shd w:val="clear" w:color="auto" w:fill="auto"/>
            <w:vAlign w:val="center"/>
          </w:tcPr>
          <w:p w14:paraId="1F5B563C" w14:textId="77777777" w:rsidR="002749B1" w:rsidRPr="002277DB" w:rsidRDefault="002749B1" w:rsidP="003A5711">
            <w:pPr>
              <w:rPr>
                <w:sz w:val="20"/>
                <w:szCs w:val="20"/>
                <w:lang w:val="en-GB"/>
              </w:rPr>
            </w:pPr>
          </w:p>
        </w:tc>
        <w:tc>
          <w:tcPr>
            <w:tcW w:w="1416" w:type="pct"/>
            <w:shd w:val="clear" w:color="auto" w:fill="auto"/>
          </w:tcPr>
          <w:p w14:paraId="0E07F126" w14:textId="77777777" w:rsidR="002749B1" w:rsidRPr="002277DB" w:rsidRDefault="002749B1" w:rsidP="003A5711">
            <w:pPr>
              <w:rPr>
                <w:sz w:val="20"/>
                <w:szCs w:val="20"/>
                <w:vertAlign w:val="superscript"/>
                <w:lang w:val="en-GB"/>
              </w:rPr>
            </w:pPr>
            <w:r w:rsidRPr="002277DB">
              <w:rPr>
                <w:sz w:val="20"/>
                <w:szCs w:val="20"/>
                <w:lang w:val="en-GB"/>
              </w:rPr>
              <w:t xml:space="preserve">Dysuria </w:t>
            </w:r>
          </w:p>
        </w:tc>
        <w:tc>
          <w:tcPr>
            <w:tcW w:w="1325" w:type="pct"/>
            <w:shd w:val="clear" w:color="auto" w:fill="auto"/>
          </w:tcPr>
          <w:p w14:paraId="61BAFEDE"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5DD0701A" w14:textId="77777777" w:rsidR="002749B1" w:rsidRPr="002277DB" w:rsidRDefault="002749B1" w:rsidP="003A5711">
            <w:pPr>
              <w:rPr>
                <w:sz w:val="20"/>
                <w:szCs w:val="20"/>
                <w:lang w:val="en-GB"/>
              </w:rPr>
            </w:pPr>
            <w:r w:rsidRPr="002277DB">
              <w:rPr>
                <w:sz w:val="20"/>
                <w:szCs w:val="20"/>
                <w:lang w:val="en-GB"/>
              </w:rPr>
              <w:t>39 (1.3)</w:t>
            </w:r>
          </w:p>
        </w:tc>
        <w:tc>
          <w:tcPr>
            <w:tcW w:w="621" w:type="pct"/>
            <w:shd w:val="clear" w:color="auto" w:fill="auto"/>
          </w:tcPr>
          <w:p w14:paraId="20696D0A" w14:textId="77777777" w:rsidR="002749B1" w:rsidRPr="002277DB" w:rsidRDefault="002749B1" w:rsidP="003A5711">
            <w:pPr>
              <w:rPr>
                <w:sz w:val="20"/>
                <w:szCs w:val="20"/>
                <w:lang w:val="en-GB"/>
              </w:rPr>
            </w:pPr>
            <w:r w:rsidRPr="002277DB">
              <w:rPr>
                <w:sz w:val="20"/>
                <w:szCs w:val="20"/>
                <w:lang w:val="en-GB"/>
              </w:rPr>
              <w:t>0</w:t>
            </w:r>
          </w:p>
        </w:tc>
      </w:tr>
      <w:tr w:rsidR="002749B1" w:rsidRPr="00C20C29" w14:paraId="159791C7" w14:textId="77777777" w:rsidTr="008E3EC3">
        <w:trPr>
          <w:cantSplit/>
        </w:trPr>
        <w:tc>
          <w:tcPr>
            <w:tcW w:w="979" w:type="pct"/>
            <w:vMerge/>
            <w:shd w:val="clear" w:color="auto" w:fill="auto"/>
            <w:vAlign w:val="center"/>
          </w:tcPr>
          <w:p w14:paraId="27FC6979" w14:textId="77777777" w:rsidR="002749B1" w:rsidRPr="002277DB" w:rsidRDefault="002749B1" w:rsidP="003A5711">
            <w:pPr>
              <w:rPr>
                <w:sz w:val="20"/>
                <w:szCs w:val="20"/>
                <w:lang w:val="en-GB"/>
              </w:rPr>
            </w:pPr>
          </w:p>
        </w:tc>
        <w:tc>
          <w:tcPr>
            <w:tcW w:w="1416" w:type="pct"/>
            <w:shd w:val="clear" w:color="auto" w:fill="auto"/>
          </w:tcPr>
          <w:p w14:paraId="196709F2" w14:textId="77777777" w:rsidR="002749B1" w:rsidRPr="002277DB" w:rsidRDefault="002749B1" w:rsidP="003A5711">
            <w:pPr>
              <w:rPr>
                <w:sz w:val="20"/>
                <w:szCs w:val="20"/>
                <w:vertAlign w:val="superscript"/>
                <w:lang w:val="en-GB"/>
              </w:rPr>
            </w:pPr>
            <w:r w:rsidRPr="002277DB">
              <w:rPr>
                <w:sz w:val="20"/>
                <w:szCs w:val="20"/>
                <w:lang w:val="en-GB"/>
              </w:rPr>
              <w:t xml:space="preserve">Nephritis </w:t>
            </w:r>
            <w:r w:rsidRPr="002277DB">
              <w:rPr>
                <w:sz w:val="20"/>
                <w:szCs w:val="20"/>
                <w:vertAlign w:val="superscript"/>
                <w:lang w:val="en-GB"/>
              </w:rPr>
              <w:t>b</w:t>
            </w:r>
          </w:p>
        </w:tc>
        <w:tc>
          <w:tcPr>
            <w:tcW w:w="1325" w:type="pct"/>
            <w:shd w:val="clear" w:color="auto" w:fill="auto"/>
          </w:tcPr>
          <w:p w14:paraId="20F54B3A" w14:textId="77777777" w:rsidR="002749B1" w:rsidRPr="002277DB" w:rsidRDefault="002749B1" w:rsidP="003A5711">
            <w:pPr>
              <w:rPr>
                <w:sz w:val="20"/>
                <w:szCs w:val="20"/>
                <w:lang w:val="en-GB"/>
              </w:rPr>
            </w:pPr>
            <w:r w:rsidRPr="002277DB">
              <w:rPr>
                <w:sz w:val="20"/>
                <w:szCs w:val="20"/>
                <w:lang w:val="en-GB"/>
              </w:rPr>
              <w:t xml:space="preserve">Uncommon </w:t>
            </w:r>
          </w:p>
        </w:tc>
        <w:tc>
          <w:tcPr>
            <w:tcW w:w="659" w:type="pct"/>
            <w:shd w:val="clear" w:color="auto" w:fill="auto"/>
          </w:tcPr>
          <w:p w14:paraId="7D53C064" w14:textId="77777777" w:rsidR="002749B1" w:rsidRPr="002277DB" w:rsidRDefault="002749B1" w:rsidP="003A5711">
            <w:pPr>
              <w:rPr>
                <w:sz w:val="20"/>
                <w:szCs w:val="20"/>
                <w:lang w:val="en-GB"/>
              </w:rPr>
            </w:pPr>
            <w:r w:rsidRPr="002277DB">
              <w:rPr>
                <w:sz w:val="20"/>
                <w:szCs w:val="20"/>
                <w:lang w:val="en-GB"/>
              </w:rPr>
              <w:t>9 (0.3)</w:t>
            </w:r>
          </w:p>
        </w:tc>
        <w:tc>
          <w:tcPr>
            <w:tcW w:w="621" w:type="pct"/>
            <w:shd w:val="clear" w:color="auto" w:fill="auto"/>
          </w:tcPr>
          <w:p w14:paraId="1108B1BE" w14:textId="77777777" w:rsidR="002749B1" w:rsidRPr="002277DB" w:rsidRDefault="002749B1" w:rsidP="003A5711">
            <w:pPr>
              <w:rPr>
                <w:sz w:val="20"/>
                <w:szCs w:val="20"/>
                <w:lang w:val="en-GB"/>
              </w:rPr>
            </w:pPr>
            <w:r w:rsidRPr="002277DB">
              <w:rPr>
                <w:sz w:val="20"/>
                <w:szCs w:val="20"/>
                <w:lang w:val="en-GB"/>
              </w:rPr>
              <w:t>2 (&lt;0.1)</w:t>
            </w:r>
          </w:p>
        </w:tc>
      </w:tr>
      <w:tr w:rsidR="002749B1" w:rsidRPr="00C20C29" w14:paraId="436567FE" w14:textId="77777777" w:rsidTr="008E3EC3">
        <w:trPr>
          <w:cantSplit/>
        </w:trPr>
        <w:tc>
          <w:tcPr>
            <w:tcW w:w="979" w:type="pct"/>
            <w:vMerge w:val="restart"/>
            <w:shd w:val="clear" w:color="auto" w:fill="auto"/>
            <w:vAlign w:val="center"/>
          </w:tcPr>
          <w:p w14:paraId="72C04B44" w14:textId="77777777" w:rsidR="002749B1" w:rsidRPr="005443AC" w:rsidRDefault="002749B1" w:rsidP="003A5711">
            <w:pPr>
              <w:rPr>
                <w:bCs/>
                <w:sz w:val="20"/>
                <w:szCs w:val="20"/>
                <w:lang w:val="en-GB"/>
              </w:rPr>
            </w:pPr>
            <w:r w:rsidRPr="005443AC">
              <w:rPr>
                <w:bCs/>
                <w:sz w:val="20"/>
                <w:szCs w:val="20"/>
                <w:lang w:val="en-GB"/>
              </w:rPr>
              <w:t>Skin and subcutaneous tissue disorders</w:t>
            </w:r>
          </w:p>
        </w:tc>
        <w:tc>
          <w:tcPr>
            <w:tcW w:w="1416" w:type="pct"/>
            <w:shd w:val="clear" w:color="auto" w:fill="auto"/>
          </w:tcPr>
          <w:p w14:paraId="561476F3" w14:textId="77777777" w:rsidR="002749B1" w:rsidRPr="005443AC" w:rsidRDefault="002749B1" w:rsidP="003A5711">
            <w:pPr>
              <w:rPr>
                <w:sz w:val="20"/>
                <w:szCs w:val="20"/>
                <w:vertAlign w:val="superscript"/>
                <w:lang w:val="en-GB"/>
              </w:rPr>
            </w:pPr>
            <w:r w:rsidRPr="005443AC">
              <w:rPr>
                <w:sz w:val="20"/>
                <w:szCs w:val="20"/>
                <w:lang w:val="en-GB"/>
              </w:rPr>
              <w:t xml:space="preserve">Rash </w:t>
            </w:r>
            <w:r w:rsidRPr="005443AC">
              <w:rPr>
                <w:sz w:val="20"/>
                <w:szCs w:val="20"/>
                <w:vertAlign w:val="superscript"/>
                <w:lang w:val="en-GB"/>
              </w:rPr>
              <w:t>b</w:t>
            </w:r>
          </w:p>
        </w:tc>
        <w:tc>
          <w:tcPr>
            <w:tcW w:w="1325" w:type="pct"/>
            <w:shd w:val="clear" w:color="auto" w:fill="auto"/>
          </w:tcPr>
          <w:p w14:paraId="6A241CDE" w14:textId="77777777" w:rsidR="002749B1" w:rsidRPr="005443AC" w:rsidRDefault="002749B1" w:rsidP="003A5711">
            <w:pPr>
              <w:rPr>
                <w:sz w:val="20"/>
                <w:szCs w:val="20"/>
                <w:lang w:val="en-GB"/>
              </w:rPr>
            </w:pPr>
            <w:r w:rsidRPr="005443AC">
              <w:rPr>
                <w:sz w:val="20"/>
                <w:szCs w:val="20"/>
                <w:lang w:val="en-GB"/>
              </w:rPr>
              <w:t>Very common</w:t>
            </w:r>
          </w:p>
        </w:tc>
        <w:tc>
          <w:tcPr>
            <w:tcW w:w="659" w:type="pct"/>
            <w:shd w:val="clear" w:color="auto" w:fill="auto"/>
          </w:tcPr>
          <w:p w14:paraId="067473A0" w14:textId="77777777" w:rsidR="002749B1" w:rsidRPr="005443AC" w:rsidRDefault="002749B1" w:rsidP="003A5711">
            <w:pPr>
              <w:rPr>
                <w:sz w:val="20"/>
                <w:szCs w:val="20"/>
                <w:lang w:val="en-GB"/>
              </w:rPr>
            </w:pPr>
            <w:r w:rsidRPr="005443AC">
              <w:rPr>
                <w:sz w:val="20"/>
                <w:szCs w:val="20"/>
                <w:lang w:val="en-GB"/>
              </w:rPr>
              <w:t>480 (16.0)</w:t>
            </w:r>
          </w:p>
        </w:tc>
        <w:tc>
          <w:tcPr>
            <w:tcW w:w="621" w:type="pct"/>
            <w:shd w:val="clear" w:color="auto" w:fill="auto"/>
          </w:tcPr>
          <w:p w14:paraId="3C848815" w14:textId="77777777" w:rsidR="002749B1" w:rsidRPr="005443AC" w:rsidRDefault="002749B1" w:rsidP="003A5711">
            <w:pPr>
              <w:rPr>
                <w:sz w:val="20"/>
                <w:szCs w:val="20"/>
                <w:lang w:val="en-GB"/>
              </w:rPr>
            </w:pPr>
            <w:r w:rsidRPr="005443AC">
              <w:rPr>
                <w:sz w:val="20"/>
                <w:szCs w:val="20"/>
                <w:lang w:val="en-GB"/>
              </w:rPr>
              <w:t>18 (0.6)</w:t>
            </w:r>
          </w:p>
        </w:tc>
      </w:tr>
      <w:tr w:rsidR="002749B1" w:rsidRPr="00C20C29" w14:paraId="63B4E40B" w14:textId="77777777" w:rsidTr="008E3EC3">
        <w:trPr>
          <w:cantSplit/>
        </w:trPr>
        <w:tc>
          <w:tcPr>
            <w:tcW w:w="979" w:type="pct"/>
            <w:vMerge/>
            <w:shd w:val="clear" w:color="auto" w:fill="auto"/>
            <w:vAlign w:val="center"/>
          </w:tcPr>
          <w:p w14:paraId="2453575D" w14:textId="77777777" w:rsidR="002749B1" w:rsidRPr="002277DB" w:rsidRDefault="002749B1" w:rsidP="003A5711">
            <w:pPr>
              <w:rPr>
                <w:sz w:val="20"/>
                <w:szCs w:val="20"/>
                <w:lang w:val="en-GB"/>
              </w:rPr>
            </w:pPr>
          </w:p>
        </w:tc>
        <w:tc>
          <w:tcPr>
            <w:tcW w:w="1416" w:type="pct"/>
            <w:shd w:val="clear" w:color="auto" w:fill="auto"/>
          </w:tcPr>
          <w:p w14:paraId="2C4B4754" w14:textId="77777777" w:rsidR="002749B1" w:rsidRPr="002277DB" w:rsidRDefault="002749B1" w:rsidP="003A5711">
            <w:pPr>
              <w:rPr>
                <w:sz w:val="20"/>
                <w:szCs w:val="20"/>
                <w:vertAlign w:val="superscript"/>
                <w:lang w:val="en-GB"/>
              </w:rPr>
            </w:pPr>
            <w:r w:rsidRPr="002277DB">
              <w:rPr>
                <w:sz w:val="20"/>
                <w:szCs w:val="20"/>
                <w:lang w:val="en-GB"/>
              </w:rPr>
              <w:t xml:space="preserve">Pruritus </w:t>
            </w:r>
            <w:r w:rsidRPr="002277DB">
              <w:rPr>
                <w:sz w:val="20"/>
                <w:szCs w:val="20"/>
                <w:vertAlign w:val="superscript"/>
                <w:lang w:val="en-GB"/>
              </w:rPr>
              <w:t>b</w:t>
            </w:r>
          </w:p>
        </w:tc>
        <w:tc>
          <w:tcPr>
            <w:tcW w:w="1325" w:type="pct"/>
            <w:shd w:val="clear" w:color="auto" w:fill="auto"/>
          </w:tcPr>
          <w:p w14:paraId="5EFC325D" w14:textId="77777777" w:rsidR="002749B1" w:rsidRPr="002277DB" w:rsidRDefault="002749B1" w:rsidP="003A5711">
            <w:pPr>
              <w:rPr>
                <w:sz w:val="20"/>
                <w:szCs w:val="20"/>
                <w:lang w:val="en-GB"/>
              </w:rPr>
            </w:pPr>
            <w:r w:rsidRPr="002277DB">
              <w:rPr>
                <w:sz w:val="20"/>
                <w:szCs w:val="20"/>
                <w:lang w:val="en-GB"/>
              </w:rPr>
              <w:t>Very common</w:t>
            </w:r>
          </w:p>
        </w:tc>
        <w:tc>
          <w:tcPr>
            <w:tcW w:w="659" w:type="pct"/>
            <w:shd w:val="clear" w:color="auto" w:fill="auto"/>
          </w:tcPr>
          <w:p w14:paraId="0C24F341" w14:textId="77777777" w:rsidR="002749B1" w:rsidRPr="002277DB" w:rsidRDefault="002749B1" w:rsidP="003A5711">
            <w:pPr>
              <w:rPr>
                <w:sz w:val="20"/>
                <w:szCs w:val="20"/>
                <w:lang w:val="en-GB"/>
              </w:rPr>
            </w:pPr>
            <w:r w:rsidRPr="002277DB">
              <w:rPr>
                <w:sz w:val="20"/>
                <w:szCs w:val="20"/>
                <w:lang w:val="en-GB"/>
              </w:rPr>
              <w:t>325 (10.8)</w:t>
            </w:r>
          </w:p>
        </w:tc>
        <w:tc>
          <w:tcPr>
            <w:tcW w:w="621" w:type="pct"/>
            <w:shd w:val="clear" w:color="auto" w:fill="auto"/>
          </w:tcPr>
          <w:p w14:paraId="0094B373"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4DC73684" w14:textId="77777777" w:rsidTr="008E3EC3">
        <w:trPr>
          <w:cantSplit/>
        </w:trPr>
        <w:tc>
          <w:tcPr>
            <w:tcW w:w="979" w:type="pct"/>
            <w:vMerge/>
            <w:shd w:val="clear" w:color="auto" w:fill="auto"/>
            <w:vAlign w:val="center"/>
          </w:tcPr>
          <w:p w14:paraId="2D9D6CB7" w14:textId="77777777" w:rsidR="002749B1" w:rsidRPr="002277DB" w:rsidRDefault="002749B1" w:rsidP="003A5711">
            <w:pPr>
              <w:rPr>
                <w:sz w:val="20"/>
                <w:szCs w:val="20"/>
                <w:lang w:val="en-GB"/>
              </w:rPr>
            </w:pPr>
          </w:p>
        </w:tc>
        <w:tc>
          <w:tcPr>
            <w:tcW w:w="1416" w:type="pct"/>
            <w:shd w:val="clear" w:color="auto" w:fill="auto"/>
          </w:tcPr>
          <w:p w14:paraId="0B606AF2" w14:textId="77777777" w:rsidR="002749B1" w:rsidRPr="002277DB" w:rsidRDefault="002749B1" w:rsidP="003A5711">
            <w:pPr>
              <w:rPr>
                <w:sz w:val="20"/>
                <w:szCs w:val="20"/>
                <w:vertAlign w:val="superscript"/>
                <w:lang w:val="en-GB"/>
              </w:rPr>
            </w:pPr>
            <w:r w:rsidRPr="002277DB">
              <w:rPr>
                <w:sz w:val="20"/>
                <w:szCs w:val="20"/>
                <w:lang w:val="en-GB"/>
              </w:rPr>
              <w:t xml:space="preserve">Night sweats </w:t>
            </w:r>
          </w:p>
        </w:tc>
        <w:tc>
          <w:tcPr>
            <w:tcW w:w="1325" w:type="pct"/>
            <w:shd w:val="clear" w:color="auto" w:fill="auto"/>
          </w:tcPr>
          <w:p w14:paraId="0CF37DD0"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742E5B5E" w14:textId="77777777" w:rsidR="002749B1" w:rsidRPr="002277DB" w:rsidDel="00E369E1" w:rsidRDefault="002749B1" w:rsidP="003A5711">
            <w:pPr>
              <w:rPr>
                <w:sz w:val="20"/>
                <w:szCs w:val="20"/>
                <w:lang w:val="en-GB"/>
              </w:rPr>
            </w:pPr>
            <w:r w:rsidRPr="002277DB">
              <w:rPr>
                <w:sz w:val="20"/>
                <w:szCs w:val="20"/>
                <w:lang w:val="en-GB"/>
              </w:rPr>
              <w:t>47 (1.6)</w:t>
            </w:r>
          </w:p>
        </w:tc>
        <w:tc>
          <w:tcPr>
            <w:tcW w:w="621" w:type="pct"/>
            <w:shd w:val="clear" w:color="auto" w:fill="auto"/>
          </w:tcPr>
          <w:p w14:paraId="317417F1"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5E546AC1" w14:textId="77777777" w:rsidTr="008E3EC3">
        <w:trPr>
          <w:cantSplit/>
        </w:trPr>
        <w:tc>
          <w:tcPr>
            <w:tcW w:w="979" w:type="pct"/>
            <w:vMerge/>
            <w:shd w:val="clear" w:color="auto" w:fill="auto"/>
            <w:vAlign w:val="center"/>
          </w:tcPr>
          <w:p w14:paraId="6E83481B" w14:textId="77777777" w:rsidR="002749B1" w:rsidRPr="002277DB" w:rsidRDefault="002749B1" w:rsidP="003A5711">
            <w:pPr>
              <w:rPr>
                <w:sz w:val="20"/>
                <w:szCs w:val="20"/>
                <w:lang w:val="en-GB"/>
              </w:rPr>
            </w:pPr>
          </w:p>
        </w:tc>
        <w:tc>
          <w:tcPr>
            <w:tcW w:w="1416" w:type="pct"/>
            <w:shd w:val="clear" w:color="auto" w:fill="auto"/>
          </w:tcPr>
          <w:p w14:paraId="3D723210" w14:textId="77777777" w:rsidR="002749B1" w:rsidRPr="002277DB" w:rsidRDefault="002749B1" w:rsidP="003A5711">
            <w:pPr>
              <w:rPr>
                <w:sz w:val="20"/>
                <w:szCs w:val="20"/>
                <w:vertAlign w:val="superscript"/>
                <w:lang w:val="en-GB"/>
              </w:rPr>
            </w:pPr>
            <w:r w:rsidRPr="002277DB">
              <w:rPr>
                <w:sz w:val="20"/>
                <w:szCs w:val="20"/>
                <w:lang w:val="en-GB"/>
              </w:rPr>
              <w:t xml:space="preserve">Dermatitis </w:t>
            </w:r>
          </w:p>
        </w:tc>
        <w:tc>
          <w:tcPr>
            <w:tcW w:w="1325" w:type="pct"/>
            <w:shd w:val="clear" w:color="auto" w:fill="auto"/>
          </w:tcPr>
          <w:p w14:paraId="60F76C33"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0EFEB8F2" w14:textId="77777777" w:rsidR="002749B1" w:rsidRPr="002277DB" w:rsidRDefault="002749B1" w:rsidP="003A5711">
            <w:pPr>
              <w:rPr>
                <w:sz w:val="20"/>
                <w:szCs w:val="20"/>
                <w:lang w:val="en-GB"/>
              </w:rPr>
            </w:pPr>
            <w:r w:rsidRPr="002277DB">
              <w:rPr>
                <w:sz w:val="20"/>
                <w:szCs w:val="20"/>
                <w:lang w:val="en-GB"/>
              </w:rPr>
              <w:t>22 (0.7)</w:t>
            </w:r>
          </w:p>
        </w:tc>
        <w:tc>
          <w:tcPr>
            <w:tcW w:w="621" w:type="pct"/>
            <w:shd w:val="clear" w:color="auto" w:fill="auto"/>
          </w:tcPr>
          <w:p w14:paraId="5D09DC47" w14:textId="77777777" w:rsidR="002749B1" w:rsidRPr="002277DB" w:rsidRDefault="002749B1" w:rsidP="003A5711">
            <w:pPr>
              <w:rPr>
                <w:sz w:val="20"/>
                <w:szCs w:val="20"/>
                <w:lang w:val="en-GB"/>
              </w:rPr>
            </w:pPr>
            <w:r w:rsidRPr="002277DB">
              <w:rPr>
                <w:sz w:val="20"/>
                <w:szCs w:val="20"/>
                <w:lang w:val="en-GB"/>
              </w:rPr>
              <w:t>2 (&lt;0.1)</w:t>
            </w:r>
          </w:p>
        </w:tc>
      </w:tr>
      <w:tr w:rsidR="002749B1" w:rsidRPr="00C20C29" w14:paraId="274BFB20" w14:textId="77777777" w:rsidTr="008E3EC3">
        <w:trPr>
          <w:cantSplit/>
        </w:trPr>
        <w:tc>
          <w:tcPr>
            <w:tcW w:w="979" w:type="pct"/>
            <w:vMerge/>
            <w:shd w:val="clear" w:color="auto" w:fill="auto"/>
            <w:vAlign w:val="center"/>
          </w:tcPr>
          <w:p w14:paraId="67905B95" w14:textId="77777777" w:rsidR="002749B1" w:rsidRPr="002277DB" w:rsidRDefault="002749B1" w:rsidP="003A5711">
            <w:pPr>
              <w:rPr>
                <w:sz w:val="20"/>
                <w:szCs w:val="20"/>
                <w:lang w:val="en-GB"/>
              </w:rPr>
            </w:pPr>
          </w:p>
        </w:tc>
        <w:tc>
          <w:tcPr>
            <w:tcW w:w="1416" w:type="pct"/>
            <w:shd w:val="clear" w:color="auto" w:fill="auto"/>
          </w:tcPr>
          <w:p w14:paraId="28164B6E" w14:textId="77777777" w:rsidR="002749B1" w:rsidRPr="002277DB" w:rsidRDefault="002749B1" w:rsidP="003A5711">
            <w:pPr>
              <w:rPr>
                <w:sz w:val="20"/>
                <w:szCs w:val="20"/>
                <w:lang w:val="en-GB"/>
              </w:rPr>
            </w:pPr>
            <w:r w:rsidRPr="002277DB">
              <w:rPr>
                <w:sz w:val="20"/>
                <w:szCs w:val="20"/>
                <w:lang w:val="en-GB"/>
              </w:rPr>
              <w:t xml:space="preserve">Pemphigoid </w:t>
            </w:r>
            <w:r w:rsidRPr="002277DB">
              <w:rPr>
                <w:sz w:val="20"/>
                <w:szCs w:val="20"/>
                <w:vertAlign w:val="superscript"/>
                <w:lang w:val="en-GB"/>
              </w:rPr>
              <w:t>b</w:t>
            </w:r>
          </w:p>
        </w:tc>
        <w:tc>
          <w:tcPr>
            <w:tcW w:w="1325" w:type="pct"/>
            <w:shd w:val="clear" w:color="auto" w:fill="auto"/>
          </w:tcPr>
          <w:p w14:paraId="7A588ECD" w14:textId="77777777" w:rsidR="002749B1" w:rsidRPr="002277DB" w:rsidRDefault="002749B1" w:rsidP="003A5711">
            <w:pPr>
              <w:rPr>
                <w:sz w:val="20"/>
                <w:szCs w:val="20"/>
                <w:lang w:val="en-GB"/>
              </w:rPr>
            </w:pPr>
            <w:r w:rsidRPr="002277DB">
              <w:rPr>
                <w:sz w:val="20"/>
                <w:szCs w:val="20"/>
                <w:lang w:val="en-GB"/>
              </w:rPr>
              <w:t>Rare</w:t>
            </w:r>
          </w:p>
        </w:tc>
        <w:tc>
          <w:tcPr>
            <w:tcW w:w="659" w:type="pct"/>
            <w:shd w:val="clear" w:color="auto" w:fill="auto"/>
          </w:tcPr>
          <w:p w14:paraId="326B587E" w14:textId="77777777" w:rsidR="002749B1" w:rsidRPr="002277DB" w:rsidRDefault="002749B1" w:rsidP="003A5711">
            <w:pPr>
              <w:rPr>
                <w:sz w:val="20"/>
                <w:szCs w:val="20"/>
                <w:lang w:val="en-GB"/>
              </w:rPr>
            </w:pPr>
            <w:r w:rsidRPr="002277DB">
              <w:rPr>
                <w:sz w:val="20"/>
                <w:szCs w:val="20"/>
                <w:lang w:val="en-GB"/>
              </w:rPr>
              <w:t>3 (&lt;0.1)</w:t>
            </w:r>
          </w:p>
        </w:tc>
        <w:tc>
          <w:tcPr>
            <w:tcW w:w="621" w:type="pct"/>
            <w:shd w:val="clear" w:color="auto" w:fill="auto"/>
          </w:tcPr>
          <w:p w14:paraId="5B2EA3BA" w14:textId="77777777" w:rsidR="002749B1" w:rsidRPr="002277DB" w:rsidRDefault="002749B1" w:rsidP="003A5711">
            <w:pPr>
              <w:rPr>
                <w:sz w:val="20"/>
                <w:szCs w:val="20"/>
                <w:lang w:val="en-GB"/>
              </w:rPr>
            </w:pPr>
            <w:r w:rsidRPr="002277DB">
              <w:rPr>
                <w:sz w:val="20"/>
                <w:szCs w:val="20"/>
                <w:lang w:val="en-GB"/>
              </w:rPr>
              <w:t>0</w:t>
            </w:r>
          </w:p>
        </w:tc>
      </w:tr>
      <w:tr w:rsidR="002749B1" w:rsidRPr="00C20C29" w14:paraId="08B72897" w14:textId="77777777" w:rsidTr="008E3EC3">
        <w:trPr>
          <w:cantSplit/>
        </w:trPr>
        <w:tc>
          <w:tcPr>
            <w:tcW w:w="979" w:type="pct"/>
            <w:shd w:val="clear" w:color="auto" w:fill="auto"/>
            <w:vAlign w:val="center"/>
          </w:tcPr>
          <w:p w14:paraId="28EDCB53" w14:textId="77777777" w:rsidR="002749B1" w:rsidRPr="005443AC" w:rsidRDefault="002749B1" w:rsidP="003A5711">
            <w:pPr>
              <w:rPr>
                <w:bCs/>
                <w:sz w:val="20"/>
                <w:szCs w:val="20"/>
                <w:lang w:val="en-GB"/>
              </w:rPr>
            </w:pPr>
            <w:r w:rsidRPr="005443AC">
              <w:rPr>
                <w:bCs/>
                <w:sz w:val="20"/>
                <w:szCs w:val="20"/>
                <w:lang w:val="en-GB"/>
              </w:rPr>
              <w:t>Cardiac disorders</w:t>
            </w:r>
          </w:p>
        </w:tc>
        <w:tc>
          <w:tcPr>
            <w:tcW w:w="1416" w:type="pct"/>
            <w:shd w:val="clear" w:color="auto" w:fill="auto"/>
          </w:tcPr>
          <w:p w14:paraId="459DFAAE" w14:textId="77777777" w:rsidR="002749B1" w:rsidRPr="005443AC" w:rsidRDefault="002749B1" w:rsidP="003A5711">
            <w:pPr>
              <w:rPr>
                <w:sz w:val="20"/>
                <w:szCs w:val="20"/>
                <w:lang w:val="en-GB"/>
              </w:rPr>
            </w:pPr>
            <w:r w:rsidRPr="005443AC">
              <w:rPr>
                <w:sz w:val="20"/>
                <w:szCs w:val="20"/>
                <w:lang w:val="en-GB"/>
              </w:rPr>
              <w:t>Myocarditis</w:t>
            </w:r>
          </w:p>
        </w:tc>
        <w:tc>
          <w:tcPr>
            <w:tcW w:w="1325" w:type="pct"/>
            <w:shd w:val="clear" w:color="auto" w:fill="auto"/>
          </w:tcPr>
          <w:p w14:paraId="58A6C2A5" w14:textId="77777777" w:rsidR="002749B1" w:rsidRPr="005443AC" w:rsidRDefault="002749B1" w:rsidP="003A5711">
            <w:pPr>
              <w:rPr>
                <w:sz w:val="20"/>
                <w:szCs w:val="20"/>
                <w:lang w:val="en-GB"/>
              </w:rPr>
            </w:pPr>
            <w:r w:rsidRPr="005443AC">
              <w:rPr>
                <w:sz w:val="20"/>
                <w:szCs w:val="20"/>
                <w:lang w:val="en-GB"/>
              </w:rPr>
              <w:t>Rare</w:t>
            </w:r>
          </w:p>
        </w:tc>
        <w:tc>
          <w:tcPr>
            <w:tcW w:w="659" w:type="pct"/>
            <w:shd w:val="clear" w:color="auto" w:fill="auto"/>
          </w:tcPr>
          <w:p w14:paraId="10862131" w14:textId="77777777" w:rsidR="002749B1" w:rsidRPr="005443AC" w:rsidDel="00E369E1" w:rsidRDefault="002749B1" w:rsidP="003A5711">
            <w:pPr>
              <w:rPr>
                <w:sz w:val="20"/>
                <w:szCs w:val="20"/>
                <w:lang w:val="en-GB"/>
              </w:rPr>
            </w:pPr>
            <w:r w:rsidRPr="005443AC">
              <w:rPr>
                <w:sz w:val="20"/>
                <w:szCs w:val="20"/>
                <w:lang w:val="en-GB"/>
              </w:rPr>
              <w:t>1 (&lt;0.1)</w:t>
            </w:r>
          </w:p>
        </w:tc>
        <w:tc>
          <w:tcPr>
            <w:tcW w:w="621" w:type="pct"/>
            <w:shd w:val="clear" w:color="auto" w:fill="auto"/>
          </w:tcPr>
          <w:p w14:paraId="04B401D6" w14:textId="77777777" w:rsidR="002749B1" w:rsidRPr="005443AC" w:rsidRDefault="002749B1" w:rsidP="003A5711">
            <w:pPr>
              <w:rPr>
                <w:sz w:val="20"/>
                <w:szCs w:val="20"/>
                <w:lang w:val="en-GB"/>
              </w:rPr>
            </w:pPr>
            <w:r w:rsidRPr="005443AC">
              <w:rPr>
                <w:sz w:val="20"/>
                <w:szCs w:val="20"/>
                <w:lang w:val="en-GB"/>
              </w:rPr>
              <w:t>1 (&lt;0.1)</w:t>
            </w:r>
          </w:p>
        </w:tc>
      </w:tr>
      <w:tr w:rsidR="002749B1" w:rsidRPr="00C20C29" w14:paraId="1D1758B7" w14:textId="77777777" w:rsidTr="008E3EC3">
        <w:trPr>
          <w:cantSplit/>
        </w:trPr>
        <w:tc>
          <w:tcPr>
            <w:tcW w:w="979" w:type="pct"/>
            <w:vMerge w:val="restart"/>
            <w:shd w:val="clear" w:color="auto" w:fill="auto"/>
            <w:vAlign w:val="center"/>
          </w:tcPr>
          <w:p w14:paraId="759CE505" w14:textId="77777777" w:rsidR="002749B1" w:rsidRPr="005443AC" w:rsidRDefault="002749B1" w:rsidP="003A5711">
            <w:pPr>
              <w:rPr>
                <w:bCs/>
                <w:sz w:val="20"/>
                <w:szCs w:val="20"/>
                <w:lang w:val="en-GB"/>
              </w:rPr>
            </w:pPr>
            <w:r w:rsidRPr="005443AC">
              <w:rPr>
                <w:bCs/>
                <w:sz w:val="20"/>
                <w:szCs w:val="20"/>
                <w:lang w:val="en-GB"/>
              </w:rPr>
              <w:t>General disorders and administration site conditions</w:t>
            </w:r>
          </w:p>
        </w:tc>
        <w:tc>
          <w:tcPr>
            <w:tcW w:w="1416" w:type="pct"/>
            <w:shd w:val="clear" w:color="auto" w:fill="auto"/>
          </w:tcPr>
          <w:p w14:paraId="1F0AEB8D" w14:textId="77777777" w:rsidR="002749B1" w:rsidRPr="005443AC" w:rsidRDefault="002749B1" w:rsidP="003A5711">
            <w:pPr>
              <w:rPr>
                <w:sz w:val="20"/>
                <w:szCs w:val="20"/>
                <w:lang w:val="en-GB"/>
              </w:rPr>
            </w:pPr>
            <w:r w:rsidRPr="005443AC">
              <w:rPr>
                <w:sz w:val="20"/>
                <w:szCs w:val="20"/>
                <w:lang w:val="en-GB"/>
              </w:rPr>
              <w:t>Pyrexia</w:t>
            </w:r>
          </w:p>
        </w:tc>
        <w:tc>
          <w:tcPr>
            <w:tcW w:w="1325" w:type="pct"/>
            <w:shd w:val="clear" w:color="auto" w:fill="auto"/>
          </w:tcPr>
          <w:p w14:paraId="00FB4815" w14:textId="77777777" w:rsidR="002749B1" w:rsidRPr="005443AC" w:rsidRDefault="002749B1" w:rsidP="003A5711">
            <w:pPr>
              <w:rPr>
                <w:sz w:val="20"/>
                <w:szCs w:val="20"/>
                <w:lang w:val="en-GB"/>
              </w:rPr>
            </w:pPr>
            <w:r w:rsidRPr="005443AC">
              <w:rPr>
                <w:sz w:val="20"/>
                <w:szCs w:val="20"/>
                <w:lang w:val="en-GB"/>
              </w:rPr>
              <w:t>Very common</w:t>
            </w:r>
          </w:p>
        </w:tc>
        <w:tc>
          <w:tcPr>
            <w:tcW w:w="659" w:type="pct"/>
            <w:shd w:val="clear" w:color="auto" w:fill="auto"/>
          </w:tcPr>
          <w:p w14:paraId="43090886" w14:textId="77777777" w:rsidR="002749B1" w:rsidRPr="005443AC" w:rsidDel="00E369E1" w:rsidRDefault="002749B1" w:rsidP="003A5711">
            <w:pPr>
              <w:rPr>
                <w:sz w:val="20"/>
                <w:szCs w:val="20"/>
                <w:lang w:val="en-GB"/>
              </w:rPr>
            </w:pPr>
            <w:r w:rsidRPr="005443AC">
              <w:rPr>
                <w:sz w:val="20"/>
                <w:szCs w:val="20"/>
                <w:lang w:val="en-GB"/>
              </w:rPr>
              <w:t>414 (13.8)</w:t>
            </w:r>
          </w:p>
        </w:tc>
        <w:tc>
          <w:tcPr>
            <w:tcW w:w="621" w:type="pct"/>
            <w:shd w:val="clear" w:color="auto" w:fill="auto"/>
          </w:tcPr>
          <w:p w14:paraId="4C98CDAE" w14:textId="77777777" w:rsidR="002749B1" w:rsidRPr="005443AC" w:rsidRDefault="002749B1" w:rsidP="003A5711">
            <w:pPr>
              <w:rPr>
                <w:sz w:val="20"/>
                <w:szCs w:val="20"/>
                <w:lang w:val="en-GB"/>
              </w:rPr>
            </w:pPr>
            <w:r w:rsidRPr="005443AC">
              <w:rPr>
                <w:sz w:val="20"/>
                <w:szCs w:val="20"/>
                <w:lang w:val="en-GB"/>
              </w:rPr>
              <w:t>10 (0.3)</w:t>
            </w:r>
          </w:p>
        </w:tc>
      </w:tr>
      <w:tr w:rsidR="002749B1" w:rsidRPr="00C20C29" w14:paraId="5259F405" w14:textId="77777777" w:rsidTr="008E3EC3">
        <w:trPr>
          <w:cantSplit/>
        </w:trPr>
        <w:tc>
          <w:tcPr>
            <w:tcW w:w="979" w:type="pct"/>
            <w:vMerge/>
            <w:shd w:val="clear" w:color="auto" w:fill="auto"/>
            <w:vAlign w:val="center"/>
          </w:tcPr>
          <w:p w14:paraId="23B3296B" w14:textId="77777777" w:rsidR="002749B1" w:rsidRPr="002277DB" w:rsidRDefault="002749B1" w:rsidP="003A5711">
            <w:pPr>
              <w:rPr>
                <w:sz w:val="20"/>
                <w:szCs w:val="20"/>
                <w:lang w:val="en-GB"/>
              </w:rPr>
            </w:pPr>
          </w:p>
        </w:tc>
        <w:tc>
          <w:tcPr>
            <w:tcW w:w="1416" w:type="pct"/>
            <w:shd w:val="clear" w:color="auto" w:fill="auto"/>
          </w:tcPr>
          <w:p w14:paraId="2B48A58B" w14:textId="77777777" w:rsidR="002749B1" w:rsidRPr="002277DB" w:rsidRDefault="002749B1" w:rsidP="003A5711">
            <w:pPr>
              <w:rPr>
                <w:sz w:val="20"/>
                <w:szCs w:val="20"/>
                <w:vertAlign w:val="superscript"/>
                <w:lang w:val="en-GB"/>
              </w:rPr>
            </w:pPr>
            <w:r w:rsidRPr="002277DB">
              <w:rPr>
                <w:sz w:val="20"/>
                <w:szCs w:val="20"/>
                <w:lang w:val="en-GB"/>
              </w:rPr>
              <w:t xml:space="preserve">Oedema peripheral </w:t>
            </w:r>
            <w:r w:rsidRPr="002277DB">
              <w:rPr>
                <w:sz w:val="20"/>
                <w:szCs w:val="20"/>
                <w:vertAlign w:val="superscript"/>
                <w:lang w:val="en-GB"/>
              </w:rPr>
              <w:t>b</w:t>
            </w:r>
          </w:p>
        </w:tc>
        <w:tc>
          <w:tcPr>
            <w:tcW w:w="1325" w:type="pct"/>
            <w:shd w:val="clear" w:color="auto" w:fill="auto"/>
          </w:tcPr>
          <w:p w14:paraId="1D039DC4" w14:textId="77777777" w:rsidR="002749B1" w:rsidRPr="002277DB" w:rsidRDefault="002749B1" w:rsidP="003A5711">
            <w:pPr>
              <w:rPr>
                <w:sz w:val="20"/>
                <w:szCs w:val="20"/>
                <w:lang w:val="en-GB"/>
              </w:rPr>
            </w:pPr>
            <w:r w:rsidRPr="002277DB">
              <w:rPr>
                <w:sz w:val="20"/>
                <w:szCs w:val="20"/>
                <w:lang w:val="en-GB"/>
              </w:rPr>
              <w:t xml:space="preserve"> Common</w:t>
            </w:r>
          </w:p>
        </w:tc>
        <w:tc>
          <w:tcPr>
            <w:tcW w:w="659" w:type="pct"/>
            <w:shd w:val="clear" w:color="auto" w:fill="auto"/>
          </w:tcPr>
          <w:p w14:paraId="2EC81AA2" w14:textId="77777777" w:rsidR="002749B1" w:rsidRPr="002277DB" w:rsidDel="00E369E1" w:rsidRDefault="002749B1" w:rsidP="003A5711">
            <w:pPr>
              <w:rPr>
                <w:sz w:val="20"/>
                <w:szCs w:val="20"/>
                <w:lang w:val="en-GB"/>
              </w:rPr>
            </w:pPr>
            <w:r w:rsidRPr="002277DB">
              <w:rPr>
                <w:sz w:val="20"/>
                <w:szCs w:val="20"/>
                <w:lang w:val="en-GB"/>
              </w:rPr>
              <w:t>291 (9.7)</w:t>
            </w:r>
          </w:p>
        </w:tc>
        <w:tc>
          <w:tcPr>
            <w:tcW w:w="621" w:type="pct"/>
            <w:shd w:val="clear" w:color="auto" w:fill="auto"/>
          </w:tcPr>
          <w:p w14:paraId="4DB275B1" w14:textId="77777777" w:rsidR="002749B1" w:rsidRPr="002277DB" w:rsidRDefault="002749B1" w:rsidP="003A5711">
            <w:pPr>
              <w:rPr>
                <w:sz w:val="20"/>
                <w:szCs w:val="20"/>
                <w:lang w:val="en-GB"/>
              </w:rPr>
            </w:pPr>
            <w:r w:rsidRPr="002277DB">
              <w:rPr>
                <w:sz w:val="20"/>
                <w:szCs w:val="20"/>
                <w:lang w:val="en-GB"/>
              </w:rPr>
              <w:t>9 (0.3)</w:t>
            </w:r>
          </w:p>
        </w:tc>
      </w:tr>
      <w:tr w:rsidR="002749B1" w:rsidRPr="00C20C29" w14:paraId="0DA86BB0" w14:textId="77777777" w:rsidTr="008E3EC3">
        <w:trPr>
          <w:cantSplit/>
        </w:trPr>
        <w:tc>
          <w:tcPr>
            <w:tcW w:w="979" w:type="pct"/>
            <w:vMerge w:val="restart"/>
            <w:shd w:val="clear" w:color="auto" w:fill="auto"/>
            <w:vAlign w:val="center"/>
          </w:tcPr>
          <w:p w14:paraId="5FF35329" w14:textId="77777777" w:rsidR="002749B1" w:rsidRPr="005443AC" w:rsidRDefault="002749B1" w:rsidP="003A5711">
            <w:pPr>
              <w:rPr>
                <w:bCs/>
                <w:sz w:val="20"/>
                <w:szCs w:val="20"/>
                <w:lang w:val="en-GB"/>
              </w:rPr>
            </w:pPr>
            <w:r w:rsidRPr="005443AC">
              <w:rPr>
                <w:bCs/>
                <w:sz w:val="20"/>
                <w:szCs w:val="20"/>
                <w:lang w:val="en-GB"/>
              </w:rPr>
              <w:t>Infections and infestations</w:t>
            </w:r>
          </w:p>
        </w:tc>
        <w:tc>
          <w:tcPr>
            <w:tcW w:w="1416" w:type="pct"/>
            <w:shd w:val="clear" w:color="auto" w:fill="auto"/>
          </w:tcPr>
          <w:p w14:paraId="14CA2297" w14:textId="77777777" w:rsidR="002749B1" w:rsidRPr="005443AC" w:rsidRDefault="002749B1" w:rsidP="003A5711">
            <w:pPr>
              <w:rPr>
                <w:sz w:val="20"/>
                <w:szCs w:val="20"/>
                <w:lang w:val="en-GB"/>
              </w:rPr>
            </w:pPr>
            <w:r w:rsidRPr="005443AC">
              <w:rPr>
                <w:sz w:val="20"/>
                <w:szCs w:val="20"/>
                <w:lang w:val="en-GB"/>
              </w:rPr>
              <w:t xml:space="preserve">Upper respiratory tract infections </w:t>
            </w:r>
            <w:r w:rsidRPr="005443AC">
              <w:rPr>
                <w:sz w:val="20"/>
                <w:szCs w:val="20"/>
                <w:vertAlign w:val="superscript"/>
                <w:lang w:val="en-GB"/>
              </w:rPr>
              <w:t>b</w:t>
            </w:r>
          </w:p>
        </w:tc>
        <w:tc>
          <w:tcPr>
            <w:tcW w:w="1325" w:type="pct"/>
            <w:shd w:val="clear" w:color="auto" w:fill="auto"/>
          </w:tcPr>
          <w:p w14:paraId="299DB467" w14:textId="77777777" w:rsidR="002749B1" w:rsidRPr="005443AC" w:rsidRDefault="002749B1" w:rsidP="003A5711">
            <w:pPr>
              <w:rPr>
                <w:sz w:val="20"/>
                <w:szCs w:val="20"/>
                <w:lang w:val="en-GB"/>
              </w:rPr>
            </w:pPr>
            <w:r w:rsidRPr="005443AC">
              <w:rPr>
                <w:sz w:val="20"/>
                <w:szCs w:val="20"/>
                <w:lang w:val="en-GB"/>
              </w:rPr>
              <w:t xml:space="preserve">Very common </w:t>
            </w:r>
          </w:p>
        </w:tc>
        <w:tc>
          <w:tcPr>
            <w:tcW w:w="659" w:type="pct"/>
            <w:shd w:val="clear" w:color="auto" w:fill="auto"/>
          </w:tcPr>
          <w:p w14:paraId="221E9A14" w14:textId="77777777" w:rsidR="002749B1" w:rsidRPr="005443AC" w:rsidDel="00E369E1" w:rsidRDefault="002749B1" w:rsidP="003A5711">
            <w:pPr>
              <w:rPr>
                <w:sz w:val="20"/>
                <w:szCs w:val="20"/>
                <w:lang w:val="en-GB"/>
              </w:rPr>
            </w:pPr>
            <w:r w:rsidRPr="005443AC">
              <w:rPr>
                <w:sz w:val="20"/>
                <w:szCs w:val="20"/>
                <w:lang w:val="en-GB"/>
              </w:rPr>
              <w:t>407 (13.5)</w:t>
            </w:r>
          </w:p>
        </w:tc>
        <w:tc>
          <w:tcPr>
            <w:tcW w:w="621" w:type="pct"/>
            <w:shd w:val="clear" w:color="auto" w:fill="auto"/>
          </w:tcPr>
          <w:p w14:paraId="0B09AFC2" w14:textId="77777777" w:rsidR="002749B1" w:rsidRPr="005443AC" w:rsidRDefault="002749B1" w:rsidP="003A5711">
            <w:pPr>
              <w:rPr>
                <w:sz w:val="20"/>
                <w:szCs w:val="20"/>
                <w:lang w:val="en-GB"/>
              </w:rPr>
            </w:pPr>
            <w:r w:rsidRPr="005443AC">
              <w:rPr>
                <w:sz w:val="20"/>
                <w:szCs w:val="20"/>
                <w:lang w:val="en-GB"/>
              </w:rPr>
              <w:t>6 (0.2)</w:t>
            </w:r>
          </w:p>
        </w:tc>
      </w:tr>
      <w:tr w:rsidR="002749B1" w:rsidRPr="00C20C29" w14:paraId="22919EB1" w14:textId="77777777" w:rsidTr="008E3EC3">
        <w:trPr>
          <w:cantSplit/>
        </w:trPr>
        <w:tc>
          <w:tcPr>
            <w:tcW w:w="979" w:type="pct"/>
            <w:vMerge/>
            <w:shd w:val="clear" w:color="auto" w:fill="auto"/>
            <w:vAlign w:val="center"/>
          </w:tcPr>
          <w:p w14:paraId="1137F9FC" w14:textId="77777777" w:rsidR="002749B1" w:rsidRPr="002277DB" w:rsidRDefault="002749B1" w:rsidP="003A5711">
            <w:pPr>
              <w:rPr>
                <w:sz w:val="20"/>
                <w:szCs w:val="20"/>
                <w:lang w:val="en-GB"/>
              </w:rPr>
            </w:pPr>
          </w:p>
        </w:tc>
        <w:tc>
          <w:tcPr>
            <w:tcW w:w="1416" w:type="pct"/>
            <w:shd w:val="clear" w:color="auto" w:fill="auto"/>
          </w:tcPr>
          <w:p w14:paraId="2B7DF11F" w14:textId="77777777" w:rsidR="002749B1" w:rsidRPr="002277DB" w:rsidRDefault="002749B1" w:rsidP="003A5711">
            <w:pPr>
              <w:rPr>
                <w:sz w:val="20"/>
                <w:szCs w:val="20"/>
                <w:lang w:val="en-GB"/>
              </w:rPr>
            </w:pPr>
            <w:r w:rsidRPr="002277DB">
              <w:rPr>
                <w:sz w:val="20"/>
                <w:szCs w:val="20"/>
                <w:lang w:val="en-GB"/>
              </w:rPr>
              <w:t xml:space="preserve">Pneumonia </w:t>
            </w:r>
            <w:r w:rsidRPr="002277DB">
              <w:rPr>
                <w:sz w:val="20"/>
                <w:szCs w:val="20"/>
                <w:vertAlign w:val="superscript"/>
                <w:lang w:val="en-GB"/>
              </w:rPr>
              <w:t>b,c</w:t>
            </w:r>
          </w:p>
        </w:tc>
        <w:tc>
          <w:tcPr>
            <w:tcW w:w="1325" w:type="pct"/>
            <w:shd w:val="clear" w:color="auto" w:fill="auto"/>
          </w:tcPr>
          <w:p w14:paraId="1997EB0F"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74216C26" w14:textId="77777777" w:rsidR="002749B1" w:rsidRPr="002277DB" w:rsidDel="00E369E1" w:rsidRDefault="002749B1" w:rsidP="003A5711">
            <w:pPr>
              <w:rPr>
                <w:sz w:val="20"/>
                <w:szCs w:val="20"/>
                <w:lang w:val="en-GB"/>
              </w:rPr>
            </w:pPr>
            <w:r w:rsidRPr="002277DB">
              <w:rPr>
                <w:sz w:val="20"/>
                <w:szCs w:val="20"/>
                <w:lang w:val="en-GB"/>
              </w:rPr>
              <w:t>269 (8.9)</w:t>
            </w:r>
          </w:p>
        </w:tc>
        <w:tc>
          <w:tcPr>
            <w:tcW w:w="621" w:type="pct"/>
            <w:shd w:val="clear" w:color="auto" w:fill="auto"/>
          </w:tcPr>
          <w:p w14:paraId="413ED581" w14:textId="77777777" w:rsidR="002749B1" w:rsidRPr="002277DB" w:rsidRDefault="002749B1" w:rsidP="003A5711">
            <w:pPr>
              <w:rPr>
                <w:sz w:val="20"/>
                <w:szCs w:val="20"/>
                <w:lang w:val="en-GB"/>
              </w:rPr>
            </w:pPr>
            <w:r w:rsidRPr="002277DB">
              <w:rPr>
                <w:sz w:val="20"/>
                <w:szCs w:val="20"/>
                <w:lang w:val="en-GB"/>
              </w:rPr>
              <w:t>106 (3.5)</w:t>
            </w:r>
          </w:p>
        </w:tc>
      </w:tr>
      <w:tr w:rsidR="002749B1" w:rsidRPr="00C20C29" w14:paraId="11866FB8" w14:textId="77777777" w:rsidTr="008E3EC3">
        <w:trPr>
          <w:cantSplit/>
        </w:trPr>
        <w:tc>
          <w:tcPr>
            <w:tcW w:w="979" w:type="pct"/>
            <w:vMerge/>
            <w:shd w:val="clear" w:color="auto" w:fill="auto"/>
            <w:vAlign w:val="center"/>
          </w:tcPr>
          <w:p w14:paraId="4781A432" w14:textId="77777777" w:rsidR="002749B1" w:rsidRPr="002277DB" w:rsidRDefault="002749B1" w:rsidP="003A5711">
            <w:pPr>
              <w:rPr>
                <w:sz w:val="20"/>
                <w:szCs w:val="20"/>
                <w:lang w:val="en-GB"/>
              </w:rPr>
            </w:pPr>
          </w:p>
        </w:tc>
        <w:tc>
          <w:tcPr>
            <w:tcW w:w="1416" w:type="pct"/>
            <w:shd w:val="clear" w:color="auto" w:fill="auto"/>
          </w:tcPr>
          <w:p w14:paraId="5384FF55" w14:textId="77777777" w:rsidR="002749B1" w:rsidRPr="002277DB" w:rsidRDefault="002749B1" w:rsidP="003A5711">
            <w:pPr>
              <w:rPr>
                <w:sz w:val="20"/>
                <w:szCs w:val="20"/>
                <w:vertAlign w:val="superscript"/>
                <w:lang w:val="en-GB"/>
              </w:rPr>
            </w:pPr>
            <w:r w:rsidRPr="002277DB">
              <w:rPr>
                <w:sz w:val="20"/>
                <w:szCs w:val="20"/>
                <w:lang w:val="en-GB"/>
              </w:rPr>
              <w:t xml:space="preserve">Oral candidiasis </w:t>
            </w:r>
          </w:p>
        </w:tc>
        <w:tc>
          <w:tcPr>
            <w:tcW w:w="1325" w:type="pct"/>
            <w:shd w:val="clear" w:color="auto" w:fill="auto"/>
          </w:tcPr>
          <w:p w14:paraId="304452AC"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48244E73" w14:textId="77777777" w:rsidR="002749B1" w:rsidRPr="002277DB" w:rsidDel="00E369E1" w:rsidRDefault="002749B1" w:rsidP="003A5711">
            <w:pPr>
              <w:rPr>
                <w:sz w:val="20"/>
                <w:szCs w:val="20"/>
                <w:lang w:val="en-GB"/>
              </w:rPr>
            </w:pPr>
            <w:r w:rsidRPr="002277DB">
              <w:rPr>
                <w:sz w:val="20"/>
                <w:szCs w:val="20"/>
                <w:lang w:val="en-GB"/>
              </w:rPr>
              <w:t>64 (2.1)</w:t>
            </w:r>
          </w:p>
        </w:tc>
        <w:tc>
          <w:tcPr>
            <w:tcW w:w="621" w:type="pct"/>
            <w:shd w:val="clear" w:color="auto" w:fill="auto"/>
          </w:tcPr>
          <w:p w14:paraId="33E273EF" w14:textId="77777777" w:rsidR="002749B1" w:rsidRPr="002277DB" w:rsidRDefault="002749B1" w:rsidP="003A5711">
            <w:pPr>
              <w:rPr>
                <w:sz w:val="20"/>
                <w:szCs w:val="20"/>
                <w:lang w:val="en-GB"/>
              </w:rPr>
            </w:pPr>
            <w:r w:rsidRPr="002277DB">
              <w:rPr>
                <w:sz w:val="20"/>
                <w:szCs w:val="20"/>
                <w:lang w:val="en-GB"/>
              </w:rPr>
              <w:t>0</w:t>
            </w:r>
          </w:p>
        </w:tc>
      </w:tr>
      <w:tr w:rsidR="002749B1" w:rsidRPr="00C20C29" w14:paraId="26D10E09" w14:textId="77777777" w:rsidTr="008E3EC3">
        <w:trPr>
          <w:cantSplit/>
        </w:trPr>
        <w:tc>
          <w:tcPr>
            <w:tcW w:w="979" w:type="pct"/>
            <w:vMerge/>
            <w:shd w:val="clear" w:color="auto" w:fill="auto"/>
            <w:vAlign w:val="center"/>
          </w:tcPr>
          <w:p w14:paraId="6D789BCA" w14:textId="77777777" w:rsidR="002749B1" w:rsidRPr="002277DB" w:rsidRDefault="002749B1" w:rsidP="003A5711">
            <w:pPr>
              <w:rPr>
                <w:sz w:val="20"/>
                <w:szCs w:val="20"/>
                <w:lang w:val="en-GB"/>
              </w:rPr>
            </w:pPr>
          </w:p>
        </w:tc>
        <w:tc>
          <w:tcPr>
            <w:tcW w:w="1416" w:type="pct"/>
            <w:shd w:val="clear" w:color="auto" w:fill="auto"/>
          </w:tcPr>
          <w:p w14:paraId="46FD8C31" w14:textId="77777777" w:rsidR="002749B1" w:rsidRPr="002277DB" w:rsidRDefault="002749B1" w:rsidP="003A5711">
            <w:pPr>
              <w:rPr>
                <w:sz w:val="20"/>
                <w:szCs w:val="20"/>
                <w:lang w:val="en-GB"/>
              </w:rPr>
            </w:pPr>
            <w:r w:rsidRPr="002277DB">
              <w:rPr>
                <w:sz w:val="20"/>
                <w:szCs w:val="20"/>
                <w:lang w:val="en-GB"/>
              </w:rPr>
              <w:t xml:space="preserve">Dental and oral soft tissue infections </w:t>
            </w:r>
            <w:r w:rsidRPr="002277DB">
              <w:rPr>
                <w:sz w:val="20"/>
                <w:szCs w:val="20"/>
                <w:vertAlign w:val="superscript"/>
                <w:lang w:val="en-GB"/>
              </w:rPr>
              <w:t>b</w:t>
            </w:r>
          </w:p>
        </w:tc>
        <w:tc>
          <w:tcPr>
            <w:tcW w:w="1325" w:type="pct"/>
            <w:shd w:val="clear" w:color="auto" w:fill="auto"/>
          </w:tcPr>
          <w:p w14:paraId="07F81EBA"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54BF80C3" w14:textId="77777777" w:rsidR="002749B1" w:rsidRPr="002277DB" w:rsidDel="00E369E1" w:rsidRDefault="002749B1" w:rsidP="003A5711">
            <w:pPr>
              <w:rPr>
                <w:sz w:val="20"/>
                <w:szCs w:val="20"/>
                <w:lang w:val="en-GB"/>
              </w:rPr>
            </w:pPr>
            <w:r w:rsidRPr="002277DB">
              <w:rPr>
                <w:sz w:val="20"/>
                <w:szCs w:val="20"/>
                <w:lang w:val="en-GB"/>
              </w:rPr>
              <w:t>50 (1.7)</w:t>
            </w:r>
          </w:p>
        </w:tc>
        <w:tc>
          <w:tcPr>
            <w:tcW w:w="621" w:type="pct"/>
            <w:shd w:val="clear" w:color="auto" w:fill="auto"/>
          </w:tcPr>
          <w:p w14:paraId="51BBA5B6"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1F247A3A" w14:textId="77777777" w:rsidTr="008E3EC3">
        <w:trPr>
          <w:cantSplit/>
        </w:trPr>
        <w:tc>
          <w:tcPr>
            <w:tcW w:w="979" w:type="pct"/>
            <w:vMerge/>
            <w:shd w:val="clear" w:color="auto" w:fill="auto"/>
            <w:vAlign w:val="center"/>
          </w:tcPr>
          <w:p w14:paraId="3D143DB8" w14:textId="77777777" w:rsidR="002749B1" w:rsidRPr="002277DB" w:rsidRDefault="002749B1" w:rsidP="003A5711">
            <w:pPr>
              <w:rPr>
                <w:sz w:val="20"/>
                <w:szCs w:val="20"/>
                <w:lang w:val="en-GB"/>
              </w:rPr>
            </w:pPr>
          </w:p>
        </w:tc>
        <w:tc>
          <w:tcPr>
            <w:tcW w:w="1416" w:type="pct"/>
            <w:shd w:val="clear" w:color="auto" w:fill="auto"/>
          </w:tcPr>
          <w:p w14:paraId="4C909C80" w14:textId="77777777" w:rsidR="002749B1" w:rsidRPr="002277DB" w:rsidRDefault="002749B1" w:rsidP="003A5711">
            <w:pPr>
              <w:rPr>
                <w:sz w:val="20"/>
                <w:szCs w:val="20"/>
                <w:lang w:val="en-GB"/>
              </w:rPr>
            </w:pPr>
            <w:r w:rsidRPr="002277DB">
              <w:rPr>
                <w:sz w:val="20"/>
                <w:szCs w:val="20"/>
                <w:lang w:val="en-GB"/>
              </w:rPr>
              <w:t>Influenza</w:t>
            </w:r>
          </w:p>
        </w:tc>
        <w:tc>
          <w:tcPr>
            <w:tcW w:w="1325" w:type="pct"/>
            <w:shd w:val="clear" w:color="auto" w:fill="auto"/>
          </w:tcPr>
          <w:p w14:paraId="62D0C07A" w14:textId="77777777" w:rsidR="002749B1" w:rsidRPr="002277DB" w:rsidRDefault="002749B1" w:rsidP="003A5711">
            <w:pPr>
              <w:rPr>
                <w:sz w:val="20"/>
                <w:szCs w:val="20"/>
                <w:lang w:val="en-GB"/>
              </w:rPr>
            </w:pPr>
            <w:r w:rsidRPr="002277DB">
              <w:rPr>
                <w:sz w:val="20"/>
                <w:szCs w:val="20"/>
                <w:lang w:val="en-GB"/>
              </w:rPr>
              <w:t>Common</w:t>
            </w:r>
          </w:p>
        </w:tc>
        <w:tc>
          <w:tcPr>
            <w:tcW w:w="659" w:type="pct"/>
            <w:shd w:val="clear" w:color="auto" w:fill="auto"/>
          </w:tcPr>
          <w:p w14:paraId="7D74EA53" w14:textId="77777777" w:rsidR="002749B1" w:rsidRPr="002277DB" w:rsidDel="00E369E1" w:rsidRDefault="002749B1" w:rsidP="003A5711">
            <w:pPr>
              <w:rPr>
                <w:sz w:val="20"/>
                <w:szCs w:val="20"/>
                <w:lang w:val="en-GB"/>
              </w:rPr>
            </w:pPr>
            <w:r w:rsidRPr="002277DB">
              <w:rPr>
                <w:sz w:val="20"/>
                <w:szCs w:val="20"/>
                <w:lang w:val="en-GB"/>
              </w:rPr>
              <w:t>47 (1.6)</w:t>
            </w:r>
          </w:p>
        </w:tc>
        <w:tc>
          <w:tcPr>
            <w:tcW w:w="621" w:type="pct"/>
            <w:shd w:val="clear" w:color="auto" w:fill="auto"/>
          </w:tcPr>
          <w:p w14:paraId="094E6279" w14:textId="77777777" w:rsidR="002749B1" w:rsidRPr="002277DB" w:rsidRDefault="002749B1" w:rsidP="003A5711">
            <w:pPr>
              <w:rPr>
                <w:sz w:val="20"/>
                <w:szCs w:val="20"/>
                <w:lang w:val="en-GB"/>
              </w:rPr>
            </w:pPr>
            <w:r w:rsidRPr="002277DB">
              <w:rPr>
                <w:sz w:val="20"/>
                <w:szCs w:val="20"/>
                <w:lang w:val="en-GB"/>
              </w:rPr>
              <w:t>2 (&lt;0.1)</w:t>
            </w:r>
          </w:p>
        </w:tc>
      </w:tr>
      <w:tr w:rsidR="002749B1" w:rsidRPr="00C20C29" w14:paraId="6543307A" w14:textId="77777777" w:rsidTr="008E3EC3">
        <w:trPr>
          <w:cantSplit/>
        </w:trPr>
        <w:tc>
          <w:tcPr>
            <w:tcW w:w="979" w:type="pct"/>
            <w:vMerge w:val="restart"/>
            <w:shd w:val="clear" w:color="auto" w:fill="auto"/>
            <w:vAlign w:val="center"/>
          </w:tcPr>
          <w:p w14:paraId="5571B45F" w14:textId="77777777" w:rsidR="002749B1" w:rsidRPr="005443AC" w:rsidRDefault="002749B1" w:rsidP="003A5711">
            <w:pPr>
              <w:rPr>
                <w:bCs/>
                <w:sz w:val="20"/>
                <w:szCs w:val="20"/>
                <w:lang w:val="en-GB"/>
              </w:rPr>
            </w:pPr>
            <w:r w:rsidRPr="005443AC">
              <w:rPr>
                <w:bCs/>
                <w:sz w:val="20"/>
                <w:szCs w:val="20"/>
                <w:lang w:val="en-GB"/>
              </w:rPr>
              <w:t>Musculoskeletal and connective tissue disorders</w:t>
            </w:r>
          </w:p>
        </w:tc>
        <w:tc>
          <w:tcPr>
            <w:tcW w:w="1416" w:type="pct"/>
            <w:shd w:val="clear" w:color="auto" w:fill="auto"/>
          </w:tcPr>
          <w:p w14:paraId="06218E49" w14:textId="77777777" w:rsidR="002749B1" w:rsidRPr="005443AC" w:rsidRDefault="002749B1" w:rsidP="003A5711">
            <w:pPr>
              <w:rPr>
                <w:sz w:val="20"/>
                <w:szCs w:val="20"/>
                <w:vertAlign w:val="superscript"/>
                <w:lang w:val="en-GB"/>
              </w:rPr>
            </w:pPr>
            <w:r w:rsidRPr="005443AC">
              <w:rPr>
                <w:sz w:val="20"/>
                <w:szCs w:val="20"/>
                <w:lang w:val="en-GB"/>
              </w:rPr>
              <w:t xml:space="preserve">Myalgia </w:t>
            </w:r>
          </w:p>
        </w:tc>
        <w:tc>
          <w:tcPr>
            <w:tcW w:w="1325" w:type="pct"/>
            <w:shd w:val="clear" w:color="auto" w:fill="auto"/>
          </w:tcPr>
          <w:p w14:paraId="505C3DF7" w14:textId="77777777" w:rsidR="002749B1" w:rsidRPr="005443AC" w:rsidRDefault="002749B1" w:rsidP="003A5711">
            <w:pPr>
              <w:rPr>
                <w:sz w:val="20"/>
                <w:szCs w:val="20"/>
                <w:lang w:val="en-GB"/>
              </w:rPr>
            </w:pPr>
            <w:r w:rsidRPr="005443AC">
              <w:rPr>
                <w:sz w:val="20"/>
                <w:szCs w:val="20"/>
                <w:lang w:val="en-GB"/>
              </w:rPr>
              <w:t>Common</w:t>
            </w:r>
          </w:p>
        </w:tc>
        <w:tc>
          <w:tcPr>
            <w:tcW w:w="659" w:type="pct"/>
            <w:shd w:val="clear" w:color="auto" w:fill="auto"/>
          </w:tcPr>
          <w:p w14:paraId="7DC21673" w14:textId="77777777" w:rsidR="002749B1" w:rsidRPr="005443AC" w:rsidDel="00E369E1" w:rsidRDefault="002749B1" w:rsidP="003A5711">
            <w:pPr>
              <w:rPr>
                <w:sz w:val="20"/>
                <w:szCs w:val="20"/>
                <w:lang w:val="en-GB"/>
              </w:rPr>
            </w:pPr>
            <w:r w:rsidRPr="005443AC">
              <w:rPr>
                <w:sz w:val="20"/>
                <w:szCs w:val="20"/>
                <w:lang w:val="en-GB"/>
              </w:rPr>
              <w:t>178 (5.9)</w:t>
            </w:r>
          </w:p>
        </w:tc>
        <w:tc>
          <w:tcPr>
            <w:tcW w:w="621" w:type="pct"/>
            <w:shd w:val="clear" w:color="auto" w:fill="auto"/>
          </w:tcPr>
          <w:p w14:paraId="19E4454C" w14:textId="77777777" w:rsidR="002749B1" w:rsidRPr="005443AC" w:rsidRDefault="002749B1" w:rsidP="003A5711">
            <w:pPr>
              <w:rPr>
                <w:sz w:val="20"/>
                <w:szCs w:val="20"/>
                <w:lang w:val="en-GB"/>
              </w:rPr>
            </w:pPr>
            <w:r w:rsidRPr="005443AC">
              <w:rPr>
                <w:sz w:val="20"/>
                <w:szCs w:val="20"/>
                <w:lang w:val="en-GB"/>
              </w:rPr>
              <w:t>2 (&lt;0.1)</w:t>
            </w:r>
          </w:p>
        </w:tc>
      </w:tr>
      <w:tr w:rsidR="002749B1" w:rsidRPr="00C20C29" w14:paraId="562DAFE8" w14:textId="77777777" w:rsidTr="008E3EC3">
        <w:trPr>
          <w:cantSplit/>
        </w:trPr>
        <w:tc>
          <w:tcPr>
            <w:tcW w:w="979" w:type="pct"/>
            <w:vMerge/>
            <w:shd w:val="clear" w:color="auto" w:fill="auto"/>
            <w:vAlign w:val="center"/>
          </w:tcPr>
          <w:p w14:paraId="5DA7972E" w14:textId="77777777" w:rsidR="002749B1" w:rsidRPr="002277DB" w:rsidRDefault="002749B1" w:rsidP="003A5711">
            <w:pPr>
              <w:rPr>
                <w:sz w:val="20"/>
                <w:szCs w:val="20"/>
                <w:lang w:val="en-GB"/>
              </w:rPr>
            </w:pPr>
          </w:p>
        </w:tc>
        <w:tc>
          <w:tcPr>
            <w:tcW w:w="1416" w:type="pct"/>
            <w:shd w:val="clear" w:color="auto" w:fill="auto"/>
          </w:tcPr>
          <w:p w14:paraId="015F97E8" w14:textId="77777777" w:rsidR="002749B1" w:rsidRPr="002277DB" w:rsidRDefault="002749B1" w:rsidP="003A5711">
            <w:pPr>
              <w:rPr>
                <w:sz w:val="20"/>
                <w:szCs w:val="20"/>
                <w:vertAlign w:val="superscript"/>
                <w:lang w:val="en-GB"/>
              </w:rPr>
            </w:pPr>
            <w:r w:rsidRPr="002277DB">
              <w:rPr>
                <w:sz w:val="20"/>
                <w:szCs w:val="20"/>
                <w:lang w:val="en-GB"/>
              </w:rPr>
              <w:t xml:space="preserve">Myositis </w:t>
            </w:r>
          </w:p>
        </w:tc>
        <w:tc>
          <w:tcPr>
            <w:tcW w:w="1325" w:type="pct"/>
            <w:shd w:val="clear" w:color="auto" w:fill="auto"/>
          </w:tcPr>
          <w:p w14:paraId="4B534ABD" w14:textId="77777777" w:rsidR="002749B1" w:rsidRPr="002277DB" w:rsidRDefault="002749B1" w:rsidP="003A5711">
            <w:pPr>
              <w:rPr>
                <w:sz w:val="20"/>
                <w:szCs w:val="20"/>
                <w:lang w:val="en-GB"/>
              </w:rPr>
            </w:pPr>
            <w:r w:rsidRPr="002277DB">
              <w:rPr>
                <w:sz w:val="20"/>
                <w:szCs w:val="20"/>
                <w:lang w:val="en-GB"/>
              </w:rPr>
              <w:t>Uncommon</w:t>
            </w:r>
          </w:p>
        </w:tc>
        <w:tc>
          <w:tcPr>
            <w:tcW w:w="659" w:type="pct"/>
            <w:shd w:val="clear" w:color="auto" w:fill="auto"/>
          </w:tcPr>
          <w:p w14:paraId="55671BFD" w14:textId="77777777" w:rsidR="002749B1" w:rsidRPr="002277DB" w:rsidDel="00E369E1" w:rsidRDefault="002749B1" w:rsidP="003A5711">
            <w:pPr>
              <w:rPr>
                <w:sz w:val="20"/>
                <w:szCs w:val="20"/>
                <w:lang w:val="en-GB"/>
              </w:rPr>
            </w:pPr>
            <w:r w:rsidRPr="002277DB">
              <w:rPr>
                <w:sz w:val="20"/>
                <w:szCs w:val="20"/>
                <w:lang w:val="en-GB"/>
              </w:rPr>
              <w:t>6 (0.2)</w:t>
            </w:r>
          </w:p>
        </w:tc>
        <w:tc>
          <w:tcPr>
            <w:tcW w:w="621" w:type="pct"/>
            <w:shd w:val="clear" w:color="auto" w:fill="auto"/>
          </w:tcPr>
          <w:p w14:paraId="6FA98A5B" w14:textId="77777777" w:rsidR="002749B1" w:rsidRPr="002277DB" w:rsidRDefault="002749B1" w:rsidP="003A5711">
            <w:pPr>
              <w:rPr>
                <w:sz w:val="20"/>
                <w:szCs w:val="20"/>
                <w:lang w:val="en-GB"/>
              </w:rPr>
            </w:pPr>
            <w:r w:rsidRPr="002277DB">
              <w:rPr>
                <w:sz w:val="20"/>
                <w:szCs w:val="20"/>
                <w:lang w:val="en-GB"/>
              </w:rPr>
              <w:t>1 (&lt;0.1)</w:t>
            </w:r>
          </w:p>
        </w:tc>
      </w:tr>
      <w:tr w:rsidR="002749B1" w:rsidRPr="00C20C29" w14:paraId="3485CDE1" w14:textId="77777777" w:rsidTr="008E3EC3">
        <w:trPr>
          <w:cantSplit/>
        </w:trPr>
        <w:tc>
          <w:tcPr>
            <w:tcW w:w="979" w:type="pct"/>
            <w:vMerge/>
            <w:shd w:val="clear" w:color="auto" w:fill="auto"/>
            <w:vAlign w:val="center"/>
          </w:tcPr>
          <w:p w14:paraId="31C23205" w14:textId="77777777" w:rsidR="002749B1" w:rsidRPr="002277DB" w:rsidRDefault="002749B1" w:rsidP="003A5711">
            <w:pPr>
              <w:rPr>
                <w:sz w:val="20"/>
                <w:szCs w:val="20"/>
                <w:lang w:val="en-GB"/>
              </w:rPr>
            </w:pPr>
          </w:p>
        </w:tc>
        <w:tc>
          <w:tcPr>
            <w:tcW w:w="1416" w:type="pct"/>
            <w:shd w:val="clear" w:color="auto" w:fill="auto"/>
          </w:tcPr>
          <w:p w14:paraId="0205C263" w14:textId="77777777" w:rsidR="002749B1" w:rsidRPr="002277DB" w:rsidRDefault="002749B1" w:rsidP="003A5711">
            <w:pPr>
              <w:rPr>
                <w:sz w:val="20"/>
                <w:szCs w:val="20"/>
                <w:vertAlign w:val="superscript"/>
                <w:lang w:val="en-GB"/>
              </w:rPr>
            </w:pPr>
            <w:r w:rsidRPr="002277DB">
              <w:rPr>
                <w:sz w:val="20"/>
                <w:szCs w:val="20"/>
                <w:lang w:val="en-GB"/>
              </w:rPr>
              <w:t xml:space="preserve">Polymyositis </w:t>
            </w:r>
            <w:r w:rsidRPr="002277DB">
              <w:rPr>
                <w:sz w:val="20"/>
                <w:szCs w:val="20"/>
                <w:vertAlign w:val="superscript"/>
                <w:lang w:val="en-GB"/>
              </w:rPr>
              <w:t>d</w:t>
            </w:r>
          </w:p>
        </w:tc>
        <w:tc>
          <w:tcPr>
            <w:tcW w:w="1325" w:type="pct"/>
            <w:shd w:val="clear" w:color="auto" w:fill="auto"/>
          </w:tcPr>
          <w:p w14:paraId="31FEF7E7" w14:textId="77777777" w:rsidR="002749B1" w:rsidRPr="002277DB" w:rsidRDefault="002749B1" w:rsidP="003A5711">
            <w:pPr>
              <w:rPr>
                <w:sz w:val="20"/>
                <w:szCs w:val="20"/>
                <w:lang w:val="en-GB"/>
              </w:rPr>
            </w:pPr>
            <w:r w:rsidRPr="002277DB">
              <w:rPr>
                <w:sz w:val="20"/>
                <w:szCs w:val="20"/>
                <w:lang w:val="en-GB"/>
              </w:rPr>
              <w:t>Not determined</w:t>
            </w:r>
          </w:p>
        </w:tc>
        <w:tc>
          <w:tcPr>
            <w:tcW w:w="659" w:type="pct"/>
            <w:shd w:val="clear" w:color="auto" w:fill="auto"/>
          </w:tcPr>
          <w:p w14:paraId="1D792BA5" w14:textId="77777777" w:rsidR="002749B1" w:rsidRPr="002277DB" w:rsidRDefault="002749B1" w:rsidP="003A5711">
            <w:pPr>
              <w:rPr>
                <w:sz w:val="20"/>
                <w:szCs w:val="20"/>
                <w:lang w:val="en-GB"/>
              </w:rPr>
            </w:pPr>
            <w:r w:rsidRPr="002277DB">
              <w:rPr>
                <w:sz w:val="20"/>
                <w:szCs w:val="20"/>
                <w:lang w:val="en-GB"/>
              </w:rPr>
              <w:t>-</w:t>
            </w:r>
          </w:p>
        </w:tc>
        <w:tc>
          <w:tcPr>
            <w:tcW w:w="621" w:type="pct"/>
            <w:shd w:val="clear" w:color="auto" w:fill="auto"/>
          </w:tcPr>
          <w:p w14:paraId="4C8C1170" w14:textId="77777777" w:rsidR="002749B1" w:rsidRPr="002277DB" w:rsidRDefault="002749B1" w:rsidP="003A5711">
            <w:pPr>
              <w:rPr>
                <w:sz w:val="20"/>
                <w:szCs w:val="20"/>
                <w:lang w:val="en-GB"/>
              </w:rPr>
            </w:pPr>
            <w:r w:rsidRPr="002277DB">
              <w:rPr>
                <w:sz w:val="20"/>
                <w:szCs w:val="20"/>
                <w:lang w:val="en-GB"/>
              </w:rPr>
              <w:t>-</w:t>
            </w:r>
          </w:p>
        </w:tc>
      </w:tr>
      <w:tr w:rsidR="002749B1" w:rsidRPr="00C20C29" w14:paraId="56DF58E7" w14:textId="77777777" w:rsidTr="008E3EC3">
        <w:trPr>
          <w:cantSplit/>
        </w:trPr>
        <w:tc>
          <w:tcPr>
            <w:tcW w:w="979" w:type="pct"/>
            <w:shd w:val="clear" w:color="auto" w:fill="auto"/>
            <w:vAlign w:val="center"/>
          </w:tcPr>
          <w:p w14:paraId="0C380290" w14:textId="77777777" w:rsidR="002749B1" w:rsidRPr="005443AC" w:rsidRDefault="002749B1" w:rsidP="003A5711">
            <w:pPr>
              <w:rPr>
                <w:sz w:val="20"/>
                <w:szCs w:val="20"/>
                <w:lang w:val="en-GB"/>
              </w:rPr>
            </w:pPr>
            <w:r w:rsidRPr="005443AC">
              <w:rPr>
                <w:sz w:val="20"/>
                <w:szCs w:val="20"/>
                <w:lang w:val="en-GB"/>
              </w:rPr>
              <w:t>Nervous system disorders</w:t>
            </w:r>
          </w:p>
        </w:tc>
        <w:tc>
          <w:tcPr>
            <w:tcW w:w="1416" w:type="pct"/>
            <w:shd w:val="clear" w:color="auto" w:fill="auto"/>
          </w:tcPr>
          <w:p w14:paraId="5BC70F46" w14:textId="77777777" w:rsidR="002749B1" w:rsidRPr="005443AC" w:rsidRDefault="002749B1" w:rsidP="003A5711">
            <w:pPr>
              <w:rPr>
                <w:sz w:val="20"/>
                <w:szCs w:val="20"/>
                <w:vertAlign w:val="superscript"/>
                <w:lang w:val="en-GB"/>
              </w:rPr>
            </w:pPr>
            <w:r w:rsidRPr="005443AC">
              <w:rPr>
                <w:sz w:val="20"/>
                <w:szCs w:val="20"/>
                <w:lang w:val="en-GB"/>
              </w:rPr>
              <w:t xml:space="preserve">Myasthenia gravis </w:t>
            </w:r>
            <w:r w:rsidRPr="005443AC">
              <w:rPr>
                <w:sz w:val="20"/>
                <w:szCs w:val="20"/>
                <w:vertAlign w:val="superscript"/>
                <w:lang w:val="en-GB"/>
              </w:rPr>
              <w:t>e</w:t>
            </w:r>
          </w:p>
        </w:tc>
        <w:tc>
          <w:tcPr>
            <w:tcW w:w="1325" w:type="pct"/>
            <w:shd w:val="clear" w:color="auto" w:fill="auto"/>
          </w:tcPr>
          <w:p w14:paraId="7EA1DCC6" w14:textId="77777777" w:rsidR="002749B1" w:rsidRPr="005443AC" w:rsidRDefault="002749B1" w:rsidP="003A5711">
            <w:pPr>
              <w:rPr>
                <w:sz w:val="20"/>
                <w:szCs w:val="20"/>
                <w:lang w:val="en-GB"/>
              </w:rPr>
            </w:pPr>
            <w:r w:rsidRPr="005443AC">
              <w:rPr>
                <w:sz w:val="20"/>
                <w:szCs w:val="20"/>
                <w:lang w:val="en-GB"/>
              </w:rPr>
              <w:t>Not determined</w:t>
            </w:r>
          </w:p>
        </w:tc>
        <w:tc>
          <w:tcPr>
            <w:tcW w:w="659" w:type="pct"/>
            <w:shd w:val="clear" w:color="auto" w:fill="auto"/>
          </w:tcPr>
          <w:p w14:paraId="229F8ACC" w14:textId="77777777" w:rsidR="002749B1" w:rsidRPr="005443AC" w:rsidRDefault="002749B1" w:rsidP="003A5711">
            <w:pPr>
              <w:rPr>
                <w:sz w:val="20"/>
                <w:szCs w:val="20"/>
                <w:lang w:val="en-GB"/>
              </w:rPr>
            </w:pPr>
            <w:r w:rsidRPr="005443AC">
              <w:rPr>
                <w:sz w:val="20"/>
                <w:szCs w:val="20"/>
                <w:lang w:val="en-GB"/>
              </w:rPr>
              <w:t>-</w:t>
            </w:r>
          </w:p>
        </w:tc>
        <w:tc>
          <w:tcPr>
            <w:tcW w:w="621" w:type="pct"/>
            <w:shd w:val="clear" w:color="auto" w:fill="auto"/>
          </w:tcPr>
          <w:p w14:paraId="5D9C791E" w14:textId="77777777" w:rsidR="002749B1" w:rsidRPr="005443AC" w:rsidRDefault="002749B1" w:rsidP="003A5711">
            <w:pPr>
              <w:rPr>
                <w:sz w:val="20"/>
                <w:szCs w:val="20"/>
                <w:lang w:val="en-GB"/>
              </w:rPr>
            </w:pPr>
            <w:r w:rsidRPr="005443AC">
              <w:rPr>
                <w:sz w:val="20"/>
                <w:szCs w:val="20"/>
                <w:lang w:val="en-GB"/>
              </w:rPr>
              <w:t>-</w:t>
            </w:r>
          </w:p>
        </w:tc>
      </w:tr>
      <w:tr w:rsidR="002749B1" w:rsidRPr="00C20C29" w14:paraId="391006B8" w14:textId="77777777" w:rsidTr="008E3EC3">
        <w:trPr>
          <w:cantSplit/>
        </w:trPr>
        <w:tc>
          <w:tcPr>
            <w:tcW w:w="979" w:type="pct"/>
            <w:shd w:val="clear" w:color="auto" w:fill="auto"/>
            <w:vAlign w:val="center"/>
          </w:tcPr>
          <w:p w14:paraId="51626A10" w14:textId="77777777" w:rsidR="002749B1" w:rsidRPr="005443AC" w:rsidRDefault="002749B1" w:rsidP="003A5711">
            <w:pPr>
              <w:rPr>
                <w:bCs/>
                <w:sz w:val="20"/>
                <w:szCs w:val="20"/>
                <w:lang w:val="en-GB"/>
              </w:rPr>
            </w:pPr>
            <w:r w:rsidRPr="005443AC">
              <w:rPr>
                <w:bCs/>
                <w:sz w:val="20"/>
                <w:szCs w:val="20"/>
                <w:lang w:val="en-GB"/>
              </w:rPr>
              <w:t>Injury, poisoning, and procedural complications</w:t>
            </w:r>
          </w:p>
        </w:tc>
        <w:tc>
          <w:tcPr>
            <w:tcW w:w="1416" w:type="pct"/>
            <w:shd w:val="clear" w:color="auto" w:fill="auto"/>
          </w:tcPr>
          <w:p w14:paraId="478BC0FA" w14:textId="77777777" w:rsidR="002749B1" w:rsidRPr="005443AC" w:rsidRDefault="002749B1" w:rsidP="003A5711">
            <w:pPr>
              <w:rPr>
                <w:sz w:val="20"/>
                <w:szCs w:val="20"/>
                <w:lang w:val="en-GB"/>
              </w:rPr>
            </w:pPr>
            <w:r w:rsidRPr="005443AC">
              <w:rPr>
                <w:sz w:val="20"/>
                <w:szCs w:val="20"/>
                <w:lang w:val="en-GB"/>
              </w:rPr>
              <w:t xml:space="preserve">Infusion related reaction </w:t>
            </w:r>
            <w:r w:rsidRPr="005443AC">
              <w:rPr>
                <w:sz w:val="20"/>
                <w:szCs w:val="20"/>
                <w:vertAlign w:val="superscript"/>
                <w:lang w:val="en-GB"/>
              </w:rPr>
              <w:t>b</w:t>
            </w:r>
          </w:p>
        </w:tc>
        <w:tc>
          <w:tcPr>
            <w:tcW w:w="1325" w:type="pct"/>
            <w:shd w:val="clear" w:color="auto" w:fill="auto"/>
          </w:tcPr>
          <w:p w14:paraId="57771681" w14:textId="77777777" w:rsidR="002749B1" w:rsidRPr="005443AC" w:rsidRDefault="002749B1" w:rsidP="003A5711">
            <w:pPr>
              <w:rPr>
                <w:sz w:val="20"/>
                <w:szCs w:val="20"/>
                <w:lang w:val="en-GB"/>
              </w:rPr>
            </w:pPr>
            <w:r w:rsidRPr="005443AC">
              <w:rPr>
                <w:sz w:val="20"/>
                <w:szCs w:val="20"/>
                <w:lang w:val="en-GB"/>
              </w:rPr>
              <w:t>Common</w:t>
            </w:r>
          </w:p>
        </w:tc>
        <w:tc>
          <w:tcPr>
            <w:tcW w:w="659" w:type="pct"/>
            <w:shd w:val="clear" w:color="auto" w:fill="auto"/>
          </w:tcPr>
          <w:p w14:paraId="0EA72AFB" w14:textId="77777777" w:rsidR="002749B1" w:rsidRPr="005443AC" w:rsidRDefault="002749B1" w:rsidP="003A5711">
            <w:pPr>
              <w:rPr>
                <w:sz w:val="20"/>
                <w:szCs w:val="20"/>
                <w:lang w:val="en-GB"/>
              </w:rPr>
            </w:pPr>
            <w:r w:rsidRPr="005443AC">
              <w:rPr>
                <w:sz w:val="20"/>
                <w:szCs w:val="20"/>
                <w:lang w:val="en-GB"/>
              </w:rPr>
              <w:t>49 (1.6)</w:t>
            </w:r>
          </w:p>
        </w:tc>
        <w:tc>
          <w:tcPr>
            <w:tcW w:w="621" w:type="pct"/>
            <w:shd w:val="clear" w:color="auto" w:fill="auto"/>
          </w:tcPr>
          <w:p w14:paraId="3E28AA0A" w14:textId="77777777" w:rsidR="002749B1" w:rsidRPr="005443AC" w:rsidRDefault="002749B1" w:rsidP="003A5711">
            <w:pPr>
              <w:rPr>
                <w:sz w:val="20"/>
                <w:szCs w:val="20"/>
                <w:lang w:val="en-GB"/>
              </w:rPr>
            </w:pPr>
            <w:r w:rsidRPr="005443AC">
              <w:rPr>
                <w:sz w:val="20"/>
                <w:szCs w:val="20"/>
                <w:lang w:val="en-GB"/>
              </w:rPr>
              <w:t>5 (0.2)</w:t>
            </w:r>
          </w:p>
        </w:tc>
      </w:tr>
      <w:tr w:rsidR="002749B1" w:rsidRPr="00C20C29" w14:paraId="59211C47" w14:textId="77777777" w:rsidTr="008E3EC3">
        <w:trPr>
          <w:cantSplit/>
        </w:trPr>
        <w:tc>
          <w:tcPr>
            <w:tcW w:w="979" w:type="pct"/>
            <w:shd w:val="clear" w:color="auto" w:fill="auto"/>
            <w:vAlign w:val="center"/>
          </w:tcPr>
          <w:p w14:paraId="36DE8674" w14:textId="77777777" w:rsidR="002749B1" w:rsidRPr="005443AC" w:rsidRDefault="002749B1" w:rsidP="003A5711">
            <w:pPr>
              <w:rPr>
                <w:bCs/>
                <w:sz w:val="20"/>
                <w:szCs w:val="20"/>
                <w:lang w:val="en-GB"/>
              </w:rPr>
            </w:pPr>
            <w:r w:rsidRPr="005443AC">
              <w:rPr>
                <w:bCs/>
                <w:sz w:val="20"/>
                <w:szCs w:val="20"/>
                <w:lang w:val="en-GB"/>
              </w:rPr>
              <w:t>Blood and lymphatic system disorders</w:t>
            </w:r>
          </w:p>
        </w:tc>
        <w:tc>
          <w:tcPr>
            <w:tcW w:w="1416" w:type="pct"/>
            <w:shd w:val="clear" w:color="auto" w:fill="auto"/>
          </w:tcPr>
          <w:p w14:paraId="11D8E02B" w14:textId="77777777" w:rsidR="002749B1" w:rsidRPr="005443AC" w:rsidRDefault="002749B1" w:rsidP="003A5711">
            <w:pPr>
              <w:rPr>
                <w:sz w:val="20"/>
                <w:szCs w:val="20"/>
                <w:vertAlign w:val="superscript"/>
                <w:lang w:val="en-GB"/>
              </w:rPr>
            </w:pPr>
            <w:r w:rsidRPr="005443AC">
              <w:rPr>
                <w:sz w:val="20"/>
                <w:szCs w:val="20"/>
                <w:lang w:val="en-GB"/>
              </w:rPr>
              <w:t xml:space="preserve">Immune thrombocytopenia </w:t>
            </w:r>
            <w:r w:rsidRPr="005443AC">
              <w:rPr>
                <w:sz w:val="20"/>
                <w:szCs w:val="20"/>
                <w:vertAlign w:val="superscript"/>
                <w:lang w:val="en-GB"/>
              </w:rPr>
              <w:t>c</w:t>
            </w:r>
          </w:p>
        </w:tc>
        <w:tc>
          <w:tcPr>
            <w:tcW w:w="1325" w:type="pct"/>
            <w:shd w:val="clear" w:color="auto" w:fill="auto"/>
          </w:tcPr>
          <w:p w14:paraId="481C84CC" w14:textId="77777777" w:rsidR="002749B1" w:rsidRPr="005443AC" w:rsidRDefault="002749B1" w:rsidP="003A5711">
            <w:pPr>
              <w:rPr>
                <w:sz w:val="20"/>
                <w:szCs w:val="20"/>
                <w:lang w:val="en-GB"/>
              </w:rPr>
            </w:pPr>
            <w:r w:rsidRPr="005443AC">
              <w:rPr>
                <w:sz w:val="20"/>
                <w:szCs w:val="20"/>
                <w:lang w:val="en-GB"/>
              </w:rPr>
              <w:t>Rare</w:t>
            </w:r>
          </w:p>
        </w:tc>
        <w:tc>
          <w:tcPr>
            <w:tcW w:w="659" w:type="pct"/>
            <w:shd w:val="clear" w:color="auto" w:fill="auto"/>
          </w:tcPr>
          <w:p w14:paraId="091F6246" w14:textId="77777777" w:rsidR="002749B1" w:rsidRPr="005443AC" w:rsidRDefault="002749B1" w:rsidP="003A5711">
            <w:pPr>
              <w:rPr>
                <w:sz w:val="20"/>
                <w:szCs w:val="20"/>
                <w:lang w:val="en-GB"/>
              </w:rPr>
            </w:pPr>
            <w:r w:rsidRPr="005443AC">
              <w:rPr>
                <w:sz w:val="20"/>
                <w:szCs w:val="20"/>
                <w:lang w:val="en-GB"/>
              </w:rPr>
              <w:t>2 (&lt;0.1)</w:t>
            </w:r>
          </w:p>
        </w:tc>
        <w:tc>
          <w:tcPr>
            <w:tcW w:w="621" w:type="pct"/>
            <w:shd w:val="clear" w:color="auto" w:fill="auto"/>
          </w:tcPr>
          <w:p w14:paraId="1409DAF1" w14:textId="77777777" w:rsidR="002749B1" w:rsidRPr="005443AC" w:rsidRDefault="002749B1" w:rsidP="003A5711">
            <w:pPr>
              <w:rPr>
                <w:sz w:val="20"/>
                <w:szCs w:val="20"/>
                <w:lang w:val="en-GB"/>
              </w:rPr>
            </w:pPr>
            <w:r w:rsidRPr="005443AC">
              <w:rPr>
                <w:sz w:val="20"/>
                <w:szCs w:val="20"/>
                <w:lang w:val="en-GB"/>
              </w:rPr>
              <w:t>1 (&lt;0.1)</w:t>
            </w:r>
          </w:p>
        </w:tc>
      </w:tr>
    </w:tbl>
    <w:p w14:paraId="66FC55A1" w14:textId="77777777" w:rsidR="008E3EC3" w:rsidRPr="008E3EC3" w:rsidRDefault="008E3EC3" w:rsidP="00E56CB2">
      <w:pPr>
        <w:numPr>
          <w:ilvl w:val="0"/>
          <w:numId w:val="81"/>
        </w:numPr>
        <w:spacing w:before="40" w:after="40"/>
        <w:rPr>
          <w:rFonts w:eastAsia="Times New Roman"/>
          <w:sz w:val="22"/>
          <w:lang w:val="en-GB"/>
        </w:rPr>
      </w:pPr>
      <w:r w:rsidRPr="008E3EC3">
        <w:rPr>
          <w:rFonts w:eastAsia="Times New Roman"/>
          <w:sz w:val="22"/>
          <w:lang w:val="en-GB"/>
        </w:rPr>
        <w:t xml:space="preserve">The corresponding frequency category for each ADR is based on the CIOMS III convention and is defined as: (1) very common (≥1/10); (2) common (≥1/100 to &lt;1/10); (3) uncommon (≥1/1000 to </w:t>
      </w:r>
      <w:r w:rsidRPr="008E3EC3">
        <w:rPr>
          <w:rFonts w:eastAsia="Times New Roman"/>
          <w:sz w:val="22"/>
          <w:lang w:val="en-GB"/>
        </w:rPr>
        <w:lastRenderedPageBreak/>
        <w:t>&lt;1/100); (4) rare (≥1/10000 to &lt;1/1000); (5) very rare (&lt;1/10000); not determined (cannot be estimated from available data).</w:t>
      </w:r>
    </w:p>
    <w:p w14:paraId="796DEC08" w14:textId="77777777" w:rsidR="008E3EC3" w:rsidRPr="008E3EC3" w:rsidRDefault="008E3EC3" w:rsidP="00E56CB2">
      <w:pPr>
        <w:numPr>
          <w:ilvl w:val="0"/>
          <w:numId w:val="80"/>
        </w:numPr>
        <w:spacing w:before="40" w:after="40"/>
        <w:rPr>
          <w:rFonts w:eastAsia="Times New Roman"/>
          <w:sz w:val="22"/>
          <w:lang w:val="en-GB"/>
        </w:rPr>
      </w:pPr>
      <w:r w:rsidRPr="008E3EC3">
        <w:rPr>
          <w:rFonts w:eastAsia="Times New Roman"/>
          <w:sz w:val="22"/>
          <w:lang w:val="en-GB"/>
        </w:rPr>
        <w:t>Denotes a medical concept. See Table 31 for individual PTs.</w:t>
      </w:r>
    </w:p>
    <w:p w14:paraId="0904FA5A" w14:textId="77777777" w:rsidR="008E3EC3" w:rsidRPr="008E3EC3" w:rsidRDefault="008E3EC3" w:rsidP="00E56CB2">
      <w:pPr>
        <w:numPr>
          <w:ilvl w:val="0"/>
          <w:numId w:val="80"/>
        </w:numPr>
        <w:spacing w:before="40" w:after="40"/>
        <w:rPr>
          <w:rFonts w:eastAsia="Times New Roman"/>
          <w:sz w:val="22"/>
          <w:lang w:val="en-GB"/>
        </w:rPr>
      </w:pPr>
      <w:r w:rsidRPr="008E3EC3">
        <w:rPr>
          <w:rFonts w:eastAsia="Times New Roman"/>
          <w:sz w:val="22"/>
          <w:lang w:val="en-GB"/>
        </w:rPr>
        <w:t xml:space="preserve">Fatal events have been reported. </w:t>
      </w:r>
    </w:p>
    <w:p w14:paraId="1F050386" w14:textId="77777777" w:rsidR="008E3EC3" w:rsidRPr="008E3EC3" w:rsidRDefault="008E3EC3" w:rsidP="00E56CB2">
      <w:pPr>
        <w:keepLines/>
        <w:numPr>
          <w:ilvl w:val="0"/>
          <w:numId w:val="80"/>
        </w:numPr>
        <w:spacing w:before="40" w:after="40"/>
        <w:rPr>
          <w:rFonts w:eastAsia="Times New Roman"/>
          <w:sz w:val="22"/>
          <w:lang w:val="en-GB"/>
        </w:rPr>
      </w:pPr>
      <w:r w:rsidRPr="008E3EC3">
        <w:rPr>
          <w:rFonts w:eastAsia="Times New Roman"/>
          <w:sz w:val="22"/>
          <w:lang w:val="en-GB"/>
        </w:rPr>
        <w:t>Polymyositis (fatal) was observed in a patient treated with durvalumab from an ongoing AstraZeneca-sponsored clinical study outside of the pooled dataset.</w:t>
      </w:r>
    </w:p>
    <w:p w14:paraId="1E64E155" w14:textId="77777777" w:rsidR="008E3EC3" w:rsidRPr="008E3EC3" w:rsidRDefault="008E3EC3" w:rsidP="00E56CB2">
      <w:pPr>
        <w:keepLines/>
        <w:numPr>
          <w:ilvl w:val="0"/>
          <w:numId w:val="80"/>
        </w:numPr>
        <w:spacing w:before="40" w:after="40"/>
        <w:rPr>
          <w:rFonts w:eastAsia="Times New Roman"/>
          <w:sz w:val="22"/>
          <w:lang w:val="en-GB"/>
        </w:rPr>
      </w:pPr>
      <w:r w:rsidRPr="008E3EC3">
        <w:rPr>
          <w:rFonts w:eastAsia="Times New Roman"/>
          <w:sz w:val="22"/>
          <w:lang w:val="en-GB"/>
        </w:rPr>
        <w:t>Reported frequency from AstraZeneca-sponsored clinical studies outside of the pooled dataset is rare, with no events at Grade &gt;2.</w:t>
      </w:r>
    </w:p>
    <w:p w14:paraId="1F252F74" w14:textId="77777777" w:rsidR="008E3EC3" w:rsidRPr="008E3EC3" w:rsidRDefault="008E3EC3" w:rsidP="008E3EC3">
      <w:pPr>
        <w:keepNext/>
        <w:keepLines/>
        <w:spacing w:before="40" w:after="40"/>
        <w:rPr>
          <w:rFonts w:eastAsia="Times New Roman"/>
          <w:sz w:val="22"/>
          <w:lang w:val="en-GB"/>
        </w:rPr>
      </w:pPr>
      <w:r w:rsidRPr="008E3EC3">
        <w:rPr>
          <w:rFonts w:eastAsia="Times New Roman"/>
          <w:sz w:val="22"/>
          <w:lang w:val="en-GB"/>
        </w:rPr>
        <w:t>ADR = adverse drug reaction; ALT = alanine aminotransferase; AST = aspartate aminotransferase; CIOMS = Council for International Organisations of Medical Sciences; CTC = Common Toxicity Criteria; CTCAE = Common Terminology Criteria for Adverse Events; DCO = data cut-off; ILD = interstitial lung disease; MedDRA = Medical Dictionary for Regulatory Activities; N = total number of patients; PT = preferred term; SOC = system organ class.</w:t>
      </w:r>
    </w:p>
    <w:p w14:paraId="6B9A6305" w14:textId="77777777" w:rsidR="00EA696E" w:rsidRPr="007A3223" w:rsidRDefault="00EA696E" w:rsidP="006570B8"/>
    <w:p w14:paraId="4CE223E4" w14:textId="77777777" w:rsidR="00F22C15" w:rsidRPr="007A3223" w:rsidRDefault="00780B89" w:rsidP="003B6D45">
      <w:pPr>
        <w:pStyle w:val="Heading4"/>
        <w:keepNext/>
        <w:rPr>
          <w:noProof w:val="0"/>
        </w:rPr>
      </w:pPr>
      <w:r w:rsidRPr="007A3223">
        <w:rPr>
          <w:noProof w:val="0"/>
        </w:rPr>
        <w:t xml:space="preserve">Potential </w:t>
      </w:r>
      <w:r w:rsidR="00F22C15" w:rsidRPr="007A3223">
        <w:rPr>
          <w:noProof w:val="0"/>
        </w:rPr>
        <w:t>Risks</w:t>
      </w:r>
    </w:p>
    <w:p w14:paraId="1A87C483" w14:textId="68FAF5CE" w:rsidR="00F22C15" w:rsidRPr="007A3223" w:rsidRDefault="00684631" w:rsidP="006570B8">
      <w:r>
        <w:t>Durvalumab</w:t>
      </w:r>
      <w:r w:rsidR="00F22C15" w:rsidRPr="007A3223">
        <w:t xml:space="preserve">, an anti-PD-L1 antibody, binds with high affinity and specificity to PD-L1 and blocks its binding to PD-1 and CD80, thus promoting antitumor immunity and tumor cell killing. The important potential risks, based on the mechanism of action of </w:t>
      </w:r>
      <w:r>
        <w:t>Durvalumab</w:t>
      </w:r>
      <w:r w:rsidR="00F22C15" w:rsidRPr="007A3223">
        <w:t>, as well as data from studies of relevant or similar therapies include: immune-mediated reactions such as enterocolitis, dermatitis, hepatotoxicity, endocrinopathy, pneumonitis, and neuropathy</w:t>
      </w:r>
      <w:r w:rsidR="005771C4" w:rsidRPr="007A3223">
        <w:t xml:space="preserve">; see </w:t>
      </w:r>
      <w:r w:rsidR="00542BD7" w:rsidRPr="007A3223">
        <w:t>Section</w:t>
      </w:r>
      <w:r w:rsidR="00F71F2E" w:rsidRPr="007A3223">
        <w:rPr>
          <w:b/>
          <w:color w:val="0000FF"/>
        </w:rPr>
        <w:t xml:space="preserve"> </w:t>
      </w:r>
      <w:r w:rsidR="00F10BAE" w:rsidRPr="00F33908">
        <w:rPr>
          <w:b/>
          <w:color w:val="0000FF"/>
        </w:rPr>
        <w:fldChar w:fldCharType="begin"/>
      </w:r>
      <w:r w:rsidR="00F10BAE" w:rsidRPr="007A3223">
        <w:rPr>
          <w:b/>
          <w:color w:val="0000FF"/>
        </w:rPr>
        <w:instrText xml:space="preserve"> REF _Ref28269625 \n \h  \* MERGEFORMAT </w:instrText>
      </w:r>
      <w:r w:rsidR="00F10BAE" w:rsidRPr="00F33908">
        <w:rPr>
          <w:b/>
          <w:color w:val="0000FF"/>
        </w:rPr>
      </w:r>
      <w:r w:rsidR="00F10BAE" w:rsidRPr="00F33908">
        <w:rPr>
          <w:b/>
          <w:color w:val="0000FF"/>
        </w:rPr>
        <w:fldChar w:fldCharType="separate"/>
      </w:r>
      <w:r w:rsidR="00E47ACA">
        <w:rPr>
          <w:b/>
          <w:color w:val="0000FF"/>
        </w:rPr>
        <w:t>9.1.6</w:t>
      </w:r>
      <w:r w:rsidR="00F10BAE" w:rsidRPr="00F33908">
        <w:rPr>
          <w:b/>
          <w:color w:val="0000FF"/>
        </w:rPr>
        <w:fldChar w:fldCharType="end"/>
      </w:r>
      <w:r w:rsidR="00542BD7" w:rsidRPr="007A3223">
        <w:rPr>
          <w:b/>
          <w:color w:val="0000FF"/>
        </w:rPr>
        <w:t xml:space="preserve"> </w:t>
      </w:r>
      <w:r w:rsidR="00542BD7" w:rsidRPr="00F33908">
        <w:t>for further definitions.</w:t>
      </w:r>
      <w:r w:rsidR="00307BFF" w:rsidRPr="00F33908">
        <w:t xml:space="preserve"> In addition, it is important to </w:t>
      </w:r>
      <w:r w:rsidR="00307BFF" w:rsidRPr="007A3223">
        <w:t>note that overlapping toxicities are expected with each of the combinations being used in this study.</w:t>
      </w:r>
    </w:p>
    <w:p w14:paraId="658A9188" w14:textId="77777777" w:rsidR="00F22C15" w:rsidRPr="007A3223" w:rsidRDefault="00F22C15" w:rsidP="006570B8">
      <w:r w:rsidRPr="007A3223">
        <w:t>Development of serious infection is a theoretical risk based on findings from nonclinical safety studies.</w:t>
      </w:r>
    </w:p>
    <w:p w14:paraId="0FFDF43D" w14:textId="77777777" w:rsidR="00F22C15" w:rsidRPr="007A3223" w:rsidRDefault="00F22C15" w:rsidP="006570B8">
      <w:r w:rsidRPr="007A3223">
        <w:t>As with the administration of any immunoglobulin, infusion reactions and acute IgE-mediated allergic reactions may occur, may be severe, and may result in death.</w:t>
      </w:r>
    </w:p>
    <w:p w14:paraId="1C8F75DE" w14:textId="7BB334EC" w:rsidR="00F22C15" w:rsidRPr="007A3223" w:rsidRDefault="00F22C15" w:rsidP="006570B8">
      <w:r w:rsidRPr="007A3223">
        <w:t xml:space="preserve">Although </w:t>
      </w:r>
      <w:r w:rsidR="00684631">
        <w:t>Durvalumab</w:t>
      </w:r>
      <w:r w:rsidRPr="007A3223">
        <w:t xml:space="preserve"> is a human monoclonal antibody, it is possible for humans to develop anti-drug antibodies (ADA). The occurrence of such ADA could result in immune complex disease (with manifestations such as arthralgias, serum-sickness, abdominal pain, back pain, and vasculitis) or altered </w:t>
      </w:r>
      <w:r w:rsidR="00684631">
        <w:t>Durvalumab</w:t>
      </w:r>
      <w:r w:rsidRPr="007A3223">
        <w:t xml:space="preserve"> levels or activity.</w:t>
      </w:r>
      <w:r w:rsidR="00307BFF" w:rsidRPr="007A3223">
        <w:t xml:space="preserve"> </w:t>
      </w:r>
    </w:p>
    <w:p w14:paraId="480F8F41" w14:textId="77777777" w:rsidR="00815A0D" w:rsidRPr="00815A0D" w:rsidRDefault="00815A0D" w:rsidP="00815A0D">
      <w:pPr>
        <w:spacing w:after="0"/>
        <w:rPr>
          <w:i/>
          <w:iCs/>
          <w:szCs w:val="24"/>
        </w:rPr>
      </w:pPr>
      <w:r w:rsidRPr="00815A0D">
        <w:rPr>
          <w:i/>
          <w:iCs/>
          <w:szCs w:val="24"/>
        </w:rPr>
        <w:t>Other rare or less frequent AESIs and immune-mediated adverse events:</w:t>
      </w:r>
    </w:p>
    <w:p w14:paraId="46A997D8" w14:textId="6E3C3A1A" w:rsidR="00C57E5C" w:rsidRPr="007A3223" w:rsidRDefault="00815A0D" w:rsidP="004379A3">
      <w:pPr>
        <w:spacing w:after="0"/>
        <w:rPr>
          <w:szCs w:val="24"/>
        </w:rPr>
      </w:pPr>
      <w:r w:rsidRPr="00815A0D">
        <w:rPr>
          <w:szCs w:val="24"/>
        </w:rPr>
        <w:t>Events with an inflammatory or immune mediated mechanism could occur in nearly all organs. Potential risks with an immune-mediated etiology that are rare or less frequent include, but are not limited to, Guillain-Barre Syndrome, myasthenia gravis, pericarditis, sarcoidosis, uveitis, and other events involving the eye (eg, keratitis and optic neuritis), skin (eg, scleroderma, vitiligo and pemphigoid), hematological (eg, hemolytic anemia and immune thrombocytopenic purpura), rheumatological events (polymyalgia rheumatic and autoimmune arthritis), vasculitis, non-infectious meningitis and non-infectious encephalitis.</w:t>
      </w:r>
    </w:p>
    <w:p w14:paraId="73331D45" w14:textId="77777777" w:rsidR="00F22C15" w:rsidRPr="007A3223" w:rsidRDefault="00F22C15" w:rsidP="000C1D10">
      <w:pPr>
        <w:pStyle w:val="Heading3"/>
      </w:pPr>
      <w:bookmarkStart w:id="386" w:name="_Ref405286342"/>
      <w:r w:rsidRPr="007A3223">
        <w:t>Formulation and preparation</w:t>
      </w:r>
      <w:bookmarkEnd w:id="386"/>
      <w:r w:rsidRPr="007A3223">
        <w:t xml:space="preserve"> </w:t>
      </w:r>
    </w:p>
    <w:p w14:paraId="0AF6DE2D" w14:textId="250241F0" w:rsidR="00A62040" w:rsidRPr="007A3223" w:rsidRDefault="00684631" w:rsidP="006570B8">
      <w:r>
        <w:t>Durvalumab</w:t>
      </w:r>
      <w:r w:rsidR="00F22C15" w:rsidRPr="007A3223">
        <w:t xml:space="preserve"> is formulated at 50 mg/mL in 26 mM histidine/histidine-HCl, 275 mM trehalose dihydrate, 0.02% (weight/volume [w/v]) polysorbate 80, pH 6.0. </w:t>
      </w:r>
      <w:r w:rsidR="00A62040" w:rsidRPr="007A3223">
        <w:t xml:space="preserve">The investigational product is </w:t>
      </w:r>
      <w:r w:rsidR="00A62040" w:rsidRPr="007A3223">
        <w:lastRenderedPageBreak/>
        <w:t>supplied as a vialed liquid solution in clear 10R glass vials closed with an elastomeric stopper and a flip-off cap overseal. Each vial contains 500 mg (nominal) of active investigational product at a concentration of 50 mg/mL (500 mg/vial). The solution will be diluted with 0.9% (w/v) saline for IV infusion.</w:t>
      </w:r>
    </w:p>
    <w:p w14:paraId="3BB60C6F" w14:textId="62A865EF" w:rsidR="00A62040" w:rsidRPr="007A3223" w:rsidRDefault="00A62040" w:rsidP="006570B8">
      <w:r w:rsidRPr="007A3223">
        <w:t xml:space="preserve">Calculate the dose volume of </w:t>
      </w:r>
      <w:r w:rsidR="00684631">
        <w:t>Durvalumab</w:t>
      </w:r>
      <w:r w:rsidRPr="007A3223">
        <w:t xml:space="preserve"> and number of vials needed for the subject to achieve the accurate dose according to Appendix </w:t>
      </w:r>
      <w:r w:rsidR="005771C4" w:rsidRPr="007A3223">
        <w:t>I</w:t>
      </w:r>
      <w:r w:rsidRPr="007A3223">
        <w:t>.</w:t>
      </w:r>
    </w:p>
    <w:p w14:paraId="5207DEFB" w14:textId="77777777" w:rsidR="00A62040" w:rsidRPr="007A3223" w:rsidRDefault="00A62040" w:rsidP="00EA25D7">
      <w:pPr>
        <w:spacing w:after="0"/>
        <w:rPr>
          <w:szCs w:val="24"/>
        </w:rPr>
      </w:pPr>
    </w:p>
    <w:p w14:paraId="1302292A" w14:textId="77777777" w:rsidR="00A62040" w:rsidRPr="007A3223" w:rsidRDefault="00A62040" w:rsidP="00EA25D7">
      <w:pPr>
        <w:spacing w:after="0"/>
        <w:rPr>
          <w:szCs w:val="24"/>
          <w:u w:val="single"/>
        </w:rPr>
      </w:pPr>
      <w:r w:rsidRPr="007A3223">
        <w:rPr>
          <w:szCs w:val="24"/>
          <w:u w:val="single"/>
        </w:rPr>
        <w:t>Preparation of infusion bags</w:t>
      </w:r>
    </w:p>
    <w:p w14:paraId="54F1EBE6" w14:textId="77777777" w:rsidR="00A62040" w:rsidRPr="007A3223" w:rsidRDefault="00A62040" w:rsidP="00A62040">
      <w:pPr>
        <w:spacing w:after="0"/>
        <w:ind w:firstLine="360"/>
        <w:rPr>
          <w:szCs w:val="24"/>
        </w:rPr>
      </w:pPr>
      <w:r w:rsidRPr="007A3223">
        <w:rPr>
          <w:szCs w:val="24"/>
        </w:rPr>
        <w:t>The preparation of infusion bags should be done under aseptic conditions by trained personnel; it should not be prepared on the ward.</w:t>
      </w:r>
    </w:p>
    <w:p w14:paraId="5FF3C6DF" w14:textId="790003E9" w:rsidR="00A62040" w:rsidRPr="007A3223" w:rsidRDefault="00A62040" w:rsidP="00A62040">
      <w:pPr>
        <w:spacing w:after="0"/>
        <w:ind w:firstLine="360"/>
        <w:rPr>
          <w:szCs w:val="24"/>
        </w:rPr>
      </w:pPr>
      <w:r w:rsidRPr="007A3223">
        <w:rPr>
          <w:szCs w:val="24"/>
        </w:rPr>
        <w:t xml:space="preserve">An additional volume of 0.9% (w/v) saline equal to the calculated volume of </w:t>
      </w:r>
      <w:r w:rsidR="00684631">
        <w:rPr>
          <w:szCs w:val="24"/>
        </w:rPr>
        <w:t>Durvalumab</w:t>
      </w:r>
      <w:r w:rsidRPr="007A3223">
        <w:rPr>
          <w:szCs w:val="24"/>
        </w:rPr>
        <w:t xml:space="preserve"> to be added to the IV bag must be removed from the bag prior to addition of </w:t>
      </w:r>
      <w:r w:rsidR="00684631">
        <w:rPr>
          <w:szCs w:val="24"/>
        </w:rPr>
        <w:t>Durvalumab</w:t>
      </w:r>
      <w:r w:rsidRPr="007A3223">
        <w:rPr>
          <w:szCs w:val="24"/>
        </w:rPr>
        <w:t xml:space="preserve">. </w:t>
      </w:r>
    </w:p>
    <w:p w14:paraId="26213D91" w14:textId="10A2F76F" w:rsidR="00A62040" w:rsidRPr="007A3223" w:rsidRDefault="00A62040" w:rsidP="00A62040">
      <w:pPr>
        <w:spacing w:after="0"/>
        <w:ind w:firstLine="360"/>
        <w:rPr>
          <w:szCs w:val="24"/>
        </w:rPr>
      </w:pPr>
      <w:r w:rsidRPr="007A3223">
        <w:rPr>
          <w:szCs w:val="24"/>
        </w:rPr>
        <w:t xml:space="preserve">The calculated volume of </w:t>
      </w:r>
      <w:r w:rsidR="00684631">
        <w:rPr>
          <w:szCs w:val="24"/>
        </w:rPr>
        <w:t>Durvalumab</w:t>
      </w:r>
      <w:r w:rsidRPr="007A3223">
        <w:rPr>
          <w:szCs w:val="24"/>
        </w:rPr>
        <w:t xml:space="preserve"> is then added to the IV bag, and the bag is mixed by gentle inversion to ensure homogeneity of the dose in the bag.</w:t>
      </w:r>
    </w:p>
    <w:p w14:paraId="6443B45F" w14:textId="77777777" w:rsidR="00A62040" w:rsidRPr="007A3223" w:rsidRDefault="00A62040" w:rsidP="00A62040">
      <w:pPr>
        <w:spacing w:after="0"/>
        <w:ind w:firstLine="360"/>
        <w:rPr>
          <w:szCs w:val="24"/>
        </w:rPr>
      </w:pPr>
      <w:r w:rsidRPr="007A3223">
        <w:rPr>
          <w:szCs w:val="24"/>
        </w:rPr>
        <w:t>Vials should be used for specific patients and should not be shared between patients.</w:t>
      </w:r>
    </w:p>
    <w:p w14:paraId="146B9268" w14:textId="77777777" w:rsidR="00423B05" w:rsidRPr="007A3223" w:rsidRDefault="00423B05" w:rsidP="004379A3">
      <w:pPr>
        <w:spacing w:after="0"/>
        <w:ind w:firstLine="360"/>
        <w:rPr>
          <w:szCs w:val="24"/>
        </w:rPr>
      </w:pPr>
    </w:p>
    <w:p w14:paraId="7DDC56DA" w14:textId="77777777" w:rsidR="005A554E" w:rsidRPr="007A3223" w:rsidRDefault="00F22C15" w:rsidP="000C1D10">
      <w:pPr>
        <w:pStyle w:val="Heading3"/>
      </w:pPr>
      <w:r w:rsidRPr="007A3223">
        <w:t xml:space="preserve">Stability and Storage </w:t>
      </w:r>
    </w:p>
    <w:p w14:paraId="08FCD672" w14:textId="31722FA5" w:rsidR="003E48CA" w:rsidRPr="007A3223" w:rsidRDefault="00F22C15" w:rsidP="006570B8">
      <w:pPr>
        <w:rPr>
          <w:rFonts w:ascii="TimesNewRoman" w:hAnsi="TimesNewRoman" w:cs="TimesNewRoman"/>
          <w:szCs w:val="24"/>
          <w:lang w:eastAsia="en-GB"/>
        </w:rPr>
      </w:pPr>
      <w:r w:rsidRPr="007A3223">
        <w:t xml:space="preserve">Unopened vials of </w:t>
      </w:r>
      <w:r w:rsidR="007A0E52" w:rsidRPr="007A3223">
        <w:t xml:space="preserve">liquid </w:t>
      </w:r>
      <w:r w:rsidR="00684631">
        <w:t>Durvalumab</w:t>
      </w:r>
      <w:r w:rsidRPr="007A3223">
        <w:t xml:space="preserve"> </w:t>
      </w:r>
      <w:r w:rsidR="005771C4" w:rsidRPr="007A3223">
        <w:t>d</w:t>
      </w:r>
      <w:r w:rsidRPr="007A3223">
        <w:t xml:space="preserve">rug </w:t>
      </w:r>
      <w:r w:rsidR="005771C4" w:rsidRPr="007A3223">
        <w:t>p</w:t>
      </w:r>
      <w:r w:rsidRPr="007A3223">
        <w:t>roduct must be stored at 2°C to 8°C (36°F</w:t>
      </w:r>
      <w:r w:rsidR="00DE633C" w:rsidRPr="007A3223">
        <w:t xml:space="preserve"> </w:t>
      </w:r>
      <w:r w:rsidRPr="007A3223">
        <w:t>to</w:t>
      </w:r>
      <w:r w:rsidR="00423B05" w:rsidRPr="007A3223">
        <w:t xml:space="preserve"> </w:t>
      </w:r>
      <w:r w:rsidRPr="007A3223">
        <w:t>46°F)</w:t>
      </w:r>
      <w:r w:rsidR="005359A6" w:rsidRPr="007A3223">
        <w:t xml:space="preserve"> and must be used within the individually assigned expiration date on the label.</w:t>
      </w:r>
      <w:r w:rsidR="005359A6" w:rsidRPr="007A3223" w:rsidDel="00FD0423">
        <w:t xml:space="preserve"> </w:t>
      </w:r>
      <w:r w:rsidR="00423B05" w:rsidRPr="007A3223">
        <w:t xml:space="preserve"> </w:t>
      </w:r>
      <w:r w:rsidR="005A554E" w:rsidRPr="007A3223">
        <w:t xml:space="preserve">Vials should be used for specific patients and should not be shared between patients. </w:t>
      </w:r>
      <w:r w:rsidR="00423B05" w:rsidRPr="007A3223">
        <w:t>Total in</w:t>
      </w:r>
      <w:r w:rsidR="005A554E" w:rsidRPr="007A3223">
        <w:t>-</w:t>
      </w:r>
      <w:r w:rsidR="00423B05" w:rsidRPr="007A3223">
        <w:t xml:space="preserve">use storage time from needle puncture of </w:t>
      </w:r>
      <w:r w:rsidR="00684631">
        <w:t>Durvalumab</w:t>
      </w:r>
      <w:r w:rsidR="00423B05" w:rsidRPr="007A3223">
        <w:t xml:space="preserve"> vial to start of administration should not</w:t>
      </w:r>
      <w:r w:rsidR="005A554E" w:rsidRPr="007A3223">
        <w:t xml:space="preserve"> </w:t>
      </w:r>
      <w:r w:rsidR="00423B05" w:rsidRPr="007A3223">
        <w:t>exceed 4 hours at room temperature or 24 hours at 2-8°C (36-46°F). If in-use storage time</w:t>
      </w:r>
      <w:r w:rsidR="005A554E" w:rsidRPr="007A3223">
        <w:t xml:space="preserve"> is greater than 4 hours</w:t>
      </w:r>
      <w:r w:rsidR="00423B05" w:rsidRPr="007A3223">
        <w:t>, a new dose must be prepared from new vials. Infusion solutions must be</w:t>
      </w:r>
      <w:r w:rsidR="005A554E" w:rsidRPr="007A3223">
        <w:t xml:space="preserve"> </w:t>
      </w:r>
      <w:r w:rsidR="00423B05" w:rsidRPr="007A3223">
        <w:t xml:space="preserve">allowed to equilibrate to room temperature prior to starting administration. </w:t>
      </w:r>
      <w:r w:rsidR="00684631">
        <w:t>Durvalumab</w:t>
      </w:r>
      <w:r w:rsidR="00423B05" w:rsidRPr="007A3223">
        <w:t xml:space="preserve"> does not</w:t>
      </w:r>
      <w:r w:rsidR="005A554E" w:rsidRPr="007A3223">
        <w:t xml:space="preserve"> </w:t>
      </w:r>
      <w:r w:rsidR="00423B05" w:rsidRPr="007A3223">
        <w:t>contain preservatives and any unused portion must be discarded.</w:t>
      </w:r>
      <w:r w:rsidR="005A554E" w:rsidRPr="007A3223">
        <w:rPr>
          <w:b/>
          <w:i/>
        </w:rPr>
        <w:t xml:space="preserve">  </w:t>
      </w:r>
    </w:p>
    <w:p w14:paraId="4241355D" w14:textId="77777777" w:rsidR="00E13916" w:rsidRPr="007A3223" w:rsidRDefault="00F22C15" w:rsidP="000C1D10">
      <w:pPr>
        <w:pStyle w:val="Heading3"/>
      </w:pPr>
      <w:bookmarkStart w:id="387" w:name="_Toc489625775"/>
      <w:bookmarkEnd w:id="387"/>
      <w:r w:rsidRPr="007A3223">
        <w:t>Administration procedures</w:t>
      </w:r>
    </w:p>
    <w:p w14:paraId="5AA90B13" w14:textId="4076216D" w:rsidR="005A554E" w:rsidRPr="007A3223" w:rsidRDefault="000D1B26" w:rsidP="00EA69AB">
      <w:pPr>
        <w:rPr>
          <w:i/>
        </w:rPr>
      </w:pPr>
      <w:r w:rsidRPr="007A3223">
        <w:t xml:space="preserve">Please see section </w:t>
      </w:r>
      <w:r w:rsidR="00307B04" w:rsidRPr="00F33908">
        <w:fldChar w:fldCharType="begin"/>
      </w:r>
      <w:r w:rsidR="00307B04" w:rsidRPr="007A3223">
        <w:instrText xml:space="preserve"> REF _Ref399156616 \r \h  \* MERGEFORMAT </w:instrText>
      </w:r>
      <w:r w:rsidR="00307B04" w:rsidRPr="00F33908">
        <w:fldChar w:fldCharType="separate"/>
      </w:r>
      <w:r w:rsidR="00E47ACA" w:rsidRPr="00E47ACA">
        <w:rPr>
          <w:b/>
          <w:color w:val="0000FF"/>
        </w:rPr>
        <w:t>3.2.1</w:t>
      </w:r>
      <w:r w:rsidR="00307B04" w:rsidRPr="00F33908">
        <w:fldChar w:fldCharType="end"/>
      </w:r>
    </w:p>
    <w:p w14:paraId="221AAD06" w14:textId="77777777" w:rsidR="00F22C15" w:rsidRPr="007A3223" w:rsidRDefault="00F22C15" w:rsidP="000C1D10">
      <w:pPr>
        <w:pStyle w:val="Heading3"/>
      </w:pPr>
      <w:r w:rsidRPr="00F33908">
        <w:t xml:space="preserve">Incompatibilities  </w:t>
      </w:r>
    </w:p>
    <w:p w14:paraId="746C7FD7" w14:textId="38FD9ADC" w:rsidR="00F22C15" w:rsidRPr="007A3223" w:rsidRDefault="00F22C15" w:rsidP="006570B8">
      <w:pPr>
        <w:rPr>
          <w:i/>
        </w:rPr>
      </w:pPr>
      <w:r w:rsidRPr="007A3223">
        <w:t xml:space="preserve">No formal drug-drug interaction studies have been conducted with </w:t>
      </w:r>
      <w:r w:rsidR="00684631">
        <w:t>Durvalumab</w:t>
      </w:r>
      <w:r w:rsidRPr="007A3223">
        <w:t xml:space="preserve">. There are no known clinically significant interactions of </w:t>
      </w:r>
      <w:r w:rsidR="00684631">
        <w:t>Durvalumab</w:t>
      </w:r>
      <w:r w:rsidRPr="007A3223">
        <w:t xml:space="preserve"> with other medicinal products</w:t>
      </w:r>
      <w:r w:rsidRPr="007A3223">
        <w:rPr>
          <w:i/>
        </w:rPr>
        <w:t>.</w:t>
      </w:r>
    </w:p>
    <w:p w14:paraId="736167AF" w14:textId="77777777" w:rsidR="00F22C15" w:rsidRPr="007A3223" w:rsidRDefault="00F22C15" w:rsidP="00ED703B">
      <w:pPr>
        <w:pStyle w:val="Heading2"/>
      </w:pPr>
      <w:bookmarkStart w:id="388" w:name="_Toc489625778"/>
      <w:bookmarkStart w:id="389" w:name="_Toc82444420"/>
      <w:bookmarkEnd w:id="388"/>
      <w:r w:rsidRPr="007A3223">
        <w:t>Olaparib</w:t>
      </w:r>
      <w:bookmarkEnd w:id="389"/>
      <w:r w:rsidRPr="007A3223">
        <w:t xml:space="preserve"> </w:t>
      </w:r>
    </w:p>
    <w:p w14:paraId="7AD39C4F" w14:textId="77777777" w:rsidR="00F22C15" w:rsidRPr="007A3223" w:rsidRDefault="00F22C15" w:rsidP="000C1D10">
      <w:pPr>
        <w:pStyle w:val="Heading3"/>
      </w:pPr>
      <w:r w:rsidRPr="007A3223">
        <w:t xml:space="preserve">Source </w:t>
      </w:r>
    </w:p>
    <w:p w14:paraId="2320721F" w14:textId="77777777" w:rsidR="00F22C15" w:rsidRPr="007A3223" w:rsidRDefault="00F22C15" w:rsidP="004379A3">
      <w:pPr>
        <w:spacing w:after="0"/>
        <w:ind w:firstLine="360"/>
        <w:rPr>
          <w:i/>
          <w:szCs w:val="24"/>
        </w:rPr>
      </w:pPr>
      <w:r w:rsidRPr="007A3223">
        <w:rPr>
          <w:szCs w:val="24"/>
        </w:rPr>
        <w:t xml:space="preserve">Olaparib </w:t>
      </w:r>
      <w:r w:rsidR="005675AB" w:rsidRPr="007A3223">
        <w:rPr>
          <w:szCs w:val="24"/>
        </w:rPr>
        <w:t>is</w:t>
      </w:r>
      <w:r w:rsidRPr="007A3223">
        <w:rPr>
          <w:szCs w:val="24"/>
        </w:rPr>
        <w:t xml:space="preserve"> </w:t>
      </w:r>
      <w:r w:rsidR="001D0783" w:rsidRPr="007A3223">
        <w:rPr>
          <w:szCs w:val="24"/>
        </w:rPr>
        <w:t>the first</w:t>
      </w:r>
      <w:r w:rsidR="00436C90" w:rsidRPr="007A3223">
        <w:rPr>
          <w:szCs w:val="24"/>
        </w:rPr>
        <w:t xml:space="preserve"> FDA</w:t>
      </w:r>
      <w:r w:rsidR="005675AB" w:rsidRPr="007A3223">
        <w:rPr>
          <w:szCs w:val="24"/>
        </w:rPr>
        <w:t>-</w:t>
      </w:r>
      <w:r w:rsidR="00436C90" w:rsidRPr="007A3223">
        <w:rPr>
          <w:szCs w:val="24"/>
        </w:rPr>
        <w:t>approved PARPi</w:t>
      </w:r>
      <w:r w:rsidR="007E0E59" w:rsidRPr="007A3223">
        <w:rPr>
          <w:szCs w:val="24"/>
        </w:rPr>
        <w:t xml:space="preserve"> </w:t>
      </w:r>
      <w:r w:rsidR="005675AB" w:rsidRPr="007A3223">
        <w:rPr>
          <w:szCs w:val="24"/>
        </w:rPr>
        <w:t>and</w:t>
      </w:r>
      <w:r w:rsidR="007E0E59" w:rsidRPr="007A3223">
        <w:rPr>
          <w:szCs w:val="24"/>
        </w:rPr>
        <w:t xml:space="preserve"> </w:t>
      </w:r>
      <w:r w:rsidRPr="007A3223">
        <w:rPr>
          <w:szCs w:val="24"/>
        </w:rPr>
        <w:t xml:space="preserve">will be provided to the NCI under a </w:t>
      </w:r>
      <w:r w:rsidR="00A13756" w:rsidRPr="007A3223">
        <w:rPr>
          <w:szCs w:val="24"/>
        </w:rPr>
        <w:t>collaborative a</w:t>
      </w:r>
      <w:r w:rsidRPr="007A3223">
        <w:rPr>
          <w:szCs w:val="24"/>
        </w:rPr>
        <w:t xml:space="preserve">greement with AstraZeneca and the NCI.  </w:t>
      </w:r>
    </w:p>
    <w:p w14:paraId="2EC6C6A3" w14:textId="77777777" w:rsidR="00F22C15" w:rsidRPr="007A3223" w:rsidRDefault="00F22C15" w:rsidP="000C1D10">
      <w:pPr>
        <w:pStyle w:val="Heading3"/>
      </w:pPr>
      <w:r w:rsidRPr="007A3223">
        <w:t xml:space="preserve">Toxicity </w:t>
      </w:r>
    </w:p>
    <w:p w14:paraId="1ABF179C" w14:textId="77777777" w:rsidR="0034281A" w:rsidRPr="007A3223" w:rsidRDefault="0034281A" w:rsidP="006570B8">
      <w:r w:rsidRPr="007A3223">
        <w:t xml:space="preserve">As of May 2014, approximately 2103 patients with ovarian, breast, pancreatic, gastric, and other solid tumors had been treated with olaparib as monotherapy or in combination with other agents. </w:t>
      </w:r>
      <w:r w:rsidRPr="007A3223">
        <w:lastRenderedPageBreak/>
        <w:t>The recommended monotherapy capsule dose is 400 mg twice-daily. Olaparib (capsule) monotherapy appears to be generally well tolerated across studies at doses up to and including the MTD of 400 mg twice-daily. In comparison, the recommended olaparib monotherapy tablet dose is 300 mg twice-daily, with similar tolerability profile to the 400 mg twice-daily capsule dose.</w:t>
      </w:r>
    </w:p>
    <w:p w14:paraId="2FF97E96" w14:textId="77777777" w:rsidR="0034281A" w:rsidRPr="007A3223" w:rsidRDefault="0034281A" w:rsidP="006570B8">
      <w:r w:rsidRPr="007A3223">
        <w:t xml:space="preserve">Preliminary data from Phase I dose escalation studies of olaparib in combination with various chemotherapy agents indicated an increase in bone marrow toxicity (anemia, neutropenia, thrombocytopenia) greater than expected if the agents had been administered alone. </w:t>
      </w:r>
    </w:p>
    <w:p w14:paraId="1179FBD7" w14:textId="77777777" w:rsidR="0034281A" w:rsidRPr="007A3223" w:rsidRDefault="0034281A" w:rsidP="006570B8">
      <w:r w:rsidRPr="007A3223">
        <w:t>Toxicities considered to be associated with administration of olaparib include</w:t>
      </w:r>
      <w:r w:rsidRPr="007A3223">
        <w:br/>
        <w:t>hematological effects (anemia, neutropenia, lymphopenia, thrombocytopenia, mean corpuscular volume [MCV] elevation), decreased appetite, nausea and vomiting, diarrhea, dyspepsia, stomatitis, upper abdominal pain, dysgeusia, fatigue (including asthenia), increase in blood creatinine, headache and dizziness. These are discussed in further detail below:</w:t>
      </w:r>
    </w:p>
    <w:p w14:paraId="309CA11D" w14:textId="77777777" w:rsidR="0034281A" w:rsidRPr="007A3223" w:rsidRDefault="0034281A" w:rsidP="0034281A">
      <w:pPr>
        <w:widowControl w:val="0"/>
        <w:autoSpaceDE w:val="0"/>
        <w:autoSpaceDN w:val="0"/>
        <w:adjustRightInd w:val="0"/>
        <w:spacing w:after="0"/>
      </w:pPr>
      <w:r w:rsidRPr="007A3223">
        <w:rPr>
          <w:b/>
          <w:u w:val="single"/>
        </w:rPr>
        <w:t>Hematologic Disorders</w:t>
      </w:r>
      <w:r w:rsidRPr="007A3223">
        <w:t xml:space="preserve">: Laboratory findings and/or clinical diagnoses of anemia (generally mild to moderate, </w:t>
      </w:r>
      <w:r w:rsidR="005771C4" w:rsidRPr="007A3223">
        <w:t>g</w:t>
      </w:r>
      <w:r w:rsidRPr="007A3223">
        <w:t xml:space="preserve">rade 1 or 2), neutropenia (predominantly </w:t>
      </w:r>
      <w:r w:rsidR="005771C4" w:rsidRPr="007A3223">
        <w:t>g</w:t>
      </w:r>
      <w:r w:rsidRPr="007A3223">
        <w:t xml:space="preserve">rade 1 or 2), and thrombocytopenia (generally </w:t>
      </w:r>
      <w:r w:rsidR="005771C4" w:rsidRPr="007A3223">
        <w:t>g</w:t>
      </w:r>
      <w:r w:rsidRPr="007A3223">
        <w:t>rade 1 or 2) were observed. The incidence of anemia was 26</w:t>
      </w:r>
      <w:r w:rsidR="005675AB" w:rsidRPr="007A3223">
        <w:t xml:space="preserve"> </w:t>
      </w:r>
      <w:r w:rsidRPr="007A3223">
        <w:t>%, neutropenia was 1</w:t>
      </w:r>
      <w:r w:rsidR="005675AB" w:rsidRPr="007A3223">
        <w:t xml:space="preserve"> </w:t>
      </w:r>
      <w:r w:rsidRPr="007A3223">
        <w:t>%, and thrombocytopenia was 5</w:t>
      </w:r>
      <w:r w:rsidR="005675AB" w:rsidRPr="007A3223">
        <w:t xml:space="preserve"> </w:t>
      </w:r>
      <w:r w:rsidRPr="007A3223">
        <w:t>%. A few cases of myelodysplasia have been reported on studies including olaparib.</w:t>
      </w:r>
      <w:r w:rsidRPr="007A3223">
        <w:rPr>
          <w:b/>
        </w:rPr>
        <w:tab/>
      </w:r>
    </w:p>
    <w:p w14:paraId="03DDA4BD" w14:textId="77777777" w:rsidR="0034281A" w:rsidRPr="007A3223" w:rsidRDefault="0034281A" w:rsidP="0034281A">
      <w:pPr>
        <w:widowControl w:val="0"/>
        <w:autoSpaceDE w:val="0"/>
        <w:autoSpaceDN w:val="0"/>
        <w:adjustRightInd w:val="0"/>
        <w:spacing w:after="0"/>
        <w:rPr>
          <w:b/>
          <w:u w:val="single"/>
        </w:rPr>
      </w:pPr>
      <w:r w:rsidRPr="007A3223">
        <w:rPr>
          <w:b/>
          <w:u w:val="single"/>
        </w:rPr>
        <w:t>Gastrointestinal Disorders</w:t>
      </w:r>
      <w:r w:rsidRPr="007A3223">
        <w:rPr>
          <w:b/>
        </w:rPr>
        <w:t xml:space="preserve">: </w:t>
      </w:r>
      <w:r w:rsidRPr="007A3223">
        <w:t>The most common gastrointestinal AEs were nausea (56 of 98 patients, 57</w:t>
      </w:r>
      <w:r w:rsidR="005675AB" w:rsidRPr="007A3223">
        <w:t xml:space="preserve"> </w:t>
      </w:r>
      <w:r w:rsidRPr="007A3223">
        <w:t>%) and vomiting (44 of 98 patients, 45</w:t>
      </w:r>
      <w:r w:rsidR="005675AB" w:rsidRPr="007A3223">
        <w:t xml:space="preserve"> </w:t>
      </w:r>
      <w:r w:rsidRPr="007A3223">
        <w:t>%). Most were of mild to moderate intensity (</w:t>
      </w:r>
      <w:r w:rsidR="005771C4" w:rsidRPr="007A3223">
        <w:t>g</w:t>
      </w:r>
      <w:r w:rsidRPr="007A3223">
        <w:t>rade 1 or 2), intermittent, and manageable on continued treatment. Abdominal pain (24 of 98 patients, 24.5</w:t>
      </w:r>
      <w:r w:rsidR="005675AB" w:rsidRPr="007A3223">
        <w:t xml:space="preserve"> </w:t>
      </w:r>
      <w:r w:rsidRPr="007A3223">
        <w:t>%), constipation (18 of 98 patients, 18.4</w:t>
      </w:r>
      <w:r w:rsidR="005675AB" w:rsidRPr="007A3223">
        <w:t xml:space="preserve"> </w:t>
      </w:r>
      <w:r w:rsidRPr="007A3223">
        <w:t>%), and diarrhea (25 of 98 patients, 25.5</w:t>
      </w:r>
      <w:r w:rsidR="005675AB" w:rsidRPr="007A3223">
        <w:t xml:space="preserve"> </w:t>
      </w:r>
      <w:r w:rsidRPr="007A3223">
        <w:t>%) were also observed.</w:t>
      </w:r>
    </w:p>
    <w:p w14:paraId="690599E9" w14:textId="77777777" w:rsidR="0034281A" w:rsidRPr="007A3223" w:rsidRDefault="0034281A" w:rsidP="0034281A">
      <w:pPr>
        <w:widowControl w:val="0"/>
        <w:autoSpaceDE w:val="0"/>
        <w:autoSpaceDN w:val="0"/>
        <w:adjustRightInd w:val="0"/>
        <w:spacing w:after="0"/>
      </w:pPr>
      <w:r w:rsidRPr="007A3223">
        <w:rPr>
          <w:b/>
          <w:u w:val="single"/>
        </w:rPr>
        <w:t>MDS/AML</w:t>
      </w:r>
      <w:r w:rsidRPr="007A3223">
        <w:t xml:space="preserve"> have been reported in &lt;</w:t>
      </w:r>
      <w:r w:rsidR="004B583A" w:rsidRPr="007A3223">
        <w:t xml:space="preserve"> </w:t>
      </w:r>
      <w:r w:rsidRPr="007A3223">
        <w:t>1</w:t>
      </w:r>
      <w:r w:rsidR="005675AB" w:rsidRPr="007A3223">
        <w:t xml:space="preserve"> </w:t>
      </w:r>
      <w:r w:rsidRPr="007A3223">
        <w:t>% of patients exposed to olaparib. The cases were typical of secondary MDS/therapy-related AML. The duration of therapy with olaparib in patients who developed secondary MDS/AML varied from &lt;</w:t>
      </w:r>
      <w:r w:rsidR="004B583A" w:rsidRPr="007A3223">
        <w:t xml:space="preserve"> </w:t>
      </w:r>
      <w:r w:rsidRPr="007A3223">
        <w:t>6 months to &gt;</w:t>
      </w:r>
      <w:r w:rsidR="004B583A" w:rsidRPr="007A3223">
        <w:t xml:space="preserve"> </w:t>
      </w:r>
      <w:r w:rsidRPr="007A3223">
        <w:t>2 years. All patients had potential contributing factors for the development of MDS/AML, having received extensive previous chemotherapy with platinum agents. Many had also received other DNA damaging agents.</w:t>
      </w:r>
    </w:p>
    <w:p w14:paraId="16EE62C7" w14:textId="77777777" w:rsidR="0034281A" w:rsidRPr="007A3223" w:rsidRDefault="0034281A" w:rsidP="0034281A">
      <w:pPr>
        <w:widowControl w:val="0"/>
        <w:autoSpaceDE w:val="0"/>
        <w:autoSpaceDN w:val="0"/>
        <w:adjustRightInd w:val="0"/>
        <w:spacing w:after="0"/>
        <w:rPr>
          <w:b/>
          <w:u w:val="single"/>
        </w:rPr>
      </w:pPr>
      <w:r w:rsidRPr="007A3223">
        <w:rPr>
          <w:b/>
          <w:u w:val="single"/>
        </w:rPr>
        <w:t>General Disorders</w:t>
      </w:r>
      <w:r w:rsidRPr="007A3223">
        <w:rPr>
          <w:b/>
        </w:rPr>
        <w:t xml:space="preserve">: </w:t>
      </w:r>
      <w:r w:rsidRPr="007A3223">
        <w:t>The most common general AE reported was fatigue, observed in 52 patients (53</w:t>
      </w:r>
      <w:r w:rsidR="005675AB" w:rsidRPr="007A3223">
        <w:t xml:space="preserve"> </w:t>
      </w:r>
      <w:r w:rsidRPr="007A3223">
        <w:t xml:space="preserve">%). Most were intermittent and </w:t>
      </w:r>
      <w:r w:rsidR="005771C4" w:rsidRPr="007A3223">
        <w:t>g</w:t>
      </w:r>
      <w:r w:rsidRPr="007A3223">
        <w:t>rade 1 or 2. Other AEs included pyrexia (10 patients, 10</w:t>
      </w:r>
      <w:r w:rsidR="005675AB" w:rsidRPr="007A3223">
        <w:t xml:space="preserve"> </w:t>
      </w:r>
      <w:r w:rsidRPr="007A3223">
        <w:t>%) and peripheral edema (16 patients, 16</w:t>
      </w:r>
      <w:r w:rsidR="005675AB" w:rsidRPr="007A3223">
        <w:t xml:space="preserve"> </w:t>
      </w:r>
      <w:r w:rsidRPr="007A3223">
        <w:t>%).</w:t>
      </w:r>
    </w:p>
    <w:p w14:paraId="52502BAE" w14:textId="77777777" w:rsidR="0034281A" w:rsidRPr="007A3223" w:rsidRDefault="0034281A" w:rsidP="0034281A">
      <w:pPr>
        <w:widowControl w:val="0"/>
        <w:autoSpaceDE w:val="0"/>
        <w:autoSpaceDN w:val="0"/>
        <w:adjustRightInd w:val="0"/>
        <w:spacing w:after="0"/>
        <w:rPr>
          <w:b/>
          <w:u w:val="single"/>
        </w:rPr>
      </w:pPr>
      <w:r w:rsidRPr="007A3223">
        <w:rPr>
          <w:b/>
          <w:u w:val="single"/>
        </w:rPr>
        <w:t>Nervous System Disorders</w:t>
      </w:r>
      <w:r w:rsidRPr="007A3223">
        <w:t>: The most common nervous system AEs reported were headache (15</w:t>
      </w:r>
      <w:r w:rsidR="005675AB" w:rsidRPr="007A3223">
        <w:t xml:space="preserve"> </w:t>
      </w:r>
      <w:r w:rsidRPr="007A3223">
        <w:t>%), dizziness (11</w:t>
      </w:r>
      <w:r w:rsidR="005675AB" w:rsidRPr="007A3223">
        <w:t xml:space="preserve"> </w:t>
      </w:r>
      <w:r w:rsidRPr="007A3223">
        <w:t>%), and dysgeusia (13</w:t>
      </w:r>
      <w:r w:rsidR="005675AB" w:rsidRPr="007A3223">
        <w:t xml:space="preserve"> </w:t>
      </w:r>
      <w:r w:rsidRPr="007A3223">
        <w:t>%). Other reported AEs included somnolence, attention or mental impairment, cognitive disorder, dizziness, depression, and memory impairment.</w:t>
      </w:r>
    </w:p>
    <w:p w14:paraId="68A8A5AC" w14:textId="77777777" w:rsidR="0034281A" w:rsidRPr="007A3223" w:rsidRDefault="0034281A" w:rsidP="0034281A">
      <w:pPr>
        <w:widowControl w:val="0"/>
        <w:autoSpaceDE w:val="0"/>
        <w:autoSpaceDN w:val="0"/>
        <w:adjustRightInd w:val="0"/>
        <w:spacing w:after="0"/>
      </w:pPr>
      <w:r w:rsidRPr="007A3223">
        <w:rPr>
          <w:b/>
          <w:u w:val="single"/>
        </w:rPr>
        <w:t>Pneumonitis</w:t>
      </w:r>
      <w:r w:rsidRPr="007A3223">
        <w:t xml:space="preserve"> events have been reported in &lt;1</w:t>
      </w:r>
      <w:r w:rsidR="005675AB" w:rsidRPr="007A3223">
        <w:t xml:space="preserve"> </w:t>
      </w:r>
      <w:r w:rsidRPr="007A3223">
        <w:t>% of patients receiving olaparib. The reports of pneumonitis had no consistent clinical pattern and were confounded by a number of predisposing factors (cancer and/or metastases in lungs, underlying pulmonary disease, smoking history, and/or previous chemotherapy and radiotherapy).</w:t>
      </w:r>
    </w:p>
    <w:p w14:paraId="025492B1" w14:textId="77777777" w:rsidR="00F22C15" w:rsidRPr="007A3223" w:rsidRDefault="00F22C15" w:rsidP="000C1D10">
      <w:pPr>
        <w:pStyle w:val="Heading3"/>
      </w:pPr>
      <w:r w:rsidRPr="007A3223">
        <w:lastRenderedPageBreak/>
        <w:t xml:space="preserve">Formulation and preparation </w:t>
      </w:r>
    </w:p>
    <w:p w14:paraId="018C4534" w14:textId="77777777" w:rsidR="004D55A5" w:rsidRPr="007A3223" w:rsidRDefault="00F22C15" w:rsidP="006570B8">
      <w:r w:rsidRPr="007A3223">
        <w:t xml:space="preserve">Olaparib tablets are film-coated tablets and will be supplied in the 100 mg </w:t>
      </w:r>
      <w:r w:rsidR="00701D42" w:rsidRPr="007A3223">
        <w:t xml:space="preserve">or 150 mg </w:t>
      </w:r>
      <w:r w:rsidRPr="007A3223">
        <w:t xml:space="preserve">strength. Tablets are packaged in induction-sealed high-density polyethylene (HDPE) bottles with child-resistant closures and induction sealed membranes that provide tamper evidence. Each bottle contains 32 tablets with </w:t>
      </w:r>
      <w:r w:rsidR="00115727" w:rsidRPr="007A3223">
        <w:t>desiccant</w:t>
      </w:r>
      <w:r w:rsidRPr="007A3223">
        <w:t xml:space="preserve">. Tablet core consists of olaparib, copovidone, colloidal silicon dioxide, mannitol and sodium stearyl fumarate. Tablet film-coating consists of hydroxypropyl methylcellulose (hypromellose), macrogol 400 (polyethylene glycol 400), titanium dioxide, iron oxide yellow and iron oxide black. </w:t>
      </w:r>
    </w:p>
    <w:p w14:paraId="3EB2A20A" w14:textId="77777777" w:rsidR="00F22C15" w:rsidRPr="007A3223" w:rsidRDefault="00F22C15" w:rsidP="000C1D10">
      <w:pPr>
        <w:pStyle w:val="Heading3"/>
      </w:pPr>
      <w:r w:rsidRPr="007A3223">
        <w:t xml:space="preserve">Stability and Storage </w:t>
      </w:r>
    </w:p>
    <w:p w14:paraId="65FF392A" w14:textId="77777777" w:rsidR="00F22C15" w:rsidRPr="007A3223" w:rsidRDefault="00F22C15" w:rsidP="00F93ED6">
      <w:pPr>
        <w:pStyle w:val="Default"/>
        <w:numPr>
          <w:ilvl w:val="0"/>
          <w:numId w:val="14"/>
        </w:numPr>
        <w:ind w:left="360"/>
      </w:pPr>
      <w:r w:rsidRPr="007A3223">
        <w:t xml:space="preserve">Storage: Store the olaparib tablets below 30°C. </w:t>
      </w:r>
      <w:r w:rsidR="003663DE" w:rsidRPr="007A3223">
        <w:t xml:space="preserve">Olaparib tablets may be repackaged by the Clinical Center Pharmacy Department and dispensed in light-resistant high-density polyethylene (HDPE) containers. </w:t>
      </w:r>
    </w:p>
    <w:p w14:paraId="0B40F0CE" w14:textId="77777777" w:rsidR="00F22C15" w:rsidRPr="007A3223" w:rsidRDefault="00F22C15" w:rsidP="00F93ED6">
      <w:pPr>
        <w:pStyle w:val="ListParagraph"/>
        <w:numPr>
          <w:ilvl w:val="0"/>
          <w:numId w:val="14"/>
        </w:numPr>
        <w:ind w:left="360"/>
      </w:pPr>
      <w:r w:rsidRPr="007A3223">
        <w:t>Stability: Stability studies are ongoing.</w:t>
      </w:r>
    </w:p>
    <w:p w14:paraId="47C29460" w14:textId="77777777" w:rsidR="00F22C15" w:rsidRPr="007A3223" w:rsidRDefault="00F22C15" w:rsidP="000C1D10">
      <w:pPr>
        <w:pStyle w:val="Heading3"/>
      </w:pPr>
      <w:bookmarkStart w:id="390" w:name="_Toc489625784"/>
      <w:bookmarkEnd w:id="390"/>
      <w:r w:rsidRPr="007A3223">
        <w:t>Administration procedures</w:t>
      </w:r>
    </w:p>
    <w:p w14:paraId="0EC2F388" w14:textId="3BA3784D" w:rsidR="004D55A5" w:rsidRPr="00F33908" w:rsidRDefault="000D1B26" w:rsidP="004379A3">
      <w:pPr>
        <w:spacing w:after="0"/>
        <w:ind w:firstLine="360"/>
        <w:rPr>
          <w:szCs w:val="24"/>
        </w:rPr>
      </w:pPr>
      <w:r w:rsidRPr="007A3223">
        <w:rPr>
          <w:szCs w:val="24"/>
        </w:rPr>
        <w:t xml:space="preserve">Please see section </w:t>
      </w:r>
      <w:r w:rsidR="00307B04" w:rsidRPr="00F33908">
        <w:fldChar w:fldCharType="begin"/>
      </w:r>
      <w:r w:rsidR="00307B04" w:rsidRPr="007A3223">
        <w:instrText xml:space="preserve"> REF _Ref405286570 \r \h  \* MERGEFORMAT </w:instrText>
      </w:r>
      <w:r w:rsidR="00307B04" w:rsidRPr="00F33908">
        <w:fldChar w:fldCharType="separate"/>
      </w:r>
      <w:r w:rsidR="00E47ACA" w:rsidRPr="00E47ACA">
        <w:rPr>
          <w:b/>
          <w:color w:val="0000FF"/>
          <w:szCs w:val="24"/>
        </w:rPr>
        <w:t>3.2.2</w:t>
      </w:r>
      <w:r w:rsidR="00307B04" w:rsidRPr="00F33908">
        <w:fldChar w:fldCharType="end"/>
      </w:r>
      <w:r w:rsidRPr="007A3223">
        <w:rPr>
          <w:szCs w:val="24"/>
        </w:rPr>
        <w:t>.</w:t>
      </w:r>
    </w:p>
    <w:p w14:paraId="2F976ACD" w14:textId="77777777" w:rsidR="00F22C15" w:rsidRPr="007A3223" w:rsidRDefault="00F22C15" w:rsidP="000C1D10">
      <w:pPr>
        <w:pStyle w:val="Heading3"/>
      </w:pPr>
      <w:bookmarkStart w:id="391" w:name="_Toc489625786"/>
      <w:bookmarkEnd w:id="391"/>
      <w:r w:rsidRPr="007A3223">
        <w:t xml:space="preserve">Incompatibilities  </w:t>
      </w:r>
    </w:p>
    <w:p w14:paraId="5EE9137C" w14:textId="77777777" w:rsidR="004D55A5" w:rsidRPr="007A3223" w:rsidRDefault="00F22C15" w:rsidP="004379A3">
      <w:pPr>
        <w:spacing w:after="0"/>
        <w:ind w:firstLine="360"/>
        <w:rPr>
          <w:szCs w:val="24"/>
        </w:rPr>
      </w:pPr>
      <w:r w:rsidRPr="007A3223">
        <w:rPr>
          <w:szCs w:val="24"/>
        </w:rPr>
        <w:t xml:space="preserve">Based on </w:t>
      </w:r>
      <w:r w:rsidRPr="007A3223">
        <w:rPr>
          <w:i/>
          <w:iCs/>
          <w:szCs w:val="24"/>
        </w:rPr>
        <w:t xml:space="preserve">in vitro </w:t>
      </w:r>
      <w:r w:rsidRPr="007A3223">
        <w:rPr>
          <w:szCs w:val="24"/>
        </w:rPr>
        <w:t xml:space="preserve">data and clinical exposure data, olaparib is considered unlikely to cause clinically significant drug interactions through inhibition or induction of CYP enzyme activity. </w:t>
      </w:r>
      <w:r w:rsidRPr="007A3223">
        <w:rPr>
          <w:i/>
          <w:iCs/>
          <w:szCs w:val="24"/>
        </w:rPr>
        <w:t xml:space="preserve">In vitro </w:t>
      </w:r>
      <w:r w:rsidRPr="007A3223">
        <w:rPr>
          <w:szCs w:val="24"/>
        </w:rPr>
        <w:t xml:space="preserve">data have shown that the principal enzyme responsible for oxidative metabolism of olaparib in human hepatic microsomes was CYP3A4, the major P450 enzyme responsible for drug metabolism in humans. </w:t>
      </w:r>
    </w:p>
    <w:p w14:paraId="2E9D7429" w14:textId="063040C0" w:rsidR="00F22C15" w:rsidRPr="007A3223" w:rsidRDefault="00F22C15" w:rsidP="003261D7">
      <w:pPr>
        <w:spacing w:after="0"/>
      </w:pPr>
      <w:r w:rsidRPr="007A3223">
        <w:rPr>
          <w:szCs w:val="24"/>
        </w:rPr>
        <w:t xml:space="preserve">Consequently, to ensure patient safety, please follow the guidelines to avoid concurrent use of potent inhibitors and inducers of CYP3A4 listed in </w:t>
      </w:r>
      <w:r w:rsidR="00307B04" w:rsidRPr="00F33908">
        <w:fldChar w:fldCharType="begin"/>
      </w:r>
      <w:r w:rsidR="00307B04" w:rsidRPr="007A3223">
        <w:instrText xml:space="preserve"> REF _Ref408917937 \h  \* MERGEFORMAT </w:instrText>
      </w:r>
      <w:r w:rsidR="00307B04" w:rsidRPr="00F33908">
        <w:fldChar w:fldCharType="separate"/>
      </w:r>
      <w:r w:rsidR="00E47ACA" w:rsidRPr="00E47ACA">
        <w:rPr>
          <w:b/>
          <w:color w:val="0000FF"/>
        </w:rPr>
        <w:t>Appendix B</w:t>
      </w:r>
      <w:r w:rsidR="00307B04" w:rsidRPr="00F33908">
        <w:fldChar w:fldCharType="end"/>
      </w:r>
      <w:r w:rsidR="006E0CC3" w:rsidRPr="007A3223">
        <w:rPr>
          <w:szCs w:val="24"/>
        </w:rPr>
        <w:t xml:space="preserve"> </w:t>
      </w:r>
      <w:r w:rsidRPr="00F33908">
        <w:rPr>
          <w:szCs w:val="24"/>
        </w:rPr>
        <w:t>for any patient receiving olaparib.</w:t>
      </w:r>
    </w:p>
    <w:p w14:paraId="697E02E3" w14:textId="77777777" w:rsidR="00B43A71" w:rsidRPr="007A3223" w:rsidRDefault="00B43A71" w:rsidP="004379A3">
      <w:pPr>
        <w:spacing w:after="0"/>
      </w:pPr>
    </w:p>
    <w:p w14:paraId="2241AEEF" w14:textId="77777777" w:rsidR="009841D8" w:rsidRPr="007A3223" w:rsidRDefault="009841D8" w:rsidP="00ED703B">
      <w:pPr>
        <w:pStyle w:val="Heading2"/>
      </w:pPr>
      <w:bookmarkStart w:id="392" w:name="_Toc82444421"/>
      <w:r w:rsidRPr="007A3223">
        <w:t>Cediranib</w:t>
      </w:r>
      <w:bookmarkEnd w:id="392"/>
    </w:p>
    <w:p w14:paraId="4CE0D2F3" w14:textId="77777777" w:rsidR="009841D8" w:rsidRPr="007A3223" w:rsidRDefault="009841D8" w:rsidP="000C1D10">
      <w:pPr>
        <w:pStyle w:val="Heading3"/>
      </w:pPr>
      <w:r w:rsidRPr="007A3223">
        <w:t xml:space="preserve">Source </w:t>
      </w:r>
    </w:p>
    <w:p w14:paraId="6809A318" w14:textId="77777777" w:rsidR="009841D8" w:rsidRPr="007A3223" w:rsidRDefault="009841D8" w:rsidP="004379A3">
      <w:pPr>
        <w:spacing w:after="0"/>
        <w:ind w:firstLine="360"/>
        <w:rPr>
          <w:szCs w:val="24"/>
        </w:rPr>
      </w:pPr>
      <w:r w:rsidRPr="007A3223">
        <w:rPr>
          <w:szCs w:val="24"/>
        </w:rPr>
        <w:t xml:space="preserve">Cediranib is an investigational agent and will be </w:t>
      </w:r>
      <w:r w:rsidR="008C180D" w:rsidRPr="007A3223">
        <w:rPr>
          <w:szCs w:val="24"/>
        </w:rPr>
        <w:t>provided to the NCI under a collaborative a</w:t>
      </w:r>
      <w:r w:rsidRPr="007A3223">
        <w:rPr>
          <w:szCs w:val="24"/>
        </w:rPr>
        <w:t xml:space="preserve">greement with AstraZeneca and the NCI.  </w:t>
      </w:r>
    </w:p>
    <w:p w14:paraId="4EA719D0" w14:textId="77777777" w:rsidR="009841D8" w:rsidRPr="007A3223" w:rsidRDefault="009841D8" w:rsidP="000C1D10">
      <w:pPr>
        <w:pStyle w:val="Heading3"/>
      </w:pPr>
      <w:r w:rsidRPr="007A3223">
        <w:t xml:space="preserve">Toxicity </w:t>
      </w:r>
    </w:p>
    <w:p w14:paraId="7B962AF5" w14:textId="77777777" w:rsidR="0034281A" w:rsidRPr="007A3223" w:rsidRDefault="0034281A" w:rsidP="0034281A">
      <w:pPr>
        <w:spacing w:after="0"/>
        <w:ind w:firstLine="360"/>
      </w:pPr>
      <w:r w:rsidRPr="007A3223">
        <w:t xml:space="preserve">Overall, the common AEs (all </w:t>
      </w:r>
      <w:r w:rsidR="001D0783" w:rsidRPr="007A3223">
        <w:t>g</w:t>
      </w:r>
      <w:r w:rsidRPr="007A3223">
        <w:t>rades, &gt;20</w:t>
      </w:r>
      <w:r w:rsidR="00CD7C74" w:rsidRPr="007A3223">
        <w:t xml:space="preserve"> </w:t>
      </w:r>
      <w:r w:rsidRPr="007A3223">
        <w:t xml:space="preserve">% of 895 patients) seen with cediranib monotherapy include fatigue, diarrhea, and hypertension.  </w:t>
      </w:r>
    </w:p>
    <w:p w14:paraId="4AFAF682" w14:textId="77777777" w:rsidR="0034281A" w:rsidRPr="007A3223" w:rsidRDefault="0034281A" w:rsidP="0034281A">
      <w:pPr>
        <w:spacing w:after="0"/>
      </w:pPr>
      <w:r w:rsidRPr="007A3223">
        <w:rPr>
          <w:b/>
          <w:u w:val="single"/>
        </w:rPr>
        <w:t>Cardiovascular Disorders:</w:t>
      </w:r>
      <w:r w:rsidRPr="007A3223">
        <w:t xml:space="preserve"> Hypertension is an expected AE with agents that inhibit VEGF signaling. In cediranib studies, increases in blood pressure have been observed and cases of hypertension have been reported, including grade 4 hypertension and end-organ damage related to hypertension, such as cerebrovascular events.</w:t>
      </w:r>
    </w:p>
    <w:p w14:paraId="18CFBCA9" w14:textId="77777777" w:rsidR="0034281A" w:rsidRPr="007A3223" w:rsidRDefault="0034281A" w:rsidP="0034281A">
      <w:pPr>
        <w:spacing w:after="0"/>
        <w:ind w:firstLine="360"/>
      </w:pPr>
      <w:r w:rsidRPr="007A3223">
        <w:lastRenderedPageBreak/>
        <w:t>Left ventricular dysfunction is rare but has been observed in patients receiving cediranib with risk factors for left ventricular dysfunction (including previous or concomitant anthracycline treatment).</w:t>
      </w:r>
    </w:p>
    <w:p w14:paraId="7485544B" w14:textId="77777777" w:rsidR="0034281A" w:rsidRPr="007A3223" w:rsidRDefault="0034281A" w:rsidP="0034281A">
      <w:pPr>
        <w:spacing w:after="0"/>
      </w:pPr>
      <w:r w:rsidRPr="007A3223">
        <w:rPr>
          <w:b/>
          <w:u w:val="single"/>
        </w:rPr>
        <w:t>Gastrointestinal Disorders</w:t>
      </w:r>
      <w:r w:rsidRPr="007A3223">
        <w:rPr>
          <w:b/>
        </w:rPr>
        <w:t>:</w:t>
      </w:r>
      <w:r w:rsidRPr="007A3223">
        <w:t xml:space="preserve"> Other less common AEs include abdominal pain, mucositis, vomiting, and rarely, gastrointestinal perforation.</w:t>
      </w:r>
    </w:p>
    <w:p w14:paraId="39FFA43A" w14:textId="77777777" w:rsidR="0034281A" w:rsidRPr="007A3223" w:rsidRDefault="0034281A" w:rsidP="0034281A">
      <w:pPr>
        <w:spacing w:after="0"/>
      </w:pPr>
      <w:r w:rsidRPr="007A3223">
        <w:rPr>
          <w:b/>
          <w:u w:val="single"/>
        </w:rPr>
        <w:t>Hematologic Disorders</w:t>
      </w:r>
      <w:r w:rsidRPr="007A3223">
        <w:rPr>
          <w:b/>
        </w:rPr>
        <w:t>:</w:t>
      </w:r>
      <w:r w:rsidRPr="007A3223">
        <w:t xml:space="preserve"> A number of events of bleeding and hemorrhage have occurred, they were mostly mild and the most common type of bleeding was mucocutaneous (epistaxis). </w:t>
      </w:r>
    </w:p>
    <w:p w14:paraId="1F4C1CF7" w14:textId="77777777" w:rsidR="0034281A" w:rsidRPr="007A3223" w:rsidRDefault="0034281A" w:rsidP="0034281A">
      <w:pPr>
        <w:spacing w:after="0"/>
        <w:ind w:firstLine="360"/>
      </w:pPr>
      <w:r w:rsidRPr="007A3223">
        <w:t xml:space="preserve">Thrombocytopenia and neutropenia, predominantly </w:t>
      </w:r>
      <w:r w:rsidR="005771C4" w:rsidRPr="007A3223">
        <w:t>g</w:t>
      </w:r>
      <w:r w:rsidRPr="007A3223">
        <w:t xml:space="preserve">rade 1 or 2, have been seen with cediranib monotherapy. In combination with chemotherapy, more frequent and severe neutropenia and thrombocytopenia have been observed. </w:t>
      </w:r>
    </w:p>
    <w:p w14:paraId="45FFE5AE" w14:textId="77777777" w:rsidR="0034281A" w:rsidRPr="007A3223" w:rsidRDefault="0034281A" w:rsidP="0034281A">
      <w:pPr>
        <w:spacing w:after="0"/>
      </w:pPr>
      <w:r w:rsidRPr="007A3223">
        <w:rPr>
          <w:b/>
          <w:u w:val="single"/>
        </w:rPr>
        <w:t>Investigations</w:t>
      </w:r>
      <w:r w:rsidRPr="007A3223">
        <w:rPr>
          <w:b/>
        </w:rPr>
        <w:t>:</w:t>
      </w:r>
      <w:r w:rsidRPr="007A3223">
        <w:t xml:space="preserve"> Proteinuria, a dose-related trend of increases from baseline in TSH levels, which may be associated with clinical hypothyroidism. Increases in transaminases, which are sometimes associated with increases in total bilirubin, have been seen.   </w:t>
      </w:r>
    </w:p>
    <w:p w14:paraId="051B15A9" w14:textId="77777777" w:rsidR="0034281A" w:rsidRPr="007A3223" w:rsidRDefault="0034281A" w:rsidP="0034281A">
      <w:pPr>
        <w:spacing w:after="0"/>
      </w:pPr>
      <w:r w:rsidRPr="007A3223">
        <w:rPr>
          <w:b/>
          <w:u w:val="single"/>
        </w:rPr>
        <w:t>Nervous System Disorders</w:t>
      </w:r>
      <w:r w:rsidRPr="007A3223">
        <w:rPr>
          <w:b/>
        </w:rPr>
        <w:t>:</w:t>
      </w:r>
      <w:r w:rsidRPr="007A3223">
        <w:t xml:space="preserve"> Reversible posterior leukoencephalopathy syndrome (RPLS) has been observed in patients receiving cediranib in clinical studies (with more cases seen on cediranib than placebo/comparator).</w:t>
      </w:r>
    </w:p>
    <w:p w14:paraId="4B336A54" w14:textId="77777777" w:rsidR="009841D8" w:rsidRPr="007A3223" w:rsidRDefault="009841D8" w:rsidP="000C1D10">
      <w:pPr>
        <w:pStyle w:val="Heading3"/>
      </w:pPr>
      <w:r w:rsidRPr="007A3223">
        <w:t xml:space="preserve">Formulation and preparation </w:t>
      </w:r>
    </w:p>
    <w:p w14:paraId="0E82E339" w14:textId="77777777" w:rsidR="00E13916" w:rsidRPr="007A3223" w:rsidRDefault="009841D8" w:rsidP="004379A3">
      <w:pPr>
        <w:spacing w:after="0"/>
        <w:ind w:firstLine="360"/>
        <w:rPr>
          <w:szCs w:val="24"/>
        </w:rPr>
      </w:pPr>
      <w:r w:rsidRPr="007A3223">
        <w:rPr>
          <w:szCs w:val="24"/>
        </w:rPr>
        <w:t xml:space="preserve">The drug product consists of a range film-coated tablets packed in </w:t>
      </w:r>
      <w:r w:rsidR="008C180D" w:rsidRPr="007A3223">
        <w:rPr>
          <w:szCs w:val="24"/>
        </w:rPr>
        <w:t>HDPE</w:t>
      </w:r>
      <w:r w:rsidRPr="007A3223">
        <w:rPr>
          <w:szCs w:val="24"/>
        </w:rPr>
        <w:t xml:space="preserve"> bottles. The range is a series of beige film-coated tablets containing 15, </w:t>
      </w:r>
      <w:r w:rsidR="00CD7C74" w:rsidRPr="007A3223">
        <w:rPr>
          <w:szCs w:val="24"/>
        </w:rPr>
        <w:t xml:space="preserve">or </w:t>
      </w:r>
      <w:r w:rsidRPr="007A3223">
        <w:rPr>
          <w:szCs w:val="24"/>
        </w:rPr>
        <w:t>20</w:t>
      </w:r>
      <w:r w:rsidR="00CD7C74" w:rsidRPr="007A3223">
        <w:rPr>
          <w:szCs w:val="24"/>
        </w:rPr>
        <w:t xml:space="preserve"> </w:t>
      </w:r>
      <w:r w:rsidRPr="007A3223">
        <w:rPr>
          <w:szCs w:val="24"/>
        </w:rPr>
        <w:t>mg cediranib free base. The</w:t>
      </w:r>
      <w:r w:rsidR="00F804B5" w:rsidRPr="007A3223">
        <w:rPr>
          <w:szCs w:val="24"/>
        </w:rPr>
        <w:t xml:space="preserve"> </w:t>
      </w:r>
      <w:r w:rsidRPr="007A3223">
        <w:rPr>
          <w:szCs w:val="24"/>
        </w:rPr>
        <w:t>15 mg are 7 mm</w:t>
      </w:r>
      <w:r w:rsidR="00F804B5" w:rsidRPr="007A3223">
        <w:rPr>
          <w:szCs w:val="24"/>
        </w:rPr>
        <w:t xml:space="preserve"> in diameter and</w:t>
      </w:r>
      <w:r w:rsidRPr="007A3223">
        <w:rPr>
          <w:szCs w:val="24"/>
        </w:rPr>
        <w:t xml:space="preserve"> the 20 mg are 8 mm in diameter.</w:t>
      </w:r>
    </w:p>
    <w:p w14:paraId="4E53B8DB" w14:textId="77777777" w:rsidR="009841D8" w:rsidRPr="007A3223" w:rsidRDefault="009841D8" w:rsidP="004379A3">
      <w:pPr>
        <w:spacing w:after="0"/>
        <w:ind w:firstLine="360"/>
        <w:rPr>
          <w:szCs w:val="24"/>
        </w:rPr>
      </w:pPr>
      <w:r w:rsidRPr="007A3223">
        <w:rPr>
          <w:szCs w:val="24"/>
        </w:rPr>
        <w:t xml:space="preserve">The tablets contain cediranib maleate, mannitol, dibasic calcium phosphate anhydrous, sodium starch glycolate, microcrystalline cellulose and magnesium stearate with a film coat containing hypromellose 2910, polyethylene glycol 400, red iron oxide, yellow iron oxide, black iron oxide and titanium dioxide. </w:t>
      </w:r>
    </w:p>
    <w:p w14:paraId="7CE77768" w14:textId="77777777" w:rsidR="00CE22C8" w:rsidRPr="007A3223" w:rsidRDefault="00CE22C8" w:rsidP="00EA69AB"/>
    <w:p w14:paraId="56DCC66B" w14:textId="77777777" w:rsidR="009841D8" w:rsidRPr="007A3223" w:rsidRDefault="009841D8" w:rsidP="000C1D10">
      <w:pPr>
        <w:pStyle w:val="Heading3"/>
      </w:pPr>
      <w:r w:rsidRPr="007A3223">
        <w:t xml:space="preserve">Stability and Storage </w:t>
      </w:r>
    </w:p>
    <w:p w14:paraId="6EB4D79A" w14:textId="77777777" w:rsidR="00E13916" w:rsidRPr="007A3223" w:rsidRDefault="009841D8" w:rsidP="004379A3">
      <w:pPr>
        <w:spacing w:after="0"/>
        <w:ind w:firstLine="360"/>
        <w:rPr>
          <w:szCs w:val="24"/>
        </w:rPr>
      </w:pPr>
      <w:r w:rsidRPr="007A3223">
        <w:rPr>
          <w:szCs w:val="24"/>
        </w:rPr>
        <w:t xml:space="preserve">The tablets should be stored in the original pack until use. Store intact bottles at controlled room temperature (20-25 degrees Celsius, or 68-77 degrees Fahrenheit), and protect from light. </w:t>
      </w:r>
      <w:r w:rsidR="003663DE" w:rsidRPr="007A3223">
        <w:rPr>
          <w:szCs w:val="24"/>
        </w:rPr>
        <w:t xml:space="preserve">Cediranib tablets may be repackaged by the Clinical Center Pharmacy Department and dispensed in light-resistant high-density polyethylene (HDPE) containers. </w:t>
      </w:r>
      <w:r w:rsidRPr="007A3223">
        <w:rPr>
          <w:szCs w:val="24"/>
        </w:rPr>
        <w:t>For further information investigators should refer to the investigational product label.</w:t>
      </w:r>
    </w:p>
    <w:p w14:paraId="2AC01BE5" w14:textId="77777777" w:rsidR="009841D8" w:rsidRPr="007A3223" w:rsidRDefault="009841D8" w:rsidP="004379A3">
      <w:pPr>
        <w:spacing w:after="0"/>
        <w:ind w:firstLine="360"/>
        <w:rPr>
          <w:szCs w:val="24"/>
        </w:rPr>
      </w:pPr>
      <w:r w:rsidRPr="007A3223">
        <w:rPr>
          <w:szCs w:val="24"/>
        </w:rPr>
        <w:t xml:space="preserve">Stability studies are ongoing.  </w:t>
      </w:r>
    </w:p>
    <w:p w14:paraId="0038118E" w14:textId="77777777" w:rsidR="009841D8" w:rsidRPr="007A3223" w:rsidRDefault="009841D8" w:rsidP="000C1D10">
      <w:pPr>
        <w:pStyle w:val="Heading3"/>
      </w:pPr>
      <w:bookmarkStart w:id="393" w:name="_Toc489625793"/>
      <w:bookmarkEnd w:id="393"/>
      <w:r w:rsidRPr="007A3223">
        <w:t>Administration procedures</w:t>
      </w:r>
    </w:p>
    <w:p w14:paraId="02062704" w14:textId="5D416C1A" w:rsidR="009841D8" w:rsidRPr="00F33908" w:rsidRDefault="00A677F6" w:rsidP="004379A3">
      <w:pPr>
        <w:spacing w:after="0"/>
        <w:ind w:firstLine="360"/>
        <w:rPr>
          <w:szCs w:val="24"/>
        </w:rPr>
      </w:pPr>
      <w:r w:rsidRPr="007A3223">
        <w:rPr>
          <w:szCs w:val="24"/>
        </w:rPr>
        <w:t xml:space="preserve">Please see section </w:t>
      </w:r>
      <w:r w:rsidR="00307B04" w:rsidRPr="00F33908">
        <w:fldChar w:fldCharType="begin"/>
      </w:r>
      <w:r w:rsidR="00307B04" w:rsidRPr="007A3223">
        <w:instrText xml:space="preserve"> REF _Ref405286732 \r \h  \* MERGEFORMAT </w:instrText>
      </w:r>
      <w:r w:rsidR="00307B04" w:rsidRPr="00F33908">
        <w:fldChar w:fldCharType="separate"/>
      </w:r>
      <w:r w:rsidR="00E47ACA" w:rsidRPr="00E47ACA">
        <w:rPr>
          <w:b/>
          <w:color w:val="0000FF"/>
          <w:szCs w:val="24"/>
        </w:rPr>
        <w:t>3.2.3</w:t>
      </w:r>
      <w:r w:rsidR="00307B04" w:rsidRPr="00F33908">
        <w:fldChar w:fldCharType="end"/>
      </w:r>
      <w:r w:rsidRPr="007A3223">
        <w:rPr>
          <w:b/>
          <w:color w:val="0000FF"/>
          <w:szCs w:val="24"/>
        </w:rPr>
        <w:t>.</w:t>
      </w:r>
    </w:p>
    <w:p w14:paraId="24541558" w14:textId="77777777" w:rsidR="009841D8" w:rsidRPr="007A3223" w:rsidRDefault="009841D8" w:rsidP="000C1D10">
      <w:pPr>
        <w:pStyle w:val="Heading3"/>
      </w:pPr>
      <w:bookmarkStart w:id="394" w:name="_Toc489625795"/>
      <w:bookmarkEnd w:id="394"/>
      <w:r w:rsidRPr="007A3223">
        <w:t>Incompatibilities</w:t>
      </w:r>
    </w:p>
    <w:p w14:paraId="48C3953A" w14:textId="77777777" w:rsidR="00F3309D" w:rsidRPr="007A3223" w:rsidRDefault="009841D8" w:rsidP="008C180D">
      <w:pPr>
        <w:autoSpaceDE w:val="0"/>
        <w:autoSpaceDN w:val="0"/>
        <w:adjustRightInd w:val="0"/>
        <w:spacing w:after="0"/>
        <w:ind w:firstLine="360"/>
        <w:rPr>
          <w:szCs w:val="24"/>
        </w:rPr>
      </w:pPr>
      <w:r w:rsidRPr="007A3223">
        <w:rPr>
          <w:szCs w:val="24"/>
        </w:rPr>
        <w:t>No clinically relevant incompatibilities have been identified in studies performed for CYP450 interactions, anti-hypertensive medications or with other chemotherapy agents.</w:t>
      </w:r>
      <w:bookmarkStart w:id="395" w:name="_Toc399165761"/>
    </w:p>
    <w:bookmarkEnd w:id="173"/>
    <w:bookmarkEnd w:id="174"/>
    <w:bookmarkEnd w:id="175"/>
    <w:bookmarkEnd w:id="176"/>
    <w:bookmarkEnd w:id="395"/>
    <w:p w14:paraId="1240BE1F" w14:textId="77777777" w:rsidR="00207779" w:rsidRPr="007A3223" w:rsidRDefault="00207779" w:rsidP="00E96BEA">
      <w:pPr>
        <w:spacing w:after="0"/>
        <w:rPr>
          <w:szCs w:val="24"/>
        </w:rPr>
      </w:pPr>
    </w:p>
    <w:p w14:paraId="58CA5BE4" w14:textId="77777777" w:rsidR="007A6E6D" w:rsidRPr="007A3223" w:rsidRDefault="00FE17FA">
      <w:pPr>
        <w:pStyle w:val="Heading1"/>
        <w:rPr>
          <w:rFonts w:hint="eastAsia"/>
        </w:rPr>
      </w:pPr>
      <w:bookmarkStart w:id="396" w:name="_Toc250632218"/>
      <w:bookmarkStart w:id="397" w:name="_Toc281240160"/>
      <w:bookmarkStart w:id="398" w:name="_Toc281240402"/>
      <w:bookmarkStart w:id="399" w:name="_Toc288125149"/>
      <w:r w:rsidRPr="007A3223">
        <w:br w:type="page"/>
      </w:r>
      <w:bookmarkStart w:id="400" w:name="_Toc82444422"/>
      <w:r w:rsidR="0055709A" w:rsidRPr="007A3223">
        <w:lastRenderedPageBreak/>
        <w:t>REFERENCES</w:t>
      </w:r>
      <w:bookmarkEnd w:id="396"/>
      <w:bookmarkEnd w:id="397"/>
      <w:bookmarkEnd w:id="398"/>
      <w:bookmarkEnd w:id="399"/>
      <w:bookmarkEnd w:id="400"/>
      <w:r w:rsidR="0055709A" w:rsidRPr="007A3223">
        <w:t xml:space="preserve"> </w:t>
      </w:r>
    </w:p>
    <w:p w14:paraId="00777ED5" w14:textId="77777777" w:rsidR="00244551" w:rsidRPr="00244551" w:rsidRDefault="002457B0" w:rsidP="00244551">
      <w:pPr>
        <w:pStyle w:val="EndNoteBibliography"/>
        <w:spacing w:after="0"/>
      </w:pPr>
      <w:r w:rsidRPr="007A3223">
        <w:rPr>
          <w:sz w:val="23"/>
          <w:szCs w:val="23"/>
        </w:rPr>
        <w:fldChar w:fldCharType="begin"/>
      </w:r>
      <w:r w:rsidR="007A6E6D" w:rsidRPr="007A3223">
        <w:rPr>
          <w:sz w:val="23"/>
          <w:szCs w:val="23"/>
        </w:rPr>
        <w:instrText xml:space="preserve"> ADDIN EN.REFLIST </w:instrText>
      </w:r>
      <w:r w:rsidRPr="007A3223">
        <w:rPr>
          <w:sz w:val="23"/>
          <w:szCs w:val="23"/>
        </w:rPr>
        <w:fldChar w:fldCharType="separate"/>
      </w:r>
      <w:bookmarkStart w:id="401" w:name="_ENREF_1"/>
      <w:r w:rsidR="00244551" w:rsidRPr="00244551">
        <w:t>1.</w:t>
      </w:r>
      <w:r w:rsidR="00244551" w:rsidRPr="00244551">
        <w:tab/>
        <w:t>Siegel R, Naishadham D, Jemal A. Cancer statistics, 2013. CA: a cancer journal for clinicians 2013;63:11-30.</w:t>
      </w:r>
      <w:bookmarkEnd w:id="401"/>
    </w:p>
    <w:p w14:paraId="3152FB5F" w14:textId="77777777" w:rsidR="00244551" w:rsidRPr="00244551" w:rsidRDefault="00244551" w:rsidP="00244551">
      <w:pPr>
        <w:pStyle w:val="EndNoteBibliography"/>
        <w:spacing w:after="0"/>
      </w:pPr>
      <w:bookmarkStart w:id="402" w:name="_ENREF_2"/>
      <w:r w:rsidRPr="00244551">
        <w:t>2.</w:t>
      </w:r>
      <w:r w:rsidRPr="00244551">
        <w:tab/>
        <w:t>Cannistra SA. Cancer of the ovary. N Engl J Med 2004;351:2519-29.</w:t>
      </w:r>
      <w:bookmarkEnd w:id="402"/>
    </w:p>
    <w:p w14:paraId="2F5EDCA4" w14:textId="77777777" w:rsidR="00244551" w:rsidRPr="00244551" w:rsidRDefault="00244551" w:rsidP="00244551">
      <w:pPr>
        <w:pStyle w:val="EndNoteBibliography"/>
        <w:spacing w:after="0"/>
      </w:pPr>
      <w:bookmarkStart w:id="403" w:name="_ENREF_3"/>
      <w:r w:rsidRPr="00244551">
        <w:t>3.</w:t>
      </w:r>
      <w:r w:rsidRPr="00244551">
        <w:tab/>
        <w:t>Tothill RW, Tinker AV, George J, et al. Novel molecular subtypes of serous and endometrioid ovarian cancer linked to clinical outcome. Clinical cancer research : an official journal of the American Association for Cancer Research 2008;14:5198-208.</w:t>
      </w:r>
      <w:bookmarkEnd w:id="403"/>
    </w:p>
    <w:p w14:paraId="1BB46ACB" w14:textId="77777777" w:rsidR="00244551" w:rsidRPr="00244551" w:rsidRDefault="00244551" w:rsidP="00244551">
      <w:pPr>
        <w:pStyle w:val="EndNoteBibliography"/>
        <w:spacing w:after="0"/>
      </w:pPr>
      <w:bookmarkStart w:id="404" w:name="_ENREF_4"/>
      <w:r w:rsidRPr="00244551">
        <w:t>4.</w:t>
      </w:r>
      <w:r w:rsidRPr="00244551">
        <w:tab/>
        <w:t>Mellman I, Coukos G, Dranoff G. Cancer immunotherapy comes of age. Nature 2011;480:480-9.</w:t>
      </w:r>
      <w:bookmarkEnd w:id="404"/>
    </w:p>
    <w:p w14:paraId="6A3CEE20" w14:textId="77777777" w:rsidR="00244551" w:rsidRPr="00244551" w:rsidRDefault="00244551" w:rsidP="00244551">
      <w:pPr>
        <w:pStyle w:val="EndNoteBibliography"/>
        <w:spacing w:after="0"/>
      </w:pPr>
      <w:bookmarkStart w:id="405" w:name="_ENREF_5"/>
      <w:r w:rsidRPr="00244551">
        <w:t>5.</w:t>
      </w:r>
      <w:r w:rsidRPr="00244551">
        <w:tab/>
        <w:t>Integrated genomic analyses of ovarian carcinoma. Nature 2011;474:609-15.</w:t>
      </w:r>
      <w:bookmarkEnd w:id="405"/>
    </w:p>
    <w:p w14:paraId="0A470B3A" w14:textId="77777777" w:rsidR="00244551" w:rsidRPr="00244551" w:rsidRDefault="00244551" w:rsidP="00244551">
      <w:pPr>
        <w:pStyle w:val="EndNoteBibliography"/>
        <w:spacing w:after="0"/>
      </w:pPr>
      <w:bookmarkStart w:id="406" w:name="_ENREF_6"/>
      <w:r w:rsidRPr="00244551">
        <w:t>6.</w:t>
      </w:r>
      <w:r w:rsidRPr="00244551">
        <w:tab/>
        <w:t>Zhang L, Conejo-Garcia JR, Katsaros D, et al. Intratumoral T cells, recurrence, and survival in epithelial ovarian cancer. N Engl J Med 2003;348:203-13.</w:t>
      </w:r>
      <w:bookmarkEnd w:id="406"/>
    </w:p>
    <w:p w14:paraId="4E353B9E" w14:textId="77777777" w:rsidR="00244551" w:rsidRPr="00244551" w:rsidRDefault="00244551" w:rsidP="00244551">
      <w:pPr>
        <w:pStyle w:val="EndNoteBibliography"/>
        <w:spacing w:after="0"/>
      </w:pPr>
      <w:bookmarkStart w:id="407" w:name="_ENREF_7"/>
      <w:r w:rsidRPr="00244551">
        <w:t>7.</w:t>
      </w:r>
      <w:r w:rsidRPr="00244551">
        <w:tab/>
        <w:t>Schreiber RD, Old LJ, Smyth MJ. Cancer immunoediting: integrating immunity's roles in cancer suppression and promotion. Science 2011;331:1565-70.</w:t>
      </w:r>
      <w:bookmarkEnd w:id="407"/>
    </w:p>
    <w:p w14:paraId="08490FDF" w14:textId="77777777" w:rsidR="00244551" w:rsidRPr="00244551" w:rsidRDefault="00244551" w:rsidP="00244551">
      <w:pPr>
        <w:pStyle w:val="EndNoteBibliography"/>
        <w:spacing w:after="0"/>
      </w:pPr>
      <w:bookmarkStart w:id="408" w:name="_ENREF_8"/>
      <w:r w:rsidRPr="00244551">
        <w:t>8.</w:t>
      </w:r>
      <w:r w:rsidRPr="00244551">
        <w:tab/>
        <w:t>Hwang WT, Adams SF, Tahirovic E, Hagemann IS, Coukos G. Prognostic significance of tumor-infiltrating T cells in ovarian cancer: a meta-analysis. Gynecologic oncology 2012;124:192-8.</w:t>
      </w:r>
      <w:bookmarkEnd w:id="408"/>
    </w:p>
    <w:p w14:paraId="1FAD8FF4" w14:textId="77777777" w:rsidR="00244551" w:rsidRPr="00244551" w:rsidRDefault="00244551" w:rsidP="00244551">
      <w:pPr>
        <w:pStyle w:val="EndNoteBibliography"/>
        <w:spacing w:after="0"/>
      </w:pPr>
      <w:bookmarkStart w:id="409" w:name="_ENREF_9"/>
      <w:r w:rsidRPr="00244551">
        <w:t>9.</w:t>
      </w:r>
      <w:r w:rsidRPr="00244551">
        <w:tab/>
        <w:t>Leffers N, Gooden MJ, de Jong RA, et al. Prognostic significance of tumor-infiltrating T-lymphocytes in primary and metastatic lesions of advanced stage ovarian cancer. Cancer immunology, immunotherapy : CII 2009;58:449-59.</w:t>
      </w:r>
      <w:bookmarkEnd w:id="409"/>
    </w:p>
    <w:p w14:paraId="7F6B859E" w14:textId="77777777" w:rsidR="00244551" w:rsidRPr="00244551" w:rsidRDefault="00244551" w:rsidP="00244551">
      <w:pPr>
        <w:pStyle w:val="EndNoteBibliography"/>
        <w:spacing w:after="0"/>
      </w:pPr>
      <w:bookmarkStart w:id="410" w:name="_ENREF_10"/>
      <w:r w:rsidRPr="00244551">
        <w:t>10.</w:t>
      </w:r>
      <w:r w:rsidRPr="00244551">
        <w:tab/>
        <w:t>Facciabene A, Motz GT, Coukos G. T-regulatory cells: key players in tumor immune escape and angiogenesis. Cancer Res 2012;72:2162-71.</w:t>
      </w:r>
      <w:bookmarkEnd w:id="410"/>
    </w:p>
    <w:p w14:paraId="344FF309" w14:textId="77777777" w:rsidR="00244551" w:rsidRPr="00244551" w:rsidRDefault="00244551" w:rsidP="00244551">
      <w:pPr>
        <w:pStyle w:val="EndNoteBibliography"/>
        <w:spacing w:after="0"/>
      </w:pPr>
      <w:bookmarkStart w:id="411" w:name="_ENREF_11"/>
      <w:r w:rsidRPr="00244551">
        <w:t>11.</w:t>
      </w:r>
      <w:r w:rsidRPr="00244551">
        <w:tab/>
        <w:t>Wolf D, Wolf AM, Rumpold H, et al. The expression of the regulatory T cell-specific forkhead box transcription factor FoxP3 is associated with poor prognosis in ovarian cancer. Clinical cancer research : an official journal of the American Association for Cancer Research 2005;11:8326-31.</w:t>
      </w:r>
      <w:bookmarkEnd w:id="411"/>
    </w:p>
    <w:p w14:paraId="3D40DEB3" w14:textId="77777777" w:rsidR="00244551" w:rsidRPr="00244551" w:rsidRDefault="00244551" w:rsidP="00244551">
      <w:pPr>
        <w:pStyle w:val="EndNoteBibliography"/>
        <w:spacing w:after="0"/>
      </w:pPr>
      <w:bookmarkStart w:id="412" w:name="_ENREF_12"/>
      <w:r w:rsidRPr="00244551">
        <w:t>12.</w:t>
      </w:r>
      <w:r w:rsidRPr="00244551">
        <w:tab/>
        <w:t>Curiel TJ, Coukos G, Zou L, et al. Specific recruitment of regulatory T cells in ovarian carcinoma fosters immune privilege and predicts reduced survival. Nat Med 2004;10:942-9.</w:t>
      </w:r>
      <w:bookmarkEnd w:id="412"/>
    </w:p>
    <w:p w14:paraId="7AA37562" w14:textId="77777777" w:rsidR="00244551" w:rsidRPr="00244551" w:rsidRDefault="00244551" w:rsidP="00244551">
      <w:pPr>
        <w:pStyle w:val="EndNoteBibliography"/>
        <w:spacing w:after="0"/>
      </w:pPr>
      <w:bookmarkStart w:id="413" w:name="_ENREF_13"/>
      <w:r w:rsidRPr="00244551">
        <w:t>13.</w:t>
      </w:r>
      <w:r w:rsidRPr="00244551">
        <w:tab/>
        <w:t>Sato E, Olson SH, Ahn J, et al. Intraepithelial CD8+ tumor-infiltrating lymphocytes and a high CD8+/regulatory T cell ratio are associated with favorable prognosis in ovarian cancer. Proc Natl Acad Sci U S A 2005;102:18538-43.</w:t>
      </w:r>
      <w:bookmarkEnd w:id="413"/>
    </w:p>
    <w:p w14:paraId="76C59360" w14:textId="77777777" w:rsidR="00244551" w:rsidRPr="00244551" w:rsidRDefault="00244551" w:rsidP="00244551">
      <w:pPr>
        <w:pStyle w:val="EndNoteBibliography"/>
        <w:spacing w:after="0"/>
      </w:pPr>
      <w:bookmarkStart w:id="414" w:name="_ENREF_14"/>
      <w:r w:rsidRPr="00244551">
        <w:t>14.</w:t>
      </w:r>
      <w:r w:rsidRPr="00244551">
        <w:tab/>
        <w:t>Movahedi K, Guilliams M, Van den Bossche J, et al. Identification of discrete tumor-induced myeloid-derived suppressor cell subpopulations with distinct T cell-suppressive activity. Blood 2008;111:4233-44.</w:t>
      </w:r>
      <w:bookmarkEnd w:id="414"/>
    </w:p>
    <w:p w14:paraId="74A4472B" w14:textId="77777777" w:rsidR="00244551" w:rsidRPr="00244551" w:rsidRDefault="00244551" w:rsidP="00244551">
      <w:pPr>
        <w:pStyle w:val="EndNoteBibliography"/>
        <w:spacing w:after="0"/>
      </w:pPr>
      <w:bookmarkStart w:id="415" w:name="_ENREF_15"/>
      <w:r w:rsidRPr="00244551">
        <w:t>15.</w:t>
      </w:r>
      <w:r w:rsidRPr="00244551">
        <w:tab/>
        <w:t>Toh B, Wang X, Keeble J, et al. Mesenchymal transition and dissemination of cancer cells is driven by myeloid-derived suppressor cells infiltrating the primary tumor. PLoS biology 2011;9:e1001162.</w:t>
      </w:r>
      <w:bookmarkEnd w:id="415"/>
    </w:p>
    <w:p w14:paraId="27332163" w14:textId="77777777" w:rsidR="00244551" w:rsidRPr="00244551" w:rsidRDefault="00244551" w:rsidP="00244551">
      <w:pPr>
        <w:pStyle w:val="EndNoteBibliography"/>
        <w:spacing w:after="0"/>
      </w:pPr>
      <w:bookmarkStart w:id="416" w:name="_ENREF_16"/>
      <w:r w:rsidRPr="00244551">
        <w:lastRenderedPageBreak/>
        <w:t>16.</w:t>
      </w:r>
      <w:r w:rsidRPr="00244551">
        <w:tab/>
        <w:t>Yang R, Cai Z, Zhang Y, Yutzy WHt, Roby KF, Roden RB. CD80 in immune suppression by mouse ovarian carcinoma-associated Gr-1+CD11b+ myeloid cells. Cancer Res 2006;66:6807-15.</w:t>
      </w:r>
      <w:bookmarkEnd w:id="416"/>
    </w:p>
    <w:p w14:paraId="77B590B4" w14:textId="77777777" w:rsidR="00244551" w:rsidRPr="00244551" w:rsidRDefault="00244551" w:rsidP="00244551">
      <w:pPr>
        <w:pStyle w:val="EndNoteBibliography"/>
        <w:spacing w:after="0"/>
      </w:pPr>
      <w:bookmarkStart w:id="417" w:name="_ENREF_17"/>
      <w:r w:rsidRPr="00244551">
        <w:t>17.</w:t>
      </w:r>
      <w:r w:rsidRPr="00244551">
        <w:tab/>
        <w:t>Keir ME, Butte MJ, Freeman GJ, Sharpe AH. PD-1 and its ligands in tolerance and immunity. Annual review of immunology 2008;26:677-704.</w:t>
      </w:r>
      <w:bookmarkEnd w:id="417"/>
    </w:p>
    <w:p w14:paraId="5CB4699F" w14:textId="77777777" w:rsidR="00244551" w:rsidRPr="00244551" w:rsidRDefault="00244551" w:rsidP="00244551">
      <w:pPr>
        <w:pStyle w:val="EndNoteBibliography"/>
        <w:spacing w:after="0"/>
      </w:pPr>
      <w:bookmarkStart w:id="418" w:name="_ENREF_18"/>
      <w:r w:rsidRPr="00244551">
        <w:t>18.</w:t>
      </w:r>
      <w:r w:rsidRPr="00244551">
        <w:tab/>
        <w:t>Keir ME, Francisco LM, Sharpe AH. PD-1 and its ligands in T-cell immunity. Current opinion in immunology 2007;19:309-14.</w:t>
      </w:r>
      <w:bookmarkEnd w:id="418"/>
    </w:p>
    <w:p w14:paraId="7616A8D8" w14:textId="77777777" w:rsidR="00244551" w:rsidRPr="00244551" w:rsidRDefault="00244551" w:rsidP="00244551">
      <w:pPr>
        <w:pStyle w:val="EndNoteBibliography"/>
        <w:spacing w:after="0"/>
      </w:pPr>
      <w:bookmarkStart w:id="419" w:name="_ENREF_19"/>
      <w:r w:rsidRPr="00244551">
        <w:t>19.</w:t>
      </w:r>
      <w:r w:rsidRPr="00244551">
        <w:tab/>
        <w:t>Dong H, Zhu G, Tamada K, Chen L. B7-H1, a third member of the B7 family, co-stimulates T-cell proliferation and interleukin-10 secretion. Nat Med 1999;5:1365-9.</w:t>
      </w:r>
      <w:bookmarkEnd w:id="419"/>
    </w:p>
    <w:p w14:paraId="3F76DBF8" w14:textId="77777777" w:rsidR="00244551" w:rsidRPr="00244551" w:rsidRDefault="00244551" w:rsidP="00244551">
      <w:pPr>
        <w:pStyle w:val="EndNoteBibliography"/>
        <w:spacing w:after="0"/>
      </w:pPr>
      <w:bookmarkStart w:id="420" w:name="_ENREF_20"/>
      <w:r w:rsidRPr="00244551">
        <w:t>20.</w:t>
      </w:r>
      <w:r w:rsidRPr="00244551">
        <w:tab/>
        <w:t>Freeman GJ, Long AJ, Iwai Y, et al. Engagement of the PD-1 immunoinhibitory receptor by a novel B7 family member leads to negative regulation of lymphocyte activation. The Journal of experimental medicine 2000;192:1027-34.</w:t>
      </w:r>
      <w:bookmarkEnd w:id="420"/>
    </w:p>
    <w:p w14:paraId="6A6EDB36" w14:textId="77777777" w:rsidR="00244551" w:rsidRPr="00244551" w:rsidRDefault="00244551" w:rsidP="00244551">
      <w:pPr>
        <w:pStyle w:val="EndNoteBibliography"/>
        <w:spacing w:after="0"/>
      </w:pPr>
      <w:bookmarkStart w:id="421" w:name="_ENREF_21"/>
      <w:r w:rsidRPr="00244551">
        <w:t>21.</w:t>
      </w:r>
      <w:r w:rsidRPr="00244551">
        <w:tab/>
        <w:t>Tseng SY, Otsuji M, Gorski K, et al. B7-DC, a new dendritic cell molecule with potent costimulatory properties for T cells. The Journal of experimental medicine 2001;193:839-46.</w:t>
      </w:r>
      <w:bookmarkEnd w:id="421"/>
    </w:p>
    <w:p w14:paraId="5C4FADA1" w14:textId="77777777" w:rsidR="00244551" w:rsidRPr="00244551" w:rsidRDefault="00244551" w:rsidP="00244551">
      <w:pPr>
        <w:pStyle w:val="EndNoteBibliography"/>
        <w:spacing w:after="0"/>
      </w:pPr>
      <w:bookmarkStart w:id="422" w:name="_ENREF_22"/>
      <w:r w:rsidRPr="00244551">
        <w:t>22.</w:t>
      </w:r>
      <w:r w:rsidRPr="00244551">
        <w:tab/>
        <w:t>Latchman Y, Wood CR, Chernova T, et al. PD-L2 is a second ligand for PD-1 and inhibits T cell activation. Nature immunology 2001;2:261-8.</w:t>
      </w:r>
      <w:bookmarkEnd w:id="422"/>
    </w:p>
    <w:p w14:paraId="5919DC15" w14:textId="77777777" w:rsidR="00244551" w:rsidRPr="00244551" w:rsidRDefault="00244551" w:rsidP="00244551">
      <w:pPr>
        <w:pStyle w:val="EndNoteBibliography"/>
        <w:spacing w:after="0"/>
      </w:pPr>
      <w:bookmarkStart w:id="423" w:name="_ENREF_23"/>
      <w:r w:rsidRPr="00244551">
        <w:t>23.</w:t>
      </w:r>
      <w:r w:rsidRPr="00244551">
        <w:tab/>
        <w:t>Sandhu SK, Schelman WR, Wilding G, et al. The poly(ADP-ribose) polymerase inhibitor niraparib (MK4827) in BRCA mutation carriers and patients with sporadic cancer: a phase 1 dose-escalation trial. The lancet oncology 2013;14:882-92.</w:t>
      </w:r>
      <w:bookmarkEnd w:id="423"/>
    </w:p>
    <w:p w14:paraId="1067A7C0" w14:textId="77777777" w:rsidR="00244551" w:rsidRPr="00244551" w:rsidRDefault="00244551" w:rsidP="00244551">
      <w:pPr>
        <w:pStyle w:val="EndNoteBibliography"/>
        <w:spacing w:after="0"/>
      </w:pPr>
      <w:bookmarkStart w:id="424" w:name="_ENREF_24"/>
      <w:r w:rsidRPr="00244551">
        <w:t>24.</w:t>
      </w:r>
      <w:r w:rsidRPr="00244551">
        <w:tab/>
        <w:t>Lin PY, Sun L, Thibodeaux SR, et al. B7-H1-dependent sex-related differences in tumor immunity and immunotherapy responses. Journal of immunology 2010;185:2747-53.</w:t>
      </w:r>
      <w:bookmarkEnd w:id="424"/>
    </w:p>
    <w:p w14:paraId="24048394" w14:textId="77777777" w:rsidR="00244551" w:rsidRPr="00244551" w:rsidRDefault="00244551" w:rsidP="00244551">
      <w:pPr>
        <w:pStyle w:val="EndNoteBibliography"/>
        <w:spacing w:after="0"/>
      </w:pPr>
      <w:bookmarkStart w:id="425" w:name="_ENREF_25"/>
      <w:r w:rsidRPr="00244551">
        <w:t>25.</w:t>
      </w:r>
      <w:r w:rsidRPr="00244551">
        <w:tab/>
        <w:t>Maine CJ, Aziz NH, Chatterjee J, et al. Programmed death ligand-1 over-expression correlates with malignancy and contributes to immune regulation in ovarian cancer. Cancer immunology, immunotherapy : CII 2013.</w:t>
      </w:r>
      <w:bookmarkEnd w:id="425"/>
    </w:p>
    <w:p w14:paraId="7E91C6DF" w14:textId="77777777" w:rsidR="00244551" w:rsidRPr="00244551" w:rsidRDefault="00244551" w:rsidP="00244551">
      <w:pPr>
        <w:pStyle w:val="EndNoteBibliography"/>
        <w:spacing w:after="0"/>
      </w:pPr>
      <w:bookmarkStart w:id="426" w:name="_ENREF_26"/>
      <w:r w:rsidRPr="00244551">
        <w:t>26.</w:t>
      </w:r>
      <w:r w:rsidRPr="00244551">
        <w:tab/>
        <w:t>Hamanishi J, Mandai M, Iwasaki M, et al. Programmed cell death 1 ligand 1 and tumor-infiltrating CD8+ T lymphocytes are prognostic factors of human ovarian cancer. Proc Natl Acad Sci U S A 2007;104:3360-5.</w:t>
      </w:r>
      <w:bookmarkEnd w:id="426"/>
    </w:p>
    <w:p w14:paraId="44461252" w14:textId="77777777" w:rsidR="00244551" w:rsidRPr="00244551" w:rsidRDefault="00244551" w:rsidP="00244551">
      <w:pPr>
        <w:pStyle w:val="EndNoteBibliography"/>
        <w:spacing w:after="0"/>
      </w:pPr>
      <w:bookmarkStart w:id="427" w:name="_ENREF_27"/>
      <w:r w:rsidRPr="00244551">
        <w:t>27.</w:t>
      </w:r>
      <w:r w:rsidRPr="00244551">
        <w:tab/>
        <w:t>Brahmer JR, Tykodi SS, Chow LQ, et al. Safety and activity of anti-PD-L1 antibody in patients with advanced cancer. N Engl J Med 2012;366:2455-65.</w:t>
      </w:r>
      <w:bookmarkEnd w:id="427"/>
    </w:p>
    <w:p w14:paraId="17FBBF93" w14:textId="77777777" w:rsidR="00244551" w:rsidRPr="00244551" w:rsidRDefault="00244551" w:rsidP="00244551">
      <w:pPr>
        <w:pStyle w:val="EndNoteBibliography"/>
        <w:spacing w:after="0"/>
      </w:pPr>
      <w:bookmarkStart w:id="428" w:name="_ENREF_28"/>
      <w:r w:rsidRPr="00244551">
        <w:t>28.</w:t>
      </w:r>
      <w:r w:rsidRPr="00244551">
        <w:tab/>
        <w:t>Hamanishi J MM, Ikeda T, Minami M, Kawaguchi A, Matsumura N, Abiko K, Baba T, Yamaguchi K, Ueda A, Kanai M, Mori Y, Matsumoto S, Murayama T, Chikuma S, Morita S, Yokode M, Shimizu A, Honjo T, Konishi I. Efficacy and safety of anti-PD-1 antibody (Nivolumab: BMS-936558, ONO-4538) in patients with platinum-resistant ovarian cancer. J Clin Oncol 32:5s, 2014 (suppl; abstr 5511).</w:t>
      </w:r>
      <w:bookmarkEnd w:id="428"/>
    </w:p>
    <w:p w14:paraId="34AEAFCA" w14:textId="77777777" w:rsidR="00244551" w:rsidRPr="00244551" w:rsidRDefault="00244551" w:rsidP="00244551">
      <w:pPr>
        <w:pStyle w:val="EndNoteBibliography"/>
        <w:spacing w:after="0"/>
      </w:pPr>
      <w:bookmarkStart w:id="429" w:name="_ENREF_29"/>
      <w:r w:rsidRPr="00244551">
        <w:t>29.</w:t>
      </w:r>
      <w:r w:rsidRPr="00244551">
        <w:tab/>
        <w:t>Le DT, Uram JN, Wang H, et al. PD-1 Blockade in Tumors with Mismatch-Repair Deficiency. The New England journal of medicine 2015.</w:t>
      </w:r>
      <w:bookmarkEnd w:id="429"/>
    </w:p>
    <w:p w14:paraId="7AF97CD4" w14:textId="77777777" w:rsidR="00244551" w:rsidRPr="00244551" w:rsidRDefault="00244551" w:rsidP="00244551">
      <w:pPr>
        <w:pStyle w:val="EndNoteBibliography"/>
        <w:spacing w:after="0"/>
      </w:pPr>
      <w:bookmarkStart w:id="430" w:name="_ENREF_30"/>
      <w:r w:rsidRPr="00244551">
        <w:t>30.</w:t>
      </w:r>
      <w:r w:rsidRPr="00244551">
        <w:tab/>
        <w:t>Galluzzi L, Senovilla L, Zitvogel L, Kroemer G. The secret ally: immunostimulation by anticancer drugs. Nature reviews Drug discovery 2012;11:215-33.</w:t>
      </w:r>
      <w:bookmarkEnd w:id="430"/>
    </w:p>
    <w:p w14:paraId="634154DD" w14:textId="77777777" w:rsidR="00244551" w:rsidRPr="00244551" w:rsidRDefault="00244551" w:rsidP="00244551">
      <w:pPr>
        <w:pStyle w:val="EndNoteBibliography"/>
        <w:spacing w:after="0"/>
      </w:pPr>
      <w:bookmarkStart w:id="431" w:name="_ENREF_31"/>
      <w:r w:rsidRPr="00244551">
        <w:lastRenderedPageBreak/>
        <w:t>31.</w:t>
      </w:r>
      <w:r w:rsidRPr="00244551">
        <w:tab/>
        <w:t>Schoenfeld JD, Dranoff G. Anti-angiogenesis immunotherapy. Human vaccines 2011;7:976-81.</w:t>
      </w:r>
      <w:bookmarkEnd w:id="431"/>
    </w:p>
    <w:p w14:paraId="0AAB8036" w14:textId="77777777" w:rsidR="00244551" w:rsidRPr="00244551" w:rsidRDefault="00244551" w:rsidP="00244551">
      <w:pPr>
        <w:pStyle w:val="EndNoteBibliography"/>
        <w:spacing w:after="0"/>
      </w:pPr>
      <w:bookmarkStart w:id="432" w:name="_ENREF_32"/>
      <w:r w:rsidRPr="00244551">
        <w:t>32.</w:t>
      </w:r>
      <w:r w:rsidRPr="00244551">
        <w:tab/>
        <w:t>Kandalaft LE, Motz GT, Busch J, Coukos G. Angiogenesis and the tumor vasculature as antitumor immune modulators: the role of vascular endothelial growth factor and endothelin. Current topics in microbiology and immunology 2011;344:129-48.</w:t>
      </w:r>
      <w:bookmarkEnd w:id="432"/>
    </w:p>
    <w:p w14:paraId="28D0ACB2" w14:textId="77777777" w:rsidR="00244551" w:rsidRPr="00244551" w:rsidRDefault="00244551" w:rsidP="00244551">
      <w:pPr>
        <w:pStyle w:val="EndNoteBibliography"/>
        <w:spacing w:after="0"/>
      </w:pPr>
      <w:bookmarkStart w:id="433" w:name="_ENREF_33"/>
      <w:r w:rsidRPr="00244551">
        <w:t>33.</w:t>
      </w:r>
      <w:r w:rsidRPr="00244551">
        <w:tab/>
        <w:t>Tartour E, Pere H, Maillere B, et al. Angiogenesis and immunity: a bidirectional link potentially relevant for the monitoring of antiangiogenic therapy and the development of novel therapeutic combination with immunotherapy. Cancer metastasis reviews 2011;30:83-95.</w:t>
      </w:r>
      <w:bookmarkEnd w:id="433"/>
    </w:p>
    <w:p w14:paraId="45527F1D" w14:textId="77777777" w:rsidR="00244551" w:rsidRPr="00244551" w:rsidRDefault="00244551" w:rsidP="00244551">
      <w:pPr>
        <w:pStyle w:val="EndNoteBibliography"/>
        <w:spacing w:after="0"/>
      </w:pPr>
      <w:bookmarkStart w:id="434" w:name="_ENREF_34"/>
      <w:r w:rsidRPr="00244551">
        <w:t>34.</w:t>
      </w:r>
      <w:r w:rsidRPr="00244551">
        <w:tab/>
        <w:t>Sondak VK, Smalley KS, Kudchadkar R, Grippon S, Kirkpatrick P. Ipilimumab. Nature reviews Drug discovery 2011;10:411-2.</w:t>
      </w:r>
      <w:bookmarkEnd w:id="434"/>
    </w:p>
    <w:p w14:paraId="13BF8214" w14:textId="77777777" w:rsidR="00244551" w:rsidRPr="00244551" w:rsidRDefault="00244551" w:rsidP="00244551">
      <w:pPr>
        <w:pStyle w:val="EndNoteBibliography"/>
        <w:spacing w:after="0"/>
      </w:pPr>
      <w:bookmarkStart w:id="435" w:name="_ENREF_35"/>
      <w:r w:rsidRPr="00244551">
        <w:t>35.</w:t>
      </w:r>
      <w:r w:rsidRPr="00244551">
        <w:tab/>
        <w:t>Ohm JE, Carbone DP. VEGF as a mediator of tumor-associated immunodeficiency. Immunologic research 2001;23:263-72.</w:t>
      </w:r>
      <w:bookmarkEnd w:id="435"/>
    </w:p>
    <w:p w14:paraId="72389F24" w14:textId="77777777" w:rsidR="00244551" w:rsidRPr="00244551" w:rsidRDefault="00244551" w:rsidP="00244551">
      <w:pPr>
        <w:pStyle w:val="EndNoteBibliography"/>
        <w:spacing w:after="0"/>
      </w:pPr>
      <w:bookmarkStart w:id="436" w:name="_ENREF_36"/>
      <w:r w:rsidRPr="00244551">
        <w:t>36.</w:t>
      </w:r>
      <w:r w:rsidRPr="00244551">
        <w:tab/>
        <w:t>Oyama T, Ran S, Ishida T, et al. Vascular endothelial growth factor affects dendritic cell maturation through the inhibition of nuclear factor-kappa B activation in hemopoietic progenitor cells. Journal of immunology 1998;160:1224-32.</w:t>
      </w:r>
      <w:bookmarkEnd w:id="436"/>
    </w:p>
    <w:p w14:paraId="3785578F" w14:textId="77777777" w:rsidR="00244551" w:rsidRPr="00244551" w:rsidRDefault="00244551" w:rsidP="00244551">
      <w:pPr>
        <w:pStyle w:val="EndNoteBibliography"/>
        <w:spacing w:after="0"/>
      </w:pPr>
      <w:bookmarkStart w:id="437" w:name="_ENREF_37"/>
      <w:r w:rsidRPr="00244551">
        <w:t>37.</w:t>
      </w:r>
      <w:r w:rsidRPr="00244551">
        <w:tab/>
        <w:t>Terme M, Pernot S, Marcheteau E, et al. VEGFA-VEGFR pathway blockade inhibits tumor-induced regulatory T-cell proliferation in colorectal cancer. Cancer Res 2013;73:539-49.</w:t>
      </w:r>
      <w:bookmarkEnd w:id="437"/>
    </w:p>
    <w:p w14:paraId="7C607038" w14:textId="77777777" w:rsidR="00244551" w:rsidRPr="00244551" w:rsidRDefault="00244551" w:rsidP="00244551">
      <w:pPr>
        <w:pStyle w:val="EndNoteBibliography"/>
        <w:spacing w:after="0"/>
      </w:pPr>
      <w:bookmarkStart w:id="438" w:name="_ENREF_38"/>
      <w:r w:rsidRPr="00244551">
        <w:t>38.</w:t>
      </w:r>
      <w:r w:rsidRPr="00244551">
        <w:tab/>
        <w:t>Gabrilovich DI, Ostrand-Rosenberg S, Bronte V. Coordinated regulation of myeloid cells by tumours. Nature reviews Immunology 2012;12:253-68.</w:t>
      </w:r>
      <w:bookmarkEnd w:id="438"/>
    </w:p>
    <w:p w14:paraId="175DFBB0" w14:textId="77777777" w:rsidR="00244551" w:rsidRPr="00244551" w:rsidRDefault="00244551" w:rsidP="00244551">
      <w:pPr>
        <w:pStyle w:val="EndNoteBibliography"/>
        <w:spacing w:after="0"/>
      </w:pPr>
      <w:bookmarkStart w:id="439" w:name="_ENREF_39"/>
      <w:r w:rsidRPr="00244551">
        <w:t>39.</w:t>
      </w:r>
      <w:r w:rsidRPr="00244551">
        <w:tab/>
        <w:t>Huang Y, Goel S, Duda DG, Fukumura D, Jain RK. Vascular normalization as an emerging strategy to enhance cancer immunotherapy. Cancer Res 2013;73:2943-8.</w:t>
      </w:r>
      <w:bookmarkEnd w:id="439"/>
    </w:p>
    <w:p w14:paraId="45B268BF" w14:textId="77777777" w:rsidR="00244551" w:rsidRPr="00244551" w:rsidRDefault="00244551" w:rsidP="00244551">
      <w:pPr>
        <w:pStyle w:val="EndNoteBibliography"/>
        <w:spacing w:after="0"/>
      </w:pPr>
      <w:bookmarkStart w:id="440" w:name="_ENREF_40"/>
      <w:r w:rsidRPr="00244551">
        <w:t>40.</w:t>
      </w:r>
      <w:r w:rsidRPr="00244551">
        <w:tab/>
        <w:t>Terme M, Colussi O, Marcheteau E, Tanchot C, Tartour E, Taieb J. Modulation of immunity by antiangiogenic molecules in cancer. Clinical &amp; developmental immunology 2012;2012:492920.</w:t>
      </w:r>
      <w:bookmarkEnd w:id="440"/>
    </w:p>
    <w:p w14:paraId="6D0382BB" w14:textId="77777777" w:rsidR="00244551" w:rsidRPr="00244551" w:rsidRDefault="00244551" w:rsidP="00244551">
      <w:pPr>
        <w:pStyle w:val="EndNoteBibliography"/>
        <w:spacing w:after="0"/>
      </w:pPr>
      <w:bookmarkStart w:id="441" w:name="_ENREF_41"/>
      <w:r w:rsidRPr="00244551">
        <w:t>41.</w:t>
      </w:r>
      <w:r w:rsidRPr="00244551">
        <w:tab/>
        <w:t>Amin A PE, Infante JR, Ernstoff MS. Nivolumab (anti-PD-1; BMS-936558, ONO-4538) in combination with sunitinib or pazopanib in patients (pts) with metastatic renal cell carcinoma (mRCC). J Clin Oncol 32:5s (suppl; abstr 5010) 2014.</w:t>
      </w:r>
      <w:bookmarkEnd w:id="441"/>
    </w:p>
    <w:p w14:paraId="6397B4DF" w14:textId="77777777" w:rsidR="00244551" w:rsidRPr="00244551" w:rsidRDefault="00244551" w:rsidP="00244551">
      <w:pPr>
        <w:pStyle w:val="EndNoteBibliography"/>
        <w:spacing w:after="0"/>
      </w:pPr>
      <w:bookmarkStart w:id="442" w:name="_ENREF_42"/>
      <w:r w:rsidRPr="00244551">
        <w:t>42.</w:t>
      </w:r>
      <w:r w:rsidRPr="00244551">
        <w:tab/>
        <w:t>Hodi FS, Lawrence D, Lezcano C, et al. Bevacizumab plus ipilimumab in patients with metastatic melanoma. Cancer immunology research 2014;2:632-42.</w:t>
      </w:r>
      <w:bookmarkEnd w:id="442"/>
    </w:p>
    <w:p w14:paraId="57A43E66" w14:textId="77777777" w:rsidR="00244551" w:rsidRPr="00244551" w:rsidRDefault="00244551" w:rsidP="00244551">
      <w:pPr>
        <w:pStyle w:val="EndNoteBibliography"/>
        <w:spacing w:after="0"/>
      </w:pPr>
      <w:bookmarkStart w:id="443" w:name="_ENREF_43"/>
      <w:r w:rsidRPr="00244551">
        <w:t>43.</w:t>
      </w:r>
      <w:r w:rsidRPr="00244551">
        <w:tab/>
        <w:t>Perren TJ, Swart AM, Pfisterer J, et al. A phase 3 trial of bevacizumab in ovarian cancer. N Engl J Med 2011;365:2484-96.</w:t>
      </w:r>
      <w:bookmarkEnd w:id="443"/>
    </w:p>
    <w:p w14:paraId="2619EF20" w14:textId="77777777" w:rsidR="00244551" w:rsidRPr="00244551" w:rsidRDefault="00244551" w:rsidP="00244551">
      <w:pPr>
        <w:pStyle w:val="EndNoteBibliography"/>
        <w:spacing w:after="0"/>
      </w:pPr>
      <w:bookmarkStart w:id="444" w:name="_ENREF_44"/>
      <w:r w:rsidRPr="00244551">
        <w:t>44.</w:t>
      </w:r>
      <w:r w:rsidRPr="00244551">
        <w:tab/>
        <w:t>Burger RA, Brady MF, Bookman MA, et al. Incorporation of bevacizumab in the primary treatment of ovarian cancer. N Engl J Med 2011;365:2473-83.</w:t>
      </w:r>
      <w:bookmarkEnd w:id="444"/>
    </w:p>
    <w:p w14:paraId="00997D57" w14:textId="77777777" w:rsidR="00244551" w:rsidRPr="00244551" w:rsidRDefault="00244551" w:rsidP="00244551">
      <w:pPr>
        <w:pStyle w:val="EndNoteBibliography"/>
        <w:spacing w:after="0"/>
      </w:pPr>
      <w:bookmarkStart w:id="445" w:name="_ENREF_45"/>
      <w:r w:rsidRPr="00244551">
        <w:t>45.</w:t>
      </w:r>
      <w:r w:rsidRPr="00244551">
        <w:tab/>
        <w:t>Pujade-Lauraine E, Hilpert F, Weber B, et al. Bevacizumab combined with chemotherapy for platinum-resistant recurrent ovarian cancer: The AURELIA open-label randomized phase III trial. Journal of clinical oncology : official journal of the American Society of Clinical Oncology 2014;32:1302-8.</w:t>
      </w:r>
      <w:bookmarkEnd w:id="445"/>
    </w:p>
    <w:p w14:paraId="34CC7744" w14:textId="77777777" w:rsidR="00244551" w:rsidRPr="00244551" w:rsidRDefault="00244551" w:rsidP="00244551">
      <w:pPr>
        <w:pStyle w:val="EndNoteBibliography"/>
        <w:spacing w:after="0"/>
      </w:pPr>
      <w:bookmarkStart w:id="446" w:name="_ENREF_46"/>
      <w:r w:rsidRPr="00244551">
        <w:t>46.</w:t>
      </w:r>
      <w:r w:rsidRPr="00244551">
        <w:tab/>
        <w:t xml:space="preserve">Matulonis UA, Berlin S, Ivy P, et al. Cediranib, an oral inhibitor of vascular endothelial growth factor receptor kinases, is an active drug in recurrent epithelial ovarian, fallopian tube, </w:t>
      </w:r>
      <w:r w:rsidRPr="00244551">
        <w:lastRenderedPageBreak/>
        <w:t>and peritoneal cancer. Journal of clinical oncology : official journal of the American Society of Clinical Oncology 2009;27:5601-6.</w:t>
      </w:r>
      <w:bookmarkEnd w:id="446"/>
    </w:p>
    <w:p w14:paraId="0891FDE3" w14:textId="77777777" w:rsidR="00244551" w:rsidRPr="00244551" w:rsidRDefault="00244551" w:rsidP="00244551">
      <w:pPr>
        <w:pStyle w:val="EndNoteBibliography"/>
        <w:spacing w:after="0"/>
      </w:pPr>
      <w:bookmarkStart w:id="447" w:name="_ENREF_47"/>
      <w:r w:rsidRPr="00244551">
        <w:t>47.</w:t>
      </w:r>
      <w:r w:rsidRPr="00244551">
        <w:tab/>
        <w:t>Ledermann JA PJ, Raja FA, et al. Randomised double-blind phase III trial of cediranib (AZD 2171) in relaposed platinum sensitive ovarian cancer:  Results of the ICON6 trial. Presented at the 38th Congress of the European Society for Medical Oncology (ESMO), Abst LBA10 2013.</w:t>
      </w:r>
      <w:bookmarkEnd w:id="447"/>
    </w:p>
    <w:p w14:paraId="11CD996D" w14:textId="77777777" w:rsidR="00244551" w:rsidRPr="00244551" w:rsidRDefault="00244551" w:rsidP="00244551">
      <w:pPr>
        <w:pStyle w:val="EndNoteBibliography"/>
        <w:spacing w:after="0"/>
      </w:pPr>
      <w:bookmarkStart w:id="448" w:name="_ENREF_48"/>
      <w:r w:rsidRPr="00244551">
        <w:t>48.</w:t>
      </w:r>
      <w:r w:rsidRPr="00244551">
        <w:tab/>
        <w:t>Kaye SB, Lubinski J, Matulonis U, et al. Phase II, open-label, randomized, multicenter study comparing the efficacy and safety of olaparib, a poly (ADP-ribose) polymerase inhibitor, and pegylated liposomal doxorubicin in patients with BRCA1 or BRCA2 mutations and recurrent ovarian cancer. Journal of clinical oncology : official journal of the American Society of Clinical Oncology 2012;30:372-9.</w:t>
      </w:r>
      <w:bookmarkEnd w:id="448"/>
    </w:p>
    <w:p w14:paraId="191E2767" w14:textId="77777777" w:rsidR="00244551" w:rsidRPr="00244551" w:rsidRDefault="00244551" w:rsidP="00244551">
      <w:pPr>
        <w:pStyle w:val="EndNoteBibliography"/>
        <w:spacing w:after="0"/>
      </w:pPr>
      <w:bookmarkStart w:id="449" w:name="_ENREF_49"/>
      <w:r w:rsidRPr="00244551">
        <w:t>49.</w:t>
      </w:r>
      <w:r w:rsidRPr="00244551">
        <w:tab/>
        <w:t>Wu CY, Yang LH, Yang HY, et al. Enhanced cancer radiotherapy through immunosuppressive stromal cell destruction in tumors. Clinical cancer research : an official journal of the American Association for Cancer Research 2014;20:644-57.</w:t>
      </w:r>
      <w:bookmarkEnd w:id="449"/>
    </w:p>
    <w:p w14:paraId="46D2A299" w14:textId="77777777" w:rsidR="00244551" w:rsidRPr="00244551" w:rsidRDefault="00244551" w:rsidP="00244551">
      <w:pPr>
        <w:pStyle w:val="EndNoteBibliography"/>
        <w:spacing w:after="0"/>
      </w:pPr>
      <w:bookmarkStart w:id="450" w:name="_ENREF_50"/>
      <w:r w:rsidRPr="00244551">
        <w:t>50.</w:t>
      </w:r>
      <w:r w:rsidRPr="00244551">
        <w:tab/>
        <w:t>Gameiro SR, Ardiani A, Kwilas A, Hodge JW. Radiation-induced survival responses promote immunogenic modulation to enhance immunotherapy in combinatorial regimens. Oncoimmunology 2014;3:e28643.</w:t>
      </w:r>
      <w:bookmarkEnd w:id="450"/>
    </w:p>
    <w:p w14:paraId="40F505AB" w14:textId="77777777" w:rsidR="00244551" w:rsidRPr="00244551" w:rsidRDefault="00244551" w:rsidP="00244551">
      <w:pPr>
        <w:pStyle w:val="EndNoteBibliography"/>
        <w:spacing w:after="0"/>
      </w:pPr>
      <w:bookmarkStart w:id="451" w:name="_ENREF_51"/>
      <w:r w:rsidRPr="00244551">
        <w:t>51.</w:t>
      </w:r>
      <w:r w:rsidRPr="00244551">
        <w:tab/>
        <w:t>Kroemer G, Galluzzi L, Kepp O, Zitvogel L. Immunogenic cell death in cancer therapy. Annual review of immunology 2013;31:51-72.</w:t>
      </w:r>
      <w:bookmarkEnd w:id="451"/>
    </w:p>
    <w:p w14:paraId="3F8C11BB" w14:textId="77777777" w:rsidR="00244551" w:rsidRPr="00244551" w:rsidRDefault="00244551" w:rsidP="00244551">
      <w:pPr>
        <w:pStyle w:val="EndNoteBibliography"/>
        <w:spacing w:after="0"/>
      </w:pPr>
      <w:bookmarkStart w:id="452" w:name="_ENREF_52"/>
      <w:r w:rsidRPr="00244551">
        <w:t>52.</w:t>
      </w:r>
      <w:r w:rsidRPr="00244551">
        <w:tab/>
        <w:t>Snyder A, Makarov V, Merghoub T, et al. Genetic Basis for Clinical Response to CTLA-4 Blockade in Melanoma. N Engl J Med 2014.</w:t>
      </w:r>
      <w:bookmarkEnd w:id="452"/>
    </w:p>
    <w:p w14:paraId="05DD8287" w14:textId="77777777" w:rsidR="00244551" w:rsidRPr="00244551" w:rsidRDefault="00244551" w:rsidP="00244551">
      <w:pPr>
        <w:pStyle w:val="EndNoteBibliography"/>
        <w:spacing w:after="0"/>
      </w:pPr>
      <w:bookmarkStart w:id="453" w:name="_ENREF_53"/>
      <w:r w:rsidRPr="00244551">
        <w:t>53.</w:t>
      </w:r>
      <w:r w:rsidRPr="00244551">
        <w:tab/>
        <w:t>Gajewski TF, Schreiber H, Fu YX. Innate and adaptive immune cells in the tumor microenvironment. Nature immunology 2013;14:1014-22.</w:t>
      </w:r>
      <w:bookmarkEnd w:id="453"/>
    </w:p>
    <w:p w14:paraId="0E8FC3C8" w14:textId="77777777" w:rsidR="00244551" w:rsidRPr="00244551" w:rsidRDefault="00244551" w:rsidP="00244551">
      <w:pPr>
        <w:pStyle w:val="EndNoteBibliography"/>
        <w:spacing w:after="0"/>
      </w:pPr>
      <w:bookmarkStart w:id="454" w:name="_ENREF_54"/>
      <w:r w:rsidRPr="00244551">
        <w:t>54.</w:t>
      </w:r>
      <w:r w:rsidRPr="00244551">
        <w:tab/>
        <w:t>O'Sullivan CC, Moon DH, Kohn EC, Lee JM. Beyond Breast and Ovarian Cancers: PARP Inhibitors for BRCA Mutation-Associated and BRCA-Like Solid Tumors. Frontiers in oncology 2014;4:42.</w:t>
      </w:r>
      <w:bookmarkEnd w:id="454"/>
    </w:p>
    <w:p w14:paraId="543A64C0" w14:textId="77777777" w:rsidR="00244551" w:rsidRPr="00244551" w:rsidRDefault="00244551" w:rsidP="00244551">
      <w:pPr>
        <w:pStyle w:val="EndNoteBibliography"/>
        <w:spacing w:after="0"/>
      </w:pPr>
      <w:bookmarkStart w:id="455" w:name="_ENREF_55"/>
      <w:r w:rsidRPr="00244551">
        <w:t>55.</w:t>
      </w:r>
      <w:r w:rsidRPr="00244551">
        <w:tab/>
        <w:t>LEE JM LJ, Choyke PL, Elbuluk O. Biomarker correlates from the randomized phase 2 trial of the PARP inhibitor olaparib (O) with or without the antiangiogenic TKI cediranib (C) in recurrent platinum-sensitive ovarian cancer (NCT01116648). J Clin Oncol 32:5s (suppl; abstr 5535) 2014.</w:t>
      </w:r>
      <w:bookmarkEnd w:id="455"/>
    </w:p>
    <w:p w14:paraId="29BDA554" w14:textId="77777777" w:rsidR="00244551" w:rsidRPr="00244551" w:rsidRDefault="00244551" w:rsidP="00244551">
      <w:pPr>
        <w:pStyle w:val="EndNoteBibliography"/>
        <w:spacing w:after="0"/>
      </w:pPr>
      <w:bookmarkStart w:id="456" w:name="_ENREF_56"/>
      <w:r w:rsidRPr="00244551">
        <w:t>56.</w:t>
      </w:r>
      <w:r w:rsidRPr="00244551">
        <w:tab/>
        <w:t>McAlpine JN, Porter H, Kobel M, et al. BRCA1 and BRCA2 mutations correlate with TP53 abnormalities and presence of immune cell infiltrates in ovarian high-grade serous carcinoma. Modern pathology : an official journal of the United States and Canadian Academy of Pathology, Inc 2012;25:740-50.</w:t>
      </w:r>
      <w:bookmarkEnd w:id="456"/>
    </w:p>
    <w:p w14:paraId="01A78B1B" w14:textId="77777777" w:rsidR="00244551" w:rsidRPr="00244551" w:rsidRDefault="00244551" w:rsidP="00244551">
      <w:pPr>
        <w:pStyle w:val="EndNoteBibliography"/>
        <w:spacing w:after="0"/>
      </w:pPr>
      <w:bookmarkStart w:id="457" w:name="_ENREF_57"/>
      <w:r w:rsidRPr="00244551">
        <w:t>57.</w:t>
      </w:r>
      <w:r w:rsidRPr="00244551">
        <w:tab/>
        <w:t>Lee JM GN, Lee MJ, Trepel J, Yu M, Kohn EC. Development of flow cytometric predictive biomarker assay for response to PARP inhibitor (PARPi) therapy in high-grade serous ovarian cancer (HGSOC). Gynecologic Oncology 2014;133.</w:t>
      </w:r>
      <w:bookmarkEnd w:id="457"/>
    </w:p>
    <w:p w14:paraId="5BD79324" w14:textId="77777777" w:rsidR="00244551" w:rsidRPr="00244551" w:rsidRDefault="00244551" w:rsidP="00244551">
      <w:pPr>
        <w:pStyle w:val="EndNoteBibliography"/>
        <w:spacing w:after="0"/>
      </w:pPr>
      <w:bookmarkStart w:id="458" w:name="_ENREF_58"/>
      <w:r w:rsidRPr="00244551">
        <w:t>58.</w:t>
      </w:r>
      <w:r w:rsidRPr="00244551">
        <w:tab/>
        <w:t xml:space="preserve">Jonathan A. Ledermann PH, Charlie Gourley, Michael Friedlander, Ignace Vergote, Gordon J. S. Rustin, Clare L. Scott, Werner Meier, Ronnie Shapira-Frommer, Tamar Safra, Daniela Matei, Anitra Fielding, Euan Macpherson, Brian Dougherty, Juliane M. Jürgensmeier, </w:t>
      </w:r>
      <w:r w:rsidRPr="00244551">
        <w:lastRenderedPageBreak/>
        <w:t>Maria Orr, Ursula Matulonis. Olaparib maintenance therapy in patients with platinum-sensitive relapsed serous ovarian cancer (SOC) and a BRCA mutation (BRCAm). Journal of clinical oncology : official journal of the American Society of Clinical Oncology 2013;31:suppl; abstr 5505.</w:t>
      </w:r>
      <w:bookmarkEnd w:id="458"/>
    </w:p>
    <w:p w14:paraId="4399562A" w14:textId="77777777" w:rsidR="00244551" w:rsidRPr="00244551" w:rsidRDefault="00244551" w:rsidP="00244551">
      <w:pPr>
        <w:pStyle w:val="EndNoteBibliography"/>
        <w:spacing w:after="0"/>
      </w:pPr>
      <w:bookmarkStart w:id="459" w:name="_ENREF_59"/>
      <w:r w:rsidRPr="00244551">
        <w:t>59.</w:t>
      </w:r>
      <w:r w:rsidRPr="00244551">
        <w:tab/>
        <w:t>Fong PC, Yap TA, Boss DS, et al. Poly(ADP)-ribose polymerase inhibition: frequent durable responses in BRCA carrier ovarian cancer correlating with platinum-free interval. Journal of clinical oncology : official journal of the American Society of Clinical Oncology 2010;28:2512-9.</w:t>
      </w:r>
      <w:bookmarkEnd w:id="459"/>
    </w:p>
    <w:p w14:paraId="30CFF251" w14:textId="77777777" w:rsidR="00244551" w:rsidRPr="00244551" w:rsidRDefault="00244551" w:rsidP="00244551">
      <w:pPr>
        <w:pStyle w:val="EndNoteBibliography"/>
        <w:spacing w:after="0"/>
      </w:pPr>
      <w:bookmarkStart w:id="460" w:name="_ENREF_60"/>
      <w:r w:rsidRPr="00244551">
        <w:t>60.</w:t>
      </w:r>
      <w:r w:rsidRPr="00244551">
        <w:tab/>
        <w:t>Gelmon KA, Tischkowitz M, Mackay H, et al. Olaparib in patients with recurrent high-grade serous or poorly differentiated ovarian carcinoma or triple-negative breast cancer: a phase 2, multicentre, open-label, non-randomised study. The lancet oncology 2011;12:852-61.</w:t>
      </w:r>
      <w:bookmarkEnd w:id="460"/>
    </w:p>
    <w:p w14:paraId="760B90B3" w14:textId="77777777" w:rsidR="00244551" w:rsidRPr="00244551" w:rsidRDefault="00244551" w:rsidP="00244551">
      <w:pPr>
        <w:pStyle w:val="EndNoteBibliography"/>
        <w:spacing w:after="0"/>
      </w:pPr>
      <w:bookmarkStart w:id="461" w:name="_ENREF_61"/>
      <w:r w:rsidRPr="00244551">
        <w:t>61.</w:t>
      </w:r>
      <w:r w:rsidRPr="00244551">
        <w:tab/>
        <w:t>Lee JM, Hays JL, Annunziata CM, et al. Phase I/Ib Study of Olaparib and Carboplatin in BRCA1 or BRCA2 Mutation-Associated Breast or Ovarian Cancer With Biomarker Analyses. Journal of the National Cancer Institute 2014;106.</w:t>
      </w:r>
      <w:bookmarkEnd w:id="461"/>
    </w:p>
    <w:p w14:paraId="0A3DA071" w14:textId="77777777" w:rsidR="00244551" w:rsidRPr="00244551" w:rsidRDefault="00244551" w:rsidP="00244551">
      <w:pPr>
        <w:pStyle w:val="EndNoteBibliography"/>
        <w:spacing w:after="0"/>
      </w:pPr>
      <w:bookmarkStart w:id="462" w:name="_ENREF_62"/>
      <w:r w:rsidRPr="00244551">
        <w:t>62.</w:t>
      </w:r>
      <w:r w:rsidRPr="00244551">
        <w:tab/>
        <w:t>Liu JF, Barry WT, Birrer M, et al. Combination cediranib and olaparib versus olaparib alone for women with recurrent platinum-sensitive ovarian cancer: a randomised phase 2 study. The lancet oncology 2014;15:1207-14.</w:t>
      </w:r>
      <w:bookmarkEnd w:id="462"/>
    </w:p>
    <w:p w14:paraId="7B337067" w14:textId="77777777" w:rsidR="00244551" w:rsidRPr="00244551" w:rsidRDefault="00244551" w:rsidP="00244551">
      <w:pPr>
        <w:pStyle w:val="EndNoteBibliography"/>
        <w:spacing w:after="0"/>
      </w:pPr>
      <w:bookmarkStart w:id="463" w:name="_ENREF_63"/>
      <w:r w:rsidRPr="00244551">
        <w:t>63.</w:t>
      </w:r>
      <w:r w:rsidRPr="00244551">
        <w:tab/>
        <w:t>Economopoulou M, Langer HF, Celeste A, et al. Histone H2AX is integral to hypoxia-driven neovascularization. Nat Med 2009;15:553-8.</w:t>
      </w:r>
      <w:bookmarkEnd w:id="463"/>
    </w:p>
    <w:p w14:paraId="65F0BC92" w14:textId="77777777" w:rsidR="00244551" w:rsidRPr="00244551" w:rsidRDefault="00244551" w:rsidP="00244551">
      <w:pPr>
        <w:pStyle w:val="EndNoteBibliography"/>
        <w:spacing w:after="0"/>
      </w:pPr>
      <w:bookmarkStart w:id="464" w:name="_ENREF_64"/>
      <w:r w:rsidRPr="00244551">
        <w:t>64.</w:t>
      </w:r>
      <w:r w:rsidRPr="00244551">
        <w:tab/>
        <w:t>Tentori L, Lacal PM, Muzi A, et al. Poly(ADP-ribose) polymerase (PARP) inhibition or PARP-1 gene deletion reduces angiogenesis. Eur J Cancer 2007;43:2124-33.</w:t>
      </w:r>
      <w:bookmarkEnd w:id="464"/>
    </w:p>
    <w:p w14:paraId="2B200A68" w14:textId="77777777" w:rsidR="00244551" w:rsidRPr="00244551" w:rsidRDefault="00244551" w:rsidP="00244551">
      <w:pPr>
        <w:pStyle w:val="EndNoteBibliography"/>
        <w:spacing w:after="0"/>
      </w:pPr>
      <w:bookmarkStart w:id="465" w:name="_ENREF_65"/>
      <w:r w:rsidRPr="00244551">
        <w:t>65.</w:t>
      </w:r>
      <w:r w:rsidRPr="00244551">
        <w:tab/>
        <w:t>Kumareswaran R, Ludkovski O, Meng A, Sykes J, Pintilie M, Bristow RG. Chronic hypoxia compromises repair of DNA double-strand breaks to drive genetic instability. Journal of cell science 2012;125:189-99.</w:t>
      </w:r>
      <w:bookmarkEnd w:id="465"/>
    </w:p>
    <w:p w14:paraId="1A1237CD" w14:textId="77777777" w:rsidR="00244551" w:rsidRPr="00244551" w:rsidRDefault="00244551" w:rsidP="00244551">
      <w:pPr>
        <w:pStyle w:val="EndNoteBibliography"/>
        <w:spacing w:after="0"/>
      </w:pPr>
      <w:bookmarkStart w:id="466" w:name="_ENREF_66"/>
      <w:r w:rsidRPr="00244551">
        <w:t>66.</w:t>
      </w:r>
      <w:r w:rsidRPr="00244551">
        <w:tab/>
        <w:t>Adotevi O, Pere H, Ravel P, et al. A decrease of regulatory T cells correlates with overall survival after sunitinib-based antiangiogenic therapy in metastatic renal cancer patients. J Immunother 2010;33:991-8.</w:t>
      </w:r>
      <w:bookmarkEnd w:id="466"/>
    </w:p>
    <w:p w14:paraId="654A3E1A" w14:textId="77777777" w:rsidR="00244551" w:rsidRPr="00244551" w:rsidRDefault="00244551" w:rsidP="00244551">
      <w:pPr>
        <w:pStyle w:val="EndNoteBibliography"/>
        <w:spacing w:after="0"/>
      </w:pPr>
      <w:bookmarkStart w:id="467" w:name="_ENREF_67"/>
      <w:r w:rsidRPr="00244551">
        <w:t>67.</w:t>
      </w:r>
      <w:r w:rsidRPr="00244551">
        <w:tab/>
        <w:t>Finke JH, Rini B, Ireland J, et al. Sunitinib reverses type-1 immune suppression and decreases T-regulatory cells in renal cell carcinoma patients. Clinical cancer research : an official journal of the American Association for Cancer Research 2008;14:6674-82.</w:t>
      </w:r>
      <w:bookmarkEnd w:id="467"/>
    </w:p>
    <w:p w14:paraId="51A9AE68" w14:textId="77777777" w:rsidR="00244551" w:rsidRPr="00244551" w:rsidRDefault="00244551" w:rsidP="00244551">
      <w:pPr>
        <w:pStyle w:val="EndNoteBibliography"/>
        <w:spacing w:after="0"/>
      </w:pPr>
      <w:bookmarkStart w:id="468" w:name="_ENREF_68"/>
      <w:r w:rsidRPr="00244551">
        <w:t>68.</w:t>
      </w:r>
      <w:r w:rsidRPr="00244551">
        <w:tab/>
        <w:t>Desar IM, Jacobs JH, Hulsbergen-vandeKaa CA, et al. Sorafenib reduces the percentage of tumour infiltrating regulatory T cells in renal cell carcinoma patients. International journal of cancer Journal international du cancer 2011;129:507-12.</w:t>
      </w:r>
      <w:bookmarkEnd w:id="468"/>
    </w:p>
    <w:p w14:paraId="19B032BA" w14:textId="77777777" w:rsidR="00244551" w:rsidRPr="00244551" w:rsidRDefault="00244551" w:rsidP="00244551">
      <w:pPr>
        <w:pStyle w:val="EndNoteBibliography"/>
        <w:spacing w:after="0"/>
      </w:pPr>
      <w:bookmarkStart w:id="469" w:name="_ENREF_69"/>
      <w:r w:rsidRPr="00244551">
        <w:t>69.</w:t>
      </w:r>
      <w:r w:rsidRPr="00244551">
        <w:tab/>
        <w:t>Xin H, Zhang C, Herrmann A, Du Y, Figlin R, Yu H. Sunitinib inhibition of Stat3 induces renal cell carcinoma tumor cell apoptosis and reduces immunosuppressive cells. Cancer Res 2009;69:2506-13.</w:t>
      </w:r>
      <w:bookmarkEnd w:id="469"/>
    </w:p>
    <w:p w14:paraId="3562F6B1" w14:textId="77777777" w:rsidR="00244551" w:rsidRPr="00244551" w:rsidRDefault="00244551" w:rsidP="00244551">
      <w:pPr>
        <w:pStyle w:val="EndNoteBibliography"/>
        <w:spacing w:after="0"/>
      </w:pPr>
      <w:bookmarkStart w:id="470" w:name="_ENREF_70"/>
      <w:r w:rsidRPr="00244551">
        <w:t>70.</w:t>
      </w:r>
      <w:r w:rsidRPr="00244551">
        <w:tab/>
        <w:t>Lesterhuis WJ, Punt CJ, Hato SV, et al. Platinum-based drugs disrupt STAT6-mediated suppression of immune responses against cancer in humans and mice. The Journal of clinical investigation 2011;121:3100-8.</w:t>
      </w:r>
      <w:bookmarkEnd w:id="470"/>
    </w:p>
    <w:p w14:paraId="5FA5230A" w14:textId="773AB48C" w:rsidR="00244551" w:rsidRPr="00244551" w:rsidRDefault="00244551" w:rsidP="00244551">
      <w:pPr>
        <w:pStyle w:val="EndNoteBibliography"/>
        <w:spacing w:after="0"/>
      </w:pPr>
      <w:bookmarkStart w:id="471" w:name="_ENREF_71"/>
      <w:r w:rsidRPr="00244551">
        <w:lastRenderedPageBreak/>
        <w:t>71.</w:t>
      </w:r>
      <w:r w:rsidRPr="00244551">
        <w:tab/>
        <w:t xml:space="preserve">SEER Cancer Statistics Factsheets: Lung and Bronchus Cancer. National Cancer Institute. Bethesda M, </w:t>
      </w:r>
      <w:hyperlink r:id="rId81" w:history="1">
        <w:r w:rsidRPr="00244551">
          <w:rPr>
            <w:rStyle w:val="Hyperlink"/>
          </w:rPr>
          <w:t>http://seer.cancer.gov/statfacts/html/lungb.html</w:t>
        </w:r>
      </w:hyperlink>
      <w:r w:rsidRPr="00244551">
        <w:t>. Last accessed February 12, 2015. .</w:t>
      </w:r>
      <w:bookmarkEnd w:id="471"/>
    </w:p>
    <w:p w14:paraId="5BB8DB5C" w14:textId="77777777" w:rsidR="00244551" w:rsidRPr="00244551" w:rsidRDefault="00244551" w:rsidP="00244551">
      <w:pPr>
        <w:pStyle w:val="EndNoteBibliography"/>
        <w:spacing w:after="0"/>
      </w:pPr>
      <w:bookmarkStart w:id="472" w:name="_ENREF_72"/>
      <w:r w:rsidRPr="00244551">
        <w:t>72.</w:t>
      </w:r>
      <w:r w:rsidRPr="00244551">
        <w:tab/>
        <w:t>Blumenthal GM, Karuri SW, Zhang H, et al. Overall response rate, progression-free survival, and overall survival with targeted and standard therapies in advanced non-small-cell lung cancer: US Food and Drug Administration trial-level and patient-level analyses. Journal of clinical oncology : official journal of the American Society of Clinical Oncology 2015;33:1008-14.</w:t>
      </w:r>
      <w:bookmarkEnd w:id="472"/>
    </w:p>
    <w:p w14:paraId="16C759DD" w14:textId="77777777" w:rsidR="00244551" w:rsidRPr="00244551" w:rsidRDefault="00244551" w:rsidP="00244551">
      <w:pPr>
        <w:pStyle w:val="EndNoteBibliography"/>
        <w:spacing w:after="0"/>
      </w:pPr>
      <w:bookmarkStart w:id="473" w:name="_ENREF_73"/>
      <w:r w:rsidRPr="00244551">
        <w:t>73.</w:t>
      </w:r>
      <w:r w:rsidRPr="00244551">
        <w:tab/>
        <w:t>Rajan A, Schrump DS. Precision Therapy for Lung Cancer: Tyrosine Kinase Inhibitors and Beyond. Semin Thorac Cardiovasc Surg 2015;27:36-48.</w:t>
      </w:r>
      <w:bookmarkEnd w:id="473"/>
    </w:p>
    <w:p w14:paraId="6A296AE2" w14:textId="77777777" w:rsidR="00244551" w:rsidRPr="00244551" w:rsidRDefault="00244551" w:rsidP="00244551">
      <w:pPr>
        <w:pStyle w:val="EndNoteBibliography"/>
        <w:spacing w:after="0"/>
      </w:pPr>
      <w:bookmarkStart w:id="474" w:name="_ENREF_74"/>
      <w:r w:rsidRPr="00244551">
        <w:t>74.</w:t>
      </w:r>
      <w:r w:rsidRPr="00244551">
        <w:tab/>
        <w:t>Anagnostou VK, Brahmer JR. Cancer immunotherapy: a future paradigm shift in the treatment of non-small cell lung cancer. Clinical cancer research : an official journal of the American Association for Cancer Research 2015;21:976-84.</w:t>
      </w:r>
      <w:bookmarkEnd w:id="474"/>
    </w:p>
    <w:p w14:paraId="0196AA0A" w14:textId="77777777" w:rsidR="00244551" w:rsidRPr="00244551" w:rsidRDefault="00244551" w:rsidP="00244551">
      <w:pPr>
        <w:pStyle w:val="EndNoteBibliography"/>
        <w:spacing w:after="0"/>
      </w:pPr>
      <w:bookmarkStart w:id="475" w:name="_ENREF_75"/>
      <w:r w:rsidRPr="00244551">
        <w:t>75.</w:t>
      </w:r>
      <w:r w:rsidRPr="00244551">
        <w:tab/>
        <w:t>Gettinger SN, Horn L, Gandhi L, et al. Overall Survival and Long-Term Safety of Nivolumab (Anti-Programmed Death 1 Antibody, BMS-936558, ONO-4538) in Patients With Previously Treated Advanced Non-Small-Cell Lung Cancer. Journal of clinical oncology : official journal of the American Society of Clinical Oncology 2015;33:2004-12.</w:t>
      </w:r>
      <w:bookmarkEnd w:id="475"/>
    </w:p>
    <w:p w14:paraId="597C9D28" w14:textId="77777777" w:rsidR="00244551" w:rsidRPr="00244551" w:rsidRDefault="00244551" w:rsidP="00244551">
      <w:pPr>
        <w:pStyle w:val="EndNoteBibliography"/>
        <w:spacing w:after="0"/>
      </w:pPr>
      <w:bookmarkStart w:id="476" w:name="_ENREF_76"/>
      <w:r w:rsidRPr="00244551">
        <w:t>76.</w:t>
      </w:r>
      <w:r w:rsidRPr="00244551">
        <w:tab/>
        <w:t>Garon EB, Rizvi NA, Hui R, et al. Pembrolizumab for the treatment of non-small-cell lung cancer. N Engl J Med 2015;372:2018-28.</w:t>
      </w:r>
      <w:bookmarkEnd w:id="476"/>
    </w:p>
    <w:p w14:paraId="5A349996" w14:textId="77777777" w:rsidR="00244551" w:rsidRPr="00244551" w:rsidRDefault="00244551" w:rsidP="00244551">
      <w:pPr>
        <w:pStyle w:val="EndNoteBibliography"/>
        <w:spacing w:after="0"/>
      </w:pPr>
      <w:bookmarkStart w:id="477" w:name="_ENREF_77"/>
      <w:r w:rsidRPr="00244551">
        <w:t>77.</w:t>
      </w:r>
      <w:r w:rsidRPr="00244551">
        <w:tab/>
        <w:t>Taube JM, Klein A, Brahmer JR, et al. Association of PD-1, PD-1 ligands, and other features of the tumor immune microenvironment with response to anti-PD-1 therapy. Clinical cancer research : an official journal of the American Association for Cancer Research 2014;20:5064-74.</w:t>
      </w:r>
      <w:bookmarkEnd w:id="477"/>
    </w:p>
    <w:p w14:paraId="042F78FD" w14:textId="77777777" w:rsidR="00244551" w:rsidRPr="00244551" w:rsidRDefault="00244551" w:rsidP="00244551">
      <w:pPr>
        <w:pStyle w:val="EndNoteBibliography"/>
        <w:spacing w:after="0"/>
      </w:pPr>
      <w:bookmarkStart w:id="478" w:name="_ENREF_78"/>
      <w:r w:rsidRPr="00244551">
        <w:t>78.</w:t>
      </w:r>
      <w:r w:rsidRPr="00244551">
        <w:tab/>
        <w:t>Champiat S, Ferte C, Lebel-Binay S, Eggermont A, Soria JC. Exomics and immunogenics: Bridging mutational load and immune checkpoints efficacy. Oncoimmunology 2014;3:e27817.</w:t>
      </w:r>
      <w:bookmarkEnd w:id="478"/>
    </w:p>
    <w:p w14:paraId="36E4AA98" w14:textId="77777777" w:rsidR="00244551" w:rsidRPr="00244551" w:rsidRDefault="00244551" w:rsidP="00244551">
      <w:pPr>
        <w:pStyle w:val="EndNoteBibliography"/>
        <w:spacing w:after="0"/>
      </w:pPr>
      <w:bookmarkStart w:id="479" w:name="_ENREF_79"/>
      <w:r w:rsidRPr="00244551">
        <w:t>79.</w:t>
      </w:r>
      <w:r w:rsidRPr="00244551">
        <w:tab/>
        <w:t>Birkelbach M, Ferraiolo N, Gheorghiu L, et al. Detection of impaired homologous recombination repair in NSCLC cells and tissues. Journal of thoracic oncology : official publication of the International Association for the Study of Lung Cancer 2013;8:279-86.</w:t>
      </w:r>
      <w:bookmarkEnd w:id="479"/>
    </w:p>
    <w:p w14:paraId="3EF62DAF" w14:textId="77777777" w:rsidR="00244551" w:rsidRPr="00244551" w:rsidRDefault="00244551" w:rsidP="00244551">
      <w:pPr>
        <w:pStyle w:val="EndNoteBibliography"/>
        <w:spacing w:after="0"/>
      </w:pPr>
      <w:bookmarkStart w:id="480" w:name="_ENREF_80"/>
      <w:r w:rsidRPr="00244551">
        <w:t>80.</w:t>
      </w:r>
      <w:r w:rsidRPr="00244551">
        <w:tab/>
        <w:t>Spigel DR. PARP inhibitors in lung cancer. Journal of thoracic oncology : official publication of the International Association for the Study of Lung Cancer 2012;7:S392-3.</w:t>
      </w:r>
      <w:bookmarkEnd w:id="480"/>
    </w:p>
    <w:p w14:paraId="7E5CDBF0" w14:textId="77777777" w:rsidR="00244551" w:rsidRPr="00244551" w:rsidRDefault="00244551" w:rsidP="00244551">
      <w:pPr>
        <w:pStyle w:val="EndNoteBibliography"/>
        <w:spacing w:after="0"/>
      </w:pPr>
      <w:bookmarkStart w:id="481" w:name="_ENREF_81"/>
      <w:r w:rsidRPr="00244551">
        <w:t>81.</w:t>
      </w:r>
      <w:r w:rsidRPr="00244551">
        <w:tab/>
        <w:t>Liang W, Wu X, Hong S, et al. Multi-targeted antiangiogenic tyrosine kinase inhibitors in advanced non-small cell lung cancer: meta-analyses of 20 randomized controlled trials and subgroup analyses. PLoS One 2014;9:e109757.</w:t>
      </w:r>
      <w:bookmarkEnd w:id="481"/>
    </w:p>
    <w:p w14:paraId="49C9289E" w14:textId="77777777" w:rsidR="00244551" w:rsidRPr="00244551" w:rsidRDefault="00244551" w:rsidP="00244551">
      <w:pPr>
        <w:pStyle w:val="EndNoteBibliography"/>
        <w:spacing w:after="0"/>
      </w:pPr>
      <w:bookmarkStart w:id="482" w:name="_ENREF_82"/>
      <w:r w:rsidRPr="00244551">
        <w:t>82.</w:t>
      </w:r>
      <w:r w:rsidRPr="00244551">
        <w:tab/>
        <w:t>Herbst RS, Sun Y, Eberhardt WE, et al. Vandetanib plus docetaxel versus docetaxel as second-line treatment for patients with advanced non-small-cell lung cancer (ZODIAC): a double-blind, randomised, phase 3 trial. The Lancet Oncology 2010;11:619-26.</w:t>
      </w:r>
      <w:bookmarkEnd w:id="482"/>
    </w:p>
    <w:p w14:paraId="2B2E3C3C" w14:textId="77777777" w:rsidR="00244551" w:rsidRPr="00244551" w:rsidRDefault="00244551" w:rsidP="00244551">
      <w:pPr>
        <w:pStyle w:val="EndNoteBibliography"/>
        <w:spacing w:after="0"/>
      </w:pPr>
      <w:bookmarkStart w:id="483" w:name="_ENREF_83"/>
      <w:r w:rsidRPr="00244551">
        <w:t>83.</w:t>
      </w:r>
      <w:r w:rsidRPr="00244551">
        <w:tab/>
        <w:t>van Meerbeeck JP, Fennell DA, De Ruysscher DK. Small-cell lung cancer. Lancet 2011;378:1741-55.</w:t>
      </w:r>
      <w:bookmarkEnd w:id="483"/>
    </w:p>
    <w:p w14:paraId="100C1927" w14:textId="77777777" w:rsidR="00244551" w:rsidRPr="00244551" w:rsidRDefault="00244551" w:rsidP="00244551">
      <w:pPr>
        <w:pStyle w:val="EndNoteBibliography"/>
        <w:spacing w:after="0"/>
      </w:pPr>
      <w:bookmarkStart w:id="484" w:name="_ENREF_84"/>
      <w:r w:rsidRPr="00244551">
        <w:lastRenderedPageBreak/>
        <w:t>84.</w:t>
      </w:r>
      <w:r w:rsidRPr="00244551">
        <w:tab/>
        <w:t>Gandhi L, Johnson BE. Paraneoplastic syndromes associated with small cell lung cancer. Journal of the National Comprehensive Cancer Network : JNCCN 2006;4:631-8.</w:t>
      </w:r>
      <w:bookmarkEnd w:id="484"/>
    </w:p>
    <w:p w14:paraId="398457D6" w14:textId="77777777" w:rsidR="00244551" w:rsidRPr="00244551" w:rsidRDefault="00244551" w:rsidP="00244551">
      <w:pPr>
        <w:pStyle w:val="EndNoteBibliography"/>
        <w:spacing w:after="0"/>
      </w:pPr>
      <w:bookmarkStart w:id="485" w:name="_ENREF_85"/>
      <w:r w:rsidRPr="00244551">
        <w:t>85.</w:t>
      </w:r>
      <w:r w:rsidRPr="00244551">
        <w:tab/>
        <w:t>Fischer JR, Darjes H, Lahm H, Schindel M, Drings P, Krammer PH. Constitutive secretion of bioactive transforming growth factor beta 1 by small cell lung cancer cell lines. Eur J Cancer 1994;30A:2125-9.</w:t>
      </w:r>
      <w:bookmarkEnd w:id="485"/>
    </w:p>
    <w:p w14:paraId="38108DD8" w14:textId="77777777" w:rsidR="00244551" w:rsidRPr="00244551" w:rsidRDefault="00244551" w:rsidP="00244551">
      <w:pPr>
        <w:pStyle w:val="EndNoteBibliography"/>
        <w:spacing w:after="0"/>
      </w:pPr>
      <w:bookmarkStart w:id="486" w:name="_ENREF_86"/>
      <w:r w:rsidRPr="00244551">
        <w:t>86.</w:t>
      </w:r>
      <w:r w:rsidRPr="00244551">
        <w:tab/>
        <w:t>Singal DP, Ye M, Qiu X. Molecular basis for lack of expression of HLA class I antigens in human small-cell lung carcinoma cell lines. International journal of cancer Journal international du cancer 1996;68:629-36.</w:t>
      </w:r>
      <w:bookmarkEnd w:id="486"/>
    </w:p>
    <w:p w14:paraId="1D3EDFCB" w14:textId="77777777" w:rsidR="00244551" w:rsidRPr="00244551" w:rsidRDefault="00244551" w:rsidP="00244551">
      <w:pPr>
        <w:pStyle w:val="EndNoteBibliography"/>
        <w:spacing w:after="0"/>
      </w:pPr>
      <w:bookmarkStart w:id="487" w:name="_ENREF_87"/>
      <w:r w:rsidRPr="00244551">
        <w:t>87.</w:t>
      </w:r>
      <w:r w:rsidRPr="00244551">
        <w:tab/>
        <w:t>Schultheis AM, Scheel AH, Ozretic L, et al. PD-L1 expression in small cell neuroendocrine carcinomas. Eur J Cancer 2015;51:421-6.</w:t>
      </w:r>
      <w:bookmarkEnd w:id="487"/>
    </w:p>
    <w:p w14:paraId="5E9E7BF1" w14:textId="77777777" w:rsidR="00244551" w:rsidRPr="00244551" w:rsidRDefault="00244551" w:rsidP="00244551">
      <w:pPr>
        <w:pStyle w:val="EndNoteBibliography"/>
        <w:spacing w:after="0"/>
      </w:pPr>
      <w:bookmarkStart w:id="488" w:name="_ENREF_88"/>
      <w:r w:rsidRPr="00244551">
        <w:t>88.</w:t>
      </w:r>
      <w:r w:rsidRPr="00244551">
        <w:tab/>
        <w:t>Ishii H, Azuma K, Kawahara A, et al. Significance of programmed cell death-ligand 1 expression and its association with survival in patients with small cell lung cancer. Journal of thoracic oncology : official publication of the International Association for the Study of Lung Cancer 2015;10:426-30.</w:t>
      </w:r>
      <w:bookmarkEnd w:id="488"/>
    </w:p>
    <w:p w14:paraId="7A9DD0EB" w14:textId="77777777" w:rsidR="00244551" w:rsidRPr="00244551" w:rsidRDefault="00244551" w:rsidP="00244551">
      <w:pPr>
        <w:pStyle w:val="EndNoteBibliography"/>
        <w:spacing w:after="0"/>
      </w:pPr>
      <w:bookmarkStart w:id="489" w:name="_ENREF_89"/>
      <w:r w:rsidRPr="00244551">
        <w:t>89.</w:t>
      </w:r>
      <w:r w:rsidRPr="00244551">
        <w:tab/>
        <w:t>Ott PA et al. Pembrolizumab (MK-3475) in patients (pts) with extensive-stage small cell lung cancer (SCLC): Preliminary safety and efficacy results from KEYNOTE-028. J Clin Oncol 33, 2015 (suppl; abstr 7502). 2015.</w:t>
      </w:r>
      <w:bookmarkEnd w:id="489"/>
    </w:p>
    <w:p w14:paraId="0BA08BD6" w14:textId="77777777" w:rsidR="00244551" w:rsidRPr="00244551" w:rsidRDefault="00244551" w:rsidP="00244551">
      <w:pPr>
        <w:pStyle w:val="EndNoteBibliography"/>
        <w:spacing w:after="0"/>
      </w:pPr>
      <w:bookmarkStart w:id="490" w:name="_ENREF_90"/>
      <w:r w:rsidRPr="00244551">
        <w:t>90.</w:t>
      </w:r>
      <w:r w:rsidRPr="00244551">
        <w:tab/>
        <w:t>Antonia SJ, et al. Phase I/II study of nivolumab with or without ipilimumab for treatment of recurrent small cell lung cancer (SCLC): CA209-032. J Clin Oncol 33, 2015 (suppl; abstr 7503). 2015.</w:t>
      </w:r>
      <w:bookmarkEnd w:id="490"/>
    </w:p>
    <w:p w14:paraId="1059F4D2" w14:textId="77777777" w:rsidR="00244551" w:rsidRPr="00244551" w:rsidRDefault="00244551" w:rsidP="00244551">
      <w:pPr>
        <w:pStyle w:val="EndNoteBibliography"/>
        <w:spacing w:after="0"/>
      </w:pPr>
      <w:bookmarkStart w:id="491" w:name="_ENREF_91"/>
      <w:r w:rsidRPr="00244551">
        <w:t>91.</w:t>
      </w:r>
      <w:r w:rsidRPr="00244551">
        <w:tab/>
        <w:t>Rizvi NA, Hellmann MD, Snyder A, et al. Cancer immunology. Mutational landscape determines sensitivity to PD-1 blockade in non-small cell lung cancer. Science 2015;348:124-8.</w:t>
      </w:r>
      <w:bookmarkEnd w:id="491"/>
    </w:p>
    <w:p w14:paraId="530EF2E0" w14:textId="77777777" w:rsidR="00244551" w:rsidRPr="00244551" w:rsidRDefault="00244551" w:rsidP="00244551">
      <w:pPr>
        <w:pStyle w:val="EndNoteBibliography"/>
        <w:spacing w:after="0"/>
      </w:pPr>
      <w:bookmarkStart w:id="492" w:name="_ENREF_92"/>
      <w:r w:rsidRPr="00244551">
        <w:t>92.</w:t>
      </w:r>
      <w:r w:rsidRPr="00244551">
        <w:tab/>
        <w:t>Byers LA, Wang J, Nilsson MB, et al. Proteomic profiling identifies dysregulated pathways in small cell lung cancer and novel therapeutic targets including PARP1. Cancer discovery 2012;2:798-811.</w:t>
      </w:r>
      <w:bookmarkEnd w:id="492"/>
    </w:p>
    <w:p w14:paraId="1D4EEC50" w14:textId="77777777" w:rsidR="00244551" w:rsidRPr="00244551" w:rsidRDefault="00244551" w:rsidP="00244551">
      <w:pPr>
        <w:pStyle w:val="EndNoteBibliography"/>
        <w:spacing w:after="0"/>
      </w:pPr>
      <w:bookmarkStart w:id="493" w:name="_ENREF_93"/>
      <w:r w:rsidRPr="00244551">
        <w:t>93.</w:t>
      </w:r>
      <w:r w:rsidRPr="00244551">
        <w:tab/>
        <w:t>al WZe. Wainberg ZA, Rafii S, Ramanathan RK,Mina LA, Byers LA, Chugh R, et al. Safety and antitumor activity of the PARP inhibitor BMN673 in a phase 1 trial recruiting metastatic small-cell lung cancer (SCLC) and germline BRCA-mutation carrier cancer patients. J Clin Oncol 32:5s, 2014 (suppl; abstr 7522). . 2014.</w:t>
      </w:r>
      <w:bookmarkEnd w:id="493"/>
    </w:p>
    <w:p w14:paraId="7B695967" w14:textId="77777777" w:rsidR="00244551" w:rsidRPr="00244551" w:rsidRDefault="00244551" w:rsidP="00244551">
      <w:pPr>
        <w:pStyle w:val="EndNoteBibliography"/>
        <w:spacing w:after="0"/>
      </w:pPr>
      <w:bookmarkStart w:id="494" w:name="_ENREF_94"/>
      <w:r w:rsidRPr="00244551">
        <w:t>94.</w:t>
      </w:r>
      <w:r w:rsidRPr="00244551">
        <w:tab/>
        <w:t>Cardnell RJ, Feng Y, Diao LX, et al. Proteomic Markers of DNA Repair and PI3K Pathway Activation Predict Response to the PARP Inhibitor BMN 673 in Small Cell Lung Cancer. Clinical Cancer Research 2013;19:6322-8.</w:t>
      </w:r>
      <w:bookmarkEnd w:id="494"/>
    </w:p>
    <w:p w14:paraId="57471962" w14:textId="77777777" w:rsidR="00244551" w:rsidRPr="00244551" w:rsidRDefault="00244551" w:rsidP="00244551">
      <w:pPr>
        <w:pStyle w:val="EndNoteBibliography"/>
        <w:spacing w:after="0"/>
      </w:pPr>
      <w:bookmarkStart w:id="495" w:name="_ENREF_95"/>
      <w:r w:rsidRPr="00244551">
        <w:t>95.</w:t>
      </w:r>
      <w:r w:rsidRPr="00244551">
        <w:tab/>
        <w:t>Siegel RL, Miller KD, Jemal A. Cancer statistics, 2015. CA: A Cancer Journal for Clinicians 2015;65:5-29.</w:t>
      </w:r>
      <w:bookmarkEnd w:id="495"/>
    </w:p>
    <w:p w14:paraId="271E2FA4" w14:textId="77777777" w:rsidR="00244551" w:rsidRPr="00244551" w:rsidRDefault="00244551" w:rsidP="00244551">
      <w:pPr>
        <w:pStyle w:val="EndNoteBibliography"/>
        <w:spacing w:after="0"/>
      </w:pPr>
      <w:bookmarkStart w:id="496" w:name="_ENREF_96"/>
      <w:r w:rsidRPr="00244551">
        <w:t>96.</w:t>
      </w:r>
      <w:r w:rsidRPr="00244551">
        <w:tab/>
        <w:t>Eisenberger MA, Blumenstein BA, Crawford ED, et al. Bilateral orchiectomy with or without flutamide for metastatic prostate cancer. N Engl J Med 1998;339:1036-42.</w:t>
      </w:r>
      <w:bookmarkEnd w:id="496"/>
    </w:p>
    <w:p w14:paraId="28DCF5FF" w14:textId="77777777" w:rsidR="00244551" w:rsidRPr="00244551" w:rsidRDefault="00244551" w:rsidP="00244551">
      <w:pPr>
        <w:pStyle w:val="EndNoteBibliography"/>
        <w:spacing w:after="0"/>
      </w:pPr>
      <w:bookmarkStart w:id="497" w:name="_ENREF_97"/>
      <w:r w:rsidRPr="00244551">
        <w:t>97.</w:t>
      </w:r>
      <w:r w:rsidRPr="00244551">
        <w:tab/>
        <w:t>Scher HI, Halabi S, Tannock I, et al. Design and end points of clinical trials for patients with progressive prostate cancer and castrate levels of testosterone: recommendations of the Prostate Cancer Clinical Trials Working Group. J Clin Oncol 2008;26:1148-59.</w:t>
      </w:r>
      <w:bookmarkEnd w:id="497"/>
    </w:p>
    <w:p w14:paraId="109D5BB0" w14:textId="77777777" w:rsidR="00244551" w:rsidRPr="00244551" w:rsidRDefault="00244551" w:rsidP="00244551">
      <w:pPr>
        <w:pStyle w:val="EndNoteBibliography"/>
        <w:spacing w:after="0"/>
      </w:pPr>
      <w:bookmarkStart w:id="498" w:name="_ENREF_98"/>
      <w:r w:rsidRPr="00244551">
        <w:lastRenderedPageBreak/>
        <w:t>98.</w:t>
      </w:r>
      <w:r w:rsidRPr="00244551">
        <w:tab/>
        <w:t>Tannock IF, de Wit R, Berry WR, et al. Docetaxel plus prednisone or mitoxantrone plus prednisone for advanced prostate cancer. N Engl J Med 2004;351:1502-12.</w:t>
      </w:r>
      <w:bookmarkEnd w:id="498"/>
    </w:p>
    <w:p w14:paraId="16DA0E43" w14:textId="77777777" w:rsidR="00244551" w:rsidRPr="00244551" w:rsidRDefault="00244551" w:rsidP="00244551">
      <w:pPr>
        <w:pStyle w:val="EndNoteBibliography"/>
        <w:spacing w:after="0"/>
      </w:pPr>
      <w:bookmarkStart w:id="499" w:name="_ENREF_99"/>
      <w:r w:rsidRPr="00244551">
        <w:t>99.</w:t>
      </w:r>
      <w:r w:rsidRPr="00244551">
        <w:tab/>
        <w:t>Petrylak DP, Tangen CM, Hussain MH, et al. Docetaxel and estramustine compared with mitoxantrone and prednisone for advanced refractory prostate cancer. N Engl J Med 2004;351:1513-20.</w:t>
      </w:r>
      <w:bookmarkEnd w:id="499"/>
    </w:p>
    <w:p w14:paraId="03182EB9" w14:textId="77777777" w:rsidR="00244551" w:rsidRPr="00244551" w:rsidRDefault="00244551" w:rsidP="00244551">
      <w:pPr>
        <w:pStyle w:val="EndNoteBibliography"/>
        <w:spacing w:after="0"/>
      </w:pPr>
      <w:bookmarkStart w:id="500" w:name="_ENREF_100"/>
      <w:r w:rsidRPr="00244551">
        <w:t>100.</w:t>
      </w:r>
      <w:r w:rsidRPr="00244551">
        <w:tab/>
        <w:t>de Bono JS, Logothetis CJ, Molina A, et al. Abiraterone and increased survival in metastatic prostate cancer. N Engl J Med 2011;364:1995-2005.</w:t>
      </w:r>
      <w:bookmarkEnd w:id="500"/>
    </w:p>
    <w:p w14:paraId="10638130" w14:textId="77777777" w:rsidR="00244551" w:rsidRPr="00244551" w:rsidRDefault="00244551" w:rsidP="00244551">
      <w:pPr>
        <w:pStyle w:val="EndNoteBibliography"/>
        <w:spacing w:after="0"/>
      </w:pPr>
      <w:bookmarkStart w:id="501" w:name="_ENREF_101"/>
      <w:r w:rsidRPr="00244551">
        <w:t>101.</w:t>
      </w:r>
      <w:r w:rsidRPr="00244551">
        <w:tab/>
        <w:t>Ryan CJ, Smith MR, de Bono JS, et al. Abiraterone in metastatic prostate cancer without previous chemotherapy. N Engl J Med 2013;368:138-48.</w:t>
      </w:r>
      <w:bookmarkEnd w:id="501"/>
    </w:p>
    <w:p w14:paraId="6F554D4C" w14:textId="77777777" w:rsidR="00244551" w:rsidRPr="00244551" w:rsidRDefault="00244551" w:rsidP="00244551">
      <w:pPr>
        <w:pStyle w:val="EndNoteBibliography"/>
        <w:spacing w:after="0"/>
      </w:pPr>
      <w:bookmarkStart w:id="502" w:name="_ENREF_102"/>
      <w:r w:rsidRPr="00244551">
        <w:t>102.</w:t>
      </w:r>
      <w:r w:rsidRPr="00244551">
        <w:tab/>
        <w:t>Beer TM, Armstrong AJ, Rathkopf DE, et al. Enzalutamide in metastatic prostate cancer before chemotherapy. N Engl J Med 2014;371:424-33.</w:t>
      </w:r>
      <w:bookmarkEnd w:id="502"/>
    </w:p>
    <w:p w14:paraId="66928012" w14:textId="77777777" w:rsidR="00244551" w:rsidRPr="00244551" w:rsidRDefault="00244551" w:rsidP="00244551">
      <w:pPr>
        <w:pStyle w:val="EndNoteBibliography"/>
        <w:spacing w:after="0"/>
      </w:pPr>
      <w:bookmarkStart w:id="503" w:name="_ENREF_103"/>
      <w:r w:rsidRPr="00244551">
        <w:t>103.</w:t>
      </w:r>
      <w:r w:rsidRPr="00244551">
        <w:tab/>
        <w:t>Scher HI, Fizazi K, Saad F, et al. Increased survival with enzalutamide in prostate cancer after chemotherapy. N Engl J Med 2012;367:1187-97.</w:t>
      </w:r>
      <w:bookmarkEnd w:id="503"/>
    </w:p>
    <w:p w14:paraId="72A303C4" w14:textId="77777777" w:rsidR="00244551" w:rsidRPr="00244551" w:rsidRDefault="00244551" w:rsidP="00244551">
      <w:pPr>
        <w:pStyle w:val="EndNoteBibliography"/>
        <w:spacing w:after="0"/>
      </w:pPr>
      <w:bookmarkStart w:id="504" w:name="_ENREF_104"/>
      <w:r w:rsidRPr="00244551">
        <w:t>104.</w:t>
      </w:r>
      <w:r w:rsidRPr="00244551">
        <w:tab/>
        <w:t>Robinson D, Van Allen EM, Wu YM, et al. Integrative clinical genomics of advanced prostate cancer. Cell 2015;161:1215-28.</w:t>
      </w:r>
      <w:bookmarkEnd w:id="504"/>
    </w:p>
    <w:p w14:paraId="5C42405B" w14:textId="77777777" w:rsidR="00244551" w:rsidRPr="00244551" w:rsidRDefault="00244551" w:rsidP="00244551">
      <w:pPr>
        <w:pStyle w:val="EndNoteBibliography"/>
        <w:spacing w:after="0"/>
      </w:pPr>
      <w:bookmarkStart w:id="505" w:name="_ENREF_105"/>
      <w:r w:rsidRPr="00244551">
        <w:t>105.</w:t>
      </w:r>
      <w:r w:rsidRPr="00244551">
        <w:tab/>
        <w:t>Schiewer MJ, Knudsen KE. Transcriptional Roles of PARP1 in Cancer. Molecular Cancer Research 2014;12:1069-80.</w:t>
      </w:r>
      <w:bookmarkEnd w:id="505"/>
    </w:p>
    <w:p w14:paraId="1721329C" w14:textId="77777777" w:rsidR="00244551" w:rsidRPr="00244551" w:rsidRDefault="00244551" w:rsidP="00244551">
      <w:pPr>
        <w:pStyle w:val="EndNoteBibliography"/>
        <w:spacing w:after="0"/>
      </w:pPr>
      <w:bookmarkStart w:id="506" w:name="_ENREF_106"/>
      <w:r w:rsidRPr="00244551">
        <w:t>106.</w:t>
      </w:r>
      <w:r w:rsidRPr="00244551">
        <w:tab/>
        <w:t>Feng Felix Y, de Bono Johann S, Rubin Mark A, Knudsen Karen E. Chromatin to Clinic: The Molecular Rationale for PARP1 Inhibitor Function. Molecular Cell 2015;58:925-34.</w:t>
      </w:r>
      <w:bookmarkEnd w:id="506"/>
    </w:p>
    <w:p w14:paraId="24B50E5F" w14:textId="77777777" w:rsidR="00244551" w:rsidRPr="00244551" w:rsidRDefault="00244551" w:rsidP="00244551">
      <w:pPr>
        <w:pStyle w:val="EndNoteBibliography"/>
        <w:spacing w:after="0"/>
      </w:pPr>
      <w:bookmarkStart w:id="507" w:name="_ENREF_107"/>
      <w:r w:rsidRPr="00244551">
        <w:t>107.</w:t>
      </w:r>
      <w:r w:rsidRPr="00244551">
        <w:tab/>
        <w:t>Gilardini Montani M, Prodosmo A, Stagni V, et al. ATM-depletion in breast cancer cells confers sensitivity to PARP inhibition. Journal of Experimental &amp; Clinical Cancer Research 2013;32:95.</w:t>
      </w:r>
      <w:bookmarkEnd w:id="507"/>
    </w:p>
    <w:p w14:paraId="64609C28" w14:textId="77777777" w:rsidR="00244551" w:rsidRPr="00244551" w:rsidRDefault="00244551" w:rsidP="00244551">
      <w:pPr>
        <w:pStyle w:val="EndNoteBibliography"/>
        <w:spacing w:after="0"/>
      </w:pPr>
      <w:bookmarkStart w:id="508" w:name="_ENREF_108"/>
      <w:r w:rsidRPr="00244551">
        <w:t>108.</w:t>
      </w:r>
      <w:r w:rsidRPr="00244551">
        <w:tab/>
        <w:t>Guo R, Wang Y, Yan J, Yan H. Recurrence quantification analysis on pulse morphological changes in patients with coronary heart disease. J Tradit Chin Med 2012;32:571-7.</w:t>
      </w:r>
      <w:bookmarkEnd w:id="508"/>
    </w:p>
    <w:p w14:paraId="7A497D58" w14:textId="03BC665A" w:rsidR="00244551" w:rsidRPr="00244551" w:rsidRDefault="00244551" w:rsidP="00244551">
      <w:pPr>
        <w:pStyle w:val="EndNoteBibliography"/>
        <w:spacing w:after="0"/>
      </w:pPr>
      <w:bookmarkStart w:id="509" w:name="_ENREF_109"/>
      <w:r w:rsidRPr="00244551">
        <w:t>109.</w:t>
      </w:r>
      <w:r w:rsidRPr="00244551">
        <w:tab/>
        <w:t xml:space="preserve">DNA repair defects and antitumor activity with PARP inhibition: TOPARP, a phase II trial of olaparib in metastatic castration resistant prostate cancer April 2015. at </w:t>
      </w:r>
      <w:hyperlink r:id="rId82" w:history="1">
        <w:r w:rsidRPr="00244551">
          <w:rPr>
            <w:rStyle w:val="Hyperlink"/>
          </w:rPr>
          <w:t>http://www.abstractsonline.com/Plan/ViewAbstract.aspx?sKey=d60a28c6-91a3-4a37-a419-d79f96801b30&amp;cKey=f119b58a-3f6f-4c22-93ef-a25da5df64a0</w:t>
        </w:r>
      </w:hyperlink>
      <w:r w:rsidRPr="00244551">
        <w:t>.)</w:t>
      </w:r>
      <w:bookmarkEnd w:id="509"/>
    </w:p>
    <w:p w14:paraId="5B298764" w14:textId="580B25E3" w:rsidR="00244551" w:rsidRPr="00244551" w:rsidRDefault="00244551" w:rsidP="00244551">
      <w:pPr>
        <w:pStyle w:val="EndNoteBibliography"/>
        <w:spacing w:after="0"/>
      </w:pPr>
      <w:bookmarkStart w:id="510" w:name="_ENREF_110"/>
      <w:r w:rsidRPr="00244551">
        <w:t>110.</w:t>
      </w:r>
      <w:r w:rsidRPr="00244551">
        <w:tab/>
        <w:t xml:space="preserve">AACR 2015: Subgroup of Men With Metastatic Prostate Cancer Respond to Olaparib Treatment The ASCO Post, 2015. at </w:t>
      </w:r>
      <w:hyperlink r:id="rId83" w:history="1">
        <w:r w:rsidRPr="00244551">
          <w:rPr>
            <w:rStyle w:val="Hyperlink"/>
          </w:rPr>
          <w:t>http://www.ascopost.com/ViewNews.aspx?nid=26597</w:t>
        </w:r>
      </w:hyperlink>
      <w:r w:rsidRPr="00244551">
        <w:t>.)</w:t>
      </w:r>
      <w:bookmarkEnd w:id="510"/>
    </w:p>
    <w:p w14:paraId="6FC97846" w14:textId="77777777" w:rsidR="00244551" w:rsidRPr="00244551" w:rsidRDefault="00244551" w:rsidP="00244551">
      <w:pPr>
        <w:pStyle w:val="EndNoteBibliography"/>
        <w:spacing w:after="0"/>
      </w:pPr>
      <w:bookmarkStart w:id="511" w:name="_ENREF_111"/>
      <w:r w:rsidRPr="00244551">
        <w:t>111.</w:t>
      </w:r>
      <w:r w:rsidRPr="00244551">
        <w:tab/>
        <w:t>Gulley J, Arlen P, Madan R, et al. Immunologic and prognostic factors associated with overall survival employing a poxviral-based PSA vaccine in metastatic castrate-resistant prostate cancer. Cancer Immunology, Immunotherapy 2010;59:663-74.</w:t>
      </w:r>
      <w:bookmarkEnd w:id="511"/>
    </w:p>
    <w:p w14:paraId="14BFCE26" w14:textId="77777777" w:rsidR="00244551" w:rsidRPr="00244551" w:rsidRDefault="00244551" w:rsidP="00244551">
      <w:pPr>
        <w:pStyle w:val="EndNoteBibliography"/>
        <w:spacing w:after="0"/>
      </w:pPr>
      <w:bookmarkStart w:id="512" w:name="_ENREF_112"/>
      <w:r w:rsidRPr="00244551">
        <w:t>112.</w:t>
      </w:r>
      <w:r w:rsidRPr="00244551">
        <w:tab/>
        <w:t>Kantoff PW, Higano CS, Shore ND, et al. Sipuleucel-T Immunotherapy for Castration-Resistant Prostate Cancer. New England Journal of Medicine 2010;363:411-22.</w:t>
      </w:r>
      <w:bookmarkEnd w:id="512"/>
    </w:p>
    <w:p w14:paraId="42D21212" w14:textId="77777777" w:rsidR="00244551" w:rsidRPr="00244551" w:rsidRDefault="00244551" w:rsidP="00244551">
      <w:pPr>
        <w:pStyle w:val="EndNoteBibliography"/>
        <w:spacing w:after="0"/>
      </w:pPr>
      <w:bookmarkStart w:id="513" w:name="_ENREF_113"/>
      <w:r w:rsidRPr="00244551">
        <w:t>113.</w:t>
      </w:r>
      <w:r w:rsidRPr="00244551">
        <w:tab/>
        <w:t>Barach YS, Lee JS, Zang X. T cell coinhibition in prostate cancer: new immune evasion pathways and emerging therapeutics. Trends in Molecular Medicine 2011;17:47-55.</w:t>
      </w:r>
      <w:bookmarkEnd w:id="513"/>
    </w:p>
    <w:p w14:paraId="4FC38FD1" w14:textId="77777777" w:rsidR="00244551" w:rsidRPr="00244551" w:rsidRDefault="00244551" w:rsidP="00244551">
      <w:pPr>
        <w:pStyle w:val="EndNoteBibliography"/>
        <w:spacing w:after="0"/>
      </w:pPr>
      <w:bookmarkStart w:id="514" w:name="_ENREF_114"/>
      <w:r w:rsidRPr="00244551">
        <w:lastRenderedPageBreak/>
        <w:t>114.</w:t>
      </w:r>
      <w:r w:rsidRPr="00244551">
        <w:tab/>
        <w:t>Ebelt K, Babaryka G, Frankenberger B, et al. Prostate cancer lesions are surrounded by FOXP3+, PD-1+ and B7-H1+ lymphocyte clusters. European Journal of Cancer 2009;45:1664-72.</w:t>
      </w:r>
      <w:bookmarkEnd w:id="514"/>
    </w:p>
    <w:p w14:paraId="00B66E9F" w14:textId="77777777" w:rsidR="00244551" w:rsidRPr="00244551" w:rsidRDefault="00244551" w:rsidP="00244551">
      <w:pPr>
        <w:pStyle w:val="EndNoteBibliography"/>
        <w:spacing w:after="0"/>
      </w:pPr>
      <w:bookmarkStart w:id="515" w:name="_ENREF_115"/>
      <w:r w:rsidRPr="00244551">
        <w:t>115.</w:t>
      </w:r>
      <w:r w:rsidRPr="00244551">
        <w:tab/>
        <w:t>Bishop JL, Sio A, Angeles A, et al. PD-L1 is highly expressed in Enzalutamide resistant prostate cancer2014.</w:t>
      </w:r>
      <w:bookmarkEnd w:id="515"/>
    </w:p>
    <w:p w14:paraId="35754C36" w14:textId="77777777" w:rsidR="00244551" w:rsidRPr="00244551" w:rsidRDefault="00244551" w:rsidP="00244551">
      <w:pPr>
        <w:pStyle w:val="EndNoteBibliography"/>
        <w:spacing w:after="0"/>
      </w:pPr>
      <w:bookmarkStart w:id="516" w:name="_ENREF_116"/>
      <w:r w:rsidRPr="00244551">
        <w:t>116.</w:t>
      </w:r>
      <w:r w:rsidRPr="00244551">
        <w:tab/>
        <w:t>Sambucci M, Laudisi F, Novelli F, Bennici E, Rosado MM, Pioli C. Effects of PARP-1 Deficiency on Th1 and Th2 Cell Differentiation. The Scientific World Journal 2013;2013:8.</w:t>
      </w:r>
      <w:bookmarkEnd w:id="516"/>
    </w:p>
    <w:p w14:paraId="3030F0F2" w14:textId="77777777" w:rsidR="00244551" w:rsidRPr="00244551" w:rsidRDefault="00244551" w:rsidP="00244551">
      <w:pPr>
        <w:pStyle w:val="EndNoteBibliography"/>
        <w:spacing w:after="0"/>
      </w:pPr>
      <w:bookmarkStart w:id="517" w:name="_ENREF_117"/>
      <w:r w:rsidRPr="00244551">
        <w:t>117.</w:t>
      </w:r>
      <w:r w:rsidRPr="00244551">
        <w:tab/>
        <w:t>Rosado MM, Bennici E, Novelli F, Pioli C. Beyond DNA repair, the immunological role of PARP-1 and its siblings. Immunology 2013;139:428-37.</w:t>
      </w:r>
      <w:bookmarkEnd w:id="517"/>
    </w:p>
    <w:p w14:paraId="27A46B56" w14:textId="77777777" w:rsidR="00244551" w:rsidRPr="00244551" w:rsidRDefault="00244551" w:rsidP="00244551">
      <w:pPr>
        <w:pStyle w:val="EndNoteBibliography"/>
        <w:spacing w:after="0"/>
      </w:pPr>
      <w:bookmarkStart w:id="518" w:name="_ENREF_118"/>
      <w:r w:rsidRPr="00244551">
        <w:t>118.</w:t>
      </w:r>
      <w:r w:rsidRPr="00244551">
        <w:tab/>
        <w:t>Nasta F, Laudisi F, Sambucci M, Rosado MM, Pioli C. Increased Foxp3+ Regulatory T Cells in Poly(ADP-Ribose) Polymerase-1 Deficiency. The Journal of Immunology 2010;184:3470-7.</w:t>
      </w:r>
      <w:bookmarkEnd w:id="518"/>
    </w:p>
    <w:p w14:paraId="1ABA43E5" w14:textId="77777777" w:rsidR="00244551" w:rsidRPr="00244551" w:rsidRDefault="00244551" w:rsidP="00244551">
      <w:pPr>
        <w:pStyle w:val="EndNoteBibliography"/>
        <w:spacing w:after="0"/>
      </w:pPr>
      <w:bookmarkStart w:id="519" w:name="_ENREF_119"/>
      <w:r w:rsidRPr="00244551">
        <w:t>119.</w:t>
      </w:r>
      <w:r w:rsidRPr="00244551">
        <w:tab/>
        <w:t>Brenton JD, Carey LA, Ahmed AA, Caldas C. Molecular classification and molecular forecasting of breast cancer: Ready for clinical application? Journal of Clinical Oncology 2005;23:7350-60.</w:t>
      </w:r>
      <w:bookmarkEnd w:id="519"/>
    </w:p>
    <w:p w14:paraId="7CA60418" w14:textId="77777777" w:rsidR="00244551" w:rsidRPr="00244551" w:rsidRDefault="00244551" w:rsidP="00244551">
      <w:pPr>
        <w:pStyle w:val="EndNoteBibliography"/>
        <w:spacing w:after="0"/>
      </w:pPr>
      <w:bookmarkStart w:id="520" w:name="_ENREF_120"/>
      <w:r w:rsidRPr="00244551">
        <w:t>120.</w:t>
      </w:r>
      <w:r w:rsidRPr="00244551">
        <w:tab/>
        <w:t>Bauer KR, Brown M, Cress RD, Parise CA, Caggiano V. Descriptive analysis of estrogen receptor (ER)negative, progesterone receptor (PR)-negative, and HER2-negative invasive breast cancer, the so-called triple-negative phenotype - A population-based study from the California Cancer Registry. Cancer 2007;109:1721-8.</w:t>
      </w:r>
      <w:bookmarkEnd w:id="520"/>
    </w:p>
    <w:p w14:paraId="53C18086" w14:textId="77777777" w:rsidR="00244551" w:rsidRPr="00244551" w:rsidRDefault="00244551" w:rsidP="00244551">
      <w:pPr>
        <w:pStyle w:val="EndNoteBibliography"/>
        <w:spacing w:after="0"/>
      </w:pPr>
      <w:bookmarkStart w:id="521" w:name="_ENREF_121"/>
      <w:r w:rsidRPr="00244551">
        <w:t>121.</w:t>
      </w:r>
      <w:r w:rsidRPr="00244551">
        <w:tab/>
        <w:t>Tutt A, Ellis P, Kilburn L, et al. The TNT trial: A randomized phase III trial of carboplatin (C) compared with docetaxel (D) for patients with metastatic or recurrent locally advanced triple negative or BRCA1/2 breast cancer (CRUK/07/012). Cancer Research 2015;75:2.</w:t>
      </w:r>
      <w:bookmarkEnd w:id="521"/>
    </w:p>
    <w:p w14:paraId="769C8436" w14:textId="77777777" w:rsidR="00244551" w:rsidRPr="00244551" w:rsidRDefault="00244551" w:rsidP="00244551">
      <w:pPr>
        <w:pStyle w:val="EndNoteBibliography"/>
        <w:spacing w:after="0"/>
      </w:pPr>
      <w:bookmarkStart w:id="522" w:name="_ENREF_122"/>
      <w:r w:rsidRPr="00244551">
        <w:t>122.</w:t>
      </w:r>
      <w:r w:rsidRPr="00244551">
        <w:tab/>
        <w:t>Nanda R, Chow LQ, Dees EC, et al. A phase Ib study of pembrolizumab (MK-3475) in patients with advanced triple-negative breast cancer. Cancer Research 2015;75.</w:t>
      </w:r>
      <w:bookmarkEnd w:id="522"/>
    </w:p>
    <w:p w14:paraId="5C5861A2" w14:textId="77777777" w:rsidR="00244551" w:rsidRPr="00244551" w:rsidRDefault="00244551" w:rsidP="00244551">
      <w:pPr>
        <w:pStyle w:val="EndNoteBibliography"/>
        <w:spacing w:after="0"/>
      </w:pPr>
      <w:bookmarkStart w:id="523" w:name="_ENREF_123"/>
      <w:r w:rsidRPr="00244551">
        <w:t>123.</w:t>
      </w:r>
      <w:r w:rsidRPr="00244551">
        <w:tab/>
        <w:t>Emens LA, Braiteh FS, Cassier P, et al. Inhibition of PD-L1 by MPDL3280A leads to clinical activity in patients with metastatic triple-negative breast cancer. Cancer Research 2015;75.</w:t>
      </w:r>
      <w:bookmarkEnd w:id="523"/>
    </w:p>
    <w:p w14:paraId="06A1235A" w14:textId="77777777" w:rsidR="00244551" w:rsidRPr="00244551" w:rsidRDefault="00244551" w:rsidP="00244551">
      <w:pPr>
        <w:pStyle w:val="EndNoteBibliography"/>
        <w:spacing w:after="0"/>
      </w:pPr>
      <w:bookmarkStart w:id="524" w:name="_ENREF_124"/>
      <w:r w:rsidRPr="00244551">
        <w:t>124.</w:t>
      </w:r>
      <w:r w:rsidRPr="00244551">
        <w:tab/>
        <w:t>Patel SP, Kurzrock R. PD-L1 Expression as a Predictive Biomarker in Cancer Immunotherapy. Molecular Cancer Therapeutics 2015;14:847-56.</w:t>
      </w:r>
      <w:bookmarkEnd w:id="524"/>
    </w:p>
    <w:p w14:paraId="3F110CF1" w14:textId="77777777" w:rsidR="00244551" w:rsidRPr="00244551" w:rsidRDefault="00244551" w:rsidP="00244551">
      <w:pPr>
        <w:pStyle w:val="EndNoteBibliography"/>
        <w:spacing w:after="0"/>
      </w:pPr>
      <w:bookmarkStart w:id="525" w:name="_ENREF_125"/>
      <w:r w:rsidRPr="00244551">
        <w:t>125.</w:t>
      </w:r>
      <w:r w:rsidRPr="00244551">
        <w:tab/>
        <w:t>Domagala P, Jakubowska A, Jaworska-Bieniek K, et al. Prevalence of Germline Mutations in Genes Engaged in DNA Damage Repair by Homologous Recombination in Patients with Triple-Negative and Hereditary Non-Triple-Negative Breast Cancers. Plos One 2015;10.</w:t>
      </w:r>
      <w:bookmarkEnd w:id="525"/>
    </w:p>
    <w:p w14:paraId="5E8C00DC" w14:textId="77777777" w:rsidR="00244551" w:rsidRPr="00244551" w:rsidRDefault="00244551" w:rsidP="00244551">
      <w:pPr>
        <w:pStyle w:val="EndNoteBibliography"/>
        <w:spacing w:after="0"/>
      </w:pPr>
      <w:bookmarkStart w:id="526" w:name="_ENREF_126"/>
      <w:r w:rsidRPr="00244551">
        <w:t>126.</w:t>
      </w:r>
      <w:r w:rsidRPr="00244551">
        <w:tab/>
        <w:t>Kiiski JI, Pelttari LM, Khan S, et al. Exome sequencing identifies FANCM as a susceptibility gene for triple-negative breast cancer. Proceedings of the National Academy of Sciences of the United States of America 2014;111:15172-7.</w:t>
      </w:r>
      <w:bookmarkEnd w:id="526"/>
    </w:p>
    <w:p w14:paraId="6455C2BF" w14:textId="77777777" w:rsidR="00244551" w:rsidRPr="00244551" w:rsidRDefault="00244551" w:rsidP="00244551">
      <w:pPr>
        <w:pStyle w:val="EndNoteBibliography"/>
        <w:spacing w:after="0"/>
      </w:pPr>
      <w:bookmarkStart w:id="527" w:name="_ENREF_127"/>
      <w:r w:rsidRPr="00244551">
        <w:t>127.</w:t>
      </w:r>
      <w:r w:rsidRPr="00244551">
        <w:tab/>
        <w:t>Wong-Brown MW, Avery-Kiejda KA, Bowden NA, Scott RJ. Low prevalence of germline PALB2 mutations in Australian triple-negative breast cancer. International Journal of Cancer 2014;134:301-5.</w:t>
      </w:r>
      <w:bookmarkEnd w:id="527"/>
    </w:p>
    <w:p w14:paraId="09F54273" w14:textId="77777777" w:rsidR="00244551" w:rsidRPr="00244551" w:rsidRDefault="00244551" w:rsidP="00244551">
      <w:pPr>
        <w:pStyle w:val="EndNoteBibliography"/>
        <w:spacing w:after="0"/>
      </w:pPr>
      <w:bookmarkStart w:id="528" w:name="_ENREF_128"/>
      <w:r w:rsidRPr="00244551">
        <w:lastRenderedPageBreak/>
        <w:t>128.</w:t>
      </w:r>
      <w:r w:rsidRPr="00244551">
        <w:tab/>
        <w:t>Pern F, Bogdanova N, Schurmann P, et al. Mutation Analysis of BRCA1, BRCA2, PALB2 and BRD7 in a Hospital-Based Series of German Patients with Triple-Negative Breast Cancer. Plos One 2012;7.</w:t>
      </w:r>
      <w:bookmarkEnd w:id="528"/>
    </w:p>
    <w:p w14:paraId="7A3B91EA" w14:textId="77777777" w:rsidR="00244551" w:rsidRPr="00244551" w:rsidRDefault="00244551" w:rsidP="00244551">
      <w:pPr>
        <w:pStyle w:val="EndNoteBibliography"/>
        <w:spacing w:after="0"/>
      </w:pPr>
      <w:bookmarkStart w:id="529" w:name="_ENREF_129"/>
      <w:r w:rsidRPr="00244551">
        <w:t>129.</w:t>
      </w:r>
      <w:r w:rsidRPr="00244551">
        <w:tab/>
        <w:t>Watkins J, Weekes D, Shah V, et al. Genomic Complexity Profiling Reveals That HORMAD1 Overexpression Contributes to Homologous Recombination Deficiency in Triple-Negative Breast Cancers. Cancer Discovery 2015;5:488-505.</w:t>
      </w:r>
      <w:bookmarkEnd w:id="529"/>
    </w:p>
    <w:p w14:paraId="01CA8A3C" w14:textId="77777777" w:rsidR="00244551" w:rsidRPr="00244551" w:rsidRDefault="00244551" w:rsidP="00244551">
      <w:pPr>
        <w:pStyle w:val="EndNoteBibliography"/>
        <w:spacing w:after="0"/>
      </w:pPr>
      <w:bookmarkStart w:id="530" w:name="_ENREF_130"/>
      <w:r w:rsidRPr="00244551">
        <w:t>130.</w:t>
      </w:r>
      <w:r w:rsidRPr="00244551">
        <w:tab/>
        <w:t>Zhu X, Shan L, Wang F, et al. Hypermethylation of BRCA1 gene: implication for prognostic biomarker and therapeutic target in sporadic primary triple-negative breast cancer. Breast Cancer Research and Treatment 2015;150:479-86.</w:t>
      </w:r>
      <w:bookmarkEnd w:id="530"/>
    </w:p>
    <w:p w14:paraId="792D318C" w14:textId="77777777" w:rsidR="00244551" w:rsidRPr="00244551" w:rsidRDefault="00244551" w:rsidP="00244551">
      <w:pPr>
        <w:pStyle w:val="EndNoteBibliography"/>
        <w:spacing w:after="0"/>
      </w:pPr>
      <w:bookmarkStart w:id="531" w:name="_ENREF_131"/>
      <w:r w:rsidRPr="00244551">
        <w:t>131.</w:t>
      </w:r>
      <w:r w:rsidRPr="00244551">
        <w:tab/>
        <w:t>Tan XH, Peng J, Fu YB, et al. miR-638 mediated regulation of BRCA1 affects DNA repair and sensitivity to UV and cisplatin in triple-negative breast cancer. Breast Cancer Research 2014;16.</w:t>
      </w:r>
      <w:bookmarkEnd w:id="531"/>
    </w:p>
    <w:p w14:paraId="119FA795" w14:textId="77777777" w:rsidR="00244551" w:rsidRPr="00244551" w:rsidRDefault="00244551" w:rsidP="00244551">
      <w:pPr>
        <w:pStyle w:val="EndNoteBibliography"/>
        <w:spacing w:after="0"/>
      </w:pPr>
      <w:bookmarkStart w:id="532" w:name="_ENREF_132"/>
      <w:r w:rsidRPr="00244551">
        <w:t>132.</w:t>
      </w:r>
      <w:r w:rsidRPr="00244551">
        <w:tab/>
        <w:t>Garcia AI, Buisson M, Bertrand P, et al. Down-regulation of BRCA1 expression by miR-146a and miR-146b-5p in triple negative sporadic breast cancers. Embo Molecular Medicine 2011;3:279-90.</w:t>
      </w:r>
      <w:bookmarkEnd w:id="532"/>
    </w:p>
    <w:p w14:paraId="72403B15" w14:textId="77777777" w:rsidR="00244551" w:rsidRPr="00244551" w:rsidRDefault="00244551" w:rsidP="00244551">
      <w:pPr>
        <w:pStyle w:val="EndNoteBibliography"/>
        <w:spacing w:after="0"/>
      </w:pPr>
      <w:bookmarkStart w:id="533" w:name="_ENREF_133"/>
      <w:r w:rsidRPr="00244551">
        <w:t>133.</w:t>
      </w:r>
      <w:r w:rsidRPr="00244551">
        <w:tab/>
        <w:t>Ribeiro E, Ganzinelli M, Andreis D, et al. Triple Negative Breast Cancers Have a Reduced Expression of DNA Repair Genes. Plos One 2013;8.</w:t>
      </w:r>
      <w:bookmarkEnd w:id="533"/>
    </w:p>
    <w:p w14:paraId="31D0194B" w14:textId="77777777" w:rsidR="00244551" w:rsidRPr="00244551" w:rsidRDefault="00244551" w:rsidP="00244551">
      <w:pPr>
        <w:pStyle w:val="EndNoteBibliography"/>
        <w:spacing w:after="0"/>
      </w:pPr>
      <w:bookmarkStart w:id="534" w:name="_ENREF_134"/>
      <w:r w:rsidRPr="00244551">
        <w:t>134.</w:t>
      </w:r>
      <w:r w:rsidRPr="00244551">
        <w:tab/>
        <w:t>Fumagalli C, Pruneri G, Possanzini P, et al. Methylation of O-6-methylguanine-DNA methyltransferase (MGMT) promoter gene in triple-negative breast cancer patients. Breast Cancer Research and Treatment 2012;134:131-7.</w:t>
      </w:r>
      <w:bookmarkEnd w:id="534"/>
    </w:p>
    <w:p w14:paraId="76E4F874" w14:textId="77777777" w:rsidR="00244551" w:rsidRPr="00244551" w:rsidRDefault="00244551" w:rsidP="00244551">
      <w:pPr>
        <w:pStyle w:val="EndNoteBibliography"/>
        <w:spacing w:after="0"/>
      </w:pPr>
      <w:bookmarkStart w:id="535" w:name="_ENREF_135"/>
      <w:r w:rsidRPr="00244551">
        <w:t>135.</w:t>
      </w:r>
      <w:r w:rsidRPr="00244551">
        <w:tab/>
        <w:t>McCabe N, Turner NC, Lord CJ, et al. Deficiency in the repair of DNA damage by homologous recombination and sensitivity to poly(ADP-ribose) polymerase inhibition. Cancer Research 2006;66:8109-15.</w:t>
      </w:r>
      <w:bookmarkEnd w:id="535"/>
    </w:p>
    <w:p w14:paraId="644F168F" w14:textId="77777777" w:rsidR="00244551" w:rsidRPr="00244551" w:rsidRDefault="00244551" w:rsidP="00244551">
      <w:pPr>
        <w:pStyle w:val="EndNoteBibliography"/>
        <w:spacing w:after="0"/>
      </w:pPr>
      <w:bookmarkStart w:id="536" w:name="_ENREF_136"/>
      <w:r w:rsidRPr="00244551">
        <w:t>136.</w:t>
      </w:r>
      <w:r w:rsidRPr="00244551">
        <w:tab/>
        <w:t>Fong PC, Boss DS, Yap TA, et al. Inhibition of Poly(ADP-Ribose) Polymerase in Tumors from BRCA Mutation Carriers. New England Journal of Medicine 2009;361:123-34.</w:t>
      </w:r>
      <w:bookmarkEnd w:id="536"/>
    </w:p>
    <w:p w14:paraId="6E4766A0" w14:textId="77777777" w:rsidR="00244551" w:rsidRPr="00244551" w:rsidRDefault="00244551" w:rsidP="00244551">
      <w:pPr>
        <w:pStyle w:val="EndNoteBibliography"/>
        <w:spacing w:after="0"/>
      </w:pPr>
      <w:bookmarkStart w:id="537" w:name="_ENREF_137"/>
      <w:r w:rsidRPr="00244551">
        <w:t>137.</w:t>
      </w:r>
      <w:r w:rsidRPr="00244551">
        <w:tab/>
        <w:t>Tutt A, Robson M, Garber JE, et al. Oral poly(ADP-ribose) polymerase inhibitor olaparib in patients with BRCA1 or BRCA2 mutations and advanced breast cancer: a proof-of-concept trial. Lancet 2010;376:235-44.</w:t>
      </w:r>
      <w:bookmarkEnd w:id="537"/>
    </w:p>
    <w:p w14:paraId="6EC62257" w14:textId="77777777" w:rsidR="00244551" w:rsidRPr="00244551" w:rsidRDefault="00244551" w:rsidP="00244551">
      <w:pPr>
        <w:pStyle w:val="EndNoteBibliography"/>
        <w:spacing w:after="0"/>
      </w:pPr>
      <w:bookmarkStart w:id="538" w:name="_ENREF_138"/>
      <w:r w:rsidRPr="00244551">
        <w:t>138.</w:t>
      </w:r>
      <w:r w:rsidRPr="00244551">
        <w:tab/>
        <w:t>Dent RA, Lindeman GJ, Clemons M, et al. Phase I trial of the oral PARP inhibitor olaparib in combination with paclitaxel for first-or second-line treatment of patients with metastatic triple-negative breast cancer. Breast Cancer Research 2013;15.</w:t>
      </w:r>
      <w:bookmarkEnd w:id="538"/>
    </w:p>
    <w:p w14:paraId="39C8DE83" w14:textId="77777777" w:rsidR="00244551" w:rsidRPr="00244551" w:rsidRDefault="00244551" w:rsidP="00244551">
      <w:pPr>
        <w:pStyle w:val="EndNoteBibliography"/>
        <w:spacing w:after="0"/>
      </w:pPr>
      <w:bookmarkStart w:id="539" w:name="_ENREF_139"/>
      <w:r w:rsidRPr="00244551">
        <w:t>139.</w:t>
      </w:r>
      <w:r w:rsidRPr="00244551">
        <w:tab/>
        <w:t>Gelmon KA, Tischkowitz M, Mackay H, et al. Olaparib in patients with recurrent high-grade serous or poorly differentiated ovarian carcinoma or triple-negative breast cancer: a phase 2, multicentre, open-label, non-randomised study. Lancet Oncology 2011;12:852-61.</w:t>
      </w:r>
      <w:bookmarkEnd w:id="539"/>
    </w:p>
    <w:p w14:paraId="2E14973C" w14:textId="77777777" w:rsidR="00244551" w:rsidRPr="00244551" w:rsidRDefault="00244551" w:rsidP="00244551">
      <w:pPr>
        <w:pStyle w:val="EndNoteBibliography"/>
        <w:spacing w:after="0"/>
      </w:pPr>
      <w:bookmarkStart w:id="540" w:name="_ENREF_140"/>
      <w:r w:rsidRPr="00244551">
        <w:t>140.</w:t>
      </w:r>
      <w:r w:rsidRPr="00244551">
        <w:tab/>
        <w:t>Lee J-M, Hays JL, Annunziata CM, et al. Phase I/Ib Study of Olaparib and Carboplatin in BRCA1 or BRCA2 Mutation-Associated Breast or Ovarian Cancer With Biomarker Analyses. Jnci-Journal of the National Cancer Institute 2014;106.</w:t>
      </w:r>
      <w:bookmarkEnd w:id="540"/>
    </w:p>
    <w:p w14:paraId="0A2281CF" w14:textId="77777777" w:rsidR="00244551" w:rsidRPr="00244551" w:rsidRDefault="00244551" w:rsidP="00244551">
      <w:pPr>
        <w:pStyle w:val="EndNoteBibliography"/>
        <w:spacing w:after="0"/>
      </w:pPr>
      <w:bookmarkStart w:id="541" w:name="_ENREF_141"/>
      <w:r w:rsidRPr="00244551">
        <w:lastRenderedPageBreak/>
        <w:t>141.</w:t>
      </w:r>
      <w:r w:rsidRPr="00244551">
        <w:tab/>
        <w:t>Mlecnik B, Tosolini M, Kirilovsky A, et al. Histopathologic-based prognostic factors of colorectal cancers are associated with the state of the local immune reaction. Journal of clinical oncology : official journal of the American Society of Clinical Oncology 2011;29:610-8.</w:t>
      </w:r>
      <w:bookmarkEnd w:id="541"/>
    </w:p>
    <w:p w14:paraId="6013416B" w14:textId="77777777" w:rsidR="00244551" w:rsidRPr="00244551" w:rsidRDefault="00244551" w:rsidP="00244551">
      <w:pPr>
        <w:pStyle w:val="EndNoteBibliography"/>
        <w:spacing w:after="0"/>
      </w:pPr>
      <w:bookmarkStart w:id="542" w:name="_ENREF_142"/>
      <w:r w:rsidRPr="00244551">
        <w:t>142.</w:t>
      </w:r>
      <w:r w:rsidRPr="00244551">
        <w:tab/>
        <w:t>Pages F, Kirilovsky A, Mlecnik B, et al. In situ cytotoxic and memory T cells predict outcome in patients with early-stage colorectal cancer. Journal of clinical oncology : official journal of the American Society of Clinical Oncology 2009;27:5944-51.</w:t>
      </w:r>
      <w:bookmarkEnd w:id="542"/>
    </w:p>
    <w:p w14:paraId="6713F555" w14:textId="77777777" w:rsidR="00244551" w:rsidRPr="00244551" w:rsidRDefault="00244551" w:rsidP="00244551">
      <w:pPr>
        <w:pStyle w:val="EndNoteBibliography"/>
        <w:spacing w:after="0"/>
      </w:pPr>
      <w:bookmarkStart w:id="543" w:name="_ENREF_143"/>
      <w:r w:rsidRPr="00244551">
        <w:t>143.</w:t>
      </w:r>
      <w:r w:rsidRPr="00244551">
        <w:tab/>
        <w:t>Gabrilovich D. Mechanisms and functional significance of tumour-induced dendritic-cell defects. Nat Rev Immunol 2004;4:941-52.</w:t>
      </w:r>
      <w:bookmarkEnd w:id="543"/>
    </w:p>
    <w:p w14:paraId="378EA522" w14:textId="77777777" w:rsidR="00244551" w:rsidRPr="00244551" w:rsidRDefault="00244551" w:rsidP="00244551">
      <w:pPr>
        <w:pStyle w:val="EndNoteBibliography"/>
        <w:spacing w:after="0"/>
      </w:pPr>
      <w:bookmarkStart w:id="544" w:name="_ENREF_144"/>
      <w:r w:rsidRPr="00244551">
        <w:t>144.</w:t>
      </w:r>
      <w:r w:rsidRPr="00244551">
        <w:tab/>
        <w:t>Gabrilovich DI, Chen HL, Girgis KR, et al. Production of vascular endothelial growth factor by human tumors inhibits the functional maturation of dendritic cells. Nature medicine 1996;2:1096-103.</w:t>
      </w:r>
      <w:bookmarkEnd w:id="544"/>
    </w:p>
    <w:p w14:paraId="24C2DB8F" w14:textId="77777777" w:rsidR="00244551" w:rsidRPr="00244551" w:rsidRDefault="00244551" w:rsidP="00244551">
      <w:pPr>
        <w:pStyle w:val="EndNoteBibliography"/>
        <w:spacing w:after="0"/>
      </w:pPr>
      <w:bookmarkStart w:id="545" w:name="_ENREF_145"/>
      <w:r w:rsidRPr="00244551">
        <w:t>145.</w:t>
      </w:r>
      <w:r w:rsidRPr="00244551">
        <w:tab/>
        <w:t>Voron T, Colussi O, Marcheteau E, et al. VEGF-A modulates expression of inhibitory checkpoints on CD8+ T cells in tumors. The Journal of experimental medicine 2015;212:139-48.</w:t>
      </w:r>
      <w:bookmarkEnd w:id="545"/>
    </w:p>
    <w:p w14:paraId="3B2778B9" w14:textId="77777777" w:rsidR="00244551" w:rsidRPr="00244551" w:rsidRDefault="00244551" w:rsidP="00244551">
      <w:pPr>
        <w:pStyle w:val="EndNoteBibliography"/>
        <w:spacing w:after="0"/>
      </w:pPr>
      <w:bookmarkStart w:id="546" w:name="_ENREF_146"/>
      <w:r w:rsidRPr="00244551">
        <w:t>146.</w:t>
      </w:r>
      <w:r w:rsidRPr="00244551">
        <w:tab/>
        <w:t>Cunningham D, Wong RP, D'Haens G, et al. Cediranib with mFOLFOX6 vs bevacizumab with mFOLFOX6 in previously treated metastatic colorectal cancer. British journal of cancer 2013;108:493-502.</w:t>
      </w:r>
      <w:bookmarkEnd w:id="546"/>
    </w:p>
    <w:p w14:paraId="5AE79A94" w14:textId="77777777" w:rsidR="00244551" w:rsidRPr="00244551" w:rsidRDefault="00244551" w:rsidP="00244551">
      <w:pPr>
        <w:pStyle w:val="EndNoteBibliography"/>
        <w:spacing w:after="0"/>
      </w:pPr>
      <w:bookmarkStart w:id="547" w:name="_ENREF_147"/>
      <w:r w:rsidRPr="00244551">
        <w:t>147.</w:t>
      </w:r>
      <w:r w:rsidRPr="00244551">
        <w:tab/>
        <w:t>Grosso J, Horak CE, Inzunza D. Association of tumor PD-L1 expression and immune biomarkers with clinical activity in patients (pts) with advanced solid tumors treated with nivolumab (anti-PD-1; BMS-936558; ONO-4538). J Clin Oncol 31, 2013 (suppl; abstr 3016).</w:t>
      </w:r>
      <w:bookmarkEnd w:id="547"/>
    </w:p>
    <w:p w14:paraId="16748360" w14:textId="77777777" w:rsidR="00244551" w:rsidRPr="00244551" w:rsidRDefault="00244551" w:rsidP="00244551">
      <w:pPr>
        <w:pStyle w:val="EndNoteBibliography"/>
        <w:spacing w:after="0"/>
      </w:pPr>
      <w:bookmarkStart w:id="548" w:name="_ENREF_148"/>
      <w:r w:rsidRPr="00244551">
        <w:t>148.</w:t>
      </w:r>
      <w:r w:rsidRPr="00244551">
        <w:tab/>
        <w:t>Rizvi NA GE, Patnaik A. Safety and clinical activity of MK-3475 as initial therapy in patients with advanced non-small cell lung cancer (NSCLC). J Clin Oncol 32:5s, 2014 (suppl; abstr 8007).</w:t>
      </w:r>
      <w:bookmarkEnd w:id="548"/>
    </w:p>
    <w:p w14:paraId="5EBD0C77" w14:textId="77777777" w:rsidR="00244551" w:rsidRPr="00244551" w:rsidRDefault="00244551" w:rsidP="00244551">
      <w:pPr>
        <w:pStyle w:val="EndNoteBibliography"/>
        <w:spacing w:after="0"/>
      </w:pPr>
      <w:bookmarkStart w:id="549" w:name="_ENREF_149"/>
      <w:r w:rsidRPr="00244551">
        <w:t>149.</w:t>
      </w:r>
      <w:r w:rsidRPr="00244551">
        <w:tab/>
        <w:t>Zhang S, Shi R, Li C, Parivar K, Wang DD. Fixed dosing versus body size-based dosing of therapeutic peptides and proteins in adults. J Clin Pharmacol 2012;52:18-28.</w:t>
      </w:r>
      <w:bookmarkEnd w:id="549"/>
    </w:p>
    <w:p w14:paraId="567007ED" w14:textId="77777777" w:rsidR="00244551" w:rsidRPr="00244551" w:rsidRDefault="00244551" w:rsidP="00244551">
      <w:pPr>
        <w:pStyle w:val="EndNoteBibliography"/>
        <w:spacing w:after="0"/>
      </w:pPr>
      <w:bookmarkStart w:id="550" w:name="_ENREF_150"/>
      <w:r w:rsidRPr="00244551">
        <w:t>150.</w:t>
      </w:r>
      <w:r w:rsidRPr="00244551">
        <w:tab/>
        <w:t>Wang DD, Zhang S, Zhao H, Men AY, Parivar K. Fixed dosing versus body size-based dosing of monoclonal antibodies in adult clinical trials. J Clin Pharmacol 2009;49:1012-24.</w:t>
      </w:r>
      <w:bookmarkEnd w:id="550"/>
    </w:p>
    <w:p w14:paraId="69E015AF" w14:textId="77777777" w:rsidR="00244551" w:rsidRPr="00244551" w:rsidRDefault="00244551" w:rsidP="00244551">
      <w:pPr>
        <w:pStyle w:val="EndNoteBibliography"/>
        <w:spacing w:after="0"/>
      </w:pPr>
      <w:bookmarkStart w:id="551" w:name="_ENREF_151"/>
      <w:r w:rsidRPr="00244551">
        <w:t>151.</w:t>
      </w:r>
      <w:r w:rsidRPr="00244551">
        <w:tab/>
        <w:t>Ng CM, Lum BL, Gimenez V, Kelsey S, Allison D. Rationale for fixed dosing of pertuzumab in cancer patients based on population pharmacokinetic analysis. Pharm Res 2006;23:1275-84.</w:t>
      </w:r>
      <w:bookmarkEnd w:id="551"/>
    </w:p>
    <w:p w14:paraId="0F2BD0D4" w14:textId="77777777" w:rsidR="00244551" w:rsidRPr="00244551" w:rsidRDefault="00244551" w:rsidP="00244551">
      <w:pPr>
        <w:pStyle w:val="EndNoteBibliography"/>
        <w:spacing w:after="0"/>
      </w:pPr>
      <w:bookmarkStart w:id="552" w:name="_ENREF_152"/>
      <w:r w:rsidRPr="00244551">
        <w:t>152.</w:t>
      </w:r>
      <w:r w:rsidRPr="00244551">
        <w:tab/>
        <w:t>Narwal R, Roskos LK, Robbie GJ. Population pharmacokinetics of sifalimumab, an investigational anti-interferon-alpha monoclonal antibody, in systemic lupus erythematosus. Clin Pharmacokinet 2013;52:1017-27.</w:t>
      </w:r>
      <w:bookmarkEnd w:id="552"/>
    </w:p>
    <w:p w14:paraId="525896A7" w14:textId="77777777" w:rsidR="00244551" w:rsidRPr="00244551" w:rsidRDefault="00244551" w:rsidP="00244551">
      <w:pPr>
        <w:pStyle w:val="EndNoteBibliography"/>
        <w:spacing w:after="0"/>
      </w:pPr>
      <w:bookmarkStart w:id="553" w:name="_ENREF_153"/>
      <w:r w:rsidRPr="00244551">
        <w:t>153.</w:t>
      </w:r>
      <w:r w:rsidRPr="00244551">
        <w:tab/>
        <w:t>George J, Alsop K, Etemadmoghadam D, et al. Nonequivalent gene expression and copy number alterations in high-grade serous ovarian cancers with BRCA1 and BRCA2 mutations. Clinical cancer research : an official journal of the American Association for Cancer Research 2013;19:3474-84.</w:t>
      </w:r>
      <w:bookmarkEnd w:id="553"/>
    </w:p>
    <w:p w14:paraId="71F3C56D" w14:textId="77777777" w:rsidR="00244551" w:rsidRPr="00244551" w:rsidRDefault="00244551" w:rsidP="00244551">
      <w:pPr>
        <w:pStyle w:val="EndNoteBibliography"/>
        <w:spacing w:after="0"/>
      </w:pPr>
      <w:bookmarkStart w:id="554" w:name="_ENREF_154"/>
      <w:r w:rsidRPr="00244551">
        <w:t>154.</w:t>
      </w:r>
      <w:r w:rsidRPr="00244551">
        <w:tab/>
        <w:t xml:space="preserve">Ascierto PA, Kalos M, Schaer DA, Callahan MK, Wolchok JD. Biomarkers for immunostimulatory monoclonal antibodies in combination strategies for melanoma and other </w:t>
      </w:r>
      <w:r w:rsidRPr="00244551">
        <w:lastRenderedPageBreak/>
        <w:t>tumor types. Clinical cancer research : an official journal of the American Association for Cancer Research 2013;19:1009-20.</w:t>
      </w:r>
      <w:bookmarkEnd w:id="554"/>
    </w:p>
    <w:p w14:paraId="44D11410" w14:textId="77777777" w:rsidR="00244551" w:rsidRPr="00244551" w:rsidRDefault="00244551" w:rsidP="00244551">
      <w:pPr>
        <w:pStyle w:val="EndNoteBibliography"/>
        <w:spacing w:after="0"/>
      </w:pPr>
      <w:bookmarkStart w:id="555" w:name="_ENREF_155"/>
      <w:r w:rsidRPr="00244551">
        <w:t>155.</w:t>
      </w:r>
      <w:r w:rsidRPr="00244551">
        <w:tab/>
        <w:t>Suntharalingam G, Perry MR, Ward S, et al. Cytokine storm in a phase 1 trial of the anti-CD28 monoclonal antibody TGN1412. N Engl J Med 2006;355:1018-28.</w:t>
      </w:r>
      <w:bookmarkEnd w:id="555"/>
    </w:p>
    <w:p w14:paraId="0363AA6E" w14:textId="77777777" w:rsidR="00244551" w:rsidRPr="00244551" w:rsidRDefault="00244551" w:rsidP="00244551">
      <w:pPr>
        <w:pStyle w:val="EndNoteBibliography"/>
        <w:spacing w:after="0"/>
      </w:pPr>
      <w:bookmarkStart w:id="556" w:name="_ENREF_156"/>
      <w:r w:rsidRPr="00244551">
        <w:t>156.</w:t>
      </w:r>
      <w:r w:rsidRPr="00244551">
        <w:tab/>
        <w:t>Annunziata CM, Stavnes HT, Kleinberg L, et al. Nuclear factor kappaB transcription factors are coexpressed and convey a poor outcome in ovarian cancer. Cancer 2010;116:3276-84.</w:t>
      </w:r>
      <w:bookmarkEnd w:id="556"/>
    </w:p>
    <w:p w14:paraId="1EE2F310" w14:textId="77777777" w:rsidR="00244551" w:rsidRPr="00244551" w:rsidRDefault="00244551" w:rsidP="00244551">
      <w:pPr>
        <w:pStyle w:val="EndNoteBibliography"/>
        <w:spacing w:after="0"/>
      </w:pPr>
      <w:bookmarkStart w:id="557" w:name="_ENREF_157"/>
      <w:r w:rsidRPr="00244551">
        <w:t>157.</w:t>
      </w:r>
      <w:r w:rsidRPr="00244551">
        <w:tab/>
        <w:t>Hernandez L, Hsu SC, Davidson B, Birrer MJ, Kohn EC, Annunziata CM. Activation of NF-kappaB signaling by inhibitor of NF-kappaB kinase beta increases aggressiveness of ovarian cancer. Cancer Res 2010;70:4005-14.</w:t>
      </w:r>
      <w:bookmarkEnd w:id="557"/>
    </w:p>
    <w:p w14:paraId="22062E2F" w14:textId="77777777" w:rsidR="00244551" w:rsidRPr="00244551" w:rsidRDefault="00244551" w:rsidP="00244551">
      <w:pPr>
        <w:pStyle w:val="EndNoteBibliography"/>
        <w:spacing w:after="0"/>
      </w:pPr>
      <w:bookmarkStart w:id="558" w:name="_ENREF_158"/>
      <w:r w:rsidRPr="00244551">
        <w:t>158.</w:t>
      </w:r>
      <w:r w:rsidRPr="00244551">
        <w:tab/>
        <w:t>Hsu S, Kim M, Hernandez L, et al. IKK-epsilon coordinates invasion and metastasis of ovarian cancer. Cancer Res 2012;72:5494-504.</w:t>
      </w:r>
      <w:bookmarkEnd w:id="558"/>
    </w:p>
    <w:p w14:paraId="3A8B0591" w14:textId="77777777" w:rsidR="00244551" w:rsidRPr="00244551" w:rsidRDefault="00244551" w:rsidP="00244551">
      <w:pPr>
        <w:pStyle w:val="EndNoteBibliography"/>
        <w:spacing w:after="0"/>
      </w:pPr>
      <w:bookmarkStart w:id="559" w:name="_ENREF_159"/>
      <w:r w:rsidRPr="00244551">
        <w:t>159.</w:t>
      </w:r>
      <w:r w:rsidRPr="00244551">
        <w:tab/>
        <w:t>Lee JM, Cimino-Mathews A, Peer CJ, et al. Safety and Clinical Activity of the Programmed Death-Ligand 1 Inhibitor Durvalumab in Combination With Poly (ADP-Ribose) Polymerase Inhibitor Olaparib or Vascular Endothelial Growth Factor Receptor 1-3 Inhibitor Cediranib in Women's Cancers: A Dose-Escalation, Phase I Study. Journal of clinical oncology : official journal of the American Society of Clinical Oncology 2017;35:2193-202.</w:t>
      </w:r>
      <w:bookmarkEnd w:id="559"/>
    </w:p>
    <w:p w14:paraId="076E3335" w14:textId="77777777" w:rsidR="00244551" w:rsidRPr="00244551" w:rsidRDefault="00244551" w:rsidP="00244551">
      <w:pPr>
        <w:pStyle w:val="EndNoteBibliography"/>
        <w:spacing w:after="0"/>
      </w:pPr>
      <w:bookmarkStart w:id="560" w:name="_ENREF_160"/>
      <w:r w:rsidRPr="00244551">
        <w:t>160.</w:t>
      </w:r>
      <w:r w:rsidRPr="00244551">
        <w:tab/>
        <w:t>Weber JS, Kahler KC, Hauschild A. Management of immune-related adverse events and kinetics of response with ipilimumab. Journal of clinical oncology : official journal of the American Society of Clinical Oncology 2012;30:2691-7.</w:t>
      </w:r>
      <w:bookmarkEnd w:id="560"/>
    </w:p>
    <w:p w14:paraId="6BB2585A" w14:textId="77777777" w:rsidR="00244551" w:rsidRPr="00244551" w:rsidRDefault="00244551" w:rsidP="00244551">
      <w:pPr>
        <w:pStyle w:val="EndNoteBibliography"/>
        <w:spacing w:after="0"/>
      </w:pPr>
      <w:bookmarkStart w:id="561" w:name="_ENREF_161"/>
      <w:r w:rsidRPr="00244551">
        <w:t>161.</w:t>
      </w:r>
      <w:r w:rsidRPr="00244551">
        <w:tab/>
        <w:t>Daud A HO, Ribas A, Hodi FS, Hwu WJ, Kefford R, Wolchok J, Hersey P, Weber JS, Joseph R, Gangadhar TC, Dronca RS, Patnaik A, Zarour H, Joshua AM, Gergich K, Wu D, Lunceford JK, Emancipator K, Dolled-Filhart M, Li N, Ebbinghaus S, Kang SP, Robert C Antitumor activity of the anti-PD-1 monoclonal antibody MK-3475 in melanoma(MEL): Correlation of tumor PD-L1 expression with outcome AACR (Abst CT104) 2014.</w:t>
      </w:r>
      <w:bookmarkEnd w:id="561"/>
    </w:p>
    <w:p w14:paraId="60DF0CB2" w14:textId="77777777" w:rsidR="00244551" w:rsidRPr="00244551" w:rsidRDefault="00244551" w:rsidP="00244551">
      <w:pPr>
        <w:pStyle w:val="EndNoteBibliography"/>
        <w:spacing w:after="0"/>
      </w:pPr>
      <w:bookmarkStart w:id="562" w:name="_ENREF_162"/>
      <w:r w:rsidRPr="00244551">
        <w:t>162.</w:t>
      </w:r>
      <w:r w:rsidRPr="00244551">
        <w:tab/>
        <w:t>Snyder A, Makarov V, Merghoub T, et al. Genetic basis for clinical response to CTLA-4 blockade in melanoma. The New England journal of medicine 2014;371:2189-99.</w:t>
      </w:r>
      <w:bookmarkEnd w:id="562"/>
    </w:p>
    <w:p w14:paraId="40CD4B02" w14:textId="77777777" w:rsidR="00244551" w:rsidRPr="00244551" w:rsidRDefault="00244551" w:rsidP="00244551">
      <w:pPr>
        <w:pStyle w:val="EndNoteBibliography"/>
        <w:spacing w:after="0"/>
      </w:pPr>
      <w:bookmarkStart w:id="563" w:name="_ENREF_163"/>
      <w:r w:rsidRPr="00244551">
        <w:t>163.</w:t>
      </w:r>
      <w:r w:rsidRPr="00244551">
        <w:tab/>
        <w:t>van Rooij N, van Buuren MM, Philips D, et al. Tumor exome analysis reveals neoantigen-specific T-cell reactivity in an ipilimumab-responsive melanoma. Journal of clinical oncology : official journal of the American Society of Clinical Oncology 2013;31:e439-42.</w:t>
      </w:r>
      <w:bookmarkEnd w:id="563"/>
    </w:p>
    <w:p w14:paraId="4AF0C844" w14:textId="77777777" w:rsidR="00244551" w:rsidRPr="00244551" w:rsidRDefault="00244551" w:rsidP="00244551">
      <w:pPr>
        <w:pStyle w:val="EndNoteBibliography"/>
        <w:spacing w:after="0"/>
      </w:pPr>
      <w:bookmarkStart w:id="564" w:name="_ENREF_164"/>
      <w:r w:rsidRPr="00244551">
        <w:t>164.</w:t>
      </w:r>
      <w:r w:rsidRPr="00244551">
        <w:tab/>
        <w:t>Heemskerk B, Kvistborg P, Schumacher TN. The cancer antigenome. The EMBO journal 2013;32:194-203.</w:t>
      </w:r>
      <w:bookmarkEnd w:id="564"/>
    </w:p>
    <w:p w14:paraId="26C0B23A" w14:textId="77777777" w:rsidR="00244551" w:rsidRPr="00244551" w:rsidRDefault="00244551" w:rsidP="00244551">
      <w:pPr>
        <w:pStyle w:val="EndNoteBibliography"/>
        <w:spacing w:after="0"/>
      </w:pPr>
      <w:bookmarkStart w:id="565" w:name="_ENREF_165"/>
      <w:r w:rsidRPr="00244551">
        <w:t>165.</w:t>
      </w:r>
      <w:r w:rsidRPr="00244551">
        <w:tab/>
        <w:t>Mantia-Smaldone G, Ronner L, Blair A, et al. The immunomodulatory effects of pegylated liposomal doxorubicin are amplified in BRCA1- deficient ovarian tumors and can be exploited to improve treatment response in a mouse model. Gynecologic oncology 2014.</w:t>
      </w:r>
      <w:bookmarkEnd w:id="565"/>
    </w:p>
    <w:p w14:paraId="78CA5BC3" w14:textId="77777777" w:rsidR="00244551" w:rsidRPr="00244551" w:rsidRDefault="00244551" w:rsidP="00244551">
      <w:pPr>
        <w:pStyle w:val="EndNoteBibliography"/>
        <w:spacing w:after="0"/>
      </w:pPr>
      <w:bookmarkStart w:id="566" w:name="_ENREF_166"/>
      <w:r w:rsidRPr="00244551">
        <w:t>166.</w:t>
      </w:r>
      <w:r w:rsidRPr="00244551">
        <w:tab/>
        <w:t>Pecot CV, Bischoff FZ, Mayer JA, et al. A novel platform for detection of CK+ and CK- CTCs. Cancer discovery 2011;1:580-6.</w:t>
      </w:r>
      <w:bookmarkEnd w:id="566"/>
    </w:p>
    <w:p w14:paraId="5F00020D" w14:textId="77777777" w:rsidR="00244551" w:rsidRPr="00244551" w:rsidRDefault="00244551" w:rsidP="00244551">
      <w:pPr>
        <w:pStyle w:val="EndNoteBibliography"/>
        <w:spacing w:after="0"/>
      </w:pPr>
      <w:bookmarkStart w:id="567" w:name="_ENREF_167"/>
      <w:r w:rsidRPr="00244551">
        <w:t>167.</w:t>
      </w:r>
      <w:r w:rsidRPr="00244551">
        <w:tab/>
        <w:t>Scher HI, Halabi S, Tannock I, et al. Design and End Points of Clinical Trials for Patients With Progressive Prostate Cancer and Castrate Levels of Testosterone: Recommendations of the Prostate Cancer Clinical Trials Working Group. Journal of Clinical Oncology 2008;26:1148-59.</w:t>
      </w:r>
      <w:bookmarkEnd w:id="567"/>
    </w:p>
    <w:p w14:paraId="398245C2" w14:textId="77777777" w:rsidR="00244551" w:rsidRPr="00244551" w:rsidRDefault="00244551" w:rsidP="00244551">
      <w:pPr>
        <w:pStyle w:val="EndNoteBibliography"/>
        <w:spacing w:after="0"/>
      </w:pPr>
      <w:bookmarkStart w:id="568" w:name="_ENREF_168"/>
      <w:r w:rsidRPr="00244551">
        <w:lastRenderedPageBreak/>
        <w:t>168.</w:t>
      </w:r>
      <w:r w:rsidRPr="00244551">
        <w:tab/>
        <w:t>Eisenhauer EA, Therasse P, Bogaerts J, et al. New response evaluation criteria in solid tumours: Revised RECIST guideline (version 1.1). European Journal of Cancer 2009;45:228-47.</w:t>
      </w:r>
      <w:bookmarkEnd w:id="568"/>
    </w:p>
    <w:p w14:paraId="2F4DA4DA" w14:textId="77777777" w:rsidR="00244551" w:rsidRPr="00244551" w:rsidRDefault="00244551" w:rsidP="00244551">
      <w:pPr>
        <w:pStyle w:val="EndNoteBibliography"/>
        <w:spacing w:after="0"/>
      </w:pPr>
      <w:bookmarkStart w:id="569" w:name="_ENREF_169"/>
      <w:r w:rsidRPr="00244551">
        <w:t>169.</w:t>
      </w:r>
      <w:r w:rsidRPr="00244551">
        <w:tab/>
        <w:t>Simon R. Optimal two-stage designs for phase II clinical trials. Controlled clinical trials 1989;10:1-10.</w:t>
      </w:r>
      <w:bookmarkEnd w:id="569"/>
    </w:p>
    <w:p w14:paraId="0BD2D44E" w14:textId="77777777" w:rsidR="00244551" w:rsidRPr="00244551" w:rsidRDefault="00244551" w:rsidP="00244551">
      <w:pPr>
        <w:pStyle w:val="EndNoteBibliography"/>
      </w:pPr>
      <w:bookmarkStart w:id="570" w:name="_ENREF_170"/>
      <w:r w:rsidRPr="00244551">
        <w:t>170.</w:t>
      </w:r>
      <w:r w:rsidRPr="00244551">
        <w:tab/>
        <w:t>Simon R. OPTIMAL 2-STAGE DESIGNS FOR PHASE-II CLINICAL-TRIALS. Controlled Clinical Trials 1989;10:1-10.</w:t>
      </w:r>
      <w:bookmarkEnd w:id="570"/>
    </w:p>
    <w:p w14:paraId="0DB3DDA5" w14:textId="50BA0807" w:rsidR="00207779" w:rsidRPr="007A3223" w:rsidRDefault="002457B0" w:rsidP="00E96BEA">
      <w:pPr>
        <w:spacing w:after="0"/>
        <w:rPr>
          <w:sz w:val="22"/>
        </w:rPr>
      </w:pPr>
      <w:r w:rsidRPr="007A3223">
        <w:rPr>
          <w:sz w:val="23"/>
          <w:szCs w:val="23"/>
        </w:rPr>
        <w:fldChar w:fldCharType="end"/>
      </w:r>
    </w:p>
    <w:p w14:paraId="484AB837" w14:textId="77777777" w:rsidR="002F5445" w:rsidRPr="007A3223" w:rsidRDefault="00207779" w:rsidP="00E96BEA">
      <w:pPr>
        <w:spacing w:after="0"/>
        <w:rPr>
          <w:sz w:val="22"/>
        </w:rPr>
      </w:pPr>
      <w:r w:rsidRPr="00F33908">
        <w:rPr>
          <w:sz w:val="22"/>
        </w:rPr>
        <w:br w:type="page"/>
      </w:r>
    </w:p>
    <w:p w14:paraId="7589F570" w14:textId="6B40B848" w:rsidR="00AA7EC9" w:rsidRPr="007A3223" w:rsidRDefault="0096611E" w:rsidP="00D20197">
      <w:pPr>
        <w:pStyle w:val="Heading1"/>
        <w:rPr>
          <w:rFonts w:hint="eastAsia"/>
        </w:rPr>
      </w:pPr>
      <w:bookmarkStart w:id="571" w:name="_Toc82444423"/>
      <w:bookmarkStart w:id="572" w:name="_Ref398887943"/>
      <w:r w:rsidRPr="007A3223">
        <w:lastRenderedPageBreak/>
        <w:t>APPENDICES</w:t>
      </w:r>
      <w:bookmarkEnd w:id="571"/>
    </w:p>
    <w:p w14:paraId="4899B343" w14:textId="524BB3BE" w:rsidR="00E4458B" w:rsidRPr="007A3223" w:rsidRDefault="00E4458B" w:rsidP="00ED703B">
      <w:pPr>
        <w:pStyle w:val="Heading2"/>
      </w:pPr>
      <w:bookmarkStart w:id="573" w:name="_Ref505946550"/>
      <w:bookmarkStart w:id="574" w:name="_Toc82444424"/>
      <w:r w:rsidRPr="007A3223">
        <w:t xml:space="preserve">Appendix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A</w:t>
      </w:r>
      <w:r w:rsidR="00F82420" w:rsidRPr="00F33908">
        <w:rPr>
          <w:noProof/>
        </w:rPr>
        <w:fldChar w:fldCharType="end"/>
      </w:r>
      <w:bookmarkEnd w:id="572"/>
      <w:r w:rsidR="001315B8">
        <w:rPr>
          <w:noProof/>
          <w:lang w:val="en-US"/>
        </w:rPr>
        <w:t xml:space="preserve">: </w:t>
      </w:r>
      <w:r w:rsidRPr="007A3223">
        <w:t>Performan</w:t>
      </w:r>
      <w:r w:rsidRPr="00F33908">
        <w:t>ce Status Criteria</w:t>
      </w:r>
      <w:bookmarkEnd w:id="573"/>
      <w:bookmarkEnd w:id="574"/>
    </w:p>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170"/>
        <w:gridCol w:w="3510"/>
        <w:gridCol w:w="1080"/>
        <w:gridCol w:w="3420"/>
      </w:tblGrid>
      <w:tr w:rsidR="002F5445" w:rsidRPr="007A3223" w14:paraId="062B1C9C" w14:textId="77777777" w:rsidTr="002F5445">
        <w:trPr>
          <w:jc w:val="center"/>
        </w:trPr>
        <w:tc>
          <w:tcPr>
            <w:tcW w:w="4680" w:type="dxa"/>
            <w:gridSpan w:val="2"/>
            <w:tcBorders>
              <w:top w:val="double" w:sz="6" w:space="0" w:color="auto"/>
              <w:bottom w:val="nil"/>
              <w:right w:val="nil"/>
            </w:tcBorders>
          </w:tcPr>
          <w:p w14:paraId="4B7EE8A2" w14:textId="77777777" w:rsidR="002F5445" w:rsidRPr="007A3223" w:rsidRDefault="002F5445" w:rsidP="00E96BEA">
            <w:pPr>
              <w:spacing w:after="0"/>
              <w:rPr>
                <w:b/>
                <w:sz w:val="22"/>
              </w:rPr>
            </w:pPr>
            <w:r w:rsidRPr="007A3223">
              <w:rPr>
                <w:b/>
                <w:sz w:val="22"/>
              </w:rPr>
              <w:t>ECOG Performance Status Scale</w:t>
            </w:r>
          </w:p>
          <w:p w14:paraId="5EAF59C7" w14:textId="77777777" w:rsidR="002F5445" w:rsidRPr="007A3223" w:rsidRDefault="002F5445" w:rsidP="00E96BEA">
            <w:pPr>
              <w:spacing w:after="0"/>
              <w:rPr>
                <w:b/>
                <w:sz w:val="22"/>
              </w:rPr>
            </w:pPr>
          </w:p>
        </w:tc>
        <w:tc>
          <w:tcPr>
            <w:tcW w:w="4500" w:type="dxa"/>
            <w:gridSpan w:val="2"/>
            <w:tcBorders>
              <w:top w:val="double" w:sz="6" w:space="0" w:color="auto"/>
              <w:left w:val="single" w:sz="6" w:space="0" w:color="auto"/>
              <w:bottom w:val="nil"/>
            </w:tcBorders>
          </w:tcPr>
          <w:p w14:paraId="081419B6" w14:textId="77777777" w:rsidR="002F5445" w:rsidRPr="007A3223" w:rsidRDefault="002F5445" w:rsidP="00E96BEA">
            <w:pPr>
              <w:spacing w:after="0"/>
              <w:rPr>
                <w:b/>
                <w:sz w:val="22"/>
              </w:rPr>
            </w:pPr>
            <w:r w:rsidRPr="007A3223">
              <w:rPr>
                <w:b/>
                <w:sz w:val="22"/>
              </w:rPr>
              <w:t>Karnofsky Performance Scale</w:t>
            </w:r>
          </w:p>
        </w:tc>
      </w:tr>
      <w:tr w:rsidR="002F5445" w:rsidRPr="007A3223" w14:paraId="17F2F73B" w14:textId="77777777" w:rsidTr="002F5445">
        <w:trPr>
          <w:jc w:val="center"/>
        </w:trPr>
        <w:tc>
          <w:tcPr>
            <w:tcW w:w="1170" w:type="dxa"/>
            <w:tcBorders>
              <w:top w:val="double" w:sz="6" w:space="0" w:color="auto"/>
              <w:bottom w:val="nil"/>
              <w:right w:val="single" w:sz="6" w:space="0" w:color="auto"/>
            </w:tcBorders>
          </w:tcPr>
          <w:p w14:paraId="3EF536B5" w14:textId="77777777" w:rsidR="002F5445" w:rsidRPr="007A3223" w:rsidRDefault="002F5445" w:rsidP="00E96BEA">
            <w:pPr>
              <w:spacing w:after="0"/>
              <w:rPr>
                <w:sz w:val="22"/>
              </w:rPr>
            </w:pPr>
            <w:r w:rsidRPr="007A3223">
              <w:rPr>
                <w:sz w:val="22"/>
              </w:rPr>
              <w:t>Grade</w:t>
            </w:r>
          </w:p>
        </w:tc>
        <w:tc>
          <w:tcPr>
            <w:tcW w:w="3510" w:type="dxa"/>
            <w:tcBorders>
              <w:top w:val="double" w:sz="6" w:space="0" w:color="auto"/>
              <w:left w:val="nil"/>
              <w:bottom w:val="nil"/>
              <w:right w:val="single" w:sz="6" w:space="0" w:color="auto"/>
            </w:tcBorders>
          </w:tcPr>
          <w:p w14:paraId="604093C5" w14:textId="77777777" w:rsidR="002F5445" w:rsidRPr="007A3223" w:rsidRDefault="002F5445" w:rsidP="00E96BEA">
            <w:pPr>
              <w:spacing w:after="0"/>
              <w:rPr>
                <w:sz w:val="22"/>
              </w:rPr>
            </w:pPr>
            <w:r w:rsidRPr="007A3223">
              <w:rPr>
                <w:sz w:val="22"/>
              </w:rPr>
              <w:t>Descriptions</w:t>
            </w:r>
          </w:p>
        </w:tc>
        <w:tc>
          <w:tcPr>
            <w:tcW w:w="1080" w:type="dxa"/>
            <w:tcBorders>
              <w:top w:val="double" w:sz="6" w:space="0" w:color="auto"/>
              <w:left w:val="nil"/>
              <w:bottom w:val="nil"/>
              <w:right w:val="single" w:sz="6" w:space="0" w:color="auto"/>
            </w:tcBorders>
          </w:tcPr>
          <w:p w14:paraId="2871DA7D" w14:textId="77777777" w:rsidR="002F5445" w:rsidRPr="007A3223" w:rsidRDefault="002F5445" w:rsidP="00E96BEA">
            <w:pPr>
              <w:spacing w:after="0"/>
              <w:rPr>
                <w:sz w:val="22"/>
              </w:rPr>
            </w:pPr>
            <w:r w:rsidRPr="007A3223">
              <w:rPr>
                <w:sz w:val="22"/>
              </w:rPr>
              <w:t>Percent</w:t>
            </w:r>
          </w:p>
        </w:tc>
        <w:tc>
          <w:tcPr>
            <w:tcW w:w="3420" w:type="dxa"/>
            <w:tcBorders>
              <w:top w:val="double" w:sz="6" w:space="0" w:color="auto"/>
              <w:left w:val="nil"/>
              <w:bottom w:val="nil"/>
            </w:tcBorders>
          </w:tcPr>
          <w:p w14:paraId="32D7B2CB" w14:textId="77777777" w:rsidR="002F5445" w:rsidRPr="007A3223" w:rsidRDefault="002F5445" w:rsidP="00E96BEA">
            <w:pPr>
              <w:spacing w:after="0"/>
              <w:rPr>
                <w:sz w:val="22"/>
              </w:rPr>
            </w:pPr>
            <w:r w:rsidRPr="007A3223">
              <w:rPr>
                <w:sz w:val="22"/>
              </w:rPr>
              <w:t>Description</w:t>
            </w:r>
          </w:p>
        </w:tc>
      </w:tr>
      <w:tr w:rsidR="002F5445" w:rsidRPr="007A3223" w14:paraId="37E89354" w14:textId="77777777" w:rsidTr="002F5445">
        <w:trPr>
          <w:cantSplit/>
          <w:jc w:val="center"/>
        </w:trPr>
        <w:tc>
          <w:tcPr>
            <w:tcW w:w="1170" w:type="dxa"/>
            <w:vMerge w:val="restart"/>
            <w:tcBorders>
              <w:top w:val="single" w:sz="6" w:space="0" w:color="auto"/>
              <w:bottom w:val="nil"/>
              <w:right w:val="single" w:sz="6" w:space="0" w:color="auto"/>
            </w:tcBorders>
            <w:vAlign w:val="center"/>
          </w:tcPr>
          <w:p w14:paraId="5F0351F9" w14:textId="77777777" w:rsidR="002F5445" w:rsidRPr="007A3223" w:rsidRDefault="002F5445" w:rsidP="00E96BEA">
            <w:pPr>
              <w:spacing w:after="0"/>
              <w:rPr>
                <w:sz w:val="22"/>
              </w:rPr>
            </w:pPr>
            <w:r w:rsidRPr="007A3223">
              <w:rPr>
                <w:sz w:val="22"/>
              </w:rPr>
              <w:t>0</w:t>
            </w:r>
          </w:p>
        </w:tc>
        <w:tc>
          <w:tcPr>
            <w:tcW w:w="3510" w:type="dxa"/>
            <w:vMerge w:val="restart"/>
            <w:tcBorders>
              <w:top w:val="single" w:sz="6" w:space="0" w:color="auto"/>
              <w:left w:val="nil"/>
              <w:bottom w:val="nil"/>
              <w:right w:val="single" w:sz="6" w:space="0" w:color="auto"/>
            </w:tcBorders>
            <w:vAlign w:val="center"/>
          </w:tcPr>
          <w:p w14:paraId="1D6C987F" w14:textId="77777777" w:rsidR="002F5445" w:rsidRPr="007A3223" w:rsidRDefault="002F5445" w:rsidP="00E96BEA">
            <w:pPr>
              <w:spacing w:after="0"/>
              <w:rPr>
                <w:sz w:val="22"/>
              </w:rPr>
            </w:pPr>
            <w:r w:rsidRPr="007A3223">
              <w:rPr>
                <w:sz w:val="22"/>
              </w:rPr>
              <w:t>Normal activity.  Fully active, able to carry on all pre-disease performance without restriction.</w:t>
            </w:r>
          </w:p>
        </w:tc>
        <w:tc>
          <w:tcPr>
            <w:tcW w:w="1080" w:type="dxa"/>
            <w:tcBorders>
              <w:top w:val="single" w:sz="6" w:space="0" w:color="auto"/>
              <w:left w:val="nil"/>
              <w:bottom w:val="nil"/>
              <w:right w:val="single" w:sz="6" w:space="0" w:color="auto"/>
            </w:tcBorders>
            <w:vAlign w:val="center"/>
          </w:tcPr>
          <w:p w14:paraId="6A230E36" w14:textId="77777777" w:rsidR="002F5445" w:rsidRPr="007A3223" w:rsidRDefault="002F5445" w:rsidP="00E96BEA">
            <w:pPr>
              <w:spacing w:after="0"/>
              <w:rPr>
                <w:sz w:val="22"/>
              </w:rPr>
            </w:pPr>
            <w:r w:rsidRPr="007A3223">
              <w:rPr>
                <w:sz w:val="22"/>
              </w:rPr>
              <w:t>100</w:t>
            </w:r>
          </w:p>
        </w:tc>
        <w:tc>
          <w:tcPr>
            <w:tcW w:w="3420" w:type="dxa"/>
            <w:tcBorders>
              <w:top w:val="single" w:sz="6" w:space="0" w:color="auto"/>
              <w:left w:val="nil"/>
              <w:bottom w:val="nil"/>
            </w:tcBorders>
          </w:tcPr>
          <w:p w14:paraId="5DE511CB" w14:textId="77777777" w:rsidR="002F5445" w:rsidRPr="007A3223" w:rsidRDefault="002F5445" w:rsidP="00E96BEA">
            <w:pPr>
              <w:spacing w:after="0"/>
              <w:rPr>
                <w:sz w:val="22"/>
              </w:rPr>
            </w:pPr>
            <w:r w:rsidRPr="007A3223">
              <w:rPr>
                <w:sz w:val="22"/>
              </w:rPr>
              <w:t>Normal, no complaints, no evidence of disease.</w:t>
            </w:r>
          </w:p>
        </w:tc>
      </w:tr>
      <w:tr w:rsidR="002F5445" w:rsidRPr="007A3223" w14:paraId="3EC552C5" w14:textId="77777777" w:rsidTr="002F5445">
        <w:trPr>
          <w:cantSplit/>
          <w:jc w:val="center"/>
        </w:trPr>
        <w:tc>
          <w:tcPr>
            <w:tcW w:w="1170" w:type="dxa"/>
            <w:vMerge/>
            <w:tcBorders>
              <w:top w:val="nil"/>
              <w:bottom w:val="single" w:sz="6" w:space="0" w:color="auto"/>
              <w:right w:val="single" w:sz="6" w:space="0" w:color="auto"/>
            </w:tcBorders>
            <w:vAlign w:val="center"/>
          </w:tcPr>
          <w:p w14:paraId="7068DDA5" w14:textId="77777777" w:rsidR="002F5445" w:rsidRPr="007A3223" w:rsidRDefault="002F5445" w:rsidP="00E96BEA">
            <w:pPr>
              <w:spacing w:after="0"/>
              <w:rPr>
                <w:sz w:val="22"/>
              </w:rPr>
            </w:pPr>
          </w:p>
        </w:tc>
        <w:tc>
          <w:tcPr>
            <w:tcW w:w="3510" w:type="dxa"/>
            <w:vMerge/>
            <w:tcBorders>
              <w:top w:val="nil"/>
              <w:left w:val="nil"/>
              <w:bottom w:val="single" w:sz="6" w:space="0" w:color="auto"/>
              <w:right w:val="single" w:sz="6" w:space="0" w:color="auto"/>
            </w:tcBorders>
            <w:vAlign w:val="center"/>
          </w:tcPr>
          <w:p w14:paraId="020C04DF" w14:textId="77777777" w:rsidR="002F5445" w:rsidRPr="007A3223" w:rsidRDefault="002F5445" w:rsidP="00E96BEA">
            <w:pPr>
              <w:spacing w:after="0"/>
              <w:rPr>
                <w:sz w:val="22"/>
              </w:rPr>
            </w:pPr>
          </w:p>
        </w:tc>
        <w:tc>
          <w:tcPr>
            <w:tcW w:w="1080" w:type="dxa"/>
            <w:tcBorders>
              <w:top w:val="single" w:sz="6" w:space="0" w:color="auto"/>
              <w:left w:val="nil"/>
              <w:bottom w:val="nil"/>
              <w:right w:val="single" w:sz="6" w:space="0" w:color="auto"/>
            </w:tcBorders>
            <w:vAlign w:val="center"/>
          </w:tcPr>
          <w:p w14:paraId="2223914A" w14:textId="77777777" w:rsidR="002F5445" w:rsidRPr="007A3223" w:rsidRDefault="002F5445" w:rsidP="00E96BEA">
            <w:pPr>
              <w:spacing w:after="0"/>
              <w:rPr>
                <w:sz w:val="22"/>
              </w:rPr>
            </w:pPr>
            <w:r w:rsidRPr="007A3223">
              <w:rPr>
                <w:sz w:val="22"/>
              </w:rPr>
              <w:t>90</w:t>
            </w:r>
          </w:p>
        </w:tc>
        <w:tc>
          <w:tcPr>
            <w:tcW w:w="3420" w:type="dxa"/>
            <w:tcBorders>
              <w:top w:val="single" w:sz="6" w:space="0" w:color="auto"/>
              <w:left w:val="nil"/>
              <w:bottom w:val="nil"/>
            </w:tcBorders>
          </w:tcPr>
          <w:p w14:paraId="49899927" w14:textId="77777777" w:rsidR="002F5445" w:rsidRPr="007A3223" w:rsidRDefault="002F5445" w:rsidP="00E96BEA">
            <w:pPr>
              <w:spacing w:after="0"/>
              <w:rPr>
                <w:sz w:val="22"/>
              </w:rPr>
            </w:pPr>
            <w:r w:rsidRPr="007A3223">
              <w:rPr>
                <w:sz w:val="22"/>
              </w:rPr>
              <w:t>Able to carry on normal activity; minor signs or symptoms of disease.</w:t>
            </w:r>
          </w:p>
        </w:tc>
      </w:tr>
      <w:tr w:rsidR="002F5445" w:rsidRPr="007A3223" w14:paraId="0637322C" w14:textId="77777777" w:rsidTr="002F5445">
        <w:trPr>
          <w:cantSplit/>
          <w:trHeight w:val="860"/>
          <w:jc w:val="center"/>
        </w:trPr>
        <w:tc>
          <w:tcPr>
            <w:tcW w:w="1170" w:type="dxa"/>
            <w:vMerge w:val="restart"/>
            <w:tcBorders>
              <w:top w:val="nil"/>
              <w:bottom w:val="nil"/>
              <w:right w:val="single" w:sz="6" w:space="0" w:color="auto"/>
            </w:tcBorders>
            <w:vAlign w:val="center"/>
          </w:tcPr>
          <w:p w14:paraId="33053518" w14:textId="77777777" w:rsidR="002F5445" w:rsidRPr="007A3223" w:rsidRDefault="002F5445" w:rsidP="00E96BEA">
            <w:pPr>
              <w:spacing w:after="0"/>
              <w:rPr>
                <w:sz w:val="22"/>
              </w:rPr>
            </w:pPr>
            <w:r w:rsidRPr="007A3223">
              <w:rPr>
                <w:sz w:val="22"/>
              </w:rPr>
              <w:t>1</w:t>
            </w:r>
          </w:p>
        </w:tc>
        <w:tc>
          <w:tcPr>
            <w:tcW w:w="3510" w:type="dxa"/>
            <w:vMerge w:val="restart"/>
            <w:tcBorders>
              <w:top w:val="nil"/>
              <w:left w:val="nil"/>
              <w:bottom w:val="nil"/>
              <w:right w:val="single" w:sz="6" w:space="0" w:color="auto"/>
            </w:tcBorders>
            <w:vAlign w:val="center"/>
          </w:tcPr>
          <w:p w14:paraId="69D2B847" w14:textId="77777777" w:rsidR="002F5445" w:rsidRPr="007A3223" w:rsidRDefault="002F5445" w:rsidP="00E96BEA">
            <w:pPr>
              <w:spacing w:after="0"/>
              <w:rPr>
                <w:sz w:val="22"/>
              </w:rPr>
            </w:pPr>
            <w:r w:rsidRPr="007A3223">
              <w:rPr>
                <w:sz w:val="22"/>
              </w:rPr>
              <w:t>Symptoms, but ambulatory.  Restricted in physically strenuous activity, but ambulatory and able to carry out work of a light or sedentary nature (e.g., light housework, office work).</w:t>
            </w:r>
          </w:p>
        </w:tc>
        <w:tc>
          <w:tcPr>
            <w:tcW w:w="1080" w:type="dxa"/>
            <w:tcBorders>
              <w:top w:val="single" w:sz="6" w:space="0" w:color="auto"/>
              <w:left w:val="nil"/>
              <w:bottom w:val="single" w:sz="6" w:space="0" w:color="auto"/>
              <w:right w:val="single" w:sz="6" w:space="0" w:color="auto"/>
            </w:tcBorders>
            <w:vAlign w:val="center"/>
          </w:tcPr>
          <w:p w14:paraId="53F45E79" w14:textId="77777777" w:rsidR="002F5445" w:rsidRPr="007A3223" w:rsidRDefault="002F5445" w:rsidP="00E96BEA">
            <w:pPr>
              <w:spacing w:after="0"/>
              <w:rPr>
                <w:sz w:val="22"/>
              </w:rPr>
            </w:pPr>
            <w:r w:rsidRPr="007A3223">
              <w:rPr>
                <w:sz w:val="22"/>
              </w:rPr>
              <w:t>80</w:t>
            </w:r>
          </w:p>
        </w:tc>
        <w:tc>
          <w:tcPr>
            <w:tcW w:w="3420" w:type="dxa"/>
            <w:tcBorders>
              <w:top w:val="single" w:sz="6" w:space="0" w:color="auto"/>
              <w:left w:val="nil"/>
              <w:bottom w:val="single" w:sz="6" w:space="0" w:color="auto"/>
              <w:right w:val="single" w:sz="6" w:space="0" w:color="auto"/>
            </w:tcBorders>
            <w:vAlign w:val="center"/>
          </w:tcPr>
          <w:p w14:paraId="60D92A43" w14:textId="77777777" w:rsidR="002F5445" w:rsidRPr="007A3223" w:rsidRDefault="002F5445" w:rsidP="00E96BEA">
            <w:pPr>
              <w:spacing w:after="0"/>
              <w:rPr>
                <w:sz w:val="22"/>
              </w:rPr>
            </w:pPr>
            <w:r w:rsidRPr="007A3223">
              <w:rPr>
                <w:sz w:val="22"/>
              </w:rPr>
              <w:t>Normal activity with effort; some signs or symptoms of disease.</w:t>
            </w:r>
          </w:p>
        </w:tc>
      </w:tr>
      <w:tr w:rsidR="002F5445" w:rsidRPr="007A3223" w14:paraId="7FA1E69E" w14:textId="77777777" w:rsidTr="002F5445">
        <w:trPr>
          <w:cantSplit/>
          <w:trHeight w:val="860"/>
          <w:jc w:val="center"/>
        </w:trPr>
        <w:tc>
          <w:tcPr>
            <w:tcW w:w="1170" w:type="dxa"/>
            <w:vMerge/>
            <w:tcBorders>
              <w:top w:val="nil"/>
              <w:bottom w:val="nil"/>
              <w:right w:val="single" w:sz="6" w:space="0" w:color="auto"/>
            </w:tcBorders>
            <w:vAlign w:val="center"/>
          </w:tcPr>
          <w:p w14:paraId="0E8C6FB2" w14:textId="77777777" w:rsidR="002F5445" w:rsidRPr="007A3223" w:rsidRDefault="002F5445" w:rsidP="00E96BEA">
            <w:pPr>
              <w:spacing w:after="0"/>
              <w:rPr>
                <w:sz w:val="22"/>
              </w:rPr>
            </w:pPr>
          </w:p>
        </w:tc>
        <w:tc>
          <w:tcPr>
            <w:tcW w:w="3510" w:type="dxa"/>
            <w:vMerge/>
            <w:tcBorders>
              <w:top w:val="nil"/>
              <w:left w:val="nil"/>
              <w:bottom w:val="nil"/>
              <w:right w:val="single" w:sz="6" w:space="0" w:color="auto"/>
            </w:tcBorders>
            <w:vAlign w:val="center"/>
          </w:tcPr>
          <w:p w14:paraId="3CA5AB7F" w14:textId="77777777" w:rsidR="002F5445" w:rsidRPr="007A3223" w:rsidRDefault="002F5445" w:rsidP="00E96BEA">
            <w:pPr>
              <w:spacing w:after="0"/>
              <w:rPr>
                <w:sz w:val="22"/>
              </w:rPr>
            </w:pPr>
          </w:p>
        </w:tc>
        <w:tc>
          <w:tcPr>
            <w:tcW w:w="1080" w:type="dxa"/>
            <w:tcBorders>
              <w:top w:val="single" w:sz="6" w:space="0" w:color="auto"/>
              <w:left w:val="nil"/>
              <w:bottom w:val="nil"/>
              <w:right w:val="single" w:sz="6" w:space="0" w:color="auto"/>
            </w:tcBorders>
            <w:vAlign w:val="center"/>
          </w:tcPr>
          <w:p w14:paraId="3AB10AF1" w14:textId="77777777" w:rsidR="002F5445" w:rsidRPr="007A3223" w:rsidRDefault="002F5445" w:rsidP="00E96BEA">
            <w:pPr>
              <w:spacing w:after="0"/>
              <w:rPr>
                <w:sz w:val="22"/>
              </w:rPr>
            </w:pPr>
            <w:r w:rsidRPr="007A3223">
              <w:rPr>
                <w:sz w:val="22"/>
              </w:rPr>
              <w:t>70</w:t>
            </w:r>
          </w:p>
        </w:tc>
        <w:tc>
          <w:tcPr>
            <w:tcW w:w="3420" w:type="dxa"/>
            <w:tcBorders>
              <w:top w:val="single" w:sz="6" w:space="0" w:color="auto"/>
              <w:left w:val="nil"/>
              <w:bottom w:val="nil"/>
              <w:right w:val="single" w:sz="6" w:space="0" w:color="auto"/>
            </w:tcBorders>
            <w:vAlign w:val="center"/>
          </w:tcPr>
          <w:p w14:paraId="34FD974B" w14:textId="77777777" w:rsidR="002F5445" w:rsidRPr="007A3223" w:rsidRDefault="002F5445" w:rsidP="00E96BEA">
            <w:pPr>
              <w:spacing w:after="0"/>
              <w:rPr>
                <w:sz w:val="22"/>
              </w:rPr>
            </w:pPr>
            <w:r w:rsidRPr="007A3223">
              <w:rPr>
                <w:sz w:val="22"/>
              </w:rPr>
              <w:t>Cares for self, unable to carry on normal activity or to do active work.</w:t>
            </w:r>
          </w:p>
        </w:tc>
      </w:tr>
      <w:tr w:rsidR="002F5445" w:rsidRPr="007A3223" w14:paraId="54EB5B1A" w14:textId="77777777" w:rsidTr="002F5445">
        <w:trPr>
          <w:cantSplit/>
          <w:jc w:val="center"/>
        </w:trPr>
        <w:tc>
          <w:tcPr>
            <w:tcW w:w="1170" w:type="dxa"/>
            <w:vMerge w:val="restart"/>
            <w:tcBorders>
              <w:top w:val="single" w:sz="6" w:space="0" w:color="auto"/>
              <w:bottom w:val="single" w:sz="6" w:space="0" w:color="auto"/>
              <w:right w:val="single" w:sz="6" w:space="0" w:color="auto"/>
            </w:tcBorders>
            <w:vAlign w:val="center"/>
          </w:tcPr>
          <w:p w14:paraId="01193B74" w14:textId="77777777" w:rsidR="002F5445" w:rsidRPr="007A3223" w:rsidRDefault="002F5445" w:rsidP="00E96BEA">
            <w:pPr>
              <w:spacing w:after="0"/>
              <w:rPr>
                <w:sz w:val="22"/>
              </w:rPr>
            </w:pPr>
            <w:r w:rsidRPr="007A3223">
              <w:rPr>
                <w:sz w:val="22"/>
              </w:rPr>
              <w:t>2</w:t>
            </w:r>
          </w:p>
        </w:tc>
        <w:tc>
          <w:tcPr>
            <w:tcW w:w="3510" w:type="dxa"/>
            <w:vMerge w:val="restart"/>
            <w:tcBorders>
              <w:top w:val="single" w:sz="6" w:space="0" w:color="auto"/>
              <w:left w:val="nil"/>
              <w:bottom w:val="single" w:sz="6" w:space="0" w:color="auto"/>
              <w:right w:val="single" w:sz="6" w:space="0" w:color="auto"/>
            </w:tcBorders>
            <w:vAlign w:val="center"/>
          </w:tcPr>
          <w:p w14:paraId="400A94F3" w14:textId="77777777" w:rsidR="002F5445" w:rsidRPr="007A3223" w:rsidRDefault="002F5445" w:rsidP="00E96BEA">
            <w:pPr>
              <w:spacing w:after="0"/>
              <w:rPr>
                <w:sz w:val="22"/>
              </w:rPr>
            </w:pPr>
            <w:r w:rsidRPr="007A3223">
              <w:rPr>
                <w:sz w:val="22"/>
              </w:rPr>
              <w:t>In bed &lt;50% of the time.  Ambulatory and capable of all self-care, but unable to carry out any work activities.  Up and about more than 50% of waking hours.</w:t>
            </w:r>
          </w:p>
        </w:tc>
        <w:tc>
          <w:tcPr>
            <w:tcW w:w="1080" w:type="dxa"/>
            <w:tcBorders>
              <w:top w:val="single" w:sz="6" w:space="0" w:color="auto"/>
              <w:left w:val="nil"/>
              <w:bottom w:val="single" w:sz="6" w:space="0" w:color="auto"/>
              <w:right w:val="single" w:sz="6" w:space="0" w:color="auto"/>
            </w:tcBorders>
            <w:vAlign w:val="center"/>
          </w:tcPr>
          <w:p w14:paraId="710116E0" w14:textId="77777777" w:rsidR="002F5445" w:rsidRPr="007A3223" w:rsidRDefault="002F5445" w:rsidP="00E96BEA">
            <w:pPr>
              <w:spacing w:after="0"/>
              <w:rPr>
                <w:sz w:val="22"/>
              </w:rPr>
            </w:pPr>
            <w:r w:rsidRPr="007A3223">
              <w:rPr>
                <w:sz w:val="22"/>
              </w:rPr>
              <w:t>60</w:t>
            </w:r>
          </w:p>
        </w:tc>
        <w:tc>
          <w:tcPr>
            <w:tcW w:w="3420" w:type="dxa"/>
            <w:tcBorders>
              <w:top w:val="single" w:sz="6" w:space="0" w:color="auto"/>
              <w:left w:val="nil"/>
              <w:bottom w:val="single" w:sz="6" w:space="0" w:color="auto"/>
            </w:tcBorders>
          </w:tcPr>
          <w:p w14:paraId="51D78A8E" w14:textId="77777777" w:rsidR="002F5445" w:rsidRPr="007A3223" w:rsidRDefault="002F5445" w:rsidP="00E96BEA">
            <w:pPr>
              <w:spacing w:after="0"/>
              <w:rPr>
                <w:sz w:val="22"/>
              </w:rPr>
            </w:pPr>
            <w:r w:rsidRPr="007A3223">
              <w:rPr>
                <w:sz w:val="22"/>
              </w:rPr>
              <w:t>Requires occasional assistance, but is able to care for most of his/her needs.</w:t>
            </w:r>
          </w:p>
        </w:tc>
      </w:tr>
      <w:tr w:rsidR="002F5445" w:rsidRPr="007A3223" w14:paraId="1FFE035A" w14:textId="77777777" w:rsidTr="002F5445">
        <w:trPr>
          <w:cantSplit/>
          <w:jc w:val="center"/>
        </w:trPr>
        <w:tc>
          <w:tcPr>
            <w:tcW w:w="1170" w:type="dxa"/>
            <w:vMerge/>
            <w:tcBorders>
              <w:top w:val="nil"/>
              <w:bottom w:val="single" w:sz="6" w:space="0" w:color="auto"/>
              <w:right w:val="single" w:sz="6" w:space="0" w:color="auto"/>
            </w:tcBorders>
            <w:vAlign w:val="center"/>
          </w:tcPr>
          <w:p w14:paraId="6412D567" w14:textId="77777777" w:rsidR="002F5445" w:rsidRPr="007A3223" w:rsidRDefault="002F5445" w:rsidP="00E96BEA">
            <w:pPr>
              <w:spacing w:after="0"/>
              <w:rPr>
                <w:sz w:val="22"/>
              </w:rPr>
            </w:pPr>
          </w:p>
        </w:tc>
        <w:tc>
          <w:tcPr>
            <w:tcW w:w="3510" w:type="dxa"/>
            <w:vMerge/>
            <w:tcBorders>
              <w:top w:val="nil"/>
              <w:left w:val="nil"/>
              <w:bottom w:val="single" w:sz="6" w:space="0" w:color="auto"/>
              <w:right w:val="single" w:sz="6" w:space="0" w:color="auto"/>
            </w:tcBorders>
            <w:vAlign w:val="center"/>
          </w:tcPr>
          <w:p w14:paraId="4191ABE8" w14:textId="77777777" w:rsidR="002F5445" w:rsidRPr="007A3223" w:rsidRDefault="002F5445" w:rsidP="00E96BEA">
            <w:pPr>
              <w:spacing w:after="0"/>
              <w:rPr>
                <w:sz w:val="22"/>
              </w:rPr>
            </w:pPr>
          </w:p>
        </w:tc>
        <w:tc>
          <w:tcPr>
            <w:tcW w:w="1080" w:type="dxa"/>
            <w:tcBorders>
              <w:top w:val="nil"/>
              <w:left w:val="nil"/>
              <w:bottom w:val="single" w:sz="6" w:space="0" w:color="auto"/>
              <w:right w:val="single" w:sz="6" w:space="0" w:color="auto"/>
            </w:tcBorders>
            <w:vAlign w:val="center"/>
          </w:tcPr>
          <w:p w14:paraId="0C7CB4CF" w14:textId="77777777" w:rsidR="002F5445" w:rsidRPr="007A3223" w:rsidRDefault="002F5445" w:rsidP="00E96BEA">
            <w:pPr>
              <w:spacing w:after="0"/>
              <w:rPr>
                <w:sz w:val="22"/>
              </w:rPr>
            </w:pPr>
            <w:r w:rsidRPr="007A3223">
              <w:rPr>
                <w:sz w:val="22"/>
              </w:rPr>
              <w:t>50</w:t>
            </w:r>
          </w:p>
        </w:tc>
        <w:tc>
          <w:tcPr>
            <w:tcW w:w="3420" w:type="dxa"/>
            <w:tcBorders>
              <w:top w:val="nil"/>
              <w:left w:val="nil"/>
              <w:bottom w:val="single" w:sz="6" w:space="0" w:color="auto"/>
            </w:tcBorders>
          </w:tcPr>
          <w:p w14:paraId="27310E4A" w14:textId="77777777" w:rsidR="002F5445" w:rsidRPr="007A3223" w:rsidRDefault="002F5445" w:rsidP="00E96BEA">
            <w:pPr>
              <w:spacing w:after="0"/>
              <w:rPr>
                <w:sz w:val="22"/>
              </w:rPr>
            </w:pPr>
            <w:r w:rsidRPr="007A3223">
              <w:rPr>
                <w:sz w:val="22"/>
              </w:rPr>
              <w:t>Requires considerable assistance and frequent medical care.</w:t>
            </w:r>
          </w:p>
        </w:tc>
      </w:tr>
      <w:tr w:rsidR="00207779" w:rsidRPr="007A3223" w14:paraId="593C477C" w14:textId="77777777" w:rsidTr="00CD04A9">
        <w:trPr>
          <w:cantSplit/>
          <w:trHeight w:val="988"/>
          <w:jc w:val="center"/>
        </w:trPr>
        <w:tc>
          <w:tcPr>
            <w:tcW w:w="1170" w:type="dxa"/>
            <w:vMerge w:val="restart"/>
            <w:tcBorders>
              <w:top w:val="nil"/>
              <w:right w:val="single" w:sz="6" w:space="0" w:color="auto"/>
            </w:tcBorders>
            <w:vAlign w:val="center"/>
          </w:tcPr>
          <w:p w14:paraId="6ED35EB2" w14:textId="77777777" w:rsidR="00207779" w:rsidRPr="007A3223" w:rsidRDefault="00207779" w:rsidP="00E96BEA">
            <w:pPr>
              <w:spacing w:after="0"/>
              <w:rPr>
                <w:sz w:val="22"/>
              </w:rPr>
            </w:pPr>
            <w:r w:rsidRPr="007A3223">
              <w:rPr>
                <w:sz w:val="22"/>
              </w:rPr>
              <w:t>3</w:t>
            </w:r>
          </w:p>
        </w:tc>
        <w:tc>
          <w:tcPr>
            <w:tcW w:w="3510" w:type="dxa"/>
            <w:vMerge w:val="restart"/>
            <w:tcBorders>
              <w:top w:val="nil"/>
              <w:left w:val="nil"/>
              <w:right w:val="single" w:sz="6" w:space="0" w:color="auto"/>
            </w:tcBorders>
            <w:vAlign w:val="center"/>
          </w:tcPr>
          <w:p w14:paraId="3DE4CC0C" w14:textId="77777777" w:rsidR="00207779" w:rsidRPr="007A3223" w:rsidRDefault="00207779" w:rsidP="00E96BEA">
            <w:pPr>
              <w:spacing w:after="0"/>
              <w:rPr>
                <w:sz w:val="22"/>
              </w:rPr>
            </w:pPr>
            <w:r w:rsidRPr="007A3223">
              <w:rPr>
                <w:sz w:val="22"/>
              </w:rPr>
              <w:t>In bed &gt;50% of the time.  Capable of only limited self-care, confined to bed or chair more than 50% of waking hours.</w:t>
            </w:r>
          </w:p>
        </w:tc>
        <w:tc>
          <w:tcPr>
            <w:tcW w:w="1080" w:type="dxa"/>
            <w:tcBorders>
              <w:top w:val="nil"/>
              <w:left w:val="nil"/>
              <w:right w:val="single" w:sz="6" w:space="0" w:color="auto"/>
            </w:tcBorders>
            <w:vAlign w:val="center"/>
          </w:tcPr>
          <w:p w14:paraId="0D74CC18" w14:textId="77777777" w:rsidR="00207779" w:rsidRPr="007A3223" w:rsidRDefault="00207779" w:rsidP="00E96BEA">
            <w:pPr>
              <w:spacing w:after="0"/>
              <w:rPr>
                <w:sz w:val="22"/>
              </w:rPr>
            </w:pPr>
            <w:r w:rsidRPr="007A3223">
              <w:rPr>
                <w:sz w:val="22"/>
              </w:rPr>
              <w:t>40</w:t>
            </w:r>
          </w:p>
        </w:tc>
        <w:tc>
          <w:tcPr>
            <w:tcW w:w="3420" w:type="dxa"/>
            <w:tcBorders>
              <w:top w:val="nil"/>
              <w:left w:val="nil"/>
            </w:tcBorders>
          </w:tcPr>
          <w:p w14:paraId="54C65F21" w14:textId="77777777" w:rsidR="00207779" w:rsidRPr="007A3223" w:rsidRDefault="00207779" w:rsidP="00E96BEA">
            <w:pPr>
              <w:spacing w:after="0"/>
              <w:rPr>
                <w:sz w:val="22"/>
              </w:rPr>
            </w:pPr>
            <w:r w:rsidRPr="007A3223">
              <w:rPr>
                <w:sz w:val="22"/>
              </w:rPr>
              <w:t>Disabled, requires special care and assistance.</w:t>
            </w:r>
          </w:p>
        </w:tc>
      </w:tr>
      <w:tr w:rsidR="00207779" w:rsidRPr="007A3223" w14:paraId="634D6C54" w14:textId="77777777" w:rsidTr="00CD04A9">
        <w:trPr>
          <w:cantSplit/>
          <w:trHeight w:val="1266"/>
          <w:jc w:val="center"/>
        </w:trPr>
        <w:tc>
          <w:tcPr>
            <w:tcW w:w="1170" w:type="dxa"/>
            <w:vMerge/>
            <w:tcBorders>
              <w:right w:val="single" w:sz="6" w:space="0" w:color="auto"/>
            </w:tcBorders>
            <w:vAlign w:val="center"/>
          </w:tcPr>
          <w:p w14:paraId="788F395C" w14:textId="77777777" w:rsidR="00207779" w:rsidRPr="007A3223" w:rsidRDefault="00207779" w:rsidP="00E96BEA">
            <w:pPr>
              <w:spacing w:after="0"/>
              <w:rPr>
                <w:sz w:val="22"/>
              </w:rPr>
            </w:pPr>
          </w:p>
        </w:tc>
        <w:tc>
          <w:tcPr>
            <w:tcW w:w="3510" w:type="dxa"/>
            <w:vMerge/>
            <w:tcBorders>
              <w:left w:val="nil"/>
              <w:right w:val="single" w:sz="6" w:space="0" w:color="auto"/>
            </w:tcBorders>
            <w:vAlign w:val="center"/>
          </w:tcPr>
          <w:p w14:paraId="29986C0B" w14:textId="77777777" w:rsidR="00207779" w:rsidRPr="007A3223" w:rsidRDefault="00207779" w:rsidP="00E96BEA">
            <w:pPr>
              <w:spacing w:after="0"/>
              <w:rPr>
                <w:sz w:val="22"/>
              </w:rPr>
            </w:pPr>
          </w:p>
        </w:tc>
        <w:tc>
          <w:tcPr>
            <w:tcW w:w="1080" w:type="dxa"/>
            <w:tcBorders>
              <w:top w:val="single" w:sz="4" w:space="0" w:color="auto"/>
              <w:left w:val="nil"/>
              <w:right w:val="single" w:sz="6" w:space="0" w:color="auto"/>
            </w:tcBorders>
            <w:vAlign w:val="center"/>
          </w:tcPr>
          <w:p w14:paraId="5775B1F2" w14:textId="77777777" w:rsidR="00207779" w:rsidRPr="007A3223" w:rsidRDefault="00207779" w:rsidP="00E96BEA">
            <w:pPr>
              <w:spacing w:after="0"/>
              <w:rPr>
                <w:sz w:val="22"/>
              </w:rPr>
            </w:pPr>
            <w:r w:rsidRPr="007A3223">
              <w:rPr>
                <w:sz w:val="22"/>
              </w:rPr>
              <w:t>30</w:t>
            </w:r>
          </w:p>
        </w:tc>
        <w:tc>
          <w:tcPr>
            <w:tcW w:w="3420" w:type="dxa"/>
            <w:tcBorders>
              <w:top w:val="single" w:sz="4" w:space="0" w:color="auto"/>
              <w:left w:val="nil"/>
            </w:tcBorders>
          </w:tcPr>
          <w:p w14:paraId="5938637C" w14:textId="77777777" w:rsidR="00207779" w:rsidRPr="007A3223" w:rsidRDefault="00207779" w:rsidP="00E96BEA">
            <w:pPr>
              <w:spacing w:after="0"/>
              <w:rPr>
                <w:sz w:val="22"/>
              </w:rPr>
            </w:pPr>
            <w:r w:rsidRPr="007A3223">
              <w:rPr>
                <w:sz w:val="22"/>
              </w:rPr>
              <w:t>Severely disabled, hospitalization indicated.  Death not imminent.</w:t>
            </w:r>
          </w:p>
        </w:tc>
      </w:tr>
      <w:tr w:rsidR="002F5445" w:rsidRPr="007A3223" w14:paraId="588035ED" w14:textId="77777777" w:rsidTr="002F5445">
        <w:trPr>
          <w:cantSplit/>
          <w:jc w:val="center"/>
        </w:trPr>
        <w:tc>
          <w:tcPr>
            <w:tcW w:w="1170" w:type="dxa"/>
            <w:vMerge w:val="restart"/>
            <w:tcBorders>
              <w:top w:val="nil"/>
              <w:bottom w:val="nil"/>
              <w:right w:val="single" w:sz="6" w:space="0" w:color="auto"/>
            </w:tcBorders>
            <w:vAlign w:val="center"/>
          </w:tcPr>
          <w:p w14:paraId="2C41BC04" w14:textId="77777777" w:rsidR="002F5445" w:rsidRPr="007A3223" w:rsidRDefault="002F5445" w:rsidP="00E96BEA">
            <w:pPr>
              <w:spacing w:after="0"/>
              <w:rPr>
                <w:sz w:val="22"/>
              </w:rPr>
            </w:pPr>
            <w:r w:rsidRPr="007A3223">
              <w:rPr>
                <w:sz w:val="22"/>
              </w:rPr>
              <w:t>4</w:t>
            </w:r>
          </w:p>
        </w:tc>
        <w:tc>
          <w:tcPr>
            <w:tcW w:w="3510" w:type="dxa"/>
            <w:vMerge w:val="restart"/>
            <w:tcBorders>
              <w:top w:val="nil"/>
              <w:left w:val="nil"/>
              <w:bottom w:val="nil"/>
              <w:right w:val="single" w:sz="6" w:space="0" w:color="auto"/>
            </w:tcBorders>
            <w:vAlign w:val="center"/>
          </w:tcPr>
          <w:p w14:paraId="70D6B5B3" w14:textId="77777777" w:rsidR="002F5445" w:rsidRPr="007A3223" w:rsidRDefault="002F5445" w:rsidP="00E96BEA">
            <w:pPr>
              <w:spacing w:after="0"/>
              <w:rPr>
                <w:sz w:val="22"/>
              </w:rPr>
            </w:pPr>
            <w:r w:rsidRPr="007A3223">
              <w:rPr>
                <w:sz w:val="22"/>
              </w:rPr>
              <w:t>100% bedridden.  Completely disabled.  Cannot carry on any self-care.  Totally confined to bed or chair.</w:t>
            </w:r>
          </w:p>
        </w:tc>
        <w:tc>
          <w:tcPr>
            <w:tcW w:w="1080" w:type="dxa"/>
            <w:tcBorders>
              <w:top w:val="single" w:sz="6" w:space="0" w:color="auto"/>
              <w:left w:val="nil"/>
              <w:bottom w:val="single" w:sz="6" w:space="0" w:color="auto"/>
              <w:right w:val="single" w:sz="6" w:space="0" w:color="auto"/>
            </w:tcBorders>
            <w:vAlign w:val="center"/>
          </w:tcPr>
          <w:p w14:paraId="78058278" w14:textId="77777777" w:rsidR="002F5445" w:rsidRPr="007A3223" w:rsidRDefault="002F5445" w:rsidP="00E96BEA">
            <w:pPr>
              <w:spacing w:after="0"/>
              <w:rPr>
                <w:sz w:val="22"/>
              </w:rPr>
            </w:pPr>
            <w:r w:rsidRPr="007A3223">
              <w:rPr>
                <w:sz w:val="22"/>
              </w:rPr>
              <w:t>20</w:t>
            </w:r>
          </w:p>
        </w:tc>
        <w:tc>
          <w:tcPr>
            <w:tcW w:w="3420" w:type="dxa"/>
            <w:tcBorders>
              <w:top w:val="single" w:sz="6" w:space="0" w:color="auto"/>
              <w:left w:val="nil"/>
              <w:bottom w:val="single" w:sz="6" w:space="0" w:color="auto"/>
            </w:tcBorders>
          </w:tcPr>
          <w:p w14:paraId="066B2BE9" w14:textId="77777777" w:rsidR="002F5445" w:rsidRPr="007A3223" w:rsidRDefault="002F5445" w:rsidP="00E96BEA">
            <w:pPr>
              <w:spacing w:after="0"/>
              <w:rPr>
                <w:sz w:val="22"/>
              </w:rPr>
            </w:pPr>
            <w:r w:rsidRPr="007A3223">
              <w:rPr>
                <w:sz w:val="22"/>
              </w:rPr>
              <w:t>Very sick, hospitalization indicated. Death not imminent.</w:t>
            </w:r>
          </w:p>
        </w:tc>
      </w:tr>
      <w:tr w:rsidR="002F5445" w:rsidRPr="007A3223" w14:paraId="3CB037B0" w14:textId="77777777" w:rsidTr="002F5445">
        <w:trPr>
          <w:cantSplit/>
          <w:jc w:val="center"/>
        </w:trPr>
        <w:tc>
          <w:tcPr>
            <w:tcW w:w="1170" w:type="dxa"/>
            <w:vMerge/>
            <w:tcBorders>
              <w:top w:val="nil"/>
              <w:bottom w:val="single" w:sz="6" w:space="0" w:color="auto"/>
              <w:right w:val="single" w:sz="6" w:space="0" w:color="auto"/>
            </w:tcBorders>
            <w:vAlign w:val="center"/>
          </w:tcPr>
          <w:p w14:paraId="49A1AC59" w14:textId="77777777" w:rsidR="002F5445" w:rsidRPr="007A3223" w:rsidRDefault="002F5445" w:rsidP="00E96BEA">
            <w:pPr>
              <w:spacing w:after="0"/>
              <w:rPr>
                <w:sz w:val="22"/>
              </w:rPr>
            </w:pPr>
          </w:p>
        </w:tc>
        <w:tc>
          <w:tcPr>
            <w:tcW w:w="3510" w:type="dxa"/>
            <w:vMerge/>
            <w:tcBorders>
              <w:top w:val="nil"/>
              <w:left w:val="nil"/>
              <w:bottom w:val="single" w:sz="6" w:space="0" w:color="auto"/>
              <w:right w:val="single" w:sz="6" w:space="0" w:color="auto"/>
            </w:tcBorders>
            <w:vAlign w:val="center"/>
          </w:tcPr>
          <w:p w14:paraId="5A5DB7B5" w14:textId="77777777" w:rsidR="002F5445" w:rsidRPr="007A3223" w:rsidRDefault="002F5445" w:rsidP="00E96BEA">
            <w:pPr>
              <w:spacing w:after="0"/>
              <w:rPr>
                <w:sz w:val="22"/>
              </w:rPr>
            </w:pPr>
          </w:p>
        </w:tc>
        <w:tc>
          <w:tcPr>
            <w:tcW w:w="1080" w:type="dxa"/>
            <w:tcBorders>
              <w:top w:val="single" w:sz="6" w:space="0" w:color="auto"/>
              <w:left w:val="nil"/>
              <w:bottom w:val="single" w:sz="6" w:space="0" w:color="auto"/>
              <w:right w:val="single" w:sz="6" w:space="0" w:color="auto"/>
            </w:tcBorders>
            <w:vAlign w:val="center"/>
          </w:tcPr>
          <w:p w14:paraId="585D91BD" w14:textId="77777777" w:rsidR="002F5445" w:rsidRPr="007A3223" w:rsidRDefault="002F5445" w:rsidP="00E96BEA">
            <w:pPr>
              <w:spacing w:after="0"/>
              <w:rPr>
                <w:sz w:val="22"/>
              </w:rPr>
            </w:pPr>
            <w:r w:rsidRPr="007A3223">
              <w:rPr>
                <w:sz w:val="22"/>
              </w:rPr>
              <w:t>10</w:t>
            </w:r>
          </w:p>
        </w:tc>
        <w:tc>
          <w:tcPr>
            <w:tcW w:w="3420" w:type="dxa"/>
            <w:tcBorders>
              <w:top w:val="single" w:sz="6" w:space="0" w:color="auto"/>
              <w:left w:val="nil"/>
              <w:bottom w:val="single" w:sz="6" w:space="0" w:color="auto"/>
            </w:tcBorders>
          </w:tcPr>
          <w:p w14:paraId="18ACEA96" w14:textId="77777777" w:rsidR="002F5445" w:rsidRPr="007A3223" w:rsidRDefault="002F5445" w:rsidP="00E96BEA">
            <w:pPr>
              <w:spacing w:after="0"/>
              <w:rPr>
                <w:sz w:val="22"/>
              </w:rPr>
            </w:pPr>
            <w:r w:rsidRPr="007A3223">
              <w:rPr>
                <w:sz w:val="22"/>
              </w:rPr>
              <w:t>Moribund, fatal processes progressing rapidly.</w:t>
            </w:r>
          </w:p>
        </w:tc>
      </w:tr>
      <w:tr w:rsidR="002F5445" w:rsidRPr="007A3223" w14:paraId="236768F7" w14:textId="77777777" w:rsidTr="002F5445">
        <w:trPr>
          <w:jc w:val="center"/>
        </w:trPr>
        <w:tc>
          <w:tcPr>
            <w:tcW w:w="1170" w:type="dxa"/>
            <w:tcBorders>
              <w:top w:val="nil"/>
              <w:bottom w:val="double" w:sz="6" w:space="0" w:color="auto"/>
              <w:right w:val="single" w:sz="6" w:space="0" w:color="auto"/>
            </w:tcBorders>
            <w:vAlign w:val="center"/>
          </w:tcPr>
          <w:p w14:paraId="4F552172" w14:textId="77777777" w:rsidR="002F5445" w:rsidRPr="007A3223" w:rsidRDefault="002F5445" w:rsidP="00E96BEA">
            <w:pPr>
              <w:spacing w:after="0"/>
              <w:rPr>
                <w:sz w:val="22"/>
              </w:rPr>
            </w:pPr>
            <w:r w:rsidRPr="007A3223">
              <w:rPr>
                <w:sz w:val="22"/>
              </w:rPr>
              <w:t>5</w:t>
            </w:r>
          </w:p>
        </w:tc>
        <w:tc>
          <w:tcPr>
            <w:tcW w:w="3510" w:type="dxa"/>
            <w:tcBorders>
              <w:top w:val="nil"/>
              <w:left w:val="nil"/>
              <w:bottom w:val="double" w:sz="6" w:space="0" w:color="auto"/>
              <w:right w:val="single" w:sz="6" w:space="0" w:color="auto"/>
            </w:tcBorders>
            <w:vAlign w:val="center"/>
          </w:tcPr>
          <w:p w14:paraId="0FF0E956" w14:textId="77777777" w:rsidR="002F5445" w:rsidRPr="007A3223" w:rsidRDefault="002F5445" w:rsidP="00E96BEA">
            <w:pPr>
              <w:spacing w:after="0"/>
              <w:rPr>
                <w:sz w:val="22"/>
              </w:rPr>
            </w:pPr>
            <w:r w:rsidRPr="007A3223">
              <w:rPr>
                <w:sz w:val="22"/>
              </w:rPr>
              <w:t>Dead.</w:t>
            </w:r>
          </w:p>
        </w:tc>
        <w:tc>
          <w:tcPr>
            <w:tcW w:w="1080" w:type="dxa"/>
            <w:tcBorders>
              <w:top w:val="nil"/>
              <w:left w:val="nil"/>
              <w:bottom w:val="double" w:sz="6" w:space="0" w:color="auto"/>
              <w:right w:val="single" w:sz="6" w:space="0" w:color="auto"/>
            </w:tcBorders>
            <w:vAlign w:val="center"/>
          </w:tcPr>
          <w:p w14:paraId="28343055" w14:textId="77777777" w:rsidR="002F5445" w:rsidRPr="007A3223" w:rsidRDefault="002F5445" w:rsidP="00E96BEA">
            <w:pPr>
              <w:spacing w:after="0"/>
              <w:rPr>
                <w:sz w:val="22"/>
              </w:rPr>
            </w:pPr>
            <w:r w:rsidRPr="007A3223">
              <w:rPr>
                <w:sz w:val="22"/>
              </w:rPr>
              <w:t>0</w:t>
            </w:r>
          </w:p>
        </w:tc>
        <w:tc>
          <w:tcPr>
            <w:tcW w:w="3420" w:type="dxa"/>
            <w:tcBorders>
              <w:top w:val="nil"/>
              <w:left w:val="nil"/>
              <w:bottom w:val="double" w:sz="6" w:space="0" w:color="auto"/>
            </w:tcBorders>
          </w:tcPr>
          <w:p w14:paraId="752EE72C" w14:textId="77777777" w:rsidR="002F5445" w:rsidRPr="007A3223" w:rsidRDefault="002F5445" w:rsidP="00E96BEA">
            <w:pPr>
              <w:spacing w:after="0"/>
              <w:rPr>
                <w:sz w:val="22"/>
              </w:rPr>
            </w:pPr>
            <w:r w:rsidRPr="007A3223">
              <w:rPr>
                <w:sz w:val="22"/>
              </w:rPr>
              <w:t>Dead.</w:t>
            </w:r>
          </w:p>
        </w:tc>
      </w:tr>
    </w:tbl>
    <w:p w14:paraId="51328773" w14:textId="77777777" w:rsidR="002F5445" w:rsidRPr="007A3223" w:rsidRDefault="002F5445" w:rsidP="00E96BEA">
      <w:pPr>
        <w:spacing w:after="0"/>
        <w:rPr>
          <w:sz w:val="22"/>
        </w:rPr>
      </w:pPr>
    </w:p>
    <w:p w14:paraId="1A8317B4" w14:textId="77777777" w:rsidR="00CD04A9" w:rsidRPr="007A3223" w:rsidRDefault="00CD04A9" w:rsidP="00EA69AB">
      <w:bookmarkStart w:id="575" w:name="_Ref398888699"/>
    </w:p>
    <w:p w14:paraId="32310E76" w14:textId="77777777" w:rsidR="00CD04A9" w:rsidRPr="007A3223" w:rsidRDefault="00CD04A9" w:rsidP="00EA69AB"/>
    <w:p w14:paraId="257D64C8" w14:textId="77777777" w:rsidR="00CD04A9" w:rsidRPr="007A3223" w:rsidRDefault="00CD04A9" w:rsidP="00DE1F2F">
      <w:pPr>
        <w:spacing w:after="0"/>
      </w:pPr>
    </w:p>
    <w:p w14:paraId="56901569" w14:textId="0B36CF0C" w:rsidR="00E4458B" w:rsidRPr="007A3223" w:rsidRDefault="00E4458B" w:rsidP="00ED703B">
      <w:pPr>
        <w:pStyle w:val="Heading2"/>
      </w:pPr>
      <w:bookmarkStart w:id="576" w:name="_Ref408917937"/>
      <w:bookmarkStart w:id="577" w:name="_Toc82444425"/>
      <w:r w:rsidRPr="007A3223">
        <w:lastRenderedPageBreak/>
        <w:t xml:space="preserve">Appendix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B</w:t>
      </w:r>
      <w:r w:rsidR="00F82420" w:rsidRPr="00F33908">
        <w:rPr>
          <w:noProof/>
        </w:rPr>
        <w:fldChar w:fldCharType="end"/>
      </w:r>
      <w:bookmarkEnd w:id="575"/>
      <w:bookmarkEnd w:id="576"/>
      <w:r w:rsidR="001315B8">
        <w:rPr>
          <w:noProof/>
          <w:lang w:val="en-US"/>
        </w:rPr>
        <w:t xml:space="preserve">: </w:t>
      </w:r>
      <w:r w:rsidRPr="007A3223">
        <w:t>Inhibitors and Ind</w:t>
      </w:r>
      <w:r w:rsidRPr="00F33908">
        <w:t>ucers of CYP3A4</w:t>
      </w:r>
      <w:bookmarkEnd w:id="577"/>
    </w:p>
    <w:p w14:paraId="7092454B" w14:textId="77777777" w:rsidR="00E4458B" w:rsidRPr="007A3223" w:rsidRDefault="006305FE" w:rsidP="0068644C">
      <w:r w:rsidRPr="007A3223">
        <w:rPr>
          <w:b/>
        </w:rPr>
        <w:t>CYP3A4 INDUCERS (PROHIBITED)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3117"/>
        <w:gridCol w:w="3115"/>
      </w:tblGrid>
      <w:tr w:rsidR="00AE76F9" w:rsidRPr="007A3223" w14:paraId="49F5C419" w14:textId="77777777" w:rsidTr="005A2849">
        <w:trPr>
          <w:trHeight w:val="1008"/>
        </w:trPr>
        <w:tc>
          <w:tcPr>
            <w:tcW w:w="1667" w:type="pct"/>
          </w:tcPr>
          <w:p w14:paraId="36793A85" w14:textId="77777777" w:rsidR="00AE76F9" w:rsidRPr="007A3223" w:rsidRDefault="00AE76F9" w:rsidP="00AE76F9">
            <w:pPr>
              <w:autoSpaceDE w:val="0"/>
              <w:autoSpaceDN w:val="0"/>
              <w:adjustRightInd w:val="0"/>
              <w:spacing w:after="0"/>
              <w:rPr>
                <w:color w:val="000000"/>
                <w:szCs w:val="24"/>
              </w:rPr>
            </w:pPr>
            <w:r w:rsidRPr="007A3223">
              <w:rPr>
                <w:color w:val="000000"/>
                <w:szCs w:val="24"/>
              </w:rPr>
              <w:t>Armodafenil</w:t>
            </w:r>
            <w:r w:rsidR="005A2849" w:rsidRPr="007A3223">
              <w:rPr>
                <w:color w:val="000000"/>
                <w:szCs w:val="24"/>
                <w:vertAlign w:val="superscript"/>
              </w:rPr>
              <w:t xml:space="preserve">1 </w:t>
            </w:r>
            <w:r w:rsidRPr="007A3223">
              <w:rPr>
                <w:color w:val="000000"/>
                <w:szCs w:val="24"/>
              </w:rPr>
              <w:t xml:space="preserve"> </w:t>
            </w:r>
          </w:p>
          <w:p w14:paraId="63C6C5EC" w14:textId="77777777" w:rsidR="00AE76F9" w:rsidRPr="007A3223" w:rsidRDefault="00AE76F9" w:rsidP="00AE76F9">
            <w:pPr>
              <w:autoSpaceDE w:val="0"/>
              <w:autoSpaceDN w:val="0"/>
              <w:adjustRightInd w:val="0"/>
              <w:spacing w:after="0"/>
              <w:rPr>
                <w:color w:val="000000"/>
                <w:szCs w:val="24"/>
              </w:rPr>
            </w:pPr>
            <w:r w:rsidRPr="007A3223">
              <w:rPr>
                <w:color w:val="000000"/>
                <w:szCs w:val="24"/>
              </w:rPr>
              <w:t>Barbiturates</w:t>
            </w:r>
            <w:r w:rsidR="005A2849" w:rsidRPr="007A3223">
              <w:rPr>
                <w:color w:val="000000"/>
                <w:szCs w:val="24"/>
                <w:vertAlign w:val="superscript"/>
              </w:rPr>
              <w:t xml:space="preserve">2 </w:t>
            </w:r>
            <w:r w:rsidRPr="007A3223">
              <w:rPr>
                <w:color w:val="000000"/>
                <w:szCs w:val="24"/>
              </w:rPr>
              <w:t xml:space="preserve"> </w:t>
            </w:r>
          </w:p>
          <w:p w14:paraId="5BA3E51F" w14:textId="77777777" w:rsidR="00AE76F9" w:rsidRPr="007A3223" w:rsidRDefault="00AE76F9" w:rsidP="00AE76F9">
            <w:pPr>
              <w:autoSpaceDE w:val="0"/>
              <w:autoSpaceDN w:val="0"/>
              <w:adjustRightInd w:val="0"/>
              <w:spacing w:after="0"/>
              <w:rPr>
                <w:color w:val="000000"/>
                <w:szCs w:val="24"/>
              </w:rPr>
            </w:pPr>
            <w:r w:rsidRPr="007A3223">
              <w:rPr>
                <w:color w:val="000000"/>
                <w:szCs w:val="24"/>
              </w:rPr>
              <w:t>Bosentan</w:t>
            </w:r>
            <w:r w:rsidR="005A2849" w:rsidRPr="007A3223">
              <w:rPr>
                <w:color w:val="000000"/>
                <w:szCs w:val="24"/>
                <w:vertAlign w:val="superscript"/>
              </w:rPr>
              <w:t xml:space="preserve">1 </w:t>
            </w:r>
            <w:r w:rsidRPr="007A3223">
              <w:rPr>
                <w:color w:val="000000"/>
                <w:szCs w:val="24"/>
              </w:rPr>
              <w:t xml:space="preserve"> </w:t>
            </w:r>
          </w:p>
          <w:p w14:paraId="3999AFCD"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Carbamazepine </w:t>
            </w:r>
          </w:p>
          <w:p w14:paraId="57FA27A2" w14:textId="77777777" w:rsidR="00AE76F9" w:rsidRPr="007A3223" w:rsidRDefault="00AE76F9" w:rsidP="00AE76F9">
            <w:pPr>
              <w:autoSpaceDE w:val="0"/>
              <w:autoSpaceDN w:val="0"/>
              <w:adjustRightInd w:val="0"/>
              <w:spacing w:after="0"/>
              <w:rPr>
                <w:color w:val="000000"/>
                <w:szCs w:val="24"/>
              </w:rPr>
            </w:pPr>
            <w:r w:rsidRPr="007A3223">
              <w:rPr>
                <w:color w:val="000000"/>
                <w:szCs w:val="24"/>
              </w:rPr>
              <w:t>Dexamethasone</w:t>
            </w:r>
            <w:r w:rsidR="005A2849" w:rsidRPr="007A3223">
              <w:rPr>
                <w:color w:val="000000"/>
                <w:szCs w:val="24"/>
                <w:vertAlign w:val="superscript"/>
              </w:rPr>
              <w:t xml:space="preserve">1 </w:t>
            </w:r>
            <w:r w:rsidRPr="007A3223">
              <w:rPr>
                <w:color w:val="000000"/>
                <w:szCs w:val="24"/>
              </w:rPr>
              <w:t xml:space="preserve"> </w:t>
            </w:r>
          </w:p>
          <w:p w14:paraId="32CF5BBA"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Efavirenz </w:t>
            </w:r>
          </w:p>
          <w:p w14:paraId="57FEBB4C" w14:textId="77777777" w:rsidR="00AE76F9" w:rsidRPr="007A3223" w:rsidRDefault="00AE76F9" w:rsidP="00AE76F9">
            <w:pPr>
              <w:autoSpaceDE w:val="0"/>
              <w:autoSpaceDN w:val="0"/>
              <w:adjustRightInd w:val="0"/>
              <w:spacing w:after="0"/>
              <w:rPr>
                <w:color w:val="000000"/>
                <w:szCs w:val="24"/>
              </w:rPr>
            </w:pPr>
            <w:r w:rsidRPr="007A3223">
              <w:rPr>
                <w:color w:val="000000"/>
                <w:szCs w:val="24"/>
              </w:rPr>
              <w:t>Fosphenytoin</w:t>
            </w:r>
            <w:r w:rsidR="005A2849" w:rsidRPr="007A3223">
              <w:rPr>
                <w:color w:val="000000"/>
                <w:szCs w:val="24"/>
                <w:vertAlign w:val="superscript"/>
              </w:rPr>
              <w:t xml:space="preserve">1 </w:t>
            </w:r>
            <w:r w:rsidRPr="007A3223">
              <w:rPr>
                <w:color w:val="000000"/>
                <w:szCs w:val="24"/>
              </w:rPr>
              <w:t xml:space="preserve"> </w:t>
            </w:r>
          </w:p>
          <w:p w14:paraId="62642C72" w14:textId="77777777" w:rsidR="00AE76F9" w:rsidRPr="007A3223" w:rsidRDefault="00AE76F9" w:rsidP="00AE76F9">
            <w:pPr>
              <w:autoSpaceDE w:val="0"/>
              <w:autoSpaceDN w:val="0"/>
              <w:adjustRightInd w:val="0"/>
              <w:spacing w:after="0"/>
              <w:rPr>
                <w:color w:val="000000"/>
                <w:szCs w:val="24"/>
              </w:rPr>
            </w:pPr>
            <w:r w:rsidRPr="007A3223">
              <w:rPr>
                <w:color w:val="000000"/>
                <w:szCs w:val="24"/>
              </w:rPr>
              <w:t>Glucocorticoids</w:t>
            </w:r>
            <w:r w:rsidR="005A2849" w:rsidRPr="007A3223">
              <w:rPr>
                <w:color w:val="000000"/>
                <w:szCs w:val="24"/>
                <w:vertAlign w:val="superscript"/>
              </w:rPr>
              <w:t xml:space="preserve">2 </w:t>
            </w:r>
            <w:r w:rsidRPr="007A3223">
              <w:rPr>
                <w:color w:val="000000"/>
                <w:szCs w:val="24"/>
              </w:rPr>
              <w:t xml:space="preserve"> (see note) </w:t>
            </w:r>
          </w:p>
        </w:tc>
        <w:tc>
          <w:tcPr>
            <w:tcW w:w="1667" w:type="pct"/>
          </w:tcPr>
          <w:p w14:paraId="380A0973" w14:textId="77777777" w:rsidR="00AE76F9" w:rsidRPr="007A3223" w:rsidRDefault="00AE76F9" w:rsidP="00AE76F9">
            <w:pPr>
              <w:autoSpaceDE w:val="0"/>
              <w:autoSpaceDN w:val="0"/>
              <w:adjustRightInd w:val="0"/>
              <w:spacing w:after="0"/>
              <w:rPr>
                <w:color w:val="000000"/>
                <w:szCs w:val="24"/>
              </w:rPr>
            </w:pPr>
            <w:r w:rsidRPr="007A3223">
              <w:rPr>
                <w:color w:val="000000"/>
                <w:szCs w:val="24"/>
              </w:rPr>
              <w:t>Modafinil</w:t>
            </w:r>
            <w:r w:rsidR="005A2849" w:rsidRPr="007A3223">
              <w:rPr>
                <w:color w:val="000000"/>
                <w:szCs w:val="24"/>
                <w:vertAlign w:val="superscript"/>
              </w:rPr>
              <w:t xml:space="preserve">2 </w:t>
            </w:r>
            <w:r w:rsidRPr="007A3223">
              <w:rPr>
                <w:color w:val="000000"/>
                <w:szCs w:val="24"/>
              </w:rPr>
              <w:t xml:space="preserve"> </w:t>
            </w:r>
          </w:p>
          <w:p w14:paraId="74195A2A" w14:textId="77777777" w:rsidR="00AE76F9" w:rsidRPr="007A3223" w:rsidRDefault="00AE76F9" w:rsidP="00AE76F9">
            <w:pPr>
              <w:autoSpaceDE w:val="0"/>
              <w:autoSpaceDN w:val="0"/>
              <w:adjustRightInd w:val="0"/>
              <w:spacing w:after="0"/>
              <w:rPr>
                <w:color w:val="000000"/>
                <w:szCs w:val="24"/>
              </w:rPr>
            </w:pPr>
            <w:r w:rsidRPr="007A3223">
              <w:rPr>
                <w:color w:val="000000"/>
                <w:szCs w:val="24"/>
              </w:rPr>
              <w:t>Nafcillin</w:t>
            </w:r>
            <w:r w:rsidR="005A2849" w:rsidRPr="007A3223">
              <w:rPr>
                <w:color w:val="000000"/>
                <w:szCs w:val="24"/>
                <w:vertAlign w:val="superscript"/>
              </w:rPr>
              <w:t xml:space="preserve">1 </w:t>
            </w:r>
            <w:r w:rsidRPr="007A3223">
              <w:rPr>
                <w:color w:val="000000"/>
                <w:szCs w:val="24"/>
              </w:rPr>
              <w:t xml:space="preserve"> </w:t>
            </w:r>
          </w:p>
          <w:p w14:paraId="0BA4F1DA"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Nevirapine </w:t>
            </w:r>
          </w:p>
          <w:p w14:paraId="51DEDD95"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Oxcarbazepine </w:t>
            </w:r>
          </w:p>
          <w:p w14:paraId="6DE78F78" w14:textId="77777777" w:rsidR="00AE76F9" w:rsidRPr="007A3223" w:rsidRDefault="00AE76F9" w:rsidP="00AE76F9">
            <w:pPr>
              <w:autoSpaceDE w:val="0"/>
              <w:autoSpaceDN w:val="0"/>
              <w:adjustRightInd w:val="0"/>
              <w:spacing w:after="0"/>
              <w:rPr>
                <w:color w:val="000000"/>
                <w:szCs w:val="24"/>
              </w:rPr>
            </w:pPr>
            <w:r w:rsidRPr="007A3223">
              <w:rPr>
                <w:color w:val="000000"/>
                <w:szCs w:val="24"/>
              </w:rPr>
              <w:t>Pentobarbital</w:t>
            </w:r>
            <w:r w:rsidR="005A2849" w:rsidRPr="007A3223">
              <w:rPr>
                <w:color w:val="000000"/>
                <w:szCs w:val="24"/>
                <w:vertAlign w:val="superscript"/>
              </w:rPr>
              <w:t xml:space="preserve">1 </w:t>
            </w:r>
            <w:r w:rsidRPr="007A3223">
              <w:rPr>
                <w:color w:val="000000"/>
                <w:szCs w:val="24"/>
              </w:rPr>
              <w:t xml:space="preserve"> </w:t>
            </w:r>
          </w:p>
          <w:p w14:paraId="6777CF79"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Phenobarbital </w:t>
            </w:r>
          </w:p>
          <w:p w14:paraId="7A5F4FE9"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Phenytoin </w:t>
            </w:r>
          </w:p>
          <w:p w14:paraId="3589A09F" w14:textId="77777777" w:rsidR="00AE76F9" w:rsidRPr="007A3223" w:rsidRDefault="00AE76F9" w:rsidP="00AE76F9">
            <w:pPr>
              <w:autoSpaceDE w:val="0"/>
              <w:autoSpaceDN w:val="0"/>
              <w:adjustRightInd w:val="0"/>
              <w:spacing w:after="0"/>
              <w:rPr>
                <w:color w:val="000000"/>
                <w:szCs w:val="24"/>
              </w:rPr>
            </w:pPr>
            <w:r w:rsidRPr="007A3223">
              <w:rPr>
                <w:color w:val="000000"/>
                <w:szCs w:val="24"/>
              </w:rPr>
              <w:t>Pioglitazone</w:t>
            </w:r>
            <w:r w:rsidR="005A2849" w:rsidRPr="007A3223">
              <w:rPr>
                <w:color w:val="000000"/>
                <w:szCs w:val="24"/>
                <w:vertAlign w:val="superscript"/>
              </w:rPr>
              <w:t xml:space="preserve">2 </w:t>
            </w:r>
            <w:r w:rsidRPr="007A3223">
              <w:rPr>
                <w:color w:val="000000"/>
                <w:szCs w:val="24"/>
              </w:rPr>
              <w:t xml:space="preserve"> </w:t>
            </w:r>
          </w:p>
        </w:tc>
        <w:tc>
          <w:tcPr>
            <w:tcW w:w="1667" w:type="pct"/>
          </w:tcPr>
          <w:p w14:paraId="7BE3BAB7" w14:textId="77777777" w:rsidR="00AE76F9" w:rsidRPr="007A3223" w:rsidRDefault="00AE76F9" w:rsidP="00AE76F9">
            <w:pPr>
              <w:autoSpaceDE w:val="0"/>
              <w:autoSpaceDN w:val="0"/>
              <w:adjustRightInd w:val="0"/>
              <w:spacing w:after="0"/>
              <w:rPr>
                <w:color w:val="000000"/>
                <w:szCs w:val="24"/>
              </w:rPr>
            </w:pPr>
            <w:r w:rsidRPr="007A3223">
              <w:rPr>
                <w:color w:val="000000"/>
                <w:szCs w:val="24"/>
              </w:rPr>
              <w:t>Primidone</w:t>
            </w:r>
            <w:r w:rsidR="005A2849" w:rsidRPr="007A3223">
              <w:rPr>
                <w:color w:val="000000"/>
                <w:szCs w:val="24"/>
                <w:vertAlign w:val="superscript"/>
              </w:rPr>
              <w:t xml:space="preserve">1 </w:t>
            </w:r>
            <w:r w:rsidRPr="007A3223">
              <w:rPr>
                <w:color w:val="000000"/>
                <w:szCs w:val="24"/>
              </w:rPr>
              <w:t xml:space="preserve"> </w:t>
            </w:r>
          </w:p>
          <w:p w14:paraId="6A7EFF34"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Rifabutin </w:t>
            </w:r>
          </w:p>
          <w:p w14:paraId="2511707E" w14:textId="77777777" w:rsidR="00AE76F9" w:rsidRPr="007A3223" w:rsidRDefault="00AE76F9" w:rsidP="00AE76F9">
            <w:pPr>
              <w:autoSpaceDE w:val="0"/>
              <w:autoSpaceDN w:val="0"/>
              <w:adjustRightInd w:val="0"/>
              <w:spacing w:after="0"/>
              <w:rPr>
                <w:color w:val="000000"/>
                <w:szCs w:val="24"/>
              </w:rPr>
            </w:pPr>
            <w:r w:rsidRPr="007A3223">
              <w:rPr>
                <w:color w:val="000000"/>
                <w:szCs w:val="24"/>
              </w:rPr>
              <w:t xml:space="preserve">Rifampin </w:t>
            </w:r>
          </w:p>
          <w:p w14:paraId="29155C41" w14:textId="77777777" w:rsidR="00AE76F9" w:rsidRPr="007A3223" w:rsidRDefault="00AE76F9" w:rsidP="00AE76F9">
            <w:pPr>
              <w:autoSpaceDE w:val="0"/>
              <w:autoSpaceDN w:val="0"/>
              <w:adjustRightInd w:val="0"/>
              <w:spacing w:after="0"/>
              <w:rPr>
                <w:color w:val="000000"/>
                <w:szCs w:val="24"/>
              </w:rPr>
            </w:pPr>
            <w:r w:rsidRPr="007A3223">
              <w:rPr>
                <w:color w:val="000000"/>
                <w:szCs w:val="24"/>
              </w:rPr>
              <w:t>Rifapentine</w:t>
            </w:r>
            <w:r w:rsidR="005A2849" w:rsidRPr="007A3223">
              <w:rPr>
                <w:color w:val="000000"/>
                <w:szCs w:val="24"/>
                <w:vertAlign w:val="superscript"/>
              </w:rPr>
              <w:t xml:space="preserve">1 </w:t>
            </w:r>
            <w:r w:rsidRPr="007A3223">
              <w:rPr>
                <w:color w:val="000000"/>
                <w:szCs w:val="24"/>
              </w:rPr>
              <w:t xml:space="preserve"> </w:t>
            </w:r>
          </w:p>
          <w:p w14:paraId="3380F238" w14:textId="77777777" w:rsidR="00AE76F9" w:rsidRPr="007A3223" w:rsidRDefault="00AE76F9" w:rsidP="00AE76F9">
            <w:pPr>
              <w:autoSpaceDE w:val="0"/>
              <w:autoSpaceDN w:val="0"/>
              <w:adjustRightInd w:val="0"/>
              <w:spacing w:after="0"/>
              <w:rPr>
                <w:color w:val="000000"/>
                <w:szCs w:val="24"/>
              </w:rPr>
            </w:pPr>
            <w:r w:rsidRPr="007A3223">
              <w:rPr>
                <w:color w:val="000000"/>
                <w:szCs w:val="24"/>
              </w:rPr>
              <w:t>St. John’s wort</w:t>
            </w:r>
            <w:r w:rsidR="005A2849" w:rsidRPr="007A3223">
              <w:rPr>
                <w:color w:val="000000"/>
                <w:szCs w:val="24"/>
                <w:vertAlign w:val="superscript"/>
              </w:rPr>
              <w:t xml:space="preserve">2 </w:t>
            </w:r>
            <w:r w:rsidRPr="007A3223">
              <w:rPr>
                <w:color w:val="000000"/>
                <w:szCs w:val="24"/>
              </w:rPr>
              <w:t xml:space="preserve"> </w:t>
            </w:r>
          </w:p>
          <w:p w14:paraId="74D9288E" w14:textId="77777777" w:rsidR="00AE76F9" w:rsidRPr="007A3223" w:rsidRDefault="00AE76F9" w:rsidP="00AE76F9">
            <w:pPr>
              <w:autoSpaceDE w:val="0"/>
              <w:autoSpaceDN w:val="0"/>
              <w:adjustRightInd w:val="0"/>
              <w:spacing w:after="0"/>
              <w:rPr>
                <w:color w:val="000000"/>
                <w:szCs w:val="24"/>
              </w:rPr>
            </w:pPr>
            <w:r w:rsidRPr="007A3223">
              <w:rPr>
                <w:color w:val="000000"/>
                <w:szCs w:val="24"/>
              </w:rPr>
              <w:t>Troglitazone</w:t>
            </w:r>
            <w:r w:rsidR="005A2849" w:rsidRPr="007A3223">
              <w:rPr>
                <w:color w:val="000000"/>
                <w:szCs w:val="24"/>
                <w:vertAlign w:val="superscript"/>
              </w:rPr>
              <w:t>3</w:t>
            </w:r>
            <w:r w:rsidRPr="007A3223">
              <w:rPr>
                <w:color w:val="000000"/>
                <w:szCs w:val="24"/>
              </w:rPr>
              <w:t xml:space="preserve"> </w:t>
            </w:r>
          </w:p>
        </w:tc>
      </w:tr>
    </w:tbl>
    <w:p w14:paraId="7470DE4D" w14:textId="77777777" w:rsidR="00AE76F9" w:rsidRPr="007A3223" w:rsidRDefault="00AE76F9" w:rsidP="00AE76F9">
      <w:pPr>
        <w:pStyle w:val="Default"/>
        <w:rPr>
          <w:sz w:val="22"/>
          <w:szCs w:val="22"/>
        </w:rPr>
      </w:pPr>
      <w:r w:rsidRPr="007A3223">
        <w:rPr>
          <w:b/>
          <w:bCs/>
        </w:rPr>
        <w:t xml:space="preserve">Note: </w:t>
      </w:r>
      <w:r w:rsidRPr="007A3223">
        <w:rPr>
          <w:sz w:val="22"/>
          <w:szCs w:val="22"/>
        </w:rPr>
        <w:t xml:space="preserve">Topical steroids are permitted. Please contact overall PI if systemic steroids are clinically indicated while on trial. </w:t>
      </w:r>
    </w:p>
    <w:p w14:paraId="290D2D68" w14:textId="77777777" w:rsidR="00AE76F9" w:rsidRPr="007A3223" w:rsidRDefault="00AE76F9" w:rsidP="00AE76F9">
      <w:pPr>
        <w:pStyle w:val="Default"/>
        <w:rPr>
          <w:sz w:val="22"/>
          <w:szCs w:val="22"/>
        </w:rPr>
      </w:pPr>
      <w:r w:rsidRPr="007A3223">
        <w:rPr>
          <w:sz w:val="22"/>
          <w:szCs w:val="22"/>
        </w:rPr>
        <w:t xml:space="preserve">1 Cited in Cytochrome P450 Enzymes: Substrates, Inhibitors, and Inducers. In: Lacy CF, Armstrong LL, Goldman MP, Lance LL, eds. Drug Information Handbook 20th ed. Hudson, OH; LexiComp Inc. 2011-2012: 1810-1818 </w:t>
      </w:r>
    </w:p>
    <w:p w14:paraId="7993A4F4" w14:textId="77777777" w:rsidR="00AE76F9" w:rsidRPr="007A3223" w:rsidRDefault="00AE76F9" w:rsidP="00AE76F9">
      <w:pPr>
        <w:pStyle w:val="Default"/>
        <w:rPr>
          <w:sz w:val="22"/>
          <w:szCs w:val="22"/>
        </w:rPr>
      </w:pPr>
      <w:r w:rsidRPr="007A3223">
        <w:rPr>
          <w:sz w:val="22"/>
          <w:szCs w:val="22"/>
        </w:rPr>
        <w:t xml:space="preserve">2 Cited in Flockhart DA. Drug Interactions: Cytochrome P450 Drug Interaction Table. Indiana University School of Medicine (2007). http://medicine.iupui.edu/clinpharm/ddis/table.asp. Accessed Nov 2011. </w:t>
      </w:r>
    </w:p>
    <w:p w14:paraId="302C0AFE" w14:textId="77777777" w:rsidR="00AE76F9" w:rsidRPr="007A3223" w:rsidRDefault="00AE76F9" w:rsidP="00AE76F9">
      <w:pPr>
        <w:pStyle w:val="Default"/>
        <w:rPr>
          <w:sz w:val="22"/>
          <w:szCs w:val="22"/>
        </w:rPr>
      </w:pPr>
      <w:r w:rsidRPr="007A3223">
        <w:rPr>
          <w:sz w:val="22"/>
          <w:szCs w:val="22"/>
        </w:rPr>
        <w:t xml:space="preserve">3 Weak inhibitor per Lacy et al. May be used with caution. </w:t>
      </w:r>
    </w:p>
    <w:p w14:paraId="24AE90E9" w14:textId="77777777" w:rsidR="00AE76F9" w:rsidRPr="007A3223" w:rsidRDefault="00AE76F9" w:rsidP="00AE76F9">
      <w:pPr>
        <w:rPr>
          <w:szCs w:val="24"/>
        </w:rPr>
      </w:pPr>
      <w:r w:rsidRPr="007A3223">
        <w:rPr>
          <w:sz w:val="22"/>
        </w:rPr>
        <w:t>Note: Drugs without a superscript are cited in both the Lacy and Flockhart references</w:t>
      </w:r>
      <w:r w:rsidRPr="007A3223">
        <w:rPr>
          <w:szCs w:val="24"/>
        </w:rPr>
        <w:t>.</w:t>
      </w:r>
    </w:p>
    <w:p w14:paraId="57F9FDEE" w14:textId="77777777" w:rsidR="00AE76F9" w:rsidRPr="007A3223" w:rsidRDefault="006305FE" w:rsidP="0068644C">
      <w:r w:rsidRPr="007A3223">
        <w:rPr>
          <w:b/>
        </w:rPr>
        <w:t xml:space="preserve">CYP3A4 INHIBITORS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43" w:type="dxa"/>
          <w:right w:w="115" w:type="dxa"/>
        </w:tblCellMar>
        <w:tblLook w:val="0000" w:firstRow="0" w:lastRow="0" w:firstColumn="0" w:lastColumn="0" w:noHBand="0" w:noVBand="0"/>
      </w:tblPr>
      <w:tblGrid>
        <w:gridCol w:w="3116"/>
        <w:gridCol w:w="3117"/>
        <w:gridCol w:w="3117"/>
      </w:tblGrid>
      <w:tr w:rsidR="00396FA4" w:rsidRPr="007A3223" w14:paraId="30E9D9DD" w14:textId="77777777" w:rsidTr="005A2849">
        <w:trPr>
          <w:trHeight w:val="380"/>
        </w:trPr>
        <w:tc>
          <w:tcPr>
            <w:tcW w:w="1666" w:type="pct"/>
          </w:tcPr>
          <w:p w14:paraId="2C8F71A6" w14:textId="77777777" w:rsidR="00AE76F9" w:rsidRPr="007A3223" w:rsidRDefault="00AE76F9" w:rsidP="00AE76F9">
            <w:pPr>
              <w:autoSpaceDE w:val="0"/>
              <w:autoSpaceDN w:val="0"/>
              <w:adjustRightInd w:val="0"/>
              <w:spacing w:after="0"/>
              <w:jc w:val="center"/>
              <w:rPr>
                <w:color w:val="000000"/>
                <w:szCs w:val="24"/>
              </w:rPr>
            </w:pPr>
            <w:r w:rsidRPr="007A3223">
              <w:rPr>
                <w:b/>
                <w:bCs/>
                <w:color w:val="000000"/>
                <w:szCs w:val="24"/>
              </w:rPr>
              <w:t xml:space="preserve">Strong Inhibitors </w:t>
            </w:r>
            <w:r w:rsidRPr="007A3223">
              <w:rPr>
                <w:bCs/>
                <w:color w:val="000000"/>
                <w:szCs w:val="24"/>
              </w:rPr>
              <w:t>(prohibited)</w:t>
            </w:r>
          </w:p>
        </w:tc>
        <w:tc>
          <w:tcPr>
            <w:tcW w:w="1667" w:type="pct"/>
          </w:tcPr>
          <w:p w14:paraId="1607AD25" w14:textId="77777777" w:rsidR="00AE76F9" w:rsidRPr="007A3223" w:rsidRDefault="00AE76F9" w:rsidP="00AE76F9">
            <w:pPr>
              <w:autoSpaceDE w:val="0"/>
              <w:autoSpaceDN w:val="0"/>
              <w:adjustRightInd w:val="0"/>
              <w:spacing w:after="0"/>
              <w:jc w:val="center"/>
              <w:rPr>
                <w:color w:val="000000"/>
                <w:szCs w:val="24"/>
              </w:rPr>
            </w:pPr>
            <w:r w:rsidRPr="007A3223">
              <w:rPr>
                <w:b/>
                <w:bCs/>
                <w:color w:val="000000"/>
                <w:szCs w:val="24"/>
              </w:rPr>
              <w:t>Moderate Inhibitors</w:t>
            </w:r>
          </w:p>
          <w:p w14:paraId="3F8A34FD" w14:textId="77777777" w:rsidR="00AE76F9" w:rsidRPr="007A3223" w:rsidRDefault="00AE76F9" w:rsidP="00AE76F9">
            <w:pPr>
              <w:autoSpaceDE w:val="0"/>
              <w:autoSpaceDN w:val="0"/>
              <w:adjustRightInd w:val="0"/>
              <w:spacing w:after="0"/>
              <w:jc w:val="center"/>
              <w:rPr>
                <w:color w:val="000000"/>
                <w:szCs w:val="24"/>
              </w:rPr>
            </w:pPr>
            <w:r w:rsidRPr="007A3223">
              <w:rPr>
                <w:color w:val="000000"/>
                <w:szCs w:val="24"/>
              </w:rPr>
              <w:t>(use with caution, avoid if possible)</w:t>
            </w:r>
          </w:p>
        </w:tc>
        <w:tc>
          <w:tcPr>
            <w:tcW w:w="1667" w:type="pct"/>
          </w:tcPr>
          <w:p w14:paraId="341FB1DE" w14:textId="77777777" w:rsidR="00AE76F9" w:rsidRPr="007A3223" w:rsidRDefault="00AE76F9" w:rsidP="00AE76F9">
            <w:pPr>
              <w:autoSpaceDE w:val="0"/>
              <w:autoSpaceDN w:val="0"/>
              <w:adjustRightInd w:val="0"/>
              <w:spacing w:after="0"/>
              <w:jc w:val="center"/>
              <w:rPr>
                <w:b/>
                <w:color w:val="000000"/>
                <w:szCs w:val="24"/>
              </w:rPr>
            </w:pPr>
            <w:r w:rsidRPr="007A3223">
              <w:rPr>
                <w:b/>
                <w:color w:val="000000"/>
                <w:szCs w:val="24"/>
              </w:rPr>
              <w:t>Weak Inhibitors</w:t>
            </w:r>
          </w:p>
          <w:p w14:paraId="3EF750F7" w14:textId="77777777" w:rsidR="00AE76F9" w:rsidRPr="007A3223" w:rsidRDefault="00AE76F9" w:rsidP="00AE76F9">
            <w:pPr>
              <w:autoSpaceDE w:val="0"/>
              <w:autoSpaceDN w:val="0"/>
              <w:adjustRightInd w:val="0"/>
              <w:spacing w:after="0"/>
              <w:jc w:val="center"/>
              <w:rPr>
                <w:color w:val="000000"/>
                <w:szCs w:val="24"/>
              </w:rPr>
            </w:pPr>
            <w:r w:rsidRPr="007A3223">
              <w:rPr>
                <w:color w:val="000000"/>
                <w:szCs w:val="24"/>
              </w:rPr>
              <w:t>(use with caution, avoid if possible)</w:t>
            </w:r>
          </w:p>
        </w:tc>
      </w:tr>
      <w:tr w:rsidR="00396FA4" w:rsidRPr="007A3223" w14:paraId="1EE4FC48" w14:textId="77777777" w:rsidTr="005A2849">
        <w:tc>
          <w:tcPr>
            <w:tcW w:w="1666" w:type="pct"/>
          </w:tcPr>
          <w:p w14:paraId="1657CDBA"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Amprenavir</w:t>
            </w:r>
            <w:r w:rsidRPr="007A3223">
              <w:rPr>
                <w:color w:val="000000"/>
                <w:sz w:val="22"/>
                <w:vertAlign w:val="superscript"/>
              </w:rPr>
              <w:t xml:space="preserve">1 </w:t>
            </w:r>
            <w:r w:rsidRPr="007A3223">
              <w:rPr>
                <w:color w:val="000000"/>
                <w:sz w:val="22"/>
              </w:rPr>
              <w:t xml:space="preserve"> </w:t>
            </w:r>
          </w:p>
          <w:p w14:paraId="417C1543"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Atazanavir</w:t>
            </w:r>
            <w:r w:rsidRPr="007A3223">
              <w:rPr>
                <w:color w:val="000000"/>
                <w:sz w:val="22"/>
                <w:vertAlign w:val="superscript"/>
              </w:rPr>
              <w:t xml:space="preserve">1 </w:t>
            </w:r>
            <w:r w:rsidRPr="007A3223">
              <w:rPr>
                <w:color w:val="000000"/>
                <w:sz w:val="22"/>
              </w:rPr>
              <w:t xml:space="preserve"> </w:t>
            </w:r>
          </w:p>
          <w:p w14:paraId="50488A20"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Clarithromycin </w:t>
            </w:r>
          </w:p>
          <w:p w14:paraId="09E7BEDA"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Conivaptan</w:t>
            </w:r>
            <w:r w:rsidRPr="007A3223">
              <w:rPr>
                <w:color w:val="000000"/>
                <w:sz w:val="22"/>
                <w:vertAlign w:val="superscript"/>
              </w:rPr>
              <w:t xml:space="preserve">1 </w:t>
            </w:r>
            <w:r w:rsidRPr="007A3223">
              <w:rPr>
                <w:color w:val="000000"/>
                <w:sz w:val="22"/>
              </w:rPr>
              <w:t xml:space="preserve"> </w:t>
            </w:r>
          </w:p>
          <w:p w14:paraId="1A9160C7"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Delavirdine</w:t>
            </w:r>
            <w:r w:rsidRPr="007A3223">
              <w:rPr>
                <w:color w:val="000000"/>
                <w:sz w:val="22"/>
                <w:vertAlign w:val="superscript"/>
              </w:rPr>
              <w:t xml:space="preserve">1 </w:t>
            </w:r>
            <w:r w:rsidRPr="007A3223">
              <w:rPr>
                <w:color w:val="000000"/>
                <w:sz w:val="22"/>
              </w:rPr>
              <w:t xml:space="preserve"> </w:t>
            </w:r>
          </w:p>
          <w:p w14:paraId="563A72E1"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Fosamprenavir</w:t>
            </w:r>
            <w:r w:rsidRPr="007A3223">
              <w:rPr>
                <w:color w:val="000000"/>
                <w:sz w:val="22"/>
                <w:vertAlign w:val="superscript"/>
              </w:rPr>
              <w:t xml:space="preserve">1 </w:t>
            </w:r>
            <w:r w:rsidRPr="007A3223">
              <w:rPr>
                <w:color w:val="000000"/>
                <w:sz w:val="22"/>
              </w:rPr>
              <w:t xml:space="preserve"> </w:t>
            </w:r>
          </w:p>
          <w:p w14:paraId="1B56119C"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Fospropofol</w:t>
            </w:r>
            <w:r w:rsidRPr="007A3223">
              <w:rPr>
                <w:color w:val="000000"/>
                <w:sz w:val="22"/>
                <w:vertAlign w:val="superscript"/>
              </w:rPr>
              <w:t xml:space="preserve">1 </w:t>
            </w:r>
            <w:r w:rsidRPr="007A3223">
              <w:rPr>
                <w:color w:val="000000"/>
                <w:sz w:val="22"/>
              </w:rPr>
              <w:t xml:space="preserve"> </w:t>
            </w:r>
          </w:p>
          <w:p w14:paraId="4FEE486A"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Imatinib</w:t>
            </w:r>
            <w:r w:rsidRPr="007A3223">
              <w:rPr>
                <w:color w:val="000000"/>
                <w:sz w:val="22"/>
                <w:vertAlign w:val="superscript"/>
              </w:rPr>
              <w:t xml:space="preserve">1 </w:t>
            </w:r>
            <w:r w:rsidRPr="007A3223">
              <w:rPr>
                <w:color w:val="000000"/>
                <w:sz w:val="22"/>
              </w:rPr>
              <w:t xml:space="preserve"> </w:t>
            </w:r>
          </w:p>
          <w:p w14:paraId="035CF3F0"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Indinavir </w:t>
            </w:r>
          </w:p>
          <w:p w14:paraId="2006E11B"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Isoniazid</w:t>
            </w:r>
            <w:r w:rsidRPr="007A3223">
              <w:rPr>
                <w:color w:val="000000"/>
                <w:sz w:val="22"/>
                <w:vertAlign w:val="superscript"/>
              </w:rPr>
              <w:t xml:space="preserve">1 </w:t>
            </w:r>
            <w:r w:rsidRPr="007A3223">
              <w:rPr>
                <w:color w:val="000000"/>
                <w:sz w:val="22"/>
              </w:rPr>
              <w:t xml:space="preserve"> </w:t>
            </w:r>
          </w:p>
          <w:p w14:paraId="42F69503"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Itraconazole </w:t>
            </w:r>
          </w:p>
          <w:p w14:paraId="08BF6384"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lastRenderedPageBreak/>
              <w:t xml:space="preserve">Ketoconazole </w:t>
            </w:r>
          </w:p>
          <w:p w14:paraId="3159871C"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Miconazole</w:t>
            </w:r>
            <w:r w:rsidRPr="007A3223">
              <w:rPr>
                <w:color w:val="000000"/>
                <w:sz w:val="22"/>
                <w:vertAlign w:val="superscript"/>
              </w:rPr>
              <w:t xml:space="preserve">1 </w:t>
            </w:r>
            <w:r w:rsidRPr="007A3223">
              <w:rPr>
                <w:color w:val="000000"/>
                <w:sz w:val="22"/>
              </w:rPr>
              <w:t xml:space="preserve"> </w:t>
            </w:r>
          </w:p>
          <w:p w14:paraId="52A113F0"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Nefazodone </w:t>
            </w:r>
          </w:p>
          <w:p w14:paraId="0886C511"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Nelfinavir </w:t>
            </w:r>
          </w:p>
          <w:p w14:paraId="3542DFB7"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Nicardipine</w:t>
            </w:r>
            <w:r w:rsidRPr="007A3223">
              <w:rPr>
                <w:color w:val="000000"/>
                <w:sz w:val="22"/>
                <w:vertAlign w:val="superscript"/>
              </w:rPr>
              <w:t xml:space="preserve">1 </w:t>
            </w:r>
            <w:r w:rsidRPr="007A3223">
              <w:rPr>
                <w:color w:val="000000"/>
                <w:sz w:val="22"/>
              </w:rPr>
              <w:t xml:space="preserve"> </w:t>
            </w:r>
          </w:p>
          <w:p w14:paraId="618D2E58"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Posaconazole</w:t>
            </w:r>
            <w:r w:rsidRPr="007A3223">
              <w:rPr>
                <w:color w:val="000000"/>
                <w:sz w:val="22"/>
                <w:vertAlign w:val="superscript"/>
              </w:rPr>
              <w:t xml:space="preserve">1 </w:t>
            </w:r>
            <w:r w:rsidRPr="007A3223">
              <w:rPr>
                <w:color w:val="000000"/>
                <w:sz w:val="22"/>
              </w:rPr>
              <w:t xml:space="preserve"> </w:t>
            </w:r>
          </w:p>
          <w:p w14:paraId="0037CF06"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Propofol</w:t>
            </w:r>
            <w:r w:rsidRPr="007A3223">
              <w:rPr>
                <w:color w:val="000000"/>
                <w:sz w:val="22"/>
                <w:vertAlign w:val="superscript"/>
              </w:rPr>
              <w:t xml:space="preserve">1 </w:t>
            </w:r>
            <w:r w:rsidRPr="007A3223">
              <w:rPr>
                <w:color w:val="000000"/>
                <w:sz w:val="22"/>
              </w:rPr>
              <w:t xml:space="preserve"> </w:t>
            </w:r>
          </w:p>
          <w:p w14:paraId="780DBF9D"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Quinidine</w:t>
            </w:r>
            <w:r w:rsidRPr="007A3223">
              <w:rPr>
                <w:color w:val="000000"/>
                <w:sz w:val="22"/>
                <w:vertAlign w:val="superscript"/>
              </w:rPr>
              <w:t xml:space="preserve">1 </w:t>
            </w:r>
            <w:r w:rsidRPr="007A3223">
              <w:rPr>
                <w:color w:val="000000"/>
                <w:sz w:val="22"/>
              </w:rPr>
              <w:t xml:space="preserve"> </w:t>
            </w:r>
          </w:p>
          <w:p w14:paraId="427CF135"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Ritonavir </w:t>
            </w:r>
          </w:p>
          <w:p w14:paraId="4E3E5A31"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Saquinavir</w:t>
            </w:r>
            <w:r w:rsidRPr="007A3223">
              <w:rPr>
                <w:color w:val="000000"/>
                <w:sz w:val="22"/>
                <w:vertAlign w:val="superscript"/>
              </w:rPr>
              <w:t xml:space="preserve">2 </w:t>
            </w:r>
            <w:r w:rsidRPr="007A3223">
              <w:rPr>
                <w:color w:val="000000"/>
                <w:sz w:val="22"/>
              </w:rPr>
              <w:t xml:space="preserve"> </w:t>
            </w:r>
          </w:p>
          <w:p w14:paraId="4916DEC5" w14:textId="77777777" w:rsidR="00AE76F9" w:rsidRPr="007A3223" w:rsidRDefault="00AE76F9" w:rsidP="00396FA4">
            <w:pPr>
              <w:autoSpaceDE w:val="0"/>
              <w:autoSpaceDN w:val="0"/>
              <w:adjustRightInd w:val="0"/>
              <w:spacing w:after="0"/>
              <w:ind w:left="90"/>
              <w:rPr>
                <w:color w:val="000000"/>
                <w:sz w:val="22"/>
              </w:rPr>
            </w:pPr>
            <w:r w:rsidRPr="007A3223">
              <w:rPr>
                <w:color w:val="000000"/>
                <w:sz w:val="22"/>
              </w:rPr>
              <w:t xml:space="preserve">Telithromycin </w:t>
            </w:r>
          </w:p>
        </w:tc>
        <w:tc>
          <w:tcPr>
            <w:tcW w:w="1667" w:type="pct"/>
          </w:tcPr>
          <w:p w14:paraId="0D6D04A9"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lastRenderedPageBreak/>
              <w:t>Amiodarone</w:t>
            </w:r>
            <w:r w:rsidRPr="007A3223">
              <w:rPr>
                <w:color w:val="000000"/>
                <w:sz w:val="22"/>
                <w:vertAlign w:val="superscript"/>
              </w:rPr>
              <w:t xml:space="preserve">1 </w:t>
            </w:r>
            <w:r w:rsidRPr="007A3223">
              <w:rPr>
                <w:color w:val="000000"/>
                <w:sz w:val="22"/>
              </w:rPr>
              <w:t xml:space="preserve"> </w:t>
            </w:r>
          </w:p>
          <w:p w14:paraId="2A5879BF"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 xml:space="preserve">Aprepitant </w:t>
            </w:r>
          </w:p>
          <w:p w14:paraId="1F4370A0"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Cimetidine</w:t>
            </w:r>
            <w:r w:rsidRPr="007A3223">
              <w:rPr>
                <w:color w:val="000000"/>
                <w:sz w:val="22"/>
                <w:vertAlign w:val="superscript"/>
              </w:rPr>
              <w:t xml:space="preserve">1 </w:t>
            </w:r>
            <w:r w:rsidRPr="007A3223">
              <w:rPr>
                <w:color w:val="000000"/>
                <w:sz w:val="22"/>
              </w:rPr>
              <w:t xml:space="preserve"> </w:t>
            </w:r>
          </w:p>
          <w:p w14:paraId="7944749A"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Clotrimazole</w:t>
            </w:r>
            <w:r w:rsidRPr="007A3223">
              <w:rPr>
                <w:color w:val="000000"/>
                <w:sz w:val="22"/>
                <w:vertAlign w:val="superscript"/>
              </w:rPr>
              <w:t xml:space="preserve">1 </w:t>
            </w:r>
            <w:r w:rsidRPr="007A3223">
              <w:rPr>
                <w:color w:val="000000"/>
                <w:sz w:val="22"/>
              </w:rPr>
              <w:t xml:space="preserve"> </w:t>
            </w:r>
          </w:p>
          <w:p w14:paraId="523A26EA"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Cyclosporine</w:t>
            </w:r>
            <w:r w:rsidRPr="007A3223">
              <w:rPr>
                <w:color w:val="000000"/>
                <w:sz w:val="22"/>
                <w:vertAlign w:val="superscript"/>
              </w:rPr>
              <w:t xml:space="preserve">1 </w:t>
            </w:r>
            <w:r w:rsidRPr="007A3223">
              <w:rPr>
                <w:color w:val="000000"/>
                <w:sz w:val="22"/>
              </w:rPr>
              <w:t xml:space="preserve"> </w:t>
            </w:r>
          </w:p>
          <w:p w14:paraId="1BF3B94D"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Desipramine</w:t>
            </w:r>
            <w:r w:rsidRPr="007A3223">
              <w:rPr>
                <w:color w:val="000000"/>
                <w:sz w:val="22"/>
                <w:vertAlign w:val="superscript"/>
              </w:rPr>
              <w:t xml:space="preserve">1 </w:t>
            </w:r>
            <w:r w:rsidRPr="007A3223">
              <w:rPr>
                <w:color w:val="000000"/>
                <w:sz w:val="22"/>
              </w:rPr>
              <w:t xml:space="preserve"> </w:t>
            </w:r>
          </w:p>
          <w:p w14:paraId="70186DBA"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Doxycycline</w:t>
            </w:r>
            <w:r w:rsidRPr="007A3223">
              <w:rPr>
                <w:color w:val="000000"/>
                <w:sz w:val="22"/>
                <w:vertAlign w:val="superscript"/>
              </w:rPr>
              <w:t xml:space="preserve">1 </w:t>
            </w:r>
            <w:r w:rsidRPr="007A3223">
              <w:rPr>
                <w:color w:val="000000"/>
                <w:sz w:val="22"/>
              </w:rPr>
              <w:t xml:space="preserve"> </w:t>
            </w:r>
          </w:p>
          <w:p w14:paraId="74365F98"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Efavirenz</w:t>
            </w:r>
            <w:r w:rsidRPr="007A3223">
              <w:rPr>
                <w:color w:val="000000"/>
                <w:sz w:val="22"/>
                <w:vertAlign w:val="superscript"/>
              </w:rPr>
              <w:t xml:space="preserve">1 </w:t>
            </w:r>
            <w:r w:rsidRPr="007A3223">
              <w:rPr>
                <w:color w:val="000000"/>
                <w:sz w:val="22"/>
              </w:rPr>
              <w:t xml:space="preserve"> </w:t>
            </w:r>
          </w:p>
          <w:p w14:paraId="64FE4121"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 xml:space="preserve">Erythromycin </w:t>
            </w:r>
          </w:p>
          <w:p w14:paraId="09157305"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 xml:space="preserve">Fluconazole </w:t>
            </w:r>
          </w:p>
          <w:p w14:paraId="16EA4D1A"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Fosaprepitant</w:t>
            </w:r>
            <w:r w:rsidRPr="007A3223">
              <w:rPr>
                <w:color w:val="000000"/>
                <w:sz w:val="22"/>
                <w:vertAlign w:val="superscript"/>
              </w:rPr>
              <w:t xml:space="preserve">1 </w:t>
            </w:r>
            <w:r w:rsidRPr="007A3223">
              <w:rPr>
                <w:color w:val="000000"/>
                <w:sz w:val="22"/>
              </w:rPr>
              <w:t xml:space="preserve"> </w:t>
            </w:r>
          </w:p>
          <w:p w14:paraId="359CA075"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lastRenderedPageBreak/>
              <w:t xml:space="preserve">Grapefruit juice </w:t>
            </w:r>
          </w:p>
          <w:p w14:paraId="54C48351"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Haloperidol</w:t>
            </w:r>
            <w:r w:rsidRPr="007A3223">
              <w:rPr>
                <w:color w:val="000000"/>
                <w:sz w:val="22"/>
                <w:vertAlign w:val="superscript"/>
              </w:rPr>
              <w:t xml:space="preserve">1 </w:t>
            </w:r>
            <w:r w:rsidRPr="007A3223">
              <w:rPr>
                <w:color w:val="000000"/>
                <w:sz w:val="22"/>
              </w:rPr>
              <w:t xml:space="preserve"> </w:t>
            </w:r>
          </w:p>
          <w:p w14:paraId="11EE99F6"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Lidocaine</w:t>
            </w:r>
            <w:r w:rsidRPr="007A3223">
              <w:rPr>
                <w:color w:val="000000"/>
                <w:sz w:val="22"/>
                <w:vertAlign w:val="superscript"/>
              </w:rPr>
              <w:t xml:space="preserve">1 </w:t>
            </w:r>
            <w:r w:rsidRPr="007A3223">
              <w:rPr>
                <w:color w:val="000000"/>
                <w:sz w:val="22"/>
              </w:rPr>
              <w:t xml:space="preserve"> </w:t>
            </w:r>
          </w:p>
          <w:p w14:paraId="09953C8D"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Metronidazole</w:t>
            </w:r>
            <w:r w:rsidRPr="007A3223">
              <w:rPr>
                <w:color w:val="000000"/>
                <w:sz w:val="22"/>
                <w:vertAlign w:val="superscript"/>
              </w:rPr>
              <w:t xml:space="preserve">1 </w:t>
            </w:r>
            <w:r w:rsidRPr="007A3223">
              <w:rPr>
                <w:color w:val="000000"/>
                <w:sz w:val="22"/>
              </w:rPr>
              <w:t xml:space="preserve"> </w:t>
            </w:r>
          </w:p>
          <w:p w14:paraId="3D4099F5"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Norfloxacin</w:t>
            </w:r>
            <w:r w:rsidRPr="007A3223">
              <w:rPr>
                <w:color w:val="000000"/>
                <w:sz w:val="22"/>
                <w:vertAlign w:val="superscript"/>
              </w:rPr>
              <w:t xml:space="preserve">1 </w:t>
            </w:r>
            <w:r w:rsidRPr="007A3223">
              <w:rPr>
                <w:color w:val="000000"/>
                <w:sz w:val="22"/>
              </w:rPr>
              <w:t xml:space="preserve"> </w:t>
            </w:r>
          </w:p>
          <w:p w14:paraId="725F1056"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Sertraline</w:t>
            </w:r>
            <w:r w:rsidRPr="007A3223">
              <w:rPr>
                <w:color w:val="000000"/>
                <w:sz w:val="22"/>
                <w:vertAlign w:val="superscript"/>
              </w:rPr>
              <w:t xml:space="preserve">1 </w:t>
            </w:r>
            <w:r w:rsidRPr="007A3223">
              <w:rPr>
                <w:color w:val="000000"/>
                <w:sz w:val="22"/>
              </w:rPr>
              <w:t xml:space="preserve"> </w:t>
            </w:r>
          </w:p>
          <w:p w14:paraId="4402A642"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Tetracycline</w:t>
            </w:r>
            <w:r w:rsidRPr="007A3223">
              <w:rPr>
                <w:color w:val="000000"/>
                <w:sz w:val="22"/>
                <w:vertAlign w:val="superscript"/>
              </w:rPr>
              <w:t xml:space="preserve">1 </w:t>
            </w:r>
            <w:r w:rsidRPr="007A3223">
              <w:rPr>
                <w:color w:val="000000"/>
                <w:sz w:val="22"/>
              </w:rPr>
              <w:t xml:space="preserve"> </w:t>
            </w:r>
          </w:p>
          <w:p w14:paraId="34B104EC"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 xml:space="preserve">Verapamil </w:t>
            </w:r>
          </w:p>
          <w:p w14:paraId="0616AE80" w14:textId="77777777" w:rsidR="00AE76F9" w:rsidRPr="007A3223" w:rsidRDefault="00AE76F9" w:rsidP="00396FA4">
            <w:pPr>
              <w:autoSpaceDE w:val="0"/>
              <w:autoSpaceDN w:val="0"/>
              <w:adjustRightInd w:val="0"/>
              <w:spacing w:after="0"/>
              <w:ind w:left="112"/>
              <w:rPr>
                <w:color w:val="000000"/>
                <w:sz w:val="22"/>
              </w:rPr>
            </w:pPr>
            <w:r w:rsidRPr="007A3223">
              <w:rPr>
                <w:color w:val="000000"/>
                <w:sz w:val="22"/>
              </w:rPr>
              <w:t>Voriconazole</w:t>
            </w:r>
            <w:r w:rsidRPr="007A3223">
              <w:rPr>
                <w:color w:val="000000"/>
                <w:sz w:val="22"/>
                <w:vertAlign w:val="superscript"/>
              </w:rPr>
              <w:t xml:space="preserve">1 </w:t>
            </w:r>
            <w:r w:rsidRPr="007A3223">
              <w:rPr>
                <w:color w:val="000000"/>
                <w:sz w:val="22"/>
              </w:rPr>
              <w:t xml:space="preserve"> </w:t>
            </w:r>
          </w:p>
        </w:tc>
        <w:tc>
          <w:tcPr>
            <w:tcW w:w="1667" w:type="pct"/>
          </w:tcPr>
          <w:p w14:paraId="2F311308" w14:textId="77777777" w:rsidR="00AE76F9" w:rsidRPr="007A3223" w:rsidRDefault="00AE76F9" w:rsidP="00396FA4">
            <w:pPr>
              <w:autoSpaceDE w:val="0"/>
              <w:autoSpaceDN w:val="0"/>
              <w:adjustRightInd w:val="0"/>
              <w:spacing w:after="0"/>
              <w:rPr>
                <w:color w:val="000000"/>
                <w:sz w:val="22"/>
              </w:rPr>
            </w:pPr>
            <w:r w:rsidRPr="007A3223">
              <w:rPr>
                <w:color w:val="000000"/>
                <w:sz w:val="22"/>
              </w:rPr>
              <w:lastRenderedPageBreak/>
              <w:t>Chloramphenicol</w:t>
            </w:r>
            <w:r w:rsidRPr="007A3223">
              <w:rPr>
                <w:color w:val="000000"/>
                <w:sz w:val="22"/>
                <w:vertAlign w:val="superscript"/>
              </w:rPr>
              <w:t xml:space="preserve">2 </w:t>
            </w:r>
            <w:r w:rsidRPr="007A3223">
              <w:rPr>
                <w:color w:val="000000"/>
                <w:sz w:val="22"/>
              </w:rPr>
              <w:t xml:space="preserve"> </w:t>
            </w:r>
          </w:p>
          <w:p w14:paraId="08B3EC08" w14:textId="77777777" w:rsidR="00AE76F9" w:rsidRPr="007A3223" w:rsidRDefault="00AE76F9" w:rsidP="00396FA4">
            <w:pPr>
              <w:autoSpaceDE w:val="0"/>
              <w:autoSpaceDN w:val="0"/>
              <w:adjustRightInd w:val="0"/>
              <w:spacing w:after="0"/>
              <w:rPr>
                <w:color w:val="000000"/>
                <w:sz w:val="22"/>
              </w:rPr>
            </w:pPr>
            <w:r w:rsidRPr="007A3223">
              <w:rPr>
                <w:color w:val="000000"/>
                <w:sz w:val="22"/>
              </w:rPr>
              <w:t>Ciprofloxacin</w:t>
            </w:r>
            <w:r w:rsidRPr="007A3223">
              <w:rPr>
                <w:color w:val="000000"/>
                <w:sz w:val="22"/>
                <w:vertAlign w:val="superscript"/>
              </w:rPr>
              <w:t xml:space="preserve">2 </w:t>
            </w:r>
            <w:r w:rsidRPr="007A3223">
              <w:rPr>
                <w:color w:val="000000"/>
                <w:sz w:val="22"/>
              </w:rPr>
              <w:t xml:space="preserve"> </w:t>
            </w:r>
          </w:p>
          <w:p w14:paraId="7972A560" w14:textId="77777777" w:rsidR="00AE76F9" w:rsidRPr="007A3223" w:rsidRDefault="00AE76F9" w:rsidP="00396FA4">
            <w:pPr>
              <w:autoSpaceDE w:val="0"/>
              <w:autoSpaceDN w:val="0"/>
              <w:adjustRightInd w:val="0"/>
              <w:spacing w:after="0"/>
              <w:rPr>
                <w:color w:val="000000"/>
                <w:sz w:val="22"/>
              </w:rPr>
            </w:pPr>
            <w:r w:rsidRPr="007A3223">
              <w:rPr>
                <w:color w:val="000000"/>
                <w:sz w:val="22"/>
              </w:rPr>
              <w:t>Diethyldithiocarbamate</w:t>
            </w:r>
            <w:r w:rsidRPr="007A3223">
              <w:rPr>
                <w:color w:val="000000"/>
                <w:sz w:val="22"/>
                <w:vertAlign w:val="superscript"/>
              </w:rPr>
              <w:t xml:space="preserve">2 </w:t>
            </w:r>
            <w:r w:rsidRPr="007A3223">
              <w:rPr>
                <w:color w:val="000000"/>
                <w:sz w:val="22"/>
              </w:rPr>
              <w:t xml:space="preserve"> </w:t>
            </w:r>
          </w:p>
          <w:p w14:paraId="3E3F561A" w14:textId="77777777" w:rsidR="00AE76F9" w:rsidRPr="007A3223" w:rsidRDefault="00AE76F9" w:rsidP="00396FA4">
            <w:pPr>
              <w:autoSpaceDE w:val="0"/>
              <w:autoSpaceDN w:val="0"/>
              <w:adjustRightInd w:val="0"/>
              <w:spacing w:after="0"/>
              <w:rPr>
                <w:color w:val="000000"/>
                <w:sz w:val="22"/>
              </w:rPr>
            </w:pPr>
            <w:r w:rsidRPr="007A3223">
              <w:rPr>
                <w:color w:val="000000"/>
                <w:sz w:val="22"/>
              </w:rPr>
              <w:t>Fluvoxamine</w:t>
            </w:r>
            <w:r w:rsidRPr="007A3223">
              <w:rPr>
                <w:color w:val="000000"/>
                <w:sz w:val="22"/>
                <w:vertAlign w:val="superscript"/>
              </w:rPr>
              <w:t xml:space="preserve">2 </w:t>
            </w:r>
            <w:r w:rsidRPr="007A3223">
              <w:rPr>
                <w:color w:val="000000"/>
                <w:sz w:val="22"/>
              </w:rPr>
              <w:t xml:space="preserve"> </w:t>
            </w:r>
          </w:p>
          <w:p w14:paraId="1ED6F199" w14:textId="77777777" w:rsidR="00AE76F9" w:rsidRPr="007A3223" w:rsidRDefault="00AE76F9" w:rsidP="00396FA4">
            <w:pPr>
              <w:autoSpaceDE w:val="0"/>
              <w:autoSpaceDN w:val="0"/>
              <w:adjustRightInd w:val="0"/>
              <w:spacing w:after="0"/>
              <w:rPr>
                <w:color w:val="000000"/>
                <w:sz w:val="22"/>
              </w:rPr>
            </w:pPr>
            <w:r w:rsidRPr="007A3223">
              <w:rPr>
                <w:color w:val="000000"/>
                <w:sz w:val="22"/>
              </w:rPr>
              <w:t>Gestodene</w:t>
            </w:r>
            <w:r w:rsidRPr="007A3223">
              <w:rPr>
                <w:color w:val="000000"/>
                <w:sz w:val="22"/>
                <w:vertAlign w:val="superscript"/>
              </w:rPr>
              <w:t xml:space="preserve">2 </w:t>
            </w:r>
            <w:r w:rsidRPr="007A3223">
              <w:rPr>
                <w:color w:val="000000"/>
                <w:sz w:val="22"/>
              </w:rPr>
              <w:t xml:space="preserve"> </w:t>
            </w:r>
          </w:p>
          <w:p w14:paraId="36FF3F5E" w14:textId="77777777" w:rsidR="00AE76F9" w:rsidRPr="007A3223" w:rsidRDefault="00AE76F9" w:rsidP="00396FA4">
            <w:pPr>
              <w:autoSpaceDE w:val="0"/>
              <w:autoSpaceDN w:val="0"/>
              <w:adjustRightInd w:val="0"/>
              <w:spacing w:after="0"/>
              <w:rPr>
                <w:color w:val="000000"/>
                <w:sz w:val="22"/>
              </w:rPr>
            </w:pPr>
            <w:r w:rsidRPr="007A3223">
              <w:rPr>
                <w:color w:val="000000"/>
                <w:sz w:val="22"/>
              </w:rPr>
              <w:t>Mibefradil</w:t>
            </w:r>
            <w:r w:rsidRPr="007A3223">
              <w:rPr>
                <w:color w:val="000000"/>
                <w:sz w:val="22"/>
                <w:vertAlign w:val="superscript"/>
              </w:rPr>
              <w:t xml:space="preserve">2 </w:t>
            </w:r>
            <w:r w:rsidRPr="007A3223">
              <w:rPr>
                <w:color w:val="000000"/>
                <w:sz w:val="22"/>
              </w:rPr>
              <w:t xml:space="preserve"> </w:t>
            </w:r>
          </w:p>
          <w:p w14:paraId="792EC93E" w14:textId="77777777" w:rsidR="00AE76F9" w:rsidRPr="007A3223" w:rsidRDefault="00AE76F9" w:rsidP="00396FA4">
            <w:pPr>
              <w:autoSpaceDE w:val="0"/>
              <w:autoSpaceDN w:val="0"/>
              <w:adjustRightInd w:val="0"/>
              <w:spacing w:after="0"/>
              <w:rPr>
                <w:color w:val="000000"/>
                <w:sz w:val="22"/>
              </w:rPr>
            </w:pPr>
            <w:r w:rsidRPr="007A3223">
              <w:rPr>
                <w:color w:val="000000"/>
                <w:sz w:val="22"/>
              </w:rPr>
              <w:t xml:space="preserve">Mifepristone </w:t>
            </w:r>
          </w:p>
          <w:p w14:paraId="12EB5666" w14:textId="77777777" w:rsidR="00AE76F9" w:rsidRPr="007A3223" w:rsidRDefault="00AE76F9" w:rsidP="00396FA4">
            <w:pPr>
              <w:autoSpaceDE w:val="0"/>
              <w:autoSpaceDN w:val="0"/>
              <w:adjustRightInd w:val="0"/>
              <w:spacing w:after="0"/>
              <w:rPr>
                <w:color w:val="000000"/>
                <w:sz w:val="22"/>
              </w:rPr>
            </w:pPr>
            <w:r w:rsidRPr="007A3223">
              <w:rPr>
                <w:color w:val="000000"/>
                <w:sz w:val="22"/>
              </w:rPr>
              <w:t>Norfluoxetine</w:t>
            </w:r>
            <w:r w:rsidRPr="007A3223">
              <w:rPr>
                <w:color w:val="000000"/>
                <w:sz w:val="22"/>
                <w:vertAlign w:val="superscript"/>
              </w:rPr>
              <w:t xml:space="preserve">2 </w:t>
            </w:r>
            <w:r w:rsidRPr="007A3223">
              <w:rPr>
                <w:color w:val="000000"/>
                <w:sz w:val="22"/>
              </w:rPr>
              <w:t xml:space="preserve"> </w:t>
            </w:r>
          </w:p>
          <w:p w14:paraId="695E38BB" w14:textId="77777777" w:rsidR="00AE76F9" w:rsidRPr="007A3223" w:rsidRDefault="00AE76F9" w:rsidP="00396FA4">
            <w:pPr>
              <w:autoSpaceDE w:val="0"/>
              <w:autoSpaceDN w:val="0"/>
              <w:adjustRightInd w:val="0"/>
              <w:spacing w:after="0"/>
              <w:rPr>
                <w:color w:val="000000"/>
                <w:sz w:val="22"/>
              </w:rPr>
            </w:pPr>
            <w:r w:rsidRPr="007A3223">
              <w:rPr>
                <w:color w:val="000000"/>
                <w:sz w:val="22"/>
              </w:rPr>
              <w:t>Star fruit</w:t>
            </w:r>
            <w:r w:rsidRPr="007A3223">
              <w:rPr>
                <w:color w:val="000000"/>
                <w:sz w:val="22"/>
                <w:vertAlign w:val="superscript"/>
              </w:rPr>
              <w:t xml:space="preserve">2 </w:t>
            </w:r>
            <w:r w:rsidRPr="007A3223">
              <w:rPr>
                <w:color w:val="000000"/>
                <w:sz w:val="22"/>
              </w:rPr>
              <w:t xml:space="preserve"> </w:t>
            </w:r>
          </w:p>
          <w:p w14:paraId="5EB3482E" w14:textId="77777777" w:rsidR="00AE76F9" w:rsidRPr="007A3223" w:rsidRDefault="00AE76F9" w:rsidP="00396FA4">
            <w:pPr>
              <w:autoSpaceDE w:val="0"/>
              <w:autoSpaceDN w:val="0"/>
              <w:adjustRightInd w:val="0"/>
              <w:spacing w:after="0"/>
              <w:rPr>
                <w:color w:val="000000"/>
                <w:sz w:val="22"/>
              </w:rPr>
            </w:pPr>
            <w:r w:rsidRPr="007A3223">
              <w:rPr>
                <w:color w:val="000000"/>
                <w:sz w:val="22"/>
              </w:rPr>
              <w:t>Troleandomycin</w:t>
            </w:r>
            <w:r w:rsidRPr="007A3223">
              <w:rPr>
                <w:color w:val="000000"/>
                <w:sz w:val="22"/>
                <w:vertAlign w:val="superscript"/>
              </w:rPr>
              <w:t xml:space="preserve">2 </w:t>
            </w:r>
            <w:r w:rsidRPr="007A3223">
              <w:rPr>
                <w:color w:val="000000"/>
                <w:sz w:val="22"/>
              </w:rPr>
              <w:t xml:space="preserve"> </w:t>
            </w:r>
          </w:p>
        </w:tc>
      </w:tr>
    </w:tbl>
    <w:p w14:paraId="51AF1B64" w14:textId="77777777" w:rsidR="00396FA4" w:rsidRPr="007A3223" w:rsidRDefault="00396FA4" w:rsidP="00396FA4">
      <w:pPr>
        <w:pStyle w:val="Default"/>
        <w:rPr>
          <w:sz w:val="22"/>
          <w:szCs w:val="22"/>
        </w:rPr>
      </w:pPr>
      <w:r w:rsidRPr="007A3223">
        <w:rPr>
          <w:sz w:val="22"/>
          <w:szCs w:val="22"/>
        </w:rPr>
        <w:t xml:space="preserve">1 Cited in Cytochrome P450 Enzymes: Substrates, Inhibitors, and Inducers. In: Lacy CF, Armstrong LL, Goldman MP, Lance LL, eds. Drug Information Handbook 20th ed. Hudson, OH; LexiComp Inc. 2011-2012: 1810-1818 </w:t>
      </w:r>
    </w:p>
    <w:p w14:paraId="45BA9EE0" w14:textId="77777777" w:rsidR="00396FA4" w:rsidRPr="007A3223" w:rsidRDefault="00396FA4" w:rsidP="00396FA4">
      <w:pPr>
        <w:pStyle w:val="Default"/>
        <w:rPr>
          <w:sz w:val="22"/>
          <w:szCs w:val="22"/>
        </w:rPr>
      </w:pPr>
      <w:r w:rsidRPr="007A3223">
        <w:rPr>
          <w:sz w:val="22"/>
          <w:szCs w:val="22"/>
        </w:rPr>
        <w:t xml:space="preserve">2 Cited in Flockhart DA. Drug Interactions: Cytochrome P450 Drug Interaction Table. Indiana University School of Medicine (2007). http://medicine.iupui.edu/clinpharm/ddis/table.asp. Accessed Nov 2011. </w:t>
      </w:r>
    </w:p>
    <w:p w14:paraId="236DBF29" w14:textId="77777777" w:rsidR="00AE76F9" w:rsidRPr="007A3223" w:rsidRDefault="00396FA4" w:rsidP="00396FA4">
      <w:pPr>
        <w:rPr>
          <w:sz w:val="22"/>
        </w:rPr>
      </w:pPr>
      <w:r w:rsidRPr="007A3223">
        <w:rPr>
          <w:sz w:val="22"/>
        </w:rPr>
        <w:t>Note: Drugs without a superscript are cited in both the Lacy and Flockhart 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gridCol w:w="2340"/>
      </w:tblGrid>
      <w:tr w:rsidR="00396FA4" w:rsidRPr="007A3223" w14:paraId="1542BC69" w14:textId="77777777" w:rsidTr="005A2849">
        <w:trPr>
          <w:tblHeader/>
        </w:trPr>
        <w:tc>
          <w:tcPr>
            <w:tcW w:w="5000" w:type="pct"/>
            <w:gridSpan w:val="4"/>
            <w:tcBorders>
              <w:top w:val="nil"/>
              <w:left w:val="nil"/>
              <w:right w:val="nil"/>
            </w:tcBorders>
          </w:tcPr>
          <w:p w14:paraId="444B3BD2" w14:textId="77777777" w:rsidR="00396FA4" w:rsidRPr="007A3223" w:rsidRDefault="00396FA4" w:rsidP="004269C3">
            <w:pPr>
              <w:rPr>
                <w:b/>
                <w:i/>
                <w:iCs/>
                <w:color w:val="000000"/>
              </w:rPr>
            </w:pPr>
            <w:r w:rsidRPr="007A3223">
              <w:rPr>
                <w:b/>
              </w:rPr>
              <w:t>CYP3A4 Substrates (allowed – take note of possible interactions)</w:t>
            </w:r>
          </w:p>
        </w:tc>
      </w:tr>
      <w:tr w:rsidR="00396FA4" w:rsidRPr="007A3223" w14:paraId="35C009A6" w14:textId="77777777" w:rsidTr="005A2849">
        <w:tc>
          <w:tcPr>
            <w:tcW w:w="1250" w:type="pct"/>
          </w:tcPr>
          <w:p w14:paraId="3C42C8C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Alfentanil </w:t>
            </w:r>
          </w:p>
          <w:p w14:paraId="691E7DA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Alfuzosin </w:t>
            </w:r>
          </w:p>
          <w:p w14:paraId="51C80C7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Alprazolam </w:t>
            </w:r>
          </w:p>
          <w:p w14:paraId="0293416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Ambrisentan </w:t>
            </w:r>
          </w:p>
          <w:p w14:paraId="6640857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Amiodarone </w:t>
            </w:r>
          </w:p>
          <w:p w14:paraId="544C6AB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Amlodipine </w:t>
            </w:r>
          </w:p>
          <w:p w14:paraId="12A7BCF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Aprepitant </w:t>
            </w:r>
          </w:p>
          <w:p w14:paraId="4808FD3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Aripiprazole </w:t>
            </w:r>
          </w:p>
          <w:p w14:paraId="1BE6E44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Armodafinil </w:t>
            </w:r>
          </w:p>
          <w:p w14:paraId="03D01B3D" w14:textId="77777777" w:rsidR="00396FA4" w:rsidRPr="007A3223" w:rsidRDefault="00396FA4" w:rsidP="00396FA4">
            <w:pPr>
              <w:autoSpaceDE w:val="0"/>
              <w:autoSpaceDN w:val="0"/>
              <w:adjustRightInd w:val="0"/>
              <w:spacing w:after="0"/>
              <w:rPr>
                <w:color w:val="000000"/>
                <w:sz w:val="22"/>
              </w:rPr>
            </w:pPr>
            <w:r w:rsidRPr="007A3223">
              <w:rPr>
                <w:color w:val="000000"/>
                <w:sz w:val="22"/>
              </w:rPr>
              <w:t>Astemizole</w:t>
            </w:r>
            <w:r w:rsidRPr="007A3223">
              <w:rPr>
                <w:color w:val="000000"/>
                <w:sz w:val="22"/>
                <w:vertAlign w:val="superscript"/>
              </w:rPr>
              <w:t xml:space="preserve">2 </w:t>
            </w:r>
            <w:r w:rsidRPr="007A3223">
              <w:rPr>
                <w:color w:val="000000"/>
                <w:sz w:val="22"/>
              </w:rPr>
              <w:t xml:space="preserve"> </w:t>
            </w:r>
          </w:p>
          <w:p w14:paraId="61B1A36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Atazanavir </w:t>
            </w:r>
          </w:p>
          <w:p w14:paraId="76D6F27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Atorvastatin </w:t>
            </w:r>
          </w:p>
          <w:p w14:paraId="2F1FF08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Benzphetamine </w:t>
            </w:r>
          </w:p>
          <w:p w14:paraId="775C5C3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Bisoprolol </w:t>
            </w:r>
          </w:p>
          <w:p w14:paraId="2D4A81A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Bortezomib </w:t>
            </w:r>
          </w:p>
          <w:p w14:paraId="1E5C84D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Bosentan </w:t>
            </w:r>
          </w:p>
          <w:p w14:paraId="5E61D7AB"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Bromazepam </w:t>
            </w:r>
          </w:p>
          <w:p w14:paraId="6A9B9C9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Bromocriptine </w:t>
            </w:r>
          </w:p>
          <w:p w14:paraId="6ED3A5D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Budesonide </w:t>
            </w:r>
          </w:p>
          <w:p w14:paraId="488E50D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Buprenorphine </w:t>
            </w:r>
          </w:p>
          <w:p w14:paraId="16C1492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Buspirone </w:t>
            </w:r>
          </w:p>
          <w:p w14:paraId="1020950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Busulfan </w:t>
            </w:r>
          </w:p>
          <w:p w14:paraId="4D029718" w14:textId="77777777" w:rsidR="00396FA4" w:rsidRPr="007A3223" w:rsidRDefault="00396FA4" w:rsidP="00396FA4">
            <w:pPr>
              <w:autoSpaceDE w:val="0"/>
              <w:autoSpaceDN w:val="0"/>
              <w:adjustRightInd w:val="0"/>
              <w:spacing w:after="0"/>
              <w:rPr>
                <w:color w:val="000000"/>
                <w:sz w:val="22"/>
              </w:rPr>
            </w:pPr>
            <w:r w:rsidRPr="007A3223">
              <w:rPr>
                <w:color w:val="000000"/>
                <w:sz w:val="22"/>
              </w:rPr>
              <w:t>Cafergot</w:t>
            </w:r>
            <w:r w:rsidRPr="007A3223">
              <w:rPr>
                <w:color w:val="000000"/>
                <w:sz w:val="22"/>
                <w:vertAlign w:val="superscript"/>
              </w:rPr>
              <w:t xml:space="preserve">2 </w:t>
            </w:r>
            <w:r w:rsidRPr="007A3223">
              <w:rPr>
                <w:color w:val="000000"/>
                <w:sz w:val="22"/>
              </w:rPr>
              <w:t xml:space="preserve"> </w:t>
            </w:r>
          </w:p>
          <w:p w14:paraId="776B5439" w14:textId="77777777" w:rsidR="00396FA4" w:rsidRPr="007A3223" w:rsidRDefault="00396FA4" w:rsidP="00396FA4">
            <w:pPr>
              <w:autoSpaceDE w:val="0"/>
              <w:autoSpaceDN w:val="0"/>
              <w:adjustRightInd w:val="0"/>
              <w:spacing w:after="0"/>
              <w:rPr>
                <w:color w:val="000000"/>
                <w:sz w:val="22"/>
              </w:rPr>
            </w:pPr>
            <w:r w:rsidRPr="007A3223">
              <w:rPr>
                <w:color w:val="000000"/>
                <w:sz w:val="22"/>
              </w:rPr>
              <w:t>Caffeine</w:t>
            </w:r>
            <w:r w:rsidRPr="007A3223">
              <w:rPr>
                <w:color w:val="000000"/>
                <w:sz w:val="22"/>
                <w:vertAlign w:val="superscript"/>
              </w:rPr>
              <w:t xml:space="preserve">2 </w:t>
            </w:r>
            <w:r w:rsidRPr="007A3223">
              <w:rPr>
                <w:color w:val="000000"/>
                <w:sz w:val="22"/>
              </w:rPr>
              <w:t xml:space="preserve"> </w:t>
            </w:r>
          </w:p>
          <w:p w14:paraId="6B8B0D1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Carbamazepine </w:t>
            </w:r>
          </w:p>
          <w:p w14:paraId="5082D57F" w14:textId="77777777" w:rsidR="00396FA4" w:rsidRPr="007A3223" w:rsidRDefault="00396FA4" w:rsidP="00396FA4">
            <w:pPr>
              <w:autoSpaceDE w:val="0"/>
              <w:autoSpaceDN w:val="0"/>
              <w:adjustRightInd w:val="0"/>
              <w:spacing w:after="0"/>
              <w:rPr>
                <w:color w:val="000000"/>
                <w:sz w:val="22"/>
              </w:rPr>
            </w:pPr>
            <w:r w:rsidRPr="007A3223">
              <w:rPr>
                <w:color w:val="000000"/>
                <w:sz w:val="22"/>
              </w:rPr>
              <w:t>Cerivastatin</w:t>
            </w:r>
            <w:r w:rsidRPr="007A3223">
              <w:rPr>
                <w:color w:val="000000"/>
                <w:sz w:val="22"/>
                <w:vertAlign w:val="superscript"/>
              </w:rPr>
              <w:t xml:space="preserve">2 </w:t>
            </w:r>
            <w:r w:rsidRPr="007A3223">
              <w:rPr>
                <w:color w:val="000000"/>
                <w:sz w:val="22"/>
              </w:rPr>
              <w:t xml:space="preserve"> </w:t>
            </w:r>
          </w:p>
          <w:p w14:paraId="4645396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Chlordiazepoxide </w:t>
            </w:r>
          </w:p>
          <w:p w14:paraId="68B7530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Chloroquine </w:t>
            </w:r>
          </w:p>
          <w:p w14:paraId="5BF9C32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Chlorpheniramine </w:t>
            </w:r>
          </w:p>
          <w:p w14:paraId="17C0C08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Ciclesonide </w:t>
            </w:r>
          </w:p>
          <w:p w14:paraId="58A6E39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Cilostazol </w:t>
            </w:r>
          </w:p>
          <w:p w14:paraId="15751A6E"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Cisapride </w:t>
            </w:r>
          </w:p>
          <w:p w14:paraId="48839EE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Citalopram </w:t>
            </w:r>
          </w:p>
          <w:p w14:paraId="7C735BC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Clarithromycin </w:t>
            </w:r>
          </w:p>
          <w:p w14:paraId="7093ED8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Clobazam </w:t>
            </w:r>
          </w:p>
          <w:p w14:paraId="760C3BF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Clonazepam </w:t>
            </w:r>
          </w:p>
          <w:p w14:paraId="4E65708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Clorazepate </w:t>
            </w:r>
          </w:p>
          <w:p w14:paraId="249B10B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Cocaine </w:t>
            </w:r>
          </w:p>
          <w:p w14:paraId="6BDCE0E5" w14:textId="77777777" w:rsidR="00396FA4" w:rsidRPr="007A3223" w:rsidRDefault="00396FA4" w:rsidP="00396FA4">
            <w:pPr>
              <w:autoSpaceDE w:val="0"/>
              <w:autoSpaceDN w:val="0"/>
              <w:adjustRightInd w:val="0"/>
              <w:spacing w:after="0"/>
              <w:rPr>
                <w:color w:val="000000"/>
                <w:sz w:val="22"/>
              </w:rPr>
            </w:pPr>
            <w:r w:rsidRPr="007A3223">
              <w:rPr>
                <w:color w:val="000000"/>
                <w:sz w:val="22"/>
              </w:rPr>
              <w:t>Codeine</w:t>
            </w:r>
            <w:r w:rsidRPr="007A3223">
              <w:rPr>
                <w:color w:val="000000"/>
                <w:sz w:val="22"/>
                <w:vertAlign w:val="superscript"/>
              </w:rPr>
              <w:t xml:space="preserve">2 </w:t>
            </w:r>
            <w:r w:rsidRPr="007A3223">
              <w:rPr>
                <w:color w:val="000000"/>
                <w:sz w:val="22"/>
              </w:rPr>
              <w:t xml:space="preserve"> </w:t>
            </w:r>
          </w:p>
          <w:p w14:paraId="13AC95A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Colchicine </w:t>
            </w:r>
          </w:p>
          <w:p w14:paraId="5EF6B14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Conivaptan </w:t>
            </w:r>
          </w:p>
          <w:p w14:paraId="38FC3A8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Cyclophosphamide </w:t>
            </w:r>
          </w:p>
          <w:p w14:paraId="3F5D197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Cyclosporine </w:t>
            </w:r>
          </w:p>
          <w:p w14:paraId="71A5CED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Dantrolene </w:t>
            </w:r>
          </w:p>
          <w:p w14:paraId="00FC7F8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Dapsone </w:t>
            </w:r>
          </w:p>
          <w:p w14:paraId="71B3F4F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Darifenacin </w:t>
            </w:r>
          </w:p>
          <w:p w14:paraId="1FC8982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Darunavir </w:t>
            </w:r>
          </w:p>
          <w:p w14:paraId="6D828E1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Dasatinib </w:t>
            </w:r>
          </w:p>
          <w:p w14:paraId="4492452D"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Delavirdine </w:t>
            </w:r>
          </w:p>
          <w:p w14:paraId="3A749EF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Dexamethasone </w:t>
            </w:r>
          </w:p>
        </w:tc>
        <w:tc>
          <w:tcPr>
            <w:tcW w:w="1250" w:type="pct"/>
          </w:tcPr>
          <w:p w14:paraId="270479B3"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Dexlansoprazole </w:t>
            </w:r>
          </w:p>
          <w:p w14:paraId="71BD926E" w14:textId="77777777" w:rsidR="00396FA4" w:rsidRPr="007A3223" w:rsidRDefault="00396FA4" w:rsidP="00396FA4">
            <w:pPr>
              <w:autoSpaceDE w:val="0"/>
              <w:autoSpaceDN w:val="0"/>
              <w:adjustRightInd w:val="0"/>
              <w:spacing w:after="0"/>
              <w:rPr>
                <w:color w:val="000000"/>
                <w:sz w:val="22"/>
              </w:rPr>
            </w:pPr>
            <w:r w:rsidRPr="007A3223">
              <w:rPr>
                <w:color w:val="000000"/>
                <w:sz w:val="22"/>
              </w:rPr>
              <w:t>Dextromethorphan</w:t>
            </w:r>
            <w:r w:rsidRPr="007A3223">
              <w:rPr>
                <w:color w:val="000000"/>
                <w:sz w:val="22"/>
                <w:vertAlign w:val="superscript"/>
              </w:rPr>
              <w:t xml:space="preserve">2 </w:t>
            </w:r>
            <w:r w:rsidRPr="007A3223">
              <w:rPr>
                <w:color w:val="000000"/>
                <w:sz w:val="22"/>
              </w:rPr>
              <w:t xml:space="preserve"> </w:t>
            </w:r>
          </w:p>
          <w:p w14:paraId="10A76DF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Diazepam </w:t>
            </w:r>
          </w:p>
          <w:p w14:paraId="023254B5"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Dihydroergotamine </w:t>
            </w:r>
          </w:p>
          <w:p w14:paraId="5FE84B2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Diltiazem </w:t>
            </w:r>
          </w:p>
          <w:p w14:paraId="6D9878E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Disopyramide </w:t>
            </w:r>
          </w:p>
          <w:p w14:paraId="0D6417C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Docetaxel </w:t>
            </w:r>
          </w:p>
          <w:p w14:paraId="53F20F7A" w14:textId="77777777" w:rsidR="00396FA4" w:rsidRPr="007A3223" w:rsidRDefault="00396FA4" w:rsidP="00396FA4">
            <w:pPr>
              <w:autoSpaceDE w:val="0"/>
              <w:autoSpaceDN w:val="0"/>
              <w:adjustRightInd w:val="0"/>
              <w:spacing w:after="0"/>
              <w:rPr>
                <w:color w:val="000000"/>
                <w:sz w:val="22"/>
              </w:rPr>
            </w:pPr>
            <w:r w:rsidRPr="007A3223">
              <w:rPr>
                <w:color w:val="000000"/>
                <w:sz w:val="22"/>
              </w:rPr>
              <w:t>Domperidone</w:t>
            </w:r>
            <w:r w:rsidRPr="007A3223">
              <w:rPr>
                <w:color w:val="000000"/>
                <w:sz w:val="22"/>
                <w:vertAlign w:val="superscript"/>
              </w:rPr>
              <w:t xml:space="preserve">2 </w:t>
            </w:r>
            <w:r w:rsidRPr="007A3223">
              <w:rPr>
                <w:color w:val="000000"/>
                <w:sz w:val="22"/>
              </w:rPr>
              <w:t xml:space="preserve"> </w:t>
            </w:r>
          </w:p>
          <w:p w14:paraId="0848ACC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Doxorubicin </w:t>
            </w:r>
          </w:p>
          <w:p w14:paraId="67188ED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Eletriptan </w:t>
            </w:r>
          </w:p>
          <w:p w14:paraId="342C3AA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Efavirenz </w:t>
            </w:r>
          </w:p>
          <w:p w14:paraId="1FD1DD4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Eplerenone </w:t>
            </w:r>
          </w:p>
          <w:p w14:paraId="5122956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Ergoloid mesylates </w:t>
            </w:r>
          </w:p>
          <w:p w14:paraId="36CA7B7E"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Ergonovine </w:t>
            </w:r>
          </w:p>
          <w:p w14:paraId="10F059E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Ergotamine </w:t>
            </w:r>
          </w:p>
          <w:p w14:paraId="6FB5D78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Erlotinib </w:t>
            </w:r>
          </w:p>
          <w:p w14:paraId="2E1AED87"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Erythromycin </w:t>
            </w:r>
          </w:p>
          <w:p w14:paraId="5A171B9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Escitalopram </w:t>
            </w:r>
          </w:p>
          <w:p w14:paraId="438AA85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Esomeprazole </w:t>
            </w:r>
          </w:p>
          <w:p w14:paraId="3968800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Estradiol </w:t>
            </w:r>
          </w:p>
          <w:p w14:paraId="79033F8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Estrogens, conjugated synthetic </w:t>
            </w:r>
          </w:p>
          <w:p w14:paraId="0CA96C2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Estrogens, conjugated equine </w:t>
            </w:r>
          </w:p>
          <w:p w14:paraId="5AA7A22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Estrogens, esterified </w:t>
            </w:r>
          </w:p>
          <w:p w14:paraId="6C03DD7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Estropipate </w:t>
            </w:r>
          </w:p>
          <w:p w14:paraId="6B55479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Eszopiclone </w:t>
            </w:r>
          </w:p>
          <w:p w14:paraId="41A8992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Ethinyl estradiol </w:t>
            </w:r>
          </w:p>
          <w:p w14:paraId="7C08BF5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Ethosuximide </w:t>
            </w:r>
          </w:p>
          <w:p w14:paraId="76A159B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Etoposide </w:t>
            </w:r>
          </w:p>
          <w:p w14:paraId="26FB13D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Exemestane </w:t>
            </w:r>
          </w:p>
          <w:p w14:paraId="0935545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Felbamate </w:t>
            </w:r>
          </w:p>
          <w:p w14:paraId="5DF20FC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Felodipine </w:t>
            </w:r>
          </w:p>
          <w:p w14:paraId="2A554F7E"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Fentanyl </w:t>
            </w:r>
          </w:p>
          <w:p w14:paraId="25D75FB4" w14:textId="77777777" w:rsidR="00396FA4" w:rsidRPr="007A3223" w:rsidRDefault="00396FA4" w:rsidP="00396FA4">
            <w:pPr>
              <w:autoSpaceDE w:val="0"/>
              <w:autoSpaceDN w:val="0"/>
              <w:adjustRightInd w:val="0"/>
              <w:spacing w:after="0"/>
              <w:rPr>
                <w:color w:val="000000"/>
                <w:sz w:val="22"/>
              </w:rPr>
            </w:pPr>
            <w:r w:rsidRPr="007A3223">
              <w:rPr>
                <w:color w:val="000000"/>
                <w:sz w:val="22"/>
              </w:rPr>
              <w:t>Finasteride</w:t>
            </w:r>
            <w:r w:rsidRPr="007A3223">
              <w:rPr>
                <w:color w:val="000000"/>
                <w:sz w:val="22"/>
                <w:vertAlign w:val="superscript"/>
              </w:rPr>
              <w:t xml:space="preserve">2 </w:t>
            </w:r>
            <w:r w:rsidRPr="007A3223">
              <w:rPr>
                <w:color w:val="000000"/>
                <w:sz w:val="22"/>
              </w:rPr>
              <w:t xml:space="preserve"> </w:t>
            </w:r>
          </w:p>
          <w:p w14:paraId="527F487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Flunisolide </w:t>
            </w:r>
          </w:p>
          <w:p w14:paraId="780AFEE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Flurazepam </w:t>
            </w:r>
          </w:p>
          <w:p w14:paraId="58E1B45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Flutamide </w:t>
            </w:r>
          </w:p>
          <w:p w14:paraId="65CF5D8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Fluticasone </w:t>
            </w:r>
          </w:p>
          <w:p w14:paraId="5F4385D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Fosamprenavir </w:t>
            </w:r>
          </w:p>
          <w:p w14:paraId="3C7270B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Fosaprepitant </w:t>
            </w:r>
          </w:p>
          <w:p w14:paraId="0D5B97C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Gefitinib </w:t>
            </w:r>
          </w:p>
          <w:p w14:paraId="0DDB02C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Haloperidol </w:t>
            </w:r>
          </w:p>
          <w:p w14:paraId="2605DFA3" w14:textId="77777777" w:rsidR="00396FA4" w:rsidRPr="007A3223" w:rsidRDefault="00396FA4" w:rsidP="00396FA4">
            <w:pPr>
              <w:autoSpaceDE w:val="0"/>
              <w:autoSpaceDN w:val="0"/>
              <w:adjustRightInd w:val="0"/>
              <w:spacing w:after="0"/>
              <w:rPr>
                <w:color w:val="000000"/>
                <w:sz w:val="22"/>
              </w:rPr>
            </w:pPr>
            <w:r w:rsidRPr="007A3223">
              <w:rPr>
                <w:color w:val="000000"/>
                <w:sz w:val="22"/>
              </w:rPr>
              <w:t>Hydrocortisone</w:t>
            </w:r>
            <w:r w:rsidRPr="007A3223">
              <w:rPr>
                <w:color w:val="000000"/>
                <w:sz w:val="22"/>
                <w:vertAlign w:val="superscript"/>
              </w:rPr>
              <w:t xml:space="preserve">2 </w:t>
            </w:r>
            <w:r w:rsidRPr="007A3223">
              <w:rPr>
                <w:color w:val="000000"/>
                <w:sz w:val="22"/>
              </w:rPr>
              <w:t xml:space="preserve"> </w:t>
            </w:r>
          </w:p>
          <w:p w14:paraId="4A61402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Ifosfamide </w:t>
            </w:r>
          </w:p>
          <w:p w14:paraId="0FE75DD5"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Imatinib </w:t>
            </w:r>
          </w:p>
          <w:p w14:paraId="3A076E4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Indinavir </w:t>
            </w:r>
          </w:p>
          <w:p w14:paraId="4A1F431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Irinotecan </w:t>
            </w:r>
          </w:p>
          <w:p w14:paraId="2C5E596C"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Isosorbide dinitrate </w:t>
            </w:r>
          </w:p>
          <w:p w14:paraId="3A994C5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Isosorbide mononitrate </w:t>
            </w:r>
          </w:p>
        </w:tc>
        <w:tc>
          <w:tcPr>
            <w:tcW w:w="1250" w:type="pct"/>
          </w:tcPr>
          <w:p w14:paraId="26118F3A"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Isradipine </w:t>
            </w:r>
          </w:p>
          <w:p w14:paraId="0AB068B5"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Itraconazole </w:t>
            </w:r>
          </w:p>
          <w:p w14:paraId="2CADA9E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Ixabepilone </w:t>
            </w:r>
          </w:p>
          <w:p w14:paraId="1D5C5EC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Ketamine </w:t>
            </w:r>
          </w:p>
          <w:p w14:paraId="7BAC0FC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Ketoconazole </w:t>
            </w:r>
          </w:p>
          <w:p w14:paraId="12E5C37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Lansoprazole </w:t>
            </w:r>
          </w:p>
          <w:p w14:paraId="1389AB3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Lapatinib </w:t>
            </w:r>
          </w:p>
          <w:p w14:paraId="2379384A" w14:textId="77777777" w:rsidR="00396FA4" w:rsidRPr="007A3223" w:rsidRDefault="00396FA4" w:rsidP="00396FA4">
            <w:pPr>
              <w:autoSpaceDE w:val="0"/>
              <w:autoSpaceDN w:val="0"/>
              <w:adjustRightInd w:val="0"/>
              <w:spacing w:after="0"/>
              <w:rPr>
                <w:color w:val="000000"/>
                <w:sz w:val="22"/>
              </w:rPr>
            </w:pPr>
            <w:r w:rsidRPr="007A3223">
              <w:rPr>
                <w:color w:val="000000"/>
                <w:sz w:val="22"/>
              </w:rPr>
              <w:t>Lercanidipine</w:t>
            </w:r>
            <w:r w:rsidRPr="007A3223">
              <w:rPr>
                <w:color w:val="000000"/>
                <w:sz w:val="22"/>
                <w:vertAlign w:val="superscript"/>
              </w:rPr>
              <w:t xml:space="preserve">2 </w:t>
            </w:r>
            <w:r w:rsidRPr="007A3223">
              <w:rPr>
                <w:color w:val="000000"/>
                <w:sz w:val="22"/>
              </w:rPr>
              <w:t xml:space="preserve"> </w:t>
            </w:r>
          </w:p>
          <w:p w14:paraId="7C713F4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Levonorgestrel </w:t>
            </w:r>
          </w:p>
          <w:p w14:paraId="1F95832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Lidocaine </w:t>
            </w:r>
          </w:p>
          <w:p w14:paraId="45D61CE7" w14:textId="77777777" w:rsidR="00396FA4" w:rsidRPr="007A3223" w:rsidRDefault="00396FA4" w:rsidP="00396FA4">
            <w:pPr>
              <w:autoSpaceDE w:val="0"/>
              <w:autoSpaceDN w:val="0"/>
              <w:adjustRightInd w:val="0"/>
              <w:spacing w:after="0"/>
              <w:rPr>
                <w:color w:val="000000"/>
                <w:sz w:val="22"/>
              </w:rPr>
            </w:pPr>
            <w:r w:rsidRPr="007A3223">
              <w:rPr>
                <w:color w:val="000000"/>
                <w:sz w:val="22"/>
              </w:rPr>
              <w:t>Lovastatin</w:t>
            </w:r>
            <w:r w:rsidRPr="007A3223">
              <w:rPr>
                <w:color w:val="000000"/>
                <w:sz w:val="22"/>
                <w:vertAlign w:val="superscript"/>
              </w:rPr>
              <w:t xml:space="preserve">2 </w:t>
            </w:r>
            <w:r w:rsidRPr="007A3223">
              <w:rPr>
                <w:color w:val="000000"/>
                <w:sz w:val="22"/>
              </w:rPr>
              <w:t xml:space="preserve"> </w:t>
            </w:r>
          </w:p>
          <w:p w14:paraId="421FB5A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Lopinavir </w:t>
            </w:r>
          </w:p>
          <w:p w14:paraId="55891C3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Maraviroc </w:t>
            </w:r>
          </w:p>
          <w:p w14:paraId="080D361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Medroxyprogesterone </w:t>
            </w:r>
          </w:p>
          <w:p w14:paraId="7DDFDED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Mefloquine </w:t>
            </w:r>
          </w:p>
          <w:p w14:paraId="10751F4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Mestranol </w:t>
            </w:r>
          </w:p>
          <w:p w14:paraId="783D7E64"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Methadone </w:t>
            </w:r>
          </w:p>
          <w:p w14:paraId="6A26CAD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Methylergonovine </w:t>
            </w:r>
          </w:p>
          <w:p w14:paraId="6D40BEDF" w14:textId="77777777" w:rsidR="00396FA4" w:rsidRPr="007A3223" w:rsidRDefault="00115727" w:rsidP="00396FA4">
            <w:pPr>
              <w:autoSpaceDE w:val="0"/>
              <w:autoSpaceDN w:val="0"/>
              <w:adjustRightInd w:val="0"/>
              <w:spacing w:after="0"/>
              <w:rPr>
                <w:color w:val="000000"/>
                <w:sz w:val="22"/>
              </w:rPr>
            </w:pPr>
            <w:r w:rsidRPr="007A3223">
              <w:rPr>
                <w:color w:val="000000"/>
                <w:sz w:val="22"/>
              </w:rPr>
              <w:t>Methylprednisolone</w:t>
            </w:r>
            <w:r w:rsidR="00396FA4" w:rsidRPr="007A3223">
              <w:rPr>
                <w:color w:val="000000"/>
                <w:sz w:val="22"/>
              </w:rPr>
              <w:t xml:space="preserve"> </w:t>
            </w:r>
          </w:p>
          <w:p w14:paraId="67E75B4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Miconazole </w:t>
            </w:r>
          </w:p>
          <w:p w14:paraId="31A4E2B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Midazolam </w:t>
            </w:r>
          </w:p>
          <w:p w14:paraId="1D9999D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Mirtazapine </w:t>
            </w:r>
          </w:p>
          <w:p w14:paraId="28AF720C" w14:textId="77777777" w:rsidR="00396FA4" w:rsidRPr="007A3223" w:rsidRDefault="00115727" w:rsidP="00396FA4">
            <w:pPr>
              <w:autoSpaceDE w:val="0"/>
              <w:autoSpaceDN w:val="0"/>
              <w:adjustRightInd w:val="0"/>
              <w:spacing w:after="0"/>
              <w:rPr>
                <w:color w:val="000000"/>
                <w:sz w:val="22"/>
              </w:rPr>
            </w:pPr>
            <w:r w:rsidRPr="007A3223">
              <w:rPr>
                <w:color w:val="000000"/>
                <w:sz w:val="22"/>
              </w:rPr>
              <w:t>Modafinil</w:t>
            </w:r>
            <w:r w:rsidR="00396FA4" w:rsidRPr="007A3223">
              <w:rPr>
                <w:color w:val="000000"/>
                <w:sz w:val="22"/>
              </w:rPr>
              <w:t xml:space="preserve"> </w:t>
            </w:r>
          </w:p>
          <w:p w14:paraId="6DB6FEE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Montelukast </w:t>
            </w:r>
          </w:p>
          <w:p w14:paraId="205D441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Nateglinide </w:t>
            </w:r>
          </w:p>
          <w:p w14:paraId="35095F4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Nefazodone </w:t>
            </w:r>
          </w:p>
          <w:p w14:paraId="4397E5A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Nelfinavir </w:t>
            </w:r>
          </w:p>
          <w:p w14:paraId="355120F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Nevirapine </w:t>
            </w:r>
          </w:p>
          <w:p w14:paraId="046B590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Nicardipine </w:t>
            </w:r>
          </w:p>
          <w:p w14:paraId="254380E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Nifedipine </w:t>
            </w:r>
          </w:p>
          <w:p w14:paraId="29B5784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Nilotinib </w:t>
            </w:r>
          </w:p>
          <w:p w14:paraId="31D3615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Nimodipine </w:t>
            </w:r>
          </w:p>
          <w:p w14:paraId="154AB0AF" w14:textId="77777777" w:rsidR="00396FA4" w:rsidRPr="007A3223" w:rsidRDefault="00396FA4" w:rsidP="00396FA4">
            <w:pPr>
              <w:autoSpaceDE w:val="0"/>
              <w:autoSpaceDN w:val="0"/>
              <w:adjustRightInd w:val="0"/>
              <w:spacing w:after="0"/>
              <w:rPr>
                <w:color w:val="000000"/>
                <w:sz w:val="22"/>
              </w:rPr>
            </w:pPr>
            <w:r w:rsidRPr="007A3223">
              <w:rPr>
                <w:color w:val="000000"/>
                <w:sz w:val="22"/>
              </w:rPr>
              <w:t>Nitrendipine</w:t>
            </w:r>
            <w:r w:rsidRPr="007A3223">
              <w:rPr>
                <w:color w:val="000000"/>
                <w:sz w:val="22"/>
                <w:vertAlign w:val="superscript"/>
              </w:rPr>
              <w:t xml:space="preserve">2 </w:t>
            </w:r>
            <w:r w:rsidRPr="007A3223">
              <w:rPr>
                <w:color w:val="000000"/>
                <w:sz w:val="22"/>
              </w:rPr>
              <w:t xml:space="preserve"> </w:t>
            </w:r>
          </w:p>
          <w:p w14:paraId="6D68EE2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Nisoldipine </w:t>
            </w:r>
          </w:p>
          <w:p w14:paraId="6D846FE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Norethindrone </w:t>
            </w:r>
          </w:p>
          <w:p w14:paraId="0CC6044E"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Norgestrel </w:t>
            </w:r>
          </w:p>
          <w:p w14:paraId="239FE2E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Omeprazole </w:t>
            </w:r>
          </w:p>
          <w:p w14:paraId="47D0851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Ondansetron </w:t>
            </w:r>
          </w:p>
          <w:p w14:paraId="258EC702"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Paclitaxel </w:t>
            </w:r>
          </w:p>
          <w:p w14:paraId="717550A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Paricalcitol </w:t>
            </w:r>
          </w:p>
          <w:p w14:paraId="3CA4B21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Pazopanib </w:t>
            </w:r>
          </w:p>
          <w:p w14:paraId="15522EC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Pimozide </w:t>
            </w:r>
          </w:p>
          <w:p w14:paraId="0CDA124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Primaquine </w:t>
            </w:r>
          </w:p>
          <w:p w14:paraId="24FC73FB" w14:textId="77777777" w:rsidR="00396FA4" w:rsidRPr="007A3223" w:rsidRDefault="00396FA4" w:rsidP="00396FA4">
            <w:pPr>
              <w:autoSpaceDE w:val="0"/>
              <w:autoSpaceDN w:val="0"/>
              <w:adjustRightInd w:val="0"/>
              <w:spacing w:after="0"/>
              <w:rPr>
                <w:color w:val="000000"/>
                <w:sz w:val="22"/>
              </w:rPr>
            </w:pPr>
            <w:r w:rsidRPr="007A3223">
              <w:rPr>
                <w:color w:val="000000"/>
                <w:sz w:val="22"/>
              </w:rPr>
              <w:t>Propranolol</w:t>
            </w:r>
            <w:r w:rsidRPr="007A3223">
              <w:rPr>
                <w:color w:val="000000"/>
                <w:sz w:val="22"/>
                <w:vertAlign w:val="superscript"/>
              </w:rPr>
              <w:t xml:space="preserve">2 </w:t>
            </w:r>
            <w:r w:rsidRPr="007A3223">
              <w:rPr>
                <w:color w:val="000000"/>
                <w:sz w:val="22"/>
              </w:rPr>
              <w:t xml:space="preserve"> </w:t>
            </w:r>
          </w:p>
          <w:p w14:paraId="03FA288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Progesterone </w:t>
            </w:r>
          </w:p>
          <w:p w14:paraId="2EF142F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Quazepam </w:t>
            </w:r>
          </w:p>
          <w:p w14:paraId="78A2F6F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Quetiapine </w:t>
            </w:r>
          </w:p>
          <w:p w14:paraId="1EE9378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Quinidine </w:t>
            </w:r>
          </w:p>
          <w:p w14:paraId="7403E8C4"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Quinine </w:t>
            </w:r>
          </w:p>
          <w:p w14:paraId="5505A64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Rabeprazole </w:t>
            </w:r>
          </w:p>
        </w:tc>
        <w:tc>
          <w:tcPr>
            <w:tcW w:w="1250" w:type="pct"/>
          </w:tcPr>
          <w:p w14:paraId="54C8F464"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Ranolazine </w:t>
            </w:r>
          </w:p>
          <w:p w14:paraId="3C54912C" w14:textId="77777777" w:rsidR="00396FA4" w:rsidRPr="007A3223" w:rsidRDefault="00115727" w:rsidP="00396FA4">
            <w:pPr>
              <w:autoSpaceDE w:val="0"/>
              <w:autoSpaceDN w:val="0"/>
              <w:adjustRightInd w:val="0"/>
              <w:spacing w:after="0"/>
              <w:rPr>
                <w:color w:val="000000"/>
                <w:sz w:val="22"/>
              </w:rPr>
            </w:pPr>
            <w:r w:rsidRPr="007A3223">
              <w:rPr>
                <w:color w:val="000000"/>
                <w:sz w:val="22"/>
              </w:rPr>
              <w:t>Rifabutin</w:t>
            </w:r>
            <w:r w:rsidR="00396FA4" w:rsidRPr="007A3223">
              <w:rPr>
                <w:color w:val="000000"/>
                <w:sz w:val="22"/>
              </w:rPr>
              <w:t xml:space="preserve"> </w:t>
            </w:r>
          </w:p>
          <w:p w14:paraId="13520D9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Repaglinide </w:t>
            </w:r>
          </w:p>
          <w:p w14:paraId="4DE03412" w14:textId="77777777" w:rsidR="00396FA4" w:rsidRPr="007A3223" w:rsidRDefault="00396FA4" w:rsidP="00396FA4">
            <w:pPr>
              <w:autoSpaceDE w:val="0"/>
              <w:autoSpaceDN w:val="0"/>
              <w:adjustRightInd w:val="0"/>
              <w:spacing w:after="0"/>
              <w:rPr>
                <w:color w:val="000000"/>
                <w:sz w:val="22"/>
              </w:rPr>
            </w:pPr>
            <w:r w:rsidRPr="007A3223">
              <w:rPr>
                <w:color w:val="000000"/>
                <w:sz w:val="22"/>
              </w:rPr>
              <w:t>Risperidone</w:t>
            </w:r>
            <w:r w:rsidRPr="007A3223">
              <w:rPr>
                <w:color w:val="000000"/>
                <w:sz w:val="22"/>
                <w:vertAlign w:val="superscript"/>
              </w:rPr>
              <w:t xml:space="preserve">2 </w:t>
            </w:r>
            <w:r w:rsidRPr="007A3223">
              <w:rPr>
                <w:color w:val="000000"/>
                <w:sz w:val="22"/>
              </w:rPr>
              <w:t xml:space="preserve"> </w:t>
            </w:r>
          </w:p>
          <w:p w14:paraId="2D3A64B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Ritonavir </w:t>
            </w:r>
          </w:p>
          <w:p w14:paraId="34359F1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Salmeterol </w:t>
            </w:r>
          </w:p>
          <w:p w14:paraId="0824DF1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Saquinavir </w:t>
            </w:r>
          </w:p>
          <w:p w14:paraId="098F55DE"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Sibutramine </w:t>
            </w:r>
          </w:p>
          <w:p w14:paraId="5ADDD75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Sildenafil </w:t>
            </w:r>
          </w:p>
          <w:p w14:paraId="0B9A756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Simvastatin </w:t>
            </w:r>
          </w:p>
          <w:p w14:paraId="3F96B9A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Sirolimus </w:t>
            </w:r>
          </w:p>
          <w:p w14:paraId="145BF45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Solifenacin </w:t>
            </w:r>
          </w:p>
          <w:p w14:paraId="26BA40F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Spiramycin </w:t>
            </w:r>
          </w:p>
          <w:p w14:paraId="525B31E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Sufentanil </w:t>
            </w:r>
          </w:p>
          <w:p w14:paraId="0F9538A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Sunitinib </w:t>
            </w:r>
          </w:p>
          <w:p w14:paraId="6AABA6E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Tacrolimus </w:t>
            </w:r>
          </w:p>
          <w:p w14:paraId="562DC666" w14:textId="77777777" w:rsidR="00396FA4" w:rsidRPr="007A3223" w:rsidRDefault="00396FA4" w:rsidP="00396FA4">
            <w:pPr>
              <w:autoSpaceDE w:val="0"/>
              <w:autoSpaceDN w:val="0"/>
              <w:adjustRightInd w:val="0"/>
              <w:spacing w:after="0"/>
              <w:rPr>
                <w:color w:val="000000"/>
                <w:sz w:val="22"/>
              </w:rPr>
            </w:pPr>
            <w:r w:rsidRPr="007A3223">
              <w:rPr>
                <w:color w:val="000000"/>
                <w:sz w:val="22"/>
              </w:rPr>
              <w:lastRenderedPageBreak/>
              <w:t xml:space="preserve">Tadalafil </w:t>
            </w:r>
          </w:p>
          <w:p w14:paraId="35212DE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Tamoxifen </w:t>
            </w:r>
          </w:p>
          <w:p w14:paraId="54EA60D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Tamsulosin </w:t>
            </w:r>
          </w:p>
          <w:p w14:paraId="3E90F55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Temsirolimus </w:t>
            </w:r>
          </w:p>
          <w:p w14:paraId="5A21B68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Telithromycin </w:t>
            </w:r>
          </w:p>
          <w:p w14:paraId="5A64D07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Teniposide </w:t>
            </w:r>
          </w:p>
          <w:p w14:paraId="689DE9CD" w14:textId="77777777" w:rsidR="00396FA4" w:rsidRPr="007A3223" w:rsidRDefault="00396FA4" w:rsidP="00396FA4">
            <w:pPr>
              <w:autoSpaceDE w:val="0"/>
              <w:autoSpaceDN w:val="0"/>
              <w:adjustRightInd w:val="0"/>
              <w:spacing w:after="0"/>
              <w:rPr>
                <w:color w:val="000000"/>
                <w:sz w:val="22"/>
              </w:rPr>
            </w:pPr>
            <w:r w:rsidRPr="007A3223">
              <w:rPr>
                <w:color w:val="000000"/>
                <w:sz w:val="22"/>
              </w:rPr>
              <w:t>Terfenadine</w:t>
            </w:r>
            <w:r w:rsidRPr="007A3223">
              <w:rPr>
                <w:color w:val="000000"/>
                <w:sz w:val="22"/>
                <w:vertAlign w:val="superscript"/>
              </w:rPr>
              <w:t xml:space="preserve">2 </w:t>
            </w:r>
            <w:r w:rsidRPr="007A3223">
              <w:rPr>
                <w:color w:val="000000"/>
                <w:sz w:val="22"/>
              </w:rPr>
              <w:t xml:space="preserve"> </w:t>
            </w:r>
          </w:p>
          <w:p w14:paraId="0D1F3A63" w14:textId="77777777" w:rsidR="00396FA4" w:rsidRPr="007A3223" w:rsidRDefault="00396FA4" w:rsidP="00396FA4">
            <w:pPr>
              <w:autoSpaceDE w:val="0"/>
              <w:autoSpaceDN w:val="0"/>
              <w:adjustRightInd w:val="0"/>
              <w:spacing w:after="0"/>
              <w:rPr>
                <w:color w:val="000000"/>
                <w:sz w:val="22"/>
              </w:rPr>
            </w:pPr>
            <w:r w:rsidRPr="007A3223">
              <w:rPr>
                <w:color w:val="000000"/>
                <w:sz w:val="22"/>
              </w:rPr>
              <w:t>Testosterone</w:t>
            </w:r>
            <w:r w:rsidRPr="007A3223">
              <w:rPr>
                <w:color w:val="000000"/>
                <w:sz w:val="22"/>
                <w:vertAlign w:val="superscript"/>
              </w:rPr>
              <w:t xml:space="preserve">2 </w:t>
            </w:r>
            <w:r w:rsidRPr="007A3223">
              <w:rPr>
                <w:color w:val="000000"/>
                <w:sz w:val="22"/>
              </w:rPr>
              <w:t xml:space="preserve"> </w:t>
            </w:r>
          </w:p>
          <w:p w14:paraId="020FA47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Tetracycline </w:t>
            </w:r>
          </w:p>
          <w:p w14:paraId="2D240034"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Theophylline </w:t>
            </w:r>
          </w:p>
          <w:p w14:paraId="5928A87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Tiagabine </w:t>
            </w:r>
          </w:p>
          <w:p w14:paraId="07D43C25"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Ticlopidine </w:t>
            </w:r>
          </w:p>
          <w:p w14:paraId="7414198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Tinidazole </w:t>
            </w:r>
          </w:p>
          <w:p w14:paraId="422431D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Tipranavir </w:t>
            </w:r>
          </w:p>
          <w:p w14:paraId="01984725"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Tolterodine </w:t>
            </w:r>
          </w:p>
          <w:p w14:paraId="49EE019A"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Toremifene </w:t>
            </w:r>
          </w:p>
          <w:p w14:paraId="4AC03C6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Tramadol </w:t>
            </w:r>
          </w:p>
          <w:p w14:paraId="4BD9F6FC"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Trazodone </w:t>
            </w:r>
          </w:p>
          <w:p w14:paraId="03E50AE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Triazolam </w:t>
            </w:r>
          </w:p>
          <w:p w14:paraId="04DFDBDF"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Trimethoprim </w:t>
            </w:r>
          </w:p>
          <w:p w14:paraId="1B02A3F9"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Trimipramine </w:t>
            </w:r>
          </w:p>
          <w:p w14:paraId="4F595681"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Vardenafil </w:t>
            </w:r>
          </w:p>
          <w:p w14:paraId="315884E8"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Venlafaxine </w:t>
            </w:r>
          </w:p>
          <w:p w14:paraId="2BEF7D4B"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Verapamil </w:t>
            </w:r>
          </w:p>
          <w:p w14:paraId="1DA664E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Vinblastine </w:t>
            </w:r>
          </w:p>
          <w:p w14:paraId="13792C9D"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Vincristine </w:t>
            </w:r>
          </w:p>
          <w:p w14:paraId="2AB135D7"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Vinorelbine </w:t>
            </w:r>
          </w:p>
          <w:p w14:paraId="6B6B326C" w14:textId="77777777" w:rsidR="00396FA4" w:rsidRPr="007A3223" w:rsidRDefault="00396FA4" w:rsidP="00396FA4">
            <w:pPr>
              <w:autoSpaceDE w:val="0"/>
              <w:autoSpaceDN w:val="0"/>
              <w:adjustRightInd w:val="0"/>
              <w:spacing w:after="0"/>
              <w:rPr>
                <w:color w:val="000000"/>
                <w:sz w:val="22"/>
              </w:rPr>
            </w:pPr>
            <w:r w:rsidRPr="007A3223">
              <w:rPr>
                <w:color w:val="000000"/>
                <w:sz w:val="22"/>
              </w:rPr>
              <w:t>Zaleplon</w:t>
            </w:r>
            <w:r w:rsidRPr="007A3223">
              <w:rPr>
                <w:color w:val="000000"/>
                <w:sz w:val="22"/>
                <w:vertAlign w:val="superscript"/>
              </w:rPr>
              <w:t xml:space="preserve">2 </w:t>
            </w:r>
            <w:r w:rsidRPr="007A3223">
              <w:rPr>
                <w:color w:val="000000"/>
                <w:sz w:val="22"/>
              </w:rPr>
              <w:t xml:space="preserve"> </w:t>
            </w:r>
          </w:p>
          <w:p w14:paraId="0A7A57B8" w14:textId="77777777" w:rsidR="00396FA4" w:rsidRPr="007A3223" w:rsidRDefault="00396FA4" w:rsidP="00396FA4">
            <w:pPr>
              <w:autoSpaceDE w:val="0"/>
              <w:autoSpaceDN w:val="0"/>
              <w:adjustRightInd w:val="0"/>
              <w:spacing w:after="0"/>
              <w:rPr>
                <w:color w:val="000000"/>
                <w:sz w:val="22"/>
              </w:rPr>
            </w:pPr>
            <w:r w:rsidRPr="007A3223">
              <w:rPr>
                <w:color w:val="000000"/>
                <w:sz w:val="22"/>
              </w:rPr>
              <w:t>Ziprasidone</w:t>
            </w:r>
            <w:r w:rsidRPr="007A3223">
              <w:rPr>
                <w:color w:val="000000"/>
                <w:sz w:val="22"/>
                <w:vertAlign w:val="superscript"/>
              </w:rPr>
              <w:t xml:space="preserve">2 </w:t>
            </w:r>
            <w:r w:rsidRPr="007A3223">
              <w:rPr>
                <w:color w:val="000000"/>
                <w:sz w:val="22"/>
              </w:rPr>
              <w:t xml:space="preserve"> </w:t>
            </w:r>
          </w:p>
          <w:p w14:paraId="1283D256"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Zolpidem </w:t>
            </w:r>
          </w:p>
          <w:p w14:paraId="6628F253"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Zonisamide </w:t>
            </w:r>
          </w:p>
          <w:p w14:paraId="4BE54620" w14:textId="77777777" w:rsidR="00396FA4" w:rsidRPr="007A3223" w:rsidRDefault="00396FA4" w:rsidP="00396FA4">
            <w:pPr>
              <w:autoSpaceDE w:val="0"/>
              <w:autoSpaceDN w:val="0"/>
              <w:adjustRightInd w:val="0"/>
              <w:spacing w:after="0"/>
              <w:rPr>
                <w:color w:val="000000"/>
                <w:sz w:val="22"/>
              </w:rPr>
            </w:pPr>
            <w:r w:rsidRPr="007A3223">
              <w:rPr>
                <w:color w:val="000000"/>
                <w:sz w:val="22"/>
              </w:rPr>
              <w:t xml:space="preserve">Zopiclone </w:t>
            </w:r>
          </w:p>
        </w:tc>
      </w:tr>
    </w:tbl>
    <w:p w14:paraId="233EFED9" w14:textId="77777777" w:rsidR="00396FA4" w:rsidRPr="007A3223" w:rsidRDefault="00396FA4" w:rsidP="00396FA4">
      <w:pPr>
        <w:pStyle w:val="Default"/>
        <w:rPr>
          <w:sz w:val="22"/>
          <w:szCs w:val="22"/>
        </w:rPr>
      </w:pPr>
      <w:r w:rsidRPr="007A3223">
        <w:rPr>
          <w:sz w:val="22"/>
          <w:szCs w:val="22"/>
        </w:rPr>
        <w:lastRenderedPageBreak/>
        <w:t xml:space="preserve">* Note: CYP3A4 Substrate Table adapted from Cytochrome P450 Enzymes: Substrates, Inhibitors, and Inducers. In: Lacy CF, Armstrong LL, Goldman MP, Lance LL, eds. Drug Information Handbook 20th ed. Hudson, OH; LexiComp Inc. 2011-2012: 1810-1818 </w:t>
      </w:r>
    </w:p>
    <w:p w14:paraId="42C380A1" w14:textId="77777777" w:rsidR="00396FA4" w:rsidRPr="007A3223" w:rsidRDefault="00396FA4" w:rsidP="00396FA4">
      <w:pPr>
        <w:rPr>
          <w:sz w:val="22"/>
        </w:rPr>
      </w:pPr>
      <w:r w:rsidRPr="007A3223">
        <w:rPr>
          <w:sz w:val="22"/>
        </w:rPr>
        <w:t xml:space="preserve">** Substrates with 2 superscript denote substrates cited in Flockhart DA. Drug Interactions: Cytochrome P450 Drug Interaction Table. Indiana University School of Medicine (2007). </w:t>
      </w:r>
      <w:hyperlink r:id="rId84" w:history="1">
        <w:r w:rsidR="004E0D91" w:rsidRPr="00F33908">
          <w:rPr>
            <w:rStyle w:val="Hyperlink"/>
            <w:sz w:val="22"/>
          </w:rPr>
          <w:t>http://medicine.iupui.edu/clinpharm/ddis/</w:t>
        </w:r>
        <w:r w:rsidR="004E0D91" w:rsidRPr="007A3223">
          <w:rPr>
            <w:rStyle w:val="Hyperlink"/>
            <w:sz w:val="22"/>
          </w:rPr>
          <w:t>table.asp. Accessed Nov 2011</w:t>
        </w:r>
      </w:hyperlink>
    </w:p>
    <w:p w14:paraId="612A8A5C" w14:textId="77777777" w:rsidR="004E0D91" w:rsidRPr="00F33908" w:rsidRDefault="004E0D91" w:rsidP="00396FA4">
      <w:pPr>
        <w:rPr>
          <w:sz w:val="22"/>
        </w:rPr>
      </w:pPr>
    </w:p>
    <w:p w14:paraId="380ADE83" w14:textId="77777777" w:rsidR="00383D44" w:rsidRPr="007A3223" w:rsidRDefault="004E0D91" w:rsidP="004E0D91">
      <w:bookmarkStart w:id="578" w:name="_Ref399160867"/>
      <w:bookmarkStart w:id="579" w:name="_Toc363646275"/>
      <w:bookmarkStart w:id="580" w:name="_Toc288125151"/>
      <w:r w:rsidRPr="007A3223">
        <w:br w:type="page"/>
      </w:r>
      <w:bookmarkEnd w:id="578"/>
    </w:p>
    <w:p w14:paraId="1407216F" w14:textId="5656E7B7" w:rsidR="004E0D91" w:rsidRPr="00F33908" w:rsidRDefault="004E0D91" w:rsidP="00ED703B">
      <w:pPr>
        <w:pStyle w:val="Heading2"/>
      </w:pPr>
      <w:bookmarkStart w:id="581" w:name="_Ref408917355"/>
      <w:bookmarkStart w:id="582" w:name="_Toc82444426"/>
      <w:r w:rsidRPr="007A3223">
        <w:lastRenderedPageBreak/>
        <w:t xml:space="preserve">Appendix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C</w:t>
      </w:r>
      <w:r w:rsidR="00F82420" w:rsidRPr="00F33908">
        <w:rPr>
          <w:noProof/>
        </w:rPr>
        <w:fldChar w:fldCharType="end"/>
      </w:r>
      <w:bookmarkEnd w:id="581"/>
      <w:r w:rsidR="001315B8">
        <w:rPr>
          <w:noProof/>
          <w:lang w:val="en-US"/>
        </w:rPr>
        <w:t xml:space="preserve">: </w:t>
      </w:r>
      <w:r w:rsidRPr="007A3223">
        <w:t>Oral Medication Diary</w:t>
      </w:r>
      <w:bookmarkEnd w:id="582"/>
    </w:p>
    <w:p w14:paraId="709A4AA1" w14:textId="77777777" w:rsidR="00383D44" w:rsidRPr="007A3223" w:rsidRDefault="006305FE" w:rsidP="0068644C">
      <w:r w:rsidRPr="007A3223">
        <w:rPr>
          <w:b/>
        </w:rPr>
        <w:t>CEDIRANIB</w:t>
      </w:r>
    </w:p>
    <w:p w14:paraId="6A2E023D" w14:textId="77777777" w:rsidR="00383D44" w:rsidRPr="007A3223" w:rsidRDefault="00383D44" w:rsidP="00383D44">
      <w:pPr>
        <w:pStyle w:val="Default"/>
        <w:spacing w:after="120"/>
      </w:pPr>
      <w:r w:rsidRPr="007A3223">
        <w:t xml:space="preserve">Today’s Date ________________________________ </w:t>
      </w:r>
      <w:r w:rsidR="00DD2D92" w:rsidRPr="007A3223">
        <w:tab/>
      </w:r>
      <w:r w:rsidR="00DD2D92" w:rsidRPr="007A3223">
        <w:tab/>
        <w:t xml:space="preserve">Cycle #__________ </w:t>
      </w:r>
    </w:p>
    <w:p w14:paraId="0218D2D4" w14:textId="77777777" w:rsidR="00383D44" w:rsidRPr="007A3223" w:rsidRDefault="00383D44" w:rsidP="00383D44">
      <w:pPr>
        <w:pStyle w:val="Default"/>
        <w:spacing w:after="120"/>
      </w:pPr>
      <w:r w:rsidRPr="007A3223">
        <w:t xml:space="preserve">Patient Name_______________________________ Patient Study ID ___________________ </w:t>
      </w:r>
    </w:p>
    <w:p w14:paraId="0D5CBB60" w14:textId="77777777" w:rsidR="00383D44" w:rsidRPr="007A3223" w:rsidRDefault="00DD2D92" w:rsidP="00383D44">
      <w:pPr>
        <w:rPr>
          <w:i/>
          <w:iCs/>
          <w:szCs w:val="24"/>
        </w:rPr>
      </w:pPr>
      <w:r w:rsidRPr="007A3223" w:rsidDel="00DD2D92">
        <w:t xml:space="preserve"> </w:t>
      </w:r>
      <w:r w:rsidR="00383D44" w:rsidRPr="007A3223">
        <w:rPr>
          <w:szCs w:val="24"/>
        </w:rPr>
        <w:t>(</w:t>
      </w:r>
      <w:r w:rsidR="00383D44" w:rsidRPr="007A3223">
        <w:rPr>
          <w:i/>
          <w:iCs/>
          <w:szCs w:val="24"/>
        </w:rPr>
        <w:t>initials acceptable for patient’s name)</w:t>
      </w:r>
    </w:p>
    <w:p w14:paraId="464D19D7" w14:textId="16E52E97" w:rsidR="00837BF9" w:rsidRPr="007A3223" w:rsidRDefault="00837BF9" w:rsidP="00383D44">
      <w:pPr>
        <w:rPr>
          <w:i/>
          <w:iCs/>
          <w:sz w:val="23"/>
          <w:szCs w:val="23"/>
        </w:rPr>
      </w:pPr>
      <w:r w:rsidRPr="007A3223">
        <w:rPr>
          <w:color w:val="000000"/>
          <w:sz w:val="23"/>
          <w:szCs w:val="23"/>
        </w:rPr>
        <w:t xml:space="preserve">Please bring your pill bottle and this form to your physician when you go for your next appointment. </w:t>
      </w:r>
      <w:r w:rsidRPr="007A3223">
        <w:rPr>
          <w:b/>
          <w:i/>
          <w:color w:val="000000"/>
          <w:sz w:val="23"/>
          <w:szCs w:val="23"/>
        </w:rPr>
        <w:t>This is required for study compliance.</w:t>
      </w:r>
    </w:p>
    <w:tbl>
      <w:tblPr>
        <w:tblW w:w="5490" w:type="pct"/>
        <w:tblBorders>
          <w:top w:val="nil"/>
          <w:left w:val="nil"/>
          <w:bottom w:val="nil"/>
          <w:right w:val="nil"/>
        </w:tblBorders>
        <w:tblLook w:val="0000" w:firstRow="0" w:lastRow="0" w:firstColumn="0" w:lastColumn="0" w:noHBand="0" w:noVBand="0"/>
      </w:tblPr>
      <w:tblGrid>
        <w:gridCol w:w="696"/>
        <w:gridCol w:w="630"/>
        <w:gridCol w:w="536"/>
        <w:gridCol w:w="536"/>
        <w:gridCol w:w="750"/>
        <w:gridCol w:w="1323"/>
        <w:gridCol w:w="696"/>
        <w:gridCol w:w="630"/>
        <w:gridCol w:w="776"/>
        <w:gridCol w:w="776"/>
        <w:gridCol w:w="750"/>
        <w:gridCol w:w="2145"/>
      </w:tblGrid>
      <w:tr w:rsidR="00383D44" w:rsidRPr="007A3223" w14:paraId="77622B53" w14:textId="77777777" w:rsidTr="001445EA">
        <w:trPr>
          <w:trHeight w:val="1959"/>
        </w:trPr>
        <w:tc>
          <w:tcPr>
            <w:tcW w:w="5000" w:type="pct"/>
            <w:gridSpan w:val="12"/>
            <w:tcBorders>
              <w:top w:val="double" w:sz="4" w:space="0" w:color="auto"/>
              <w:left w:val="double" w:sz="4" w:space="0" w:color="auto"/>
              <w:bottom w:val="single" w:sz="4" w:space="0" w:color="auto"/>
              <w:right w:val="double" w:sz="4" w:space="0" w:color="auto"/>
            </w:tcBorders>
          </w:tcPr>
          <w:p w14:paraId="398D19BC" w14:textId="77777777" w:rsidR="00383D44" w:rsidRPr="007A3223" w:rsidRDefault="00383D44" w:rsidP="00383D44">
            <w:pPr>
              <w:autoSpaceDE w:val="0"/>
              <w:autoSpaceDN w:val="0"/>
              <w:adjustRightInd w:val="0"/>
              <w:spacing w:after="0"/>
              <w:rPr>
                <w:color w:val="000000"/>
                <w:szCs w:val="24"/>
              </w:rPr>
            </w:pPr>
            <w:r w:rsidRPr="007A3223">
              <w:rPr>
                <w:b/>
                <w:bCs/>
                <w:color w:val="000000"/>
                <w:szCs w:val="24"/>
              </w:rPr>
              <w:t xml:space="preserve">INSTRUCTIONS TO THE PATIENT: </w:t>
            </w:r>
          </w:p>
          <w:p w14:paraId="75211331" w14:textId="77777777" w:rsidR="00383D44" w:rsidRPr="007A3223" w:rsidRDefault="00383D44" w:rsidP="00383D44">
            <w:pPr>
              <w:autoSpaceDE w:val="0"/>
              <w:autoSpaceDN w:val="0"/>
              <w:adjustRightInd w:val="0"/>
              <w:spacing w:after="0"/>
              <w:rPr>
                <w:color w:val="000000"/>
                <w:szCs w:val="24"/>
              </w:rPr>
            </w:pPr>
            <w:r w:rsidRPr="007A3223">
              <w:rPr>
                <w:color w:val="000000"/>
                <w:szCs w:val="24"/>
              </w:rPr>
              <w:t xml:space="preserve">1. Complete one form for each cycle (28 days). </w:t>
            </w:r>
          </w:p>
          <w:p w14:paraId="10EA2D19" w14:textId="77777777" w:rsidR="00383D44" w:rsidRPr="007A3223" w:rsidRDefault="00383D44" w:rsidP="00383D44">
            <w:pPr>
              <w:autoSpaceDE w:val="0"/>
              <w:autoSpaceDN w:val="0"/>
              <w:adjustRightInd w:val="0"/>
              <w:spacing w:after="0"/>
              <w:rPr>
                <w:color w:val="000000"/>
                <w:szCs w:val="24"/>
              </w:rPr>
            </w:pPr>
            <w:r w:rsidRPr="007A3223">
              <w:rPr>
                <w:color w:val="000000"/>
                <w:szCs w:val="24"/>
              </w:rPr>
              <w:t xml:space="preserve">2. You will take ___ (number) ____ mg (dosage) tablet(s) each morning. You may take the tablet(s) one hour before or two hours after eating, as you prefer. </w:t>
            </w:r>
          </w:p>
          <w:p w14:paraId="02D0D9F3" w14:textId="77777777" w:rsidR="00383D44" w:rsidRPr="007A3223" w:rsidRDefault="00383D44" w:rsidP="00383D44">
            <w:pPr>
              <w:autoSpaceDE w:val="0"/>
              <w:autoSpaceDN w:val="0"/>
              <w:adjustRightInd w:val="0"/>
              <w:spacing w:after="0"/>
              <w:rPr>
                <w:color w:val="000000"/>
                <w:szCs w:val="24"/>
              </w:rPr>
            </w:pPr>
            <w:r w:rsidRPr="007A3223">
              <w:rPr>
                <w:color w:val="000000"/>
                <w:szCs w:val="24"/>
              </w:rPr>
              <w:t xml:space="preserve">3. Record the date, the number of pills you took, and when you took them. </w:t>
            </w:r>
          </w:p>
          <w:p w14:paraId="118D5E2A" w14:textId="0A60C870" w:rsidR="00383D44" w:rsidRPr="007A3223" w:rsidRDefault="00383D44" w:rsidP="00837BF9">
            <w:pPr>
              <w:autoSpaceDE w:val="0"/>
              <w:autoSpaceDN w:val="0"/>
              <w:adjustRightInd w:val="0"/>
              <w:spacing w:after="0"/>
              <w:rPr>
                <w:color w:val="000000"/>
                <w:szCs w:val="24"/>
              </w:rPr>
            </w:pPr>
            <w:r w:rsidRPr="007A3223">
              <w:rPr>
                <w:color w:val="000000"/>
                <w:szCs w:val="24"/>
              </w:rPr>
              <w:t xml:space="preserve">4. If you have any comments or notice any side effects, please record them in the Comments column. </w:t>
            </w:r>
          </w:p>
        </w:tc>
      </w:tr>
      <w:tr w:rsidR="00BC2057" w:rsidRPr="007A3223" w14:paraId="259B8828" w14:textId="77777777" w:rsidTr="008D4CC0">
        <w:trPr>
          <w:trHeight w:val="657"/>
        </w:trPr>
        <w:tc>
          <w:tcPr>
            <w:tcW w:w="337" w:type="pct"/>
            <w:vMerge w:val="restart"/>
            <w:tcBorders>
              <w:top w:val="single" w:sz="4" w:space="0" w:color="auto"/>
              <w:left w:val="double" w:sz="4" w:space="0" w:color="auto"/>
              <w:bottom w:val="double" w:sz="4" w:space="0" w:color="auto"/>
              <w:right w:val="single" w:sz="4" w:space="0" w:color="auto"/>
            </w:tcBorders>
          </w:tcPr>
          <w:p w14:paraId="0C250697" w14:textId="77777777" w:rsidR="00A4378E" w:rsidRPr="007A3223" w:rsidRDefault="00A4378E" w:rsidP="00383D44">
            <w:pPr>
              <w:autoSpaceDE w:val="0"/>
              <w:autoSpaceDN w:val="0"/>
              <w:adjustRightInd w:val="0"/>
              <w:spacing w:after="0"/>
              <w:rPr>
                <w:color w:val="000000"/>
                <w:szCs w:val="24"/>
              </w:rPr>
            </w:pPr>
            <w:r w:rsidRPr="007A3223">
              <w:rPr>
                <w:b/>
                <w:bCs/>
                <w:color w:val="000000"/>
                <w:szCs w:val="24"/>
              </w:rPr>
              <w:t xml:space="preserve">Date </w:t>
            </w:r>
          </w:p>
        </w:tc>
        <w:tc>
          <w:tcPr>
            <w:tcW w:w="305" w:type="pct"/>
            <w:vMerge w:val="restart"/>
            <w:tcBorders>
              <w:top w:val="single" w:sz="4" w:space="0" w:color="auto"/>
              <w:left w:val="single" w:sz="4" w:space="0" w:color="auto"/>
              <w:bottom w:val="double" w:sz="4" w:space="0" w:color="auto"/>
              <w:right w:val="single" w:sz="4" w:space="0" w:color="auto"/>
            </w:tcBorders>
          </w:tcPr>
          <w:p w14:paraId="037A9704" w14:textId="77777777" w:rsidR="00A4378E" w:rsidRPr="007A3223" w:rsidRDefault="00A4378E" w:rsidP="00383D44">
            <w:pPr>
              <w:autoSpaceDE w:val="0"/>
              <w:autoSpaceDN w:val="0"/>
              <w:adjustRightInd w:val="0"/>
              <w:spacing w:after="0"/>
              <w:rPr>
                <w:color w:val="000000"/>
                <w:szCs w:val="24"/>
              </w:rPr>
            </w:pPr>
            <w:r w:rsidRPr="007A3223">
              <w:rPr>
                <w:b/>
                <w:bCs/>
                <w:color w:val="000000"/>
                <w:szCs w:val="24"/>
              </w:rPr>
              <w:t xml:space="preserve">Day </w:t>
            </w:r>
          </w:p>
        </w:tc>
        <w:tc>
          <w:tcPr>
            <w:tcW w:w="882" w:type="pct"/>
            <w:gridSpan w:val="3"/>
            <w:tcBorders>
              <w:top w:val="single" w:sz="4" w:space="0" w:color="auto"/>
              <w:left w:val="single" w:sz="4" w:space="0" w:color="auto"/>
              <w:bottom w:val="dotted" w:sz="4" w:space="0" w:color="auto"/>
              <w:right w:val="single" w:sz="4" w:space="0" w:color="auto"/>
            </w:tcBorders>
          </w:tcPr>
          <w:p w14:paraId="110024DC" w14:textId="77777777" w:rsidR="00A4378E" w:rsidRPr="007A3223" w:rsidRDefault="00A4378E" w:rsidP="00383D44">
            <w:pPr>
              <w:autoSpaceDE w:val="0"/>
              <w:autoSpaceDN w:val="0"/>
              <w:adjustRightInd w:val="0"/>
              <w:spacing w:after="0"/>
              <w:rPr>
                <w:color w:val="000000"/>
                <w:szCs w:val="24"/>
              </w:rPr>
            </w:pPr>
            <w:r w:rsidRPr="007A3223">
              <w:rPr>
                <w:b/>
                <w:bCs/>
                <w:color w:val="000000"/>
                <w:szCs w:val="24"/>
              </w:rPr>
              <w:t xml:space="preserve"># pills and when taken: cediranib </w:t>
            </w:r>
          </w:p>
        </w:tc>
        <w:tc>
          <w:tcPr>
            <w:tcW w:w="638" w:type="pct"/>
            <w:vMerge w:val="restart"/>
            <w:tcBorders>
              <w:top w:val="single" w:sz="4" w:space="0" w:color="auto"/>
              <w:left w:val="single" w:sz="4" w:space="0" w:color="auto"/>
              <w:bottom w:val="double" w:sz="4" w:space="0" w:color="auto"/>
              <w:right w:val="double" w:sz="4" w:space="0" w:color="auto"/>
            </w:tcBorders>
          </w:tcPr>
          <w:p w14:paraId="4D92CC6F" w14:textId="77777777" w:rsidR="00A4378E" w:rsidRPr="007A3223" w:rsidRDefault="00A4378E" w:rsidP="00383D44">
            <w:pPr>
              <w:autoSpaceDE w:val="0"/>
              <w:autoSpaceDN w:val="0"/>
              <w:adjustRightInd w:val="0"/>
              <w:spacing w:after="0"/>
              <w:rPr>
                <w:color w:val="000000"/>
                <w:szCs w:val="24"/>
              </w:rPr>
            </w:pPr>
            <w:r w:rsidRPr="007A3223">
              <w:rPr>
                <w:b/>
                <w:bCs/>
                <w:color w:val="000000"/>
                <w:szCs w:val="24"/>
              </w:rPr>
              <w:t xml:space="preserve">Comments </w:t>
            </w:r>
          </w:p>
        </w:tc>
        <w:tc>
          <w:tcPr>
            <w:tcW w:w="337" w:type="pct"/>
            <w:vMerge w:val="restart"/>
            <w:tcBorders>
              <w:top w:val="single" w:sz="4" w:space="0" w:color="auto"/>
              <w:left w:val="double" w:sz="4" w:space="0" w:color="auto"/>
              <w:bottom w:val="double" w:sz="4" w:space="0" w:color="auto"/>
              <w:right w:val="single" w:sz="4" w:space="0" w:color="auto"/>
            </w:tcBorders>
          </w:tcPr>
          <w:p w14:paraId="13B9A73A" w14:textId="77777777" w:rsidR="00A4378E" w:rsidRPr="007A3223" w:rsidRDefault="00A4378E" w:rsidP="000717C4">
            <w:pPr>
              <w:autoSpaceDE w:val="0"/>
              <w:autoSpaceDN w:val="0"/>
              <w:adjustRightInd w:val="0"/>
              <w:spacing w:after="0"/>
              <w:rPr>
                <w:color w:val="000000"/>
                <w:szCs w:val="24"/>
              </w:rPr>
            </w:pPr>
            <w:r w:rsidRPr="007A3223">
              <w:rPr>
                <w:b/>
                <w:bCs/>
                <w:color w:val="000000"/>
                <w:szCs w:val="24"/>
              </w:rPr>
              <w:t xml:space="preserve">Date </w:t>
            </w:r>
          </w:p>
        </w:tc>
        <w:tc>
          <w:tcPr>
            <w:tcW w:w="305" w:type="pct"/>
            <w:vMerge w:val="restart"/>
            <w:tcBorders>
              <w:top w:val="single" w:sz="4" w:space="0" w:color="auto"/>
              <w:left w:val="single" w:sz="4" w:space="0" w:color="auto"/>
              <w:bottom w:val="double" w:sz="4" w:space="0" w:color="auto"/>
              <w:right w:val="single" w:sz="4" w:space="0" w:color="auto"/>
            </w:tcBorders>
          </w:tcPr>
          <w:p w14:paraId="54511AEF" w14:textId="77777777" w:rsidR="00A4378E" w:rsidRPr="007A3223" w:rsidRDefault="00A4378E" w:rsidP="000717C4">
            <w:pPr>
              <w:autoSpaceDE w:val="0"/>
              <w:autoSpaceDN w:val="0"/>
              <w:adjustRightInd w:val="0"/>
              <w:spacing w:after="0"/>
              <w:rPr>
                <w:color w:val="000000"/>
                <w:szCs w:val="24"/>
              </w:rPr>
            </w:pPr>
            <w:r w:rsidRPr="007A3223">
              <w:rPr>
                <w:b/>
                <w:bCs/>
                <w:color w:val="000000"/>
                <w:szCs w:val="24"/>
              </w:rPr>
              <w:t xml:space="preserve">Day </w:t>
            </w:r>
          </w:p>
        </w:tc>
        <w:tc>
          <w:tcPr>
            <w:tcW w:w="1112" w:type="pct"/>
            <w:gridSpan w:val="3"/>
            <w:tcBorders>
              <w:top w:val="single" w:sz="4" w:space="0" w:color="auto"/>
              <w:left w:val="single" w:sz="4" w:space="0" w:color="auto"/>
              <w:bottom w:val="dotted" w:sz="4" w:space="0" w:color="auto"/>
              <w:right w:val="single" w:sz="4" w:space="0" w:color="auto"/>
            </w:tcBorders>
          </w:tcPr>
          <w:p w14:paraId="46832BE0" w14:textId="77777777" w:rsidR="00A4378E" w:rsidRPr="007A3223" w:rsidRDefault="00A4378E" w:rsidP="000717C4">
            <w:pPr>
              <w:autoSpaceDE w:val="0"/>
              <w:autoSpaceDN w:val="0"/>
              <w:adjustRightInd w:val="0"/>
              <w:spacing w:after="0"/>
              <w:rPr>
                <w:color w:val="000000"/>
                <w:szCs w:val="24"/>
              </w:rPr>
            </w:pPr>
            <w:r w:rsidRPr="007A3223">
              <w:rPr>
                <w:b/>
                <w:bCs/>
                <w:color w:val="000000"/>
                <w:szCs w:val="24"/>
              </w:rPr>
              <w:t># pills and when taken:</w:t>
            </w:r>
            <w:r w:rsidR="001D52C8" w:rsidRPr="007A3223">
              <w:rPr>
                <w:b/>
                <w:bCs/>
                <w:color w:val="000000"/>
                <w:szCs w:val="24"/>
              </w:rPr>
              <w:t xml:space="preserve"> </w:t>
            </w:r>
            <w:r w:rsidRPr="007A3223">
              <w:rPr>
                <w:b/>
                <w:bCs/>
                <w:color w:val="000000"/>
                <w:szCs w:val="24"/>
              </w:rPr>
              <w:t xml:space="preserve">cediranib </w:t>
            </w:r>
          </w:p>
        </w:tc>
        <w:tc>
          <w:tcPr>
            <w:tcW w:w="1085" w:type="pct"/>
            <w:vMerge w:val="restart"/>
            <w:tcBorders>
              <w:top w:val="single" w:sz="4" w:space="0" w:color="auto"/>
              <w:left w:val="single" w:sz="4" w:space="0" w:color="auto"/>
              <w:bottom w:val="double" w:sz="4" w:space="0" w:color="auto"/>
              <w:right w:val="double" w:sz="4" w:space="0" w:color="auto"/>
            </w:tcBorders>
          </w:tcPr>
          <w:p w14:paraId="3136FD2D" w14:textId="77777777" w:rsidR="00A4378E" w:rsidRPr="007A3223" w:rsidRDefault="00A4378E" w:rsidP="000717C4">
            <w:pPr>
              <w:autoSpaceDE w:val="0"/>
              <w:autoSpaceDN w:val="0"/>
              <w:adjustRightInd w:val="0"/>
              <w:spacing w:after="0"/>
              <w:rPr>
                <w:color w:val="000000"/>
                <w:szCs w:val="24"/>
              </w:rPr>
            </w:pPr>
            <w:r w:rsidRPr="007A3223">
              <w:rPr>
                <w:b/>
                <w:bCs/>
                <w:color w:val="000000"/>
                <w:szCs w:val="24"/>
              </w:rPr>
              <w:t xml:space="preserve">Comments </w:t>
            </w:r>
          </w:p>
        </w:tc>
      </w:tr>
      <w:tr w:rsidR="00BC2057" w:rsidRPr="007A3223" w14:paraId="2C6D8A61" w14:textId="77777777" w:rsidTr="008D4CC0">
        <w:trPr>
          <w:trHeight w:val="495"/>
        </w:trPr>
        <w:tc>
          <w:tcPr>
            <w:tcW w:w="337" w:type="pct"/>
            <w:vMerge/>
            <w:tcBorders>
              <w:top w:val="double" w:sz="4" w:space="0" w:color="auto"/>
              <w:left w:val="double" w:sz="4" w:space="0" w:color="auto"/>
              <w:bottom w:val="single" w:sz="4" w:space="0" w:color="auto"/>
              <w:right w:val="single" w:sz="4" w:space="0" w:color="auto"/>
            </w:tcBorders>
          </w:tcPr>
          <w:p w14:paraId="5AC33415" w14:textId="77777777" w:rsidR="00A4378E" w:rsidRPr="007A3223" w:rsidRDefault="00A4378E" w:rsidP="00383D44">
            <w:pPr>
              <w:autoSpaceDE w:val="0"/>
              <w:autoSpaceDN w:val="0"/>
              <w:adjustRightInd w:val="0"/>
              <w:spacing w:after="0"/>
              <w:rPr>
                <w:b/>
                <w:bCs/>
                <w:color w:val="000000"/>
                <w:szCs w:val="24"/>
              </w:rPr>
            </w:pPr>
          </w:p>
        </w:tc>
        <w:tc>
          <w:tcPr>
            <w:tcW w:w="305" w:type="pct"/>
            <w:vMerge/>
            <w:tcBorders>
              <w:top w:val="double" w:sz="4" w:space="0" w:color="auto"/>
              <w:left w:val="single" w:sz="4" w:space="0" w:color="auto"/>
              <w:bottom w:val="single" w:sz="4" w:space="0" w:color="auto"/>
              <w:right w:val="single" w:sz="4" w:space="0" w:color="auto"/>
            </w:tcBorders>
          </w:tcPr>
          <w:p w14:paraId="0DB1E365" w14:textId="77777777" w:rsidR="00A4378E" w:rsidRPr="007A3223" w:rsidRDefault="00A4378E" w:rsidP="00383D44">
            <w:pPr>
              <w:autoSpaceDE w:val="0"/>
              <w:autoSpaceDN w:val="0"/>
              <w:adjustRightInd w:val="0"/>
              <w:spacing w:after="0"/>
              <w:rPr>
                <w:b/>
                <w:bCs/>
                <w:color w:val="000000"/>
                <w:szCs w:val="24"/>
              </w:rPr>
            </w:pPr>
          </w:p>
        </w:tc>
        <w:tc>
          <w:tcPr>
            <w:tcW w:w="260" w:type="pct"/>
            <w:tcBorders>
              <w:top w:val="dotted" w:sz="4" w:space="0" w:color="auto"/>
              <w:left w:val="single" w:sz="4" w:space="0" w:color="auto"/>
              <w:bottom w:val="single" w:sz="4" w:space="0" w:color="auto"/>
              <w:right w:val="single" w:sz="4" w:space="0" w:color="auto"/>
            </w:tcBorders>
          </w:tcPr>
          <w:p w14:paraId="7C6D6464" w14:textId="77777777" w:rsidR="00A4378E" w:rsidRPr="007A3223" w:rsidRDefault="00A4378E" w:rsidP="00383D44">
            <w:pPr>
              <w:autoSpaceDE w:val="0"/>
              <w:autoSpaceDN w:val="0"/>
              <w:adjustRightInd w:val="0"/>
              <w:spacing w:after="0"/>
              <w:rPr>
                <w:b/>
                <w:bCs/>
                <w:color w:val="000000"/>
                <w:szCs w:val="24"/>
              </w:rPr>
            </w:pPr>
            <w:r w:rsidRPr="007A3223">
              <w:rPr>
                <w:b/>
                <w:bCs/>
                <w:color w:val="000000"/>
                <w:szCs w:val="24"/>
              </w:rPr>
              <w:t>15</w:t>
            </w:r>
            <w:r w:rsidR="001D52C8" w:rsidRPr="007A3223">
              <w:rPr>
                <w:b/>
                <w:bCs/>
                <w:color w:val="000000"/>
                <w:szCs w:val="24"/>
              </w:rPr>
              <w:t xml:space="preserve"> </w:t>
            </w:r>
            <w:r w:rsidRPr="007A3223">
              <w:rPr>
                <w:b/>
                <w:bCs/>
                <w:color w:val="000000"/>
                <w:szCs w:val="24"/>
              </w:rPr>
              <w:t xml:space="preserve">mg  </w:t>
            </w:r>
          </w:p>
        </w:tc>
        <w:tc>
          <w:tcPr>
            <w:tcW w:w="260" w:type="pct"/>
            <w:tcBorders>
              <w:top w:val="dotted" w:sz="4" w:space="0" w:color="auto"/>
              <w:left w:val="single" w:sz="4" w:space="0" w:color="auto"/>
              <w:bottom w:val="single" w:sz="4" w:space="0" w:color="auto"/>
              <w:right w:val="single" w:sz="4" w:space="0" w:color="auto"/>
            </w:tcBorders>
          </w:tcPr>
          <w:p w14:paraId="0BB15435" w14:textId="77777777" w:rsidR="00A4378E" w:rsidRPr="007A3223" w:rsidRDefault="00A4378E" w:rsidP="00383D44">
            <w:pPr>
              <w:autoSpaceDE w:val="0"/>
              <w:autoSpaceDN w:val="0"/>
              <w:adjustRightInd w:val="0"/>
              <w:spacing w:after="0"/>
              <w:rPr>
                <w:b/>
                <w:bCs/>
                <w:color w:val="000000"/>
                <w:szCs w:val="24"/>
              </w:rPr>
            </w:pPr>
            <w:r w:rsidRPr="007A3223">
              <w:rPr>
                <w:b/>
                <w:bCs/>
                <w:color w:val="000000"/>
                <w:szCs w:val="24"/>
              </w:rPr>
              <w:t>20</w:t>
            </w:r>
            <w:r w:rsidR="001D52C8" w:rsidRPr="007A3223">
              <w:rPr>
                <w:b/>
                <w:bCs/>
                <w:color w:val="000000"/>
                <w:szCs w:val="24"/>
              </w:rPr>
              <w:t xml:space="preserve"> </w:t>
            </w:r>
            <w:r w:rsidRPr="007A3223">
              <w:rPr>
                <w:b/>
                <w:bCs/>
                <w:color w:val="000000"/>
                <w:szCs w:val="24"/>
              </w:rPr>
              <w:t>mg</w:t>
            </w:r>
          </w:p>
        </w:tc>
        <w:tc>
          <w:tcPr>
            <w:tcW w:w="363" w:type="pct"/>
            <w:tcBorders>
              <w:top w:val="dotted" w:sz="4" w:space="0" w:color="auto"/>
              <w:left w:val="single" w:sz="4" w:space="0" w:color="auto"/>
              <w:bottom w:val="single" w:sz="4" w:space="0" w:color="auto"/>
              <w:right w:val="single" w:sz="4" w:space="0" w:color="auto"/>
            </w:tcBorders>
          </w:tcPr>
          <w:p w14:paraId="2CF81CBE" w14:textId="77777777" w:rsidR="00A4378E" w:rsidRPr="007A3223" w:rsidRDefault="00A4378E" w:rsidP="00383D44">
            <w:pPr>
              <w:autoSpaceDE w:val="0"/>
              <w:autoSpaceDN w:val="0"/>
              <w:adjustRightInd w:val="0"/>
              <w:spacing w:after="0"/>
              <w:rPr>
                <w:color w:val="000000"/>
                <w:szCs w:val="24"/>
              </w:rPr>
            </w:pPr>
            <w:r w:rsidRPr="007A3223">
              <w:rPr>
                <w:b/>
                <w:bCs/>
                <w:color w:val="000000"/>
                <w:szCs w:val="24"/>
              </w:rPr>
              <w:t>Time</w:t>
            </w:r>
          </w:p>
        </w:tc>
        <w:tc>
          <w:tcPr>
            <w:tcW w:w="638" w:type="pct"/>
            <w:vMerge/>
            <w:tcBorders>
              <w:top w:val="double" w:sz="4" w:space="0" w:color="auto"/>
              <w:left w:val="single" w:sz="4" w:space="0" w:color="auto"/>
              <w:bottom w:val="single" w:sz="4" w:space="0" w:color="auto"/>
              <w:right w:val="double" w:sz="4" w:space="0" w:color="auto"/>
            </w:tcBorders>
          </w:tcPr>
          <w:p w14:paraId="4573744C" w14:textId="77777777" w:rsidR="00A4378E" w:rsidRPr="007A3223" w:rsidRDefault="00A4378E" w:rsidP="00383D44">
            <w:pPr>
              <w:autoSpaceDE w:val="0"/>
              <w:autoSpaceDN w:val="0"/>
              <w:adjustRightInd w:val="0"/>
              <w:spacing w:after="0"/>
              <w:rPr>
                <w:b/>
                <w:bCs/>
                <w:color w:val="000000"/>
                <w:szCs w:val="24"/>
              </w:rPr>
            </w:pPr>
          </w:p>
        </w:tc>
        <w:tc>
          <w:tcPr>
            <w:tcW w:w="337" w:type="pct"/>
            <w:vMerge/>
            <w:tcBorders>
              <w:top w:val="double" w:sz="4" w:space="0" w:color="auto"/>
              <w:left w:val="double" w:sz="4" w:space="0" w:color="auto"/>
              <w:bottom w:val="single" w:sz="4" w:space="0" w:color="auto"/>
              <w:right w:val="single" w:sz="4" w:space="0" w:color="auto"/>
            </w:tcBorders>
          </w:tcPr>
          <w:p w14:paraId="79416830" w14:textId="77777777" w:rsidR="00A4378E" w:rsidRPr="007A3223" w:rsidRDefault="00A4378E" w:rsidP="00383D44">
            <w:pPr>
              <w:autoSpaceDE w:val="0"/>
              <w:autoSpaceDN w:val="0"/>
              <w:adjustRightInd w:val="0"/>
              <w:spacing w:after="0"/>
              <w:rPr>
                <w:b/>
                <w:bCs/>
                <w:color w:val="000000"/>
                <w:szCs w:val="24"/>
              </w:rPr>
            </w:pPr>
          </w:p>
        </w:tc>
        <w:tc>
          <w:tcPr>
            <w:tcW w:w="305" w:type="pct"/>
            <w:vMerge/>
            <w:tcBorders>
              <w:top w:val="double" w:sz="4" w:space="0" w:color="auto"/>
              <w:left w:val="single" w:sz="4" w:space="0" w:color="auto"/>
              <w:bottom w:val="single" w:sz="4" w:space="0" w:color="auto"/>
              <w:right w:val="single" w:sz="4" w:space="0" w:color="auto"/>
            </w:tcBorders>
          </w:tcPr>
          <w:p w14:paraId="5D46FECF" w14:textId="77777777" w:rsidR="00A4378E" w:rsidRPr="007A3223" w:rsidRDefault="00A4378E" w:rsidP="00383D44">
            <w:pPr>
              <w:autoSpaceDE w:val="0"/>
              <w:autoSpaceDN w:val="0"/>
              <w:adjustRightInd w:val="0"/>
              <w:spacing w:after="0"/>
              <w:rPr>
                <w:b/>
                <w:bCs/>
                <w:color w:val="000000"/>
                <w:szCs w:val="24"/>
              </w:rPr>
            </w:pPr>
          </w:p>
        </w:tc>
        <w:tc>
          <w:tcPr>
            <w:tcW w:w="375" w:type="pct"/>
            <w:tcBorders>
              <w:top w:val="dotted" w:sz="4" w:space="0" w:color="auto"/>
              <w:left w:val="single" w:sz="4" w:space="0" w:color="auto"/>
              <w:bottom w:val="single" w:sz="4" w:space="0" w:color="auto"/>
              <w:right w:val="single" w:sz="4" w:space="0" w:color="auto"/>
            </w:tcBorders>
          </w:tcPr>
          <w:p w14:paraId="07AA3155" w14:textId="77777777" w:rsidR="00A4378E" w:rsidRPr="007A3223" w:rsidRDefault="00A4378E" w:rsidP="000717C4">
            <w:pPr>
              <w:autoSpaceDE w:val="0"/>
              <w:autoSpaceDN w:val="0"/>
              <w:adjustRightInd w:val="0"/>
              <w:spacing w:after="0"/>
              <w:rPr>
                <w:b/>
                <w:bCs/>
                <w:color w:val="000000"/>
                <w:szCs w:val="24"/>
              </w:rPr>
            </w:pPr>
            <w:r w:rsidRPr="007A3223">
              <w:rPr>
                <w:b/>
                <w:bCs/>
                <w:color w:val="000000"/>
                <w:szCs w:val="24"/>
              </w:rPr>
              <w:t xml:space="preserve">15mg  </w:t>
            </w:r>
          </w:p>
        </w:tc>
        <w:tc>
          <w:tcPr>
            <w:tcW w:w="375" w:type="pct"/>
            <w:tcBorders>
              <w:top w:val="dotted" w:sz="4" w:space="0" w:color="auto"/>
              <w:left w:val="single" w:sz="4" w:space="0" w:color="auto"/>
              <w:bottom w:val="single" w:sz="4" w:space="0" w:color="auto"/>
              <w:right w:val="single" w:sz="4" w:space="0" w:color="auto"/>
            </w:tcBorders>
          </w:tcPr>
          <w:p w14:paraId="27332D19" w14:textId="77777777" w:rsidR="00A4378E" w:rsidRPr="007A3223" w:rsidRDefault="00A4378E" w:rsidP="000717C4">
            <w:pPr>
              <w:autoSpaceDE w:val="0"/>
              <w:autoSpaceDN w:val="0"/>
              <w:adjustRightInd w:val="0"/>
              <w:spacing w:after="0"/>
              <w:rPr>
                <w:b/>
                <w:bCs/>
                <w:color w:val="000000"/>
                <w:szCs w:val="24"/>
              </w:rPr>
            </w:pPr>
            <w:r w:rsidRPr="007A3223">
              <w:rPr>
                <w:b/>
                <w:bCs/>
                <w:color w:val="000000"/>
                <w:szCs w:val="24"/>
              </w:rPr>
              <w:t>20mg</w:t>
            </w:r>
          </w:p>
        </w:tc>
        <w:tc>
          <w:tcPr>
            <w:tcW w:w="363" w:type="pct"/>
            <w:tcBorders>
              <w:top w:val="dotted" w:sz="4" w:space="0" w:color="auto"/>
              <w:left w:val="single" w:sz="4" w:space="0" w:color="auto"/>
              <w:bottom w:val="single" w:sz="4" w:space="0" w:color="auto"/>
              <w:right w:val="single" w:sz="4" w:space="0" w:color="auto"/>
            </w:tcBorders>
          </w:tcPr>
          <w:p w14:paraId="7155D9CB" w14:textId="77777777" w:rsidR="00A4378E" w:rsidRPr="007A3223" w:rsidRDefault="00A4378E" w:rsidP="000717C4">
            <w:pPr>
              <w:autoSpaceDE w:val="0"/>
              <w:autoSpaceDN w:val="0"/>
              <w:adjustRightInd w:val="0"/>
              <w:spacing w:after="0"/>
              <w:rPr>
                <w:color w:val="000000"/>
                <w:szCs w:val="24"/>
              </w:rPr>
            </w:pPr>
            <w:r w:rsidRPr="007A3223">
              <w:rPr>
                <w:b/>
                <w:bCs/>
                <w:color w:val="000000"/>
                <w:szCs w:val="24"/>
              </w:rPr>
              <w:t>Time</w:t>
            </w:r>
          </w:p>
        </w:tc>
        <w:tc>
          <w:tcPr>
            <w:tcW w:w="1085" w:type="pct"/>
            <w:vMerge/>
            <w:tcBorders>
              <w:top w:val="double" w:sz="4" w:space="0" w:color="auto"/>
              <w:left w:val="single" w:sz="4" w:space="0" w:color="auto"/>
              <w:bottom w:val="single" w:sz="4" w:space="0" w:color="auto"/>
              <w:right w:val="double" w:sz="4" w:space="0" w:color="auto"/>
            </w:tcBorders>
          </w:tcPr>
          <w:p w14:paraId="0591260E" w14:textId="77777777" w:rsidR="00A4378E" w:rsidRPr="007A3223" w:rsidRDefault="00A4378E" w:rsidP="00383D44">
            <w:pPr>
              <w:autoSpaceDE w:val="0"/>
              <w:autoSpaceDN w:val="0"/>
              <w:adjustRightInd w:val="0"/>
              <w:spacing w:after="0"/>
              <w:rPr>
                <w:b/>
                <w:bCs/>
                <w:color w:val="000000"/>
                <w:szCs w:val="24"/>
              </w:rPr>
            </w:pPr>
          </w:p>
        </w:tc>
      </w:tr>
      <w:tr w:rsidR="00BC2057" w:rsidRPr="007A3223" w14:paraId="4E8B7EDC"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016273EC"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3905DF8E"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 </w:t>
            </w:r>
          </w:p>
        </w:tc>
        <w:tc>
          <w:tcPr>
            <w:tcW w:w="260" w:type="pct"/>
            <w:tcBorders>
              <w:top w:val="single" w:sz="4" w:space="0" w:color="auto"/>
              <w:left w:val="single" w:sz="4" w:space="0" w:color="auto"/>
              <w:bottom w:val="single" w:sz="4" w:space="0" w:color="auto"/>
              <w:right w:val="single" w:sz="4" w:space="0" w:color="auto"/>
            </w:tcBorders>
          </w:tcPr>
          <w:p w14:paraId="315E149E"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0149C207"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05A524BE"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2B7F4838"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4D025E59"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6EEA5A41"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15 </w:t>
            </w:r>
          </w:p>
        </w:tc>
        <w:tc>
          <w:tcPr>
            <w:tcW w:w="375" w:type="pct"/>
            <w:tcBorders>
              <w:top w:val="single" w:sz="4" w:space="0" w:color="auto"/>
              <w:left w:val="single" w:sz="4" w:space="0" w:color="auto"/>
              <w:bottom w:val="single" w:sz="4" w:space="0" w:color="auto"/>
              <w:right w:val="single" w:sz="4" w:space="0" w:color="auto"/>
            </w:tcBorders>
          </w:tcPr>
          <w:p w14:paraId="2F955092"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0E40CCAE"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66F8E84E"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5F4E1E8" w14:textId="77777777" w:rsidR="00A4378E" w:rsidRPr="007A3223" w:rsidRDefault="00A4378E" w:rsidP="00383D44">
            <w:pPr>
              <w:autoSpaceDE w:val="0"/>
              <w:autoSpaceDN w:val="0"/>
              <w:adjustRightInd w:val="0"/>
              <w:spacing w:after="0"/>
              <w:rPr>
                <w:color w:val="000000"/>
                <w:szCs w:val="24"/>
              </w:rPr>
            </w:pPr>
          </w:p>
        </w:tc>
      </w:tr>
      <w:tr w:rsidR="00BC2057" w:rsidRPr="007A3223" w14:paraId="5BC54E73"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588EA83E"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73D9490F"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 </w:t>
            </w:r>
          </w:p>
        </w:tc>
        <w:tc>
          <w:tcPr>
            <w:tcW w:w="260" w:type="pct"/>
            <w:tcBorders>
              <w:top w:val="single" w:sz="4" w:space="0" w:color="auto"/>
              <w:left w:val="single" w:sz="4" w:space="0" w:color="auto"/>
              <w:bottom w:val="single" w:sz="4" w:space="0" w:color="auto"/>
              <w:right w:val="single" w:sz="4" w:space="0" w:color="auto"/>
            </w:tcBorders>
          </w:tcPr>
          <w:p w14:paraId="71D4ABEC"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06D47719"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1FE99F06"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608671B5"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20C5265D"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465D900E"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16 </w:t>
            </w:r>
          </w:p>
        </w:tc>
        <w:tc>
          <w:tcPr>
            <w:tcW w:w="375" w:type="pct"/>
            <w:tcBorders>
              <w:top w:val="single" w:sz="4" w:space="0" w:color="auto"/>
              <w:left w:val="single" w:sz="4" w:space="0" w:color="auto"/>
              <w:bottom w:val="single" w:sz="4" w:space="0" w:color="auto"/>
              <w:right w:val="single" w:sz="4" w:space="0" w:color="auto"/>
            </w:tcBorders>
          </w:tcPr>
          <w:p w14:paraId="0E6C53DD"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6CD9F28A"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003A8D40"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61498021" w14:textId="77777777" w:rsidR="00A4378E" w:rsidRPr="007A3223" w:rsidRDefault="00A4378E" w:rsidP="00383D44">
            <w:pPr>
              <w:autoSpaceDE w:val="0"/>
              <w:autoSpaceDN w:val="0"/>
              <w:adjustRightInd w:val="0"/>
              <w:spacing w:after="0"/>
              <w:rPr>
                <w:color w:val="000000"/>
                <w:szCs w:val="24"/>
              </w:rPr>
            </w:pPr>
          </w:p>
        </w:tc>
      </w:tr>
      <w:tr w:rsidR="00BC2057" w:rsidRPr="007A3223" w14:paraId="42B6CF0A"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3B5F7F8C"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59ACFBAB"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3 </w:t>
            </w:r>
          </w:p>
        </w:tc>
        <w:tc>
          <w:tcPr>
            <w:tcW w:w="260" w:type="pct"/>
            <w:tcBorders>
              <w:top w:val="single" w:sz="4" w:space="0" w:color="auto"/>
              <w:left w:val="single" w:sz="4" w:space="0" w:color="auto"/>
              <w:bottom w:val="single" w:sz="4" w:space="0" w:color="auto"/>
              <w:right w:val="single" w:sz="4" w:space="0" w:color="auto"/>
            </w:tcBorders>
          </w:tcPr>
          <w:p w14:paraId="5C3FB8D8"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13A31BA0"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736784D7"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65602364"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343A93C3"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464370E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17 </w:t>
            </w:r>
          </w:p>
        </w:tc>
        <w:tc>
          <w:tcPr>
            <w:tcW w:w="375" w:type="pct"/>
            <w:tcBorders>
              <w:top w:val="single" w:sz="4" w:space="0" w:color="auto"/>
              <w:left w:val="single" w:sz="4" w:space="0" w:color="auto"/>
              <w:bottom w:val="single" w:sz="4" w:space="0" w:color="auto"/>
              <w:right w:val="single" w:sz="4" w:space="0" w:color="auto"/>
            </w:tcBorders>
          </w:tcPr>
          <w:p w14:paraId="244F8904"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1A482749"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5D17E446"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89D3994" w14:textId="77777777" w:rsidR="00A4378E" w:rsidRPr="007A3223" w:rsidRDefault="00A4378E" w:rsidP="00383D44">
            <w:pPr>
              <w:autoSpaceDE w:val="0"/>
              <w:autoSpaceDN w:val="0"/>
              <w:adjustRightInd w:val="0"/>
              <w:spacing w:after="0"/>
              <w:rPr>
                <w:color w:val="000000"/>
                <w:szCs w:val="24"/>
              </w:rPr>
            </w:pPr>
          </w:p>
        </w:tc>
      </w:tr>
      <w:tr w:rsidR="00BC2057" w:rsidRPr="007A3223" w14:paraId="386B75F8"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7A31783D"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56DEB28C"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4 </w:t>
            </w:r>
          </w:p>
        </w:tc>
        <w:tc>
          <w:tcPr>
            <w:tcW w:w="260" w:type="pct"/>
            <w:tcBorders>
              <w:top w:val="single" w:sz="4" w:space="0" w:color="auto"/>
              <w:left w:val="single" w:sz="4" w:space="0" w:color="auto"/>
              <w:bottom w:val="single" w:sz="4" w:space="0" w:color="auto"/>
              <w:right w:val="single" w:sz="4" w:space="0" w:color="auto"/>
            </w:tcBorders>
          </w:tcPr>
          <w:p w14:paraId="38747E66"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6821EB37"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784986DA"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37C74C49"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73C6665B"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1D51A919"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18 </w:t>
            </w:r>
          </w:p>
        </w:tc>
        <w:tc>
          <w:tcPr>
            <w:tcW w:w="375" w:type="pct"/>
            <w:tcBorders>
              <w:top w:val="single" w:sz="4" w:space="0" w:color="auto"/>
              <w:left w:val="single" w:sz="4" w:space="0" w:color="auto"/>
              <w:bottom w:val="single" w:sz="4" w:space="0" w:color="auto"/>
              <w:right w:val="single" w:sz="4" w:space="0" w:color="auto"/>
            </w:tcBorders>
          </w:tcPr>
          <w:p w14:paraId="60D0D742"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46DEDB23"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6E89B796"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3454E895" w14:textId="77777777" w:rsidR="00A4378E" w:rsidRPr="007A3223" w:rsidRDefault="00A4378E" w:rsidP="00383D44">
            <w:pPr>
              <w:autoSpaceDE w:val="0"/>
              <w:autoSpaceDN w:val="0"/>
              <w:adjustRightInd w:val="0"/>
              <w:spacing w:after="0"/>
              <w:rPr>
                <w:color w:val="000000"/>
                <w:szCs w:val="24"/>
              </w:rPr>
            </w:pPr>
          </w:p>
        </w:tc>
      </w:tr>
      <w:tr w:rsidR="00BC2057" w:rsidRPr="007A3223" w14:paraId="62EC8709"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0D997CC5"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54544497"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5 </w:t>
            </w:r>
          </w:p>
        </w:tc>
        <w:tc>
          <w:tcPr>
            <w:tcW w:w="260" w:type="pct"/>
            <w:tcBorders>
              <w:top w:val="single" w:sz="4" w:space="0" w:color="auto"/>
              <w:left w:val="single" w:sz="4" w:space="0" w:color="auto"/>
              <w:bottom w:val="single" w:sz="4" w:space="0" w:color="auto"/>
              <w:right w:val="single" w:sz="4" w:space="0" w:color="auto"/>
            </w:tcBorders>
          </w:tcPr>
          <w:p w14:paraId="3FD84972"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6786662A"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2A0A4B9A"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68030D76"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582862C0"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20613565"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19 </w:t>
            </w:r>
          </w:p>
        </w:tc>
        <w:tc>
          <w:tcPr>
            <w:tcW w:w="375" w:type="pct"/>
            <w:tcBorders>
              <w:top w:val="single" w:sz="4" w:space="0" w:color="auto"/>
              <w:left w:val="single" w:sz="4" w:space="0" w:color="auto"/>
              <w:bottom w:val="single" w:sz="4" w:space="0" w:color="auto"/>
              <w:right w:val="single" w:sz="4" w:space="0" w:color="auto"/>
            </w:tcBorders>
          </w:tcPr>
          <w:p w14:paraId="4C4A2EC5"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54F1158E"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3FD4C832"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6110F74F" w14:textId="77777777" w:rsidR="00A4378E" w:rsidRPr="007A3223" w:rsidRDefault="00A4378E" w:rsidP="00383D44">
            <w:pPr>
              <w:autoSpaceDE w:val="0"/>
              <w:autoSpaceDN w:val="0"/>
              <w:adjustRightInd w:val="0"/>
              <w:spacing w:after="0"/>
              <w:rPr>
                <w:color w:val="000000"/>
                <w:szCs w:val="24"/>
              </w:rPr>
            </w:pPr>
          </w:p>
        </w:tc>
      </w:tr>
      <w:tr w:rsidR="00BC2057" w:rsidRPr="007A3223" w14:paraId="329DF4AB"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27054F58"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11C1AC1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6 </w:t>
            </w:r>
          </w:p>
        </w:tc>
        <w:tc>
          <w:tcPr>
            <w:tcW w:w="260" w:type="pct"/>
            <w:tcBorders>
              <w:top w:val="single" w:sz="4" w:space="0" w:color="auto"/>
              <w:left w:val="single" w:sz="4" w:space="0" w:color="auto"/>
              <w:bottom w:val="single" w:sz="4" w:space="0" w:color="auto"/>
              <w:right w:val="single" w:sz="4" w:space="0" w:color="auto"/>
            </w:tcBorders>
          </w:tcPr>
          <w:p w14:paraId="4DF41FB6"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297160C9"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7D9AC66C"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35BB2169"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66FD7C81"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259E4605"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20 </w:t>
            </w:r>
          </w:p>
        </w:tc>
        <w:tc>
          <w:tcPr>
            <w:tcW w:w="375" w:type="pct"/>
            <w:tcBorders>
              <w:top w:val="single" w:sz="4" w:space="0" w:color="auto"/>
              <w:left w:val="single" w:sz="4" w:space="0" w:color="auto"/>
              <w:bottom w:val="single" w:sz="4" w:space="0" w:color="auto"/>
              <w:right w:val="single" w:sz="4" w:space="0" w:color="auto"/>
            </w:tcBorders>
          </w:tcPr>
          <w:p w14:paraId="43F0E989"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0C3BFDB2"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74804FBB"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97FB05E" w14:textId="77777777" w:rsidR="00A4378E" w:rsidRPr="007A3223" w:rsidRDefault="00A4378E" w:rsidP="00383D44">
            <w:pPr>
              <w:autoSpaceDE w:val="0"/>
              <w:autoSpaceDN w:val="0"/>
              <w:adjustRightInd w:val="0"/>
              <w:spacing w:after="0"/>
              <w:rPr>
                <w:color w:val="000000"/>
                <w:szCs w:val="24"/>
              </w:rPr>
            </w:pPr>
          </w:p>
        </w:tc>
      </w:tr>
      <w:tr w:rsidR="00BC2057" w:rsidRPr="007A3223" w14:paraId="7666A8BB"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70C01AF6"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14D73D37"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7 </w:t>
            </w:r>
          </w:p>
        </w:tc>
        <w:tc>
          <w:tcPr>
            <w:tcW w:w="260" w:type="pct"/>
            <w:tcBorders>
              <w:top w:val="single" w:sz="4" w:space="0" w:color="auto"/>
              <w:left w:val="single" w:sz="4" w:space="0" w:color="auto"/>
              <w:bottom w:val="single" w:sz="4" w:space="0" w:color="auto"/>
              <w:right w:val="single" w:sz="4" w:space="0" w:color="auto"/>
            </w:tcBorders>
          </w:tcPr>
          <w:p w14:paraId="2054258C"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57313909"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1665EB8F"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5F0A85E5"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31BF7DD4"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1A4B0D7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21 </w:t>
            </w:r>
          </w:p>
        </w:tc>
        <w:tc>
          <w:tcPr>
            <w:tcW w:w="375" w:type="pct"/>
            <w:tcBorders>
              <w:top w:val="single" w:sz="4" w:space="0" w:color="auto"/>
              <w:left w:val="single" w:sz="4" w:space="0" w:color="auto"/>
              <w:bottom w:val="single" w:sz="4" w:space="0" w:color="auto"/>
              <w:right w:val="single" w:sz="4" w:space="0" w:color="auto"/>
            </w:tcBorders>
          </w:tcPr>
          <w:p w14:paraId="4C50C488"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51906C9F"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2CA3FA16"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29BDEE2B" w14:textId="77777777" w:rsidR="00A4378E" w:rsidRPr="007A3223" w:rsidRDefault="00A4378E" w:rsidP="00383D44">
            <w:pPr>
              <w:autoSpaceDE w:val="0"/>
              <w:autoSpaceDN w:val="0"/>
              <w:adjustRightInd w:val="0"/>
              <w:spacing w:after="0"/>
              <w:rPr>
                <w:color w:val="000000"/>
                <w:szCs w:val="24"/>
              </w:rPr>
            </w:pPr>
          </w:p>
        </w:tc>
      </w:tr>
      <w:tr w:rsidR="00BC2057" w:rsidRPr="007A3223" w14:paraId="492FD3A9"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5B640837"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279C109B"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8 </w:t>
            </w:r>
          </w:p>
        </w:tc>
        <w:tc>
          <w:tcPr>
            <w:tcW w:w="260" w:type="pct"/>
            <w:tcBorders>
              <w:top w:val="single" w:sz="4" w:space="0" w:color="auto"/>
              <w:left w:val="single" w:sz="4" w:space="0" w:color="auto"/>
              <w:bottom w:val="single" w:sz="4" w:space="0" w:color="auto"/>
              <w:right w:val="single" w:sz="4" w:space="0" w:color="auto"/>
            </w:tcBorders>
          </w:tcPr>
          <w:p w14:paraId="2935CFFE"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10791A45"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10F17820"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1A9A19CD"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24DC8D77"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3C2BC65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22 </w:t>
            </w:r>
          </w:p>
        </w:tc>
        <w:tc>
          <w:tcPr>
            <w:tcW w:w="375" w:type="pct"/>
            <w:tcBorders>
              <w:top w:val="single" w:sz="4" w:space="0" w:color="auto"/>
              <w:left w:val="single" w:sz="4" w:space="0" w:color="auto"/>
              <w:bottom w:val="single" w:sz="4" w:space="0" w:color="auto"/>
              <w:right w:val="single" w:sz="4" w:space="0" w:color="auto"/>
            </w:tcBorders>
          </w:tcPr>
          <w:p w14:paraId="76654668"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264AEA36"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2307D8C9"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F144F36" w14:textId="77777777" w:rsidR="00A4378E" w:rsidRPr="007A3223" w:rsidRDefault="00A4378E" w:rsidP="00383D44">
            <w:pPr>
              <w:autoSpaceDE w:val="0"/>
              <w:autoSpaceDN w:val="0"/>
              <w:adjustRightInd w:val="0"/>
              <w:spacing w:after="0"/>
              <w:rPr>
                <w:color w:val="000000"/>
                <w:szCs w:val="24"/>
              </w:rPr>
            </w:pPr>
          </w:p>
        </w:tc>
      </w:tr>
      <w:tr w:rsidR="00BC2057" w:rsidRPr="007A3223" w14:paraId="1061BD0D"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4AD7DCC6"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563D84B9"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9 </w:t>
            </w:r>
          </w:p>
        </w:tc>
        <w:tc>
          <w:tcPr>
            <w:tcW w:w="260" w:type="pct"/>
            <w:tcBorders>
              <w:top w:val="single" w:sz="4" w:space="0" w:color="auto"/>
              <w:left w:val="single" w:sz="4" w:space="0" w:color="auto"/>
              <w:bottom w:val="single" w:sz="4" w:space="0" w:color="auto"/>
              <w:right w:val="single" w:sz="4" w:space="0" w:color="auto"/>
            </w:tcBorders>
          </w:tcPr>
          <w:p w14:paraId="1119A386"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1FA2F7E4"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4A0C9FBF"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61594BE2"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39C113B7"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3F1E1B90"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23 </w:t>
            </w:r>
          </w:p>
        </w:tc>
        <w:tc>
          <w:tcPr>
            <w:tcW w:w="375" w:type="pct"/>
            <w:tcBorders>
              <w:top w:val="single" w:sz="4" w:space="0" w:color="auto"/>
              <w:left w:val="single" w:sz="4" w:space="0" w:color="auto"/>
              <w:bottom w:val="single" w:sz="4" w:space="0" w:color="auto"/>
              <w:right w:val="single" w:sz="4" w:space="0" w:color="auto"/>
            </w:tcBorders>
          </w:tcPr>
          <w:p w14:paraId="0114331E"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7EF9A42A"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4A1BEE26"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2C8BF5CE" w14:textId="77777777" w:rsidR="00A4378E" w:rsidRPr="007A3223" w:rsidRDefault="00A4378E" w:rsidP="00383D44">
            <w:pPr>
              <w:autoSpaceDE w:val="0"/>
              <w:autoSpaceDN w:val="0"/>
              <w:adjustRightInd w:val="0"/>
              <w:spacing w:after="0"/>
              <w:rPr>
                <w:color w:val="000000"/>
                <w:szCs w:val="24"/>
              </w:rPr>
            </w:pPr>
          </w:p>
        </w:tc>
      </w:tr>
      <w:tr w:rsidR="00BC2057" w:rsidRPr="007A3223" w14:paraId="71DF8EB3"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109E4DB4"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2417ABC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10 </w:t>
            </w:r>
          </w:p>
        </w:tc>
        <w:tc>
          <w:tcPr>
            <w:tcW w:w="260" w:type="pct"/>
            <w:tcBorders>
              <w:top w:val="single" w:sz="4" w:space="0" w:color="auto"/>
              <w:left w:val="single" w:sz="4" w:space="0" w:color="auto"/>
              <w:bottom w:val="single" w:sz="4" w:space="0" w:color="auto"/>
              <w:right w:val="single" w:sz="4" w:space="0" w:color="auto"/>
            </w:tcBorders>
          </w:tcPr>
          <w:p w14:paraId="3B261D1B"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40375B8B"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26BFA8F5"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21C18118"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17823124"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78A3E720"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24 </w:t>
            </w:r>
          </w:p>
        </w:tc>
        <w:tc>
          <w:tcPr>
            <w:tcW w:w="375" w:type="pct"/>
            <w:tcBorders>
              <w:top w:val="single" w:sz="4" w:space="0" w:color="auto"/>
              <w:left w:val="single" w:sz="4" w:space="0" w:color="auto"/>
              <w:bottom w:val="single" w:sz="4" w:space="0" w:color="auto"/>
              <w:right w:val="single" w:sz="4" w:space="0" w:color="auto"/>
            </w:tcBorders>
          </w:tcPr>
          <w:p w14:paraId="42E6A78B"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25B64F26"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5E071B80"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51B6EE44" w14:textId="77777777" w:rsidR="00A4378E" w:rsidRPr="007A3223" w:rsidRDefault="00A4378E" w:rsidP="00383D44">
            <w:pPr>
              <w:autoSpaceDE w:val="0"/>
              <w:autoSpaceDN w:val="0"/>
              <w:adjustRightInd w:val="0"/>
              <w:spacing w:after="0"/>
              <w:rPr>
                <w:color w:val="000000"/>
                <w:szCs w:val="24"/>
              </w:rPr>
            </w:pPr>
          </w:p>
        </w:tc>
      </w:tr>
      <w:tr w:rsidR="00BC2057" w:rsidRPr="007A3223" w14:paraId="5A92E481"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28726DBA"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48E8466C"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11 </w:t>
            </w:r>
          </w:p>
        </w:tc>
        <w:tc>
          <w:tcPr>
            <w:tcW w:w="260" w:type="pct"/>
            <w:tcBorders>
              <w:top w:val="single" w:sz="4" w:space="0" w:color="auto"/>
              <w:left w:val="single" w:sz="4" w:space="0" w:color="auto"/>
              <w:bottom w:val="single" w:sz="4" w:space="0" w:color="auto"/>
              <w:right w:val="single" w:sz="4" w:space="0" w:color="auto"/>
            </w:tcBorders>
          </w:tcPr>
          <w:p w14:paraId="11E26C83"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366997CF"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0BF1BF36"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54413A61"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65698B2E"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1D0D4BCA"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25 </w:t>
            </w:r>
          </w:p>
        </w:tc>
        <w:tc>
          <w:tcPr>
            <w:tcW w:w="375" w:type="pct"/>
            <w:tcBorders>
              <w:top w:val="single" w:sz="4" w:space="0" w:color="auto"/>
              <w:left w:val="single" w:sz="4" w:space="0" w:color="auto"/>
              <w:bottom w:val="single" w:sz="4" w:space="0" w:color="auto"/>
              <w:right w:val="single" w:sz="4" w:space="0" w:color="auto"/>
            </w:tcBorders>
          </w:tcPr>
          <w:p w14:paraId="22214353"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712090CE"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09601DE2"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47672212" w14:textId="77777777" w:rsidR="00A4378E" w:rsidRPr="007A3223" w:rsidRDefault="00A4378E" w:rsidP="00383D44">
            <w:pPr>
              <w:autoSpaceDE w:val="0"/>
              <w:autoSpaceDN w:val="0"/>
              <w:adjustRightInd w:val="0"/>
              <w:spacing w:after="0"/>
              <w:rPr>
                <w:color w:val="000000"/>
                <w:szCs w:val="24"/>
              </w:rPr>
            </w:pPr>
          </w:p>
        </w:tc>
      </w:tr>
      <w:tr w:rsidR="00BC2057" w:rsidRPr="007A3223" w14:paraId="14426E27"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50550C25"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69BFB4C4"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12 </w:t>
            </w:r>
          </w:p>
        </w:tc>
        <w:tc>
          <w:tcPr>
            <w:tcW w:w="260" w:type="pct"/>
            <w:tcBorders>
              <w:top w:val="single" w:sz="4" w:space="0" w:color="auto"/>
              <w:left w:val="single" w:sz="4" w:space="0" w:color="auto"/>
              <w:bottom w:val="single" w:sz="4" w:space="0" w:color="auto"/>
              <w:right w:val="single" w:sz="4" w:space="0" w:color="auto"/>
            </w:tcBorders>
          </w:tcPr>
          <w:p w14:paraId="7A86AE6C"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1BDE62AB"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3D7BF04B"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56BE5399"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5E99F311"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530EAEE3"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26 </w:t>
            </w:r>
          </w:p>
        </w:tc>
        <w:tc>
          <w:tcPr>
            <w:tcW w:w="375" w:type="pct"/>
            <w:tcBorders>
              <w:top w:val="single" w:sz="4" w:space="0" w:color="auto"/>
              <w:left w:val="single" w:sz="4" w:space="0" w:color="auto"/>
              <w:bottom w:val="single" w:sz="4" w:space="0" w:color="auto"/>
              <w:right w:val="single" w:sz="4" w:space="0" w:color="auto"/>
            </w:tcBorders>
          </w:tcPr>
          <w:p w14:paraId="755820E4"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50F2B048"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096191E7"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F26F2ED" w14:textId="77777777" w:rsidR="00A4378E" w:rsidRPr="007A3223" w:rsidRDefault="00A4378E" w:rsidP="00383D44">
            <w:pPr>
              <w:autoSpaceDE w:val="0"/>
              <w:autoSpaceDN w:val="0"/>
              <w:adjustRightInd w:val="0"/>
              <w:spacing w:after="0"/>
              <w:rPr>
                <w:color w:val="000000"/>
                <w:szCs w:val="24"/>
              </w:rPr>
            </w:pPr>
          </w:p>
        </w:tc>
      </w:tr>
      <w:tr w:rsidR="00BC2057" w:rsidRPr="007A3223" w14:paraId="4C12B721" w14:textId="77777777" w:rsidTr="008D4CC0">
        <w:trPr>
          <w:trHeight w:val="117"/>
        </w:trPr>
        <w:tc>
          <w:tcPr>
            <w:tcW w:w="337" w:type="pct"/>
            <w:tcBorders>
              <w:top w:val="single" w:sz="4" w:space="0" w:color="auto"/>
              <w:left w:val="double" w:sz="4" w:space="0" w:color="auto"/>
              <w:bottom w:val="single" w:sz="4" w:space="0" w:color="auto"/>
              <w:right w:val="single" w:sz="4" w:space="0" w:color="auto"/>
            </w:tcBorders>
          </w:tcPr>
          <w:p w14:paraId="538891FA"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39550C6C"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13 </w:t>
            </w:r>
          </w:p>
        </w:tc>
        <w:tc>
          <w:tcPr>
            <w:tcW w:w="260" w:type="pct"/>
            <w:tcBorders>
              <w:top w:val="single" w:sz="4" w:space="0" w:color="auto"/>
              <w:left w:val="single" w:sz="4" w:space="0" w:color="auto"/>
              <w:bottom w:val="single" w:sz="4" w:space="0" w:color="auto"/>
              <w:right w:val="single" w:sz="4" w:space="0" w:color="auto"/>
            </w:tcBorders>
          </w:tcPr>
          <w:p w14:paraId="0ECA5498"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031BF808"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6306EFD8"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1C2C205E"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63E27A08"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0270747B"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27 </w:t>
            </w:r>
          </w:p>
        </w:tc>
        <w:tc>
          <w:tcPr>
            <w:tcW w:w="375" w:type="pct"/>
            <w:tcBorders>
              <w:top w:val="single" w:sz="4" w:space="0" w:color="auto"/>
              <w:left w:val="single" w:sz="4" w:space="0" w:color="auto"/>
              <w:bottom w:val="single" w:sz="4" w:space="0" w:color="auto"/>
              <w:right w:val="single" w:sz="4" w:space="0" w:color="auto"/>
            </w:tcBorders>
          </w:tcPr>
          <w:p w14:paraId="2F31318E"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0D46E823"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74443F22"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7936F2EF" w14:textId="77777777" w:rsidR="00A4378E" w:rsidRPr="007A3223" w:rsidRDefault="00A4378E" w:rsidP="00383D44">
            <w:pPr>
              <w:autoSpaceDE w:val="0"/>
              <w:autoSpaceDN w:val="0"/>
              <w:adjustRightInd w:val="0"/>
              <w:spacing w:after="0"/>
              <w:rPr>
                <w:color w:val="000000"/>
                <w:szCs w:val="24"/>
              </w:rPr>
            </w:pPr>
          </w:p>
        </w:tc>
      </w:tr>
      <w:tr w:rsidR="00BC2057" w:rsidRPr="007A3223" w14:paraId="35A12A75" w14:textId="77777777" w:rsidTr="008D4CC0">
        <w:trPr>
          <w:trHeight w:val="109"/>
        </w:trPr>
        <w:tc>
          <w:tcPr>
            <w:tcW w:w="337" w:type="pct"/>
            <w:tcBorders>
              <w:top w:val="single" w:sz="4" w:space="0" w:color="auto"/>
              <w:left w:val="double" w:sz="4" w:space="0" w:color="auto"/>
              <w:bottom w:val="single" w:sz="4" w:space="0" w:color="auto"/>
              <w:right w:val="single" w:sz="4" w:space="0" w:color="auto"/>
            </w:tcBorders>
          </w:tcPr>
          <w:p w14:paraId="05085405"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2B8BEDED"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14 </w:t>
            </w:r>
          </w:p>
        </w:tc>
        <w:tc>
          <w:tcPr>
            <w:tcW w:w="260" w:type="pct"/>
            <w:tcBorders>
              <w:top w:val="single" w:sz="4" w:space="0" w:color="auto"/>
              <w:left w:val="single" w:sz="4" w:space="0" w:color="auto"/>
              <w:bottom w:val="single" w:sz="4" w:space="0" w:color="auto"/>
              <w:right w:val="single" w:sz="4" w:space="0" w:color="auto"/>
            </w:tcBorders>
          </w:tcPr>
          <w:p w14:paraId="32337A16" w14:textId="77777777" w:rsidR="00A4378E" w:rsidRPr="007A3223" w:rsidRDefault="00A4378E" w:rsidP="00383D44">
            <w:pPr>
              <w:autoSpaceDE w:val="0"/>
              <w:autoSpaceDN w:val="0"/>
              <w:adjustRightInd w:val="0"/>
              <w:spacing w:after="0"/>
              <w:rPr>
                <w:color w:val="000000"/>
                <w:szCs w:val="24"/>
              </w:rPr>
            </w:pPr>
          </w:p>
        </w:tc>
        <w:tc>
          <w:tcPr>
            <w:tcW w:w="260" w:type="pct"/>
            <w:tcBorders>
              <w:top w:val="single" w:sz="4" w:space="0" w:color="auto"/>
              <w:left w:val="single" w:sz="4" w:space="0" w:color="auto"/>
              <w:bottom w:val="single" w:sz="4" w:space="0" w:color="auto"/>
              <w:right w:val="single" w:sz="4" w:space="0" w:color="auto"/>
            </w:tcBorders>
          </w:tcPr>
          <w:p w14:paraId="7BDF616D"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43A97EB8" w14:textId="77777777" w:rsidR="00A4378E" w:rsidRPr="007A3223" w:rsidRDefault="00A4378E" w:rsidP="00383D44">
            <w:pPr>
              <w:autoSpaceDE w:val="0"/>
              <w:autoSpaceDN w:val="0"/>
              <w:adjustRightInd w:val="0"/>
              <w:spacing w:after="0"/>
              <w:rPr>
                <w:color w:val="000000"/>
                <w:szCs w:val="24"/>
              </w:rPr>
            </w:pPr>
          </w:p>
        </w:tc>
        <w:tc>
          <w:tcPr>
            <w:tcW w:w="638" w:type="pct"/>
            <w:tcBorders>
              <w:top w:val="single" w:sz="4" w:space="0" w:color="auto"/>
              <w:left w:val="single" w:sz="4" w:space="0" w:color="auto"/>
              <w:bottom w:val="single" w:sz="4" w:space="0" w:color="auto"/>
              <w:right w:val="double" w:sz="4" w:space="0" w:color="auto"/>
            </w:tcBorders>
          </w:tcPr>
          <w:p w14:paraId="586F36E1" w14:textId="77777777" w:rsidR="00A4378E" w:rsidRPr="007A3223" w:rsidRDefault="00A4378E" w:rsidP="00383D44">
            <w:pPr>
              <w:autoSpaceDE w:val="0"/>
              <w:autoSpaceDN w:val="0"/>
              <w:adjustRightInd w:val="0"/>
              <w:spacing w:after="0"/>
              <w:rPr>
                <w:color w:val="000000"/>
                <w:szCs w:val="24"/>
              </w:rPr>
            </w:pPr>
          </w:p>
        </w:tc>
        <w:tc>
          <w:tcPr>
            <w:tcW w:w="337" w:type="pct"/>
            <w:tcBorders>
              <w:top w:val="single" w:sz="4" w:space="0" w:color="auto"/>
              <w:left w:val="double" w:sz="4" w:space="0" w:color="auto"/>
              <w:bottom w:val="single" w:sz="4" w:space="0" w:color="auto"/>
              <w:right w:val="single" w:sz="4" w:space="0" w:color="auto"/>
            </w:tcBorders>
          </w:tcPr>
          <w:p w14:paraId="3D992E01" w14:textId="77777777" w:rsidR="00A4378E" w:rsidRPr="007A3223" w:rsidRDefault="00A4378E" w:rsidP="00383D44">
            <w:pPr>
              <w:autoSpaceDE w:val="0"/>
              <w:autoSpaceDN w:val="0"/>
              <w:adjustRightInd w:val="0"/>
              <w:spacing w:after="0"/>
              <w:rPr>
                <w:color w:val="000000"/>
                <w:szCs w:val="24"/>
              </w:rPr>
            </w:pPr>
          </w:p>
        </w:tc>
        <w:tc>
          <w:tcPr>
            <w:tcW w:w="305" w:type="pct"/>
            <w:tcBorders>
              <w:top w:val="single" w:sz="4" w:space="0" w:color="auto"/>
              <w:left w:val="single" w:sz="4" w:space="0" w:color="auto"/>
              <w:bottom w:val="single" w:sz="4" w:space="0" w:color="auto"/>
              <w:right w:val="single" w:sz="4" w:space="0" w:color="auto"/>
            </w:tcBorders>
          </w:tcPr>
          <w:p w14:paraId="3886B527" w14:textId="77777777" w:rsidR="00A4378E" w:rsidRPr="007A3223" w:rsidRDefault="00A4378E" w:rsidP="000717C4">
            <w:pPr>
              <w:autoSpaceDE w:val="0"/>
              <w:autoSpaceDN w:val="0"/>
              <w:adjustRightInd w:val="0"/>
              <w:spacing w:after="0"/>
              <w:rPr>
                <w:color w:val="000000"/>
                <w:szCs w:val="24"/>
              </w:rPr>
            </w:pPr>
            <w:r w:rsidRPr="007A3223">
              <w:rPr>
                <w:color w:val="000000"/>
                <w:szCs w:val="24"/>
              </w:rPr>
              <w:t xml:space="preserve">28 </w:t>
            </w:r>
          </w:p>
        </w:tc>
        <w:tc>
          <w:tcPr>
            <w:tcW w:w="375" w:type="pct"/>
            <w:tcBorders>
              <w:top w:val="single" w:sz="4" w:space="0" w:color="auto"/>
              <w:left w:val="single" w:sz="4" w:space="0" w:color="auto"/>
              <w:bottom w:val="single" w:sz="4" w:space="0" w:color="auto"/>
              <w:right w:val="single" w:sz="4" w:space="0" w:color="auto"/>
            </w:tcBorders>
          </w:tcPr>
          <w:p w14:paraId="22E07C60" w14:textId="77777777" w:rsidR="00A4378E" w:rsidRPr="007A3223" w:rsidRDefault="00A4378E" w:rsidP="00383D44">
            <w:pPr>
              <w:autoSpaceDE w:val="0"/>
              <w:autoSpaceDN w:val="0"/>
              <w:adjustRightInd w:val="0"/>
              <w:spacing w:after="0"/>
              <w:rPr>
                <w:color w:val="000000"/>
                <w:szCs w:val="24"/>
              </w:rPr>
            </w:pPr>
          </w:p>
        </w:tc>
        <w:tc>
          <w:tcPr>
            <w:tcW w:w="375" w:type="pct"/>
            <w:tcBorders>
              <w:top w:val="single" w:sz="4" w:space="0" w:color="auto"/>
              <w:left w:val="single" w:sz="4" w:space="0" w:color="auto"/>
              <w:bottom w:val="single" w:sz="4" w:space="0" w:color="auto"/>
              <w:right w:val="single" w:sz="4" w:space="0" w:color="auto"/>
            </w:tcBorders>
          </w:tcPr>
          <w:p w14:paraId="1910353C" w14:textId="77777777" w:rsidR="00A4378E" w:rsidRPr="007A3223" w:rsidRDefault="00A4378E" w:rsidP="00383D44">
            <w:pPr>
              <w:autoSpaceDE w:val="0"/>
              <w:autoSpaceDN w:val="0"/>
              <w:adjustRightInd w:val="0"/>
              <w:spacing w:after="0"/>
              <w:rPr>
                <w:color w:val="000000"/>
                <w:szCs w:val="24"/>
              </w:rPr>
            </w:pPr>
          </w:p>
        </w:tc>
        <w:tc>
          <w:tcPr>
            <w:tcW w:w="363" w:type="pct"/>
            <w:tcBorders>
              <w:top w:val="single" w:sz="4" w:space="0" w:color="auto"/>
              <w:left w:val="single" w:sz="4" w:space="0" w:color="auto"/>
              <w:bottom w:val="single" w:sz="4" w:space="0" w:color="auto"/>
              <w:right w:val="single" w:sz="4" w:space="0" w:color="auto"/>
            </w:tcBorders>
          </w:tcPr>
          <w:p w14:paraId="1DD707C8" w14:textId="77777777" w:rsidR="00A4378E" w:rsidRPr="007A3223" w:rsidRDefault="00A4378E" w:rsidP="00383D44">
            <w:pPr>
              <w:autoSpaceDE w:val="0"/>
              <w:autoSpaceDN w:val="0"/>
              <w:adjustRightInd w:val="0"/>
              <w:spacing w:after="0"/>
              <w:rPr>
                <w:color w:val="000000"/>
                <w:szCs w:val="24"/>
              </w:rPr>
            </w:pPr>
          </w:p>
        </w:tc>
        <w:tc>
          <w:tcPr>
            <w:tcW w:w="1085" w:type="pct"/>
            <w:tcBorders>
              <w:top w:val="single" w:sz="4" w:space="0" w:color="auto"/>
              <w:left w:val="single" w:sz="4" w:space="0" w:color="auto"/>
              <w:bottom w:val="single" w:sz="4" w:space="0" w:color="auto"/>
              <w:right w:val="double" w:sz="4" w:space="0" w:color="auto"/>
            </w:tcBorders>
          </w:tcPr>
          <w:p w14:paraId="5D5233FC" w14:textId="77777777" w:rsidR="00A4378E" w:rsidRPr="007A3223" w:rsidRDefault="00A4378E" w:rsidP="00383D44">
            <w:pPr>
              <w:autoSpaceDE w:val="0"/>
              <w:autoSpaceDN w:val="0"/>
              <w:adjustRightInd w:val="0"/>
              <w:spacing w:after="0"/>
              <w:rPr>
                <w:color w:val="000000"/>
                <w:szCs w:val="24"/>
              </w:rPr>
            </w:pPr>
          </w:p>
        </w:tc>
      </w:tr>
      <w:tr w:rsidR="00383D44" w:rsidRPr="007A3223" w14:paraId="625BB6BF" w14:textId="77777777" w:rsidTr="008D4CC0">
        <w:trPr>
          <w:trHeight w:val="109"/>
        </w:trPr>
        <w:tc>
          <w:tcPr>
            <w:tcW w:w="5000" w:type="pct"/>
            <w:gridSpan w:val="12"/>
            <w:tcBorders>
              <w:top w:val="single" w:sz="4" w:space="0" w:color="auto"/>
              <w:left w:val="double" w:sz="4" w:space="0" w:color="auto"/>
              <w:bottom w:val="double" w:sz="4" w:space="0" w:color="auto"/>
              <w:right w:val="double" w:sz="4" w:space="0" w:color="auto"/>
            </w:tcBorders>
          </w:tcPr>
          <w:p w14:paraId="02E6912A" w14:textId="77777777" w:rsidR="00383D44" w:rsidRPr="007A3223" w:rsidRDefault="00383D44" w:rsidP="00A4378E">
            <w:pPr>
              <w:autoSpaceDE w:val="0"/>
              <w:autoSpaceDN w:val="0"/>
              <w:adjustRightInd w:val="0"/>
              <w:rPr>
                <w:color w:val="000000"/>
                <w:szCs w:val="24"/>
              </w:rPr>
            </w:pPr>
            <w:r w:rsidRPr="007A3223">
              <w:rPr>
                <w:color w:val="000000"/>
                <w:szCs w:val="24"/>
              </w:rPr>
              <w:lastRenderedPageBreak/>
              <w:t>Patient’s Signature: _________</w:t>
            </w:r>
            <w:r w:rsidR="00A4378E" w:rsidRPr="007A3223">
              <w:rPr>
                <w:color w:val="000000"/>
                <w:szCs w:val="24"/>
              </w:rPr>
              <w:t>__________________________</w:t>
            </w:r>
            <w:r w:rsidRPr="007A3223">
              <w:rPr>
                <w:color w:val="000000"/>
                <w:szCs w:val="24"/>
              </w:rPr>
              <w:t xml:space="preserve">Date: _________________________ </w:t>
            </w:r>
          </w:p>
        </w:tc>
      </w:tr>
    </w:tbl>
    <w:p w14:paraId="737EA9F5" w14:textId="77777777" w:rsidR="000717C4" w:rsidRPr="007A3223" w:rsidRDefault="000717C4" w:rsidP="000717C4">
      <w:pPr>
        <w:autoSpaceDE w:val="0"/>
        <w:autoSpaceDN w:val="0"/>
        <w:adjustRightInd w:val="0"/>
        <w:spacing w:after="0"/>
        <w:rPr>
          <w:color w:val="000000"/>
          <w:sz w:val="20"/>
          <w:szCs w:val="20"/>
        </w:rPr>
      </w:pPr>
      <w:r w:rsidRPr="007A3223">
        <w:rPr>
          <w:b/>
          <w:bCs/>
          <w:color w:val="000000"/>
          <w:sz w:val="20"/>
          <w:szCs w:val="20"/>
        </w:rPr>
        <w:t xml:space="preserve">Study Team will complete this section: </w:t>
      </w:r>
    </w:p>
    <w:p w14:paraId="5D4B146A" w14:textId="77777777" w:rsidR="001D52C8" w:rsidRPr="007A3223" w:rsidRDefault="000717C4" w:rsidP="0059360A">
      <w:pPr>
        <w:pStyle w:val="ListParagraph"/>
        <w:numPr>
          <w:ilvl w:val="0"/>
          <w:numId w:val="11"/>
        </w:numPr>
        <w:autoSpaceDE w:val="0"/>
        <w:autoSpaceDN w:val="0"/>
        <w:adjustRightInd w:val="0"/>
        <w:rPr>
          <w:color w:val="000000"/>
          <w:sz w:val="20"/>
          <w:szCs w:val="20"/>
        </w:rPr>
      </w:pPr>
      <w:r w:rsidRPr="007A3223">
        <w:rPr>
          <w:color w:val="000000"/>
          <w:sz w:val="20"/>
          <w:szCs w:val="20"/>
        </w:rPr>
        <w:t>Date patient started protocol treatment________________</w:t>
      </w:r>
      <w:r w:rsidR="001D52C8" w:rsidRPr="007A3223">
        <w:rPr>
          <w:color w:val="000000"/>
          <w:sz w:val="20"/>
          <w:szCs w:val="20"/>
        </w:rPr>
        <w:t>_____</w:t>
      </w:r>
      <w:r w:rsidRPr="007A3223">
        <w:rPr>
          <w:color w:val="000000"/>
          <w:sz w:val="20"/>
          <w:szCs w:val="20"/>
        </w:rPr>
        <w:t xml:space="preserve"> </w:t>
      </w:r>
    </w:p>
    <w:p w14:paraId="245AFC74" w14:textId="77777777" w:rsidR="001D52C8" w:rsidRPr="007A3223" w:rsidRDefault="000717C4" w:rsidP="0059360A">
      <w:pPr>
        <w:pStyle w:val="ListParagraph"/>
        <w:numPr>
          <w:ilvl w:val="0"/>
          <w:numId w:val="11"/>
        </w:numPr>
        <w:autoSpaceDE w:val="0"/>
        <w:autoSpaceDN w:val="0"/>
        <w:adjustRightInd w:val="0"/>
        <w:rPr>
          <w:color w:val="000000"/>
          <w:sz w:val="20"/>
          <w:szCs w:val="20"/>
        </w:rPr>
      </w:pPr>
      <w:r w:rsidRPr="007A3223">
        <w:rPr>
          <w:color w:val="000000"/>
          <w:sz w:val="20"/>
          <w:szCs w:val="20"/>
        </w:rPr>
        <w:t xml:space="preserve">Date patient was removed from study _____________________ </w:t>
      </w:r>
    </w:p>
    <w:p w14:paraId="5193AEBA" w14:textId="77777777" w:rsidR="001D52C8" w:rsidRPr="007A3223" w:rsidRDefault="000717C4" w:rsidP="0059360A">
      <w:pPr>
        <w:pStyle w:val="ListParagraph"/>
        <w:numPr>
          <w:ilvl w:val="0"/>
          <w:numId w:val="11"/>
        </w:numPr>
        <w:autoSpaceDE w:val="0"/>
        <w:autoSpaceDN w:val="0"/>
        <w:adjustRightInd w:val="0"/>
        <w:rPr>
          <w:color w:val="000000"/>
          <w:sz w:val="20"/>
          <w:szCs w:val="20"/>
        </w:rPr>
      </w:pPr>
      <w:r w:rsidRPr="007A3223">
        <w:rPr>
          <w:color w:val="000000"/>
          <w:sz w:val="20"/>
          <w:szCs w:val="20"/>
        </w:rPr>
        <w:t>Patient’s planned daily dose________</w:t>
      </w:r>
      <w:r w:rsidR="001D52C8" w:rsidRPr="007A3223">
        <w:rPr>
          <w:color w:val="000000"/>
          <w:sz w:val="20"/>
          <w:szCs w:val="20"/>
        </w:rPr>
        <w:t>______________________</w:t>
      </w:r>
    </w:p>
    <w:p w14:paraId="29A30571" w14:textId="77777777" w:rsidR="000717C4" w:rsidRPr="007A3223" w:rsidRDefault="000717C4" w:rsidP="0059360A">
      <w:pPr>
        <w:pStyle w:val="ListParagraph"/>
        <w:numPr>
          <w:ilvl w:val="0"/>
          <w:numId w:val="11"/>
        </w:numPr>
        <w:autoSpaceDE w:val="0"/>
        <w:autoSpaceDN w:val="0"/>
        <w:adjustRightInd w:val="0"/>
        <w:rPr>
          <w:color w:val="000000"/>
          <w:sz w:val="20"/>
          <w:szCs w:val="20"/>
        </w:rPr>
      </w:pPr>
      <w:r w:rsidRPr="007A3223">
        <w:rPr>
          <w:color w:val="000000"/>
          <w:sz w:val="20"/>
          <w:szCs w:val="20"/>
        </w:rPr>
        <w:t>Total number of pills taken this month ____________________</w:t>
      </w:r>
      <w:r w:rsidR="001D52C8" w:rsidRPr="007A3223">
        <w:rPr>
          <w:color w:val="000000"/>
          <w:sz w:val="20"/>
          <w:szCs w:val="20"/>
        </w:rPr>
        <w:t>__</w:t>
      </w:r>
      <w:r w:rsidRPr="007A3223">
        <w:rPr>
          <w:color w:val="000000"/>
          <w:sz w:val="20"/>
          <w:szCs w:val="20"/>
        </w:rPr>
        <w:t xml:space="preserve"> </w:t>
      </w:r>
    </w:p>
    <w:p w14:paraId="6E147ACB" w14:textId="77777777" w:rsidR="000717C4" w:rsidRPr="007A3223" w:rsidRDefault="000717C4" w:rsidP="000717C4">
      <w:pPr>
        <w:rPr>
          <w:color w:val="000000"/>
          <w:sz w:val="20"/>
          <w:szCs w:val="20"/>
        </w:rPr>
      </w:pPr>
      <w:r w:rsidRPr="007A3223">
        <w:rPr>
          <w:color w:val="000000"/>
          <w:sz w:val="20"/>
          <w:szCs w:val="20"/>
        </w:rPr>
        <w:t xml:space="preserve">Physician/Nurse’s Signature ____________________________________________________________________ </w:t>
      </w:r>
    </w:p>
    <w:p w14:paraId="6C362666" w14:textId="285879B8" w:rsidR="00DB46A1" w:rsidRPr="007A3223" w:rsidRDefault="008C1150" w:rsidP="0054707F">
      <w:pPr>
        <w:spacing w:before="0" w:after="0"/>
        <w:rPr>
          <w:b/>
        </w:rPr>
      </w:pPr>
      <w:r w:rsidRPr="007A3223">
        <w:rPr>
          <w:b/>
        </w:rPr>
        <w:br w:type="page"/>
      </w:r>
    </w:p>
    <w:p w14:paraId="0719F5C0" w14:textId="77777777" w:rsidR="000717C4" w:rsidRPr="007A3223" w:rsidRDefault="006305FE" w:rsidP="0068644C">
      <w:r w:rsidRPr="007A3223">
        <w:rPr>
          <w:b/>
        </w:rPr>
        <w:lastRenderedPageBreak/>
        <w:t xml:space="preserve">OLAPARIB </w:t>
      </w:r>
    </w:p>
    <w:p w14:paraId="09F576DC" w14:textId="77777777" w:rsidR="000717C4" w:rsidRPr="007A3223" w:rsidRDefault="000717C4" w:rsidP="000717C4">
      <w:pPr>
        <w:pStyle w:val="Default"/>
        <w:spacing w:after="120"/>
        <w:rPr>
          <w:sz w:val="22"/>
          <w:szCs w:val="22"/>
        </w:rPr>
      </w:pPr>
      <w:r w:rsidRPr="007A3223">
        <w:rPr>
          <w:sz w:val="22"/>
          <w:szCs w:val="22"/>
        </w:rPr>
        <w:t xml:space="preserve">Today’s Date ________________________________ </w:t>
      </w:r>
      <w:r w:rsidR="008A0080" w:rsidRPr="007A3223">
        <w:rPr>
          <w:sz w:val="22"/>
          <w:szCs w:val="22"/>
        </w:rPr>
        <w:tab/>
        <w:t>Cycle #__________</w:t>
      </w:r>
    </w:p>
    <w:p w14:paraId="28DD7A90" w14:textId="77777777" w:rsidR="00660D25" w:rsidRPr="007A3223" w:rsidRDefault="000717C4" w:rsidP="000717C4">
      <w:pPr>
        <w:pStyle w:val="Default"/>
        <w:spacing w:after="120"/>
        <w:rPr>
          <w:i/>
          <w:iCs/>
          <w:sz w:val="22"/>
          <w:szCs w:val="22"/>
        </w:rPr>
      </w:pPr>
      <w:r w:rsidRPr="007A3223">
        <w:rPr>
          <w:sz w:val="22"/>
          <w:szCs w:val="22"/>
        </w:rPr>
        <w:t xml:space="preserve">Patient Name_______________________________ </w:t>
      </w:r>
      <w:r w:rsidR="00660D25" w:rsidRPr="007A3223">
        <w:rPr>
          <w:sz w:val="22"/>
          <w:szCs w:val="22"/>
        </w:rPr>
        <w:t>(</w:t>
      </w:r>
      <w:r w:rsidR="00660D25" w:rsidRPr="007A3223">
        <w:rPr>
          <w:i/>
          <w:iCs/>
          <w:sz w:val="22"/>
          <w:szCs w:val="22"/>
        </w:rPr>
        <w:t>initials acceptable for patient’s name)</w:t>
      </w:r>
    </w:p>
    <w:p w14:paraId="7F0395B2" w14:textId="77777777" w:rsidR="001445EA" w:rsidRPr="007A3223" w:rsidRDefault="000717C4" w:rsidP="008A0080">
      <w:pPr>
        <w:pStyle w:val="Default"/>
        <w:spacing w:after="120"/>
        <w:rPr>
          <w:sz w:val="22"/>
          <w:szCs w:val="22"/>
        </w:rPr>
      </w:pPr>
      <w:r w:rsidRPr="007A3223">
        <w:rPr>
          <w:sz w:val="22"/>
          <w:szCs w:val="22"/>
        </w:rPr>
        <w:t xml:space="preserve">Patient Study ID ___________________ </w:t>
      </w:r>
      <w:r w:rsidR="00660D25" w:rsidRPr="007A3223">
        <w:rPr>
          <w:sz w:val="22"/>
          <w:szCs w:val="22"/>
        </w:rPr>
        <w:tab/>
      </w:r>
    </w:p>
    <w:p w14:paraId="53B3B955" w14:textId="232FDC67" w:rsidR="000717C4" w:rsidRPr="007A3223" w:rsidRDefault="001445EA" w:rsidP="001445EA">
      <w:pPr>
        <w:rPr>
          <w:i/>
          <w:iCs/>
          <w:sz w:val="23"/>
          <w:szCs w:val="23"/>
        </w:rPr>
      </w:pPr>
      <w:r w:rsidRPr="007A3223">
        <w:rPr>
          <w:color w:val="000000"/>
          <w:sz w:val="23"/>
          <w:szCs w:val="23"/>
        </w:rPr>
        <w:t xml:space="preserve">Please bring your pill bottle and this form to your physician when you go for your next appointment. </w:t>
      </w:r>
      <w:r w:rsidRPr="007A3223">
        <w:rPr>
          <w:b/>
          <w:i/>
          <w:color w:val="000000"/>
          <w:sz w:val="23"/>
          <w:szCs w:val="23"/>
        </w:rPr>
        <w:t>This is required for study compliance.</w:t>
      </w:r>
      <w:r w:rsidR="000717C4" w:rsidRPr="007A3223">
        <w:rPr>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19"/>
        <w:gridCol w:w="379"/>
        <w:gridCol w:w="677"/>
        <w:gridCol w:w="379"/>
        <w:gridCol w:w="649"/>
        <w:gridCol w:w="1280"/>
        <w:gridCol w:w="682"/>
        <w:gridCol w:w="619"/>
        <w:gridCol w:w="379"/>
        <w:gridCol w:w="677"/>
        <w:gridCol w:w="379"/>
        <w:gridCol w:w="649"/>
        <w:gridCol w:w="1280"/>
      </w:tblGrid>
      <w:tr w:rsidR="000717C4" w:rsidRPr="007A3223" w14:paraId="53E8819A" w14:textId="77777777" w:rsidTr="000717C4">
        <w:trPr>
          <w:trHeight w:val="947"/>
        </w:trPr>
        <w:tc>
          <w:tcPr>
            <w:tcW w:w="0" w:type="auto"/>
            <w:gridSpan w:val="14"/>
            <w:tcBorders>
              <w:top w:val="double" w:sz="4" w:space="0" w:color="auto"/>
              <w:left w:val="double" w:sz="4" w:space="0" w:color="auto"/>
              <w:right w:val="double" w:sz="4" w:space="0" w:color="auto"/>
            </w:tcBorders>
          </w:tcPr>
          <w:p w14:paraId="30D9D59C" w14:textId="77777777" w:rsidR="000717C4" w:rsidRPr="007A3223" w:rsidRDefault="000717C4" w:rsidP="000717C4">
            <w:pPr>
              <w:autoSpaceDE w:val="0"/>
              <w:autoSpaceDN w:val="0"/>
              <w:adjustRightInd w:val="0"/>
              <w:spacing w:after="0"/>
              <w:rPr>
                <w:color w:val="000000"/>
                <w:sz w:val="22"/>
              </w:rPr>
            </w:pPr>
            <w:r w:rsidRPr="007A3223">
              <w:rPr>
                <w:b/>
                <w:bCs/>
                <w:color w:val="000000"/>
                <w:sz w:val="22"/>
              </w:rPr>
              <w:t xml:space="preserve">INSTRUCTIONS TO THE PATIENT: </w:t>
            </w:r>
          </w:p>
          <w:p w14:paraId="2FE49272"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 Complete one form for each cycle (28 days). </w:t>
            </w:r>
          </w:p>
          <w:p w14:paraId="6ED2F1E8" w14:textId="77777777" w:rsidR="00BB7A5A" w:rsidRPr="007A3223" w:rsidRDefault="000717C4" w:rsidP="00BB7A5A">
            <w:pPr>
              <w:autoSpaceDE w:val="0"/>
              <w:autoSpaceDN w:val="0"/>
              <w:adjustRightInd w:val="0"/>
              <w:spacing w:after="0"/>
              <w:rPr>
                <w:color w:val="000000"/>
                <w:sz w:val="22"/>
              </w:rPr>
            </w:pPr>
            <w:r w:rsidRPr="007A3223">
              <w:rPr>
                <w:color w:val="000000"/>
                <w:sz w:val="22"/>
              </w:rPr>
              <w:t xml:space="preserve">2. You will take ___ tablets each day twice a day 12 hours apart. </w:t>
            </w:r>
            <w:r w:rsidR="00BB7A5A" w:rsidRPr="007A3223">
              <w:rPr>
                <w:color w:val="000000"/>
                <w:sz w:val="22"/>
              </w:rPr>
              <w:t xml:space="preserve">You may take the tablets with a light meal or snack. </w:t>
            </w:r>
          </w:p>
          <w:p w14:paraId="2D9750F6"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3. Record the date, the number of tablets you took, and when you took them. </w:t>
            </w:r>
          </w:p>
          <w:p w14:paraId="0C632E01" w14:textId="38F4A2E1" w:rsidR="000717C4" w:rsidRPr="007A3223" w:rsidRDefault="000717C4" w:rsidP="000717C4">
            <w:pPr>
              <w:autoSpaceDE w:val="0"/>
              <w:autoSpaceDN w:val="0"/>
              <w:adjustRightInd w:val="0"/>
              <w:spacing w:after="0"/>
              <w:rPr>
                <w:color w:val="000000"/>
                <w:sz w:val="22"/>
              </w:rPr>
            </w:pPr>
            <w:r w:rsidRPr="007A3223">
              <w:rPr>
                <w:color w:val="000000"/>
                <w:sz w:val="22"/>
              </w:rPr>
              <w:t xml:space="preserve">4. If you have any comments or notice any side effects, please record them in the Comments column. </w:t>
            </w:r>
          </w:p>
        </w:tc>
      </w:tr>
      <w:tr w:rsidR="000717C4" w:rsidRPr="007A3223" w14:paraId="7BB5E037" w14:textId="77777777" w:rsidTr="000717C4">
        <w:tc>
          <w:tcPr>
            <w:tcW w:w="0" w:type="auto"/>
            <w:vMerge w:val="restart"/>
            <w:tcBorders>
              <w:left w:val="double" w:sz="4" w:space="0" w:color="auto"/>
            </w:tcBorders>
          </w:tcPr>
          <w:p w14:paraId="19C0D55A" w14:textId="77777777" w:rsidR="000717C4" w:rsidRPr="007A3223" w:rsidRDefault="000717C4" w:rsidP="000717C4">
            <w:pPr>
              <w:autoSpaceDE w:val="0"/>
              <w:autoSpaceDN w:val="0"/>
              <w:adjustRightInd w:val="0"/>
              <w:rPr>
                <w:color w:val="000000"/>
                <w:sz w:val="22"/>
              </w:rPr>
            </w:pPr>
            <w:r w:rsidRPr="007A3223">
              <w:rPr>
                <w:b/>
                <w:bCs/>
                <w:color w:val="000000"/>
                <w:sz w:val="22"/>
              </w:rPr>
              <w:t>Date</w:t>
            </w:r>
          </w:p>
        </w:tc>
        <w:tc>
          <w:tcPr>
            <w:tcW w:w="0" w:type="auto"/>
            <w:vMerge w:val="restart"/>
          </w:tcPr>
          <w:p w14:paraId="15C5A076" w14:textId="77777777" w:rsidR="000717C4" w:rsidRPr="007A3223" w:rsidRDefault="000717C4" w:rsidP="000717C4">
            <w:pPr>
              <w:autoSpaceDE w:val="0"/>
              <w:autoSpaceDN w:val="0"/>
              <w:adjustRightInd w:val="0"/>
              <w:rPr>
                <w:color w:val="000000"/>
                <w:sz w:val="22"/>
              </w:rPr>
            </w:pPr>
            <w:r w:rsidRPr="007A3223">
              <w:rPr>
                <w:b/>
                <w:bCs/>
                <w:color w:val="000000"/>
                <w:sz w:val="22"/>
              </w:rPr>
              <w:t>Day</w:t>
            </w:r>
          </w:p>
        </w:tc>
        <w:tc>
          <w:tcPr>
            <w:tcW w:w="0" w:type="auto"/>
            <w:gridSpan w:val="4"/>
            <w:tcBorders>
              <w:bottom w:val="dotted" w:sz="4" w:space="0" w:color="auto"/>
            </w:tcBorders>
          </w:tcPr>
          <w:p w14:paraId="59A97C46" w14:textId="77777777" w:rsidR="000717C4" w:rsidRPr="007A3223" w:rsidRDefault="000717C4" w:rsidP="000717C4">
            <w:pPr>
              <w:autoSpaceDE w:val="0"/>
              <w:autoSpaceDN w:val="0"/>
              <w:adjustRightInd w:val="0"/>
              <w:rPr>
                <w:color w:val="000000"/>
                <w:sz w:val="22"/>
              </w:rPr>
            </w:pPr>
            <w:r w:rsidRPr="007A3223">
              <w:rPr>
                <w:b/>
                <w:bCs/>
                <w:color w:val="000000"/>
                <w:sz w:val="22"/>
              </w:rPr>
              <w:t># tablets and when taken: olaparib</w:t>
            </w:r>
          </w:p>
        </w:tc>
        <w:tc>
          <w:tcPr>
            <w:tcW w:w="0" w:type="auto"/>
            <w:vMerge w:val="restart"/>
            <w:tcBorders>
              <w:right w:val="double" w:sz="4" w:space="0" w:color="auto"/>
            </w:tcBorders>
          </w:tcPr>
          <w:p w14:paraId="5611661D" w14:textId="77777777" w:rsidR="000717C4" w:rsidRPr="007A3223" w:rsidRDefault="000717C4" w:rsidP="000717C4">
            <w:pPr>
              <w:autoSpaceDE w:val="0"/>
              <w:autoSpaceDN w:val="0"/>
              <w:adjustRightInd w:val="0"/>
              <w:rPr>
                <w:color w:val="000000"/>
                <w:sz w:val="22"/>
              </w:rPr>
            </w:pPr>
            <w:r w:rsidRPr="007A3223">
              <w:rPr>
                <w:b/>
                <w:bCs/>
                <w:color w:val="000000"/>
                <w:sz w:val="22"/>
              </w:rPr>
              <w:t xml:space="preserve">Comments </w:t>
            </w:r>
          </w:p>
        </w:tc>
        <w:tc>
          <w:tcPr>
            <w:tcW w:w="0" w:type="auto"/>
            <w:vMerge w:val="restart"/>
            <w:tcBorders>
              <w:left w:val="double" w:sz="4" w:space="0" w:color="auto"/>
            </w:tcBorders>
          </w:tcPr>
          <w:p w14:paraId="74875AD2" w14:textId="77777777" w:rsidR="000717C4" w:rsidRPr="007A3223" w:rsidRDefault="000717C4" w:rsidP="000717C4">
            <w:pPr>
              <w:autoSpaceDE w:val="0"/>
              <w:autoSpaceDN w:val="0"/>
              <w:adjustRightInd w:val="0"/>
              <w:rPr>
                <w:color w:val="000000"/>
                <w:sz w:val="22"/>
              </w:rPr>
            </w:pPr>
            <w:r w:rsidRPr="007A3223">
              <w:rPr>
                <w:b/>
                <w:bCs/>
                <w:color w:val="000000"/>
                <w:sz w:val="22"/>
              </w:rPr>
              <w:t xml:space="preserve">Date </w:t>
            </w:r>
          </w:p>
        </w:tc>
        <w:tc>
          <w:tcPr>
            <w:tcW w:w="0" w:type="auto"/>
            <w:vMerge w:val="restart"/>
          </w:tcPr>
          <w:p w14:paraId="07B426E6" w14:textId="77777777" w:rsidR="000717C4" w:rsidRPr="007A3223" w:rsidRDefault="000717C4" w:rsidP="000717C4">
            <w:pPr>
              <w:autoSpaceDE w:val="0"/>
              <w:autoSpaceDN w:val="0"/>
              <w:adjustRightInd w:val="0"/>
              <w:rPr>
                <w:color w:val="000000"/>
                <w:sz w:val="22"/>
              </w:rPr>
            </w:pPr>
            <w:r w:rsidRPr="007A3223">
              <w:rPr>
                <w:b/>
                <w:bCs/>
                <w:color w:val="000000"/>
                <w:sz w:val="22"/>
              </w:rPr>
              <w:t xml:space="preserve">Day </w:t>
            </w:r>
          </w:p>
        </w:tc>
        <w:tc>
          <w:tcPr>
            <w:tcW w:w="0" w:type="auto"/>
            <w:gridSpan w:val="4"/>
            <w:tcBorders>
              <w:bottom w:val="dotted" w:sz="4" w:space="0" w:color="auto"/>
            </w:tcBorders>
          </w:tcPr>
          <w:p w14:paraId="2544FBBB" w14:textId="77777777" w:rsidR="000717C4" w:rsidRPr="007A3223" w:rsidRDefault="000717C4" w:rsidP="000717C4">
            <w:pPr>
              <w:autoSpaceDE w:val="0"/>
              <w:autoSpaceDN w:val="0"/>
              <w:adjustRightInd w:val="0"/>
              <w:rPr>
                <w:color w:val="000000"/>
                <w:sz w:val="22"/>
              </w:rPr>
            </w:pPr>
            <w:r w:rsidRPr="007A3223">
              <w:rPr>
                <w:b/>
                <w:bCs/>
                <w:color w:val="000000"/>
                <w:sz w:val="22"/>
              </w:rPr>
              <w:t xml:space="preserve"># tablets and when taken: olaparib </w:t>
            </w:r>
          </w:p>
        </w:tc>
        <w:tc>
          <w:tcPr>
            <w:tcW w:w="0" w:type="auto"/>
            <w:vMerge w:val="restart"/>
            <w:tcBorders>
              <w:right w:val="double" w:sz="4" w:space="0" w:color="auto"/>
            </w:tcBorders>
          </w:tcPr>
          <w:p w14:paraId="6279F4EC" w14:textId="77777777" w:rsidR="000717C4" w:rsidRPr="007A3223" w:rsidRDefault="000717C4" w:rsidP="000717C4">
            <w:pPr>
              <w:autoSpaceDE w:val="0"/>
              <w:autoSpaceDN w:val="0"/>
              <w:adjustRightInd w:val="0"/>
              <w:rPr>
                <w:color w:val="000000"/>
                <w:sz w:val="22"/>
              </w:rPr>
            </w:pPr>
            <w:r w:rsidRPr="007A3223">
              <w:rPr>
                <w:b/>
                <w:bCs/>
                <w:color w:val="000000"/>
                <w:sz w:val="22"/>
              </w:rPr>
              <w:t xml:space="preserve">Comments </w:t>
            </w:r>
          </w:p>
        </w:tc>
      </w:tr>
      <w:tr w:rsidR="000717C4" w:rsidRPr="007A3223" w14:paraId="4E735AB6" w14:textId="77777777" w:rsidTr="000717C4">
        <w:trPr>
          <w:trHeight w:val="450"/>
        </w:trPr>
        <w:tc>
          <w:tcPr>
            <w:tcW w:w="0" w:type="auto"/>
            <w:vMerge/>
            <w:tcBorders>
              <w:left w:val="double" w:sz="4" w:space="0" w:color="auto"/>
            </w:tcBorders>
          </w:tcPr>
          <w:p w14:paraId="0B67A00F" w14:textId="77777777" w:rsidR="000717C4" w:rsidRPr="007A3223" w:rsidRDefault="000717C4" w:rsidP="000717C4">
            <w:pPr>
              <w:autoSpaceDE w:val="0"/>
              <w:autoSpaceDN w:val="0"/>
              <w:adjustRightInd w:val="0"/>
              <w:spacing w:after="0"/>
              <w:rPr>
                <w:b/>
                <w:bCs/>
                <w:color w:val="000000"/>
                <w:sz w:val="22"/>
              </w:rPr>
            </w:pPr>
          </w:p>
        </w:tc>
        <w:tc>
          <w:tcPr>
            <w:tcW w:w="0" w:type="auto"/>
            <w:vMerge/>
          </w:tcPr>
          <w:p w14:paraId="21741F84" w14:textId="77777777" w:rsidR="000717C4" w:rsidRPr="007A3223" w:rsidRDefault="000717C4" w:rsidP="000717C4">
            <w:pPr>
              <w:autoSpaceDE w:val="0"/>
              <w:autoSpaceDN w:val="0"/>
              <w:adjustRightInd w:val="0"/>
              <w:spacing w:after="0"/>
              <w:rPr>
                <w:b/>
                <w:bCs/>
                <w:color w:val="000000"/>
                <w:sz w:val="22"/>
              </w:rPr>
            </w:pPr>
          </w:p>
        </w:tc>
        <w:tc>
          <w:tcPr>
            <w:tcW w:w="0" w:type="auto"/>
            <w:tcBorders>
              <w:top w:val="dotted" w:sz="4" w:space="0" w:color="auto"/>
            </w:tcBorders>
            <w:vAlign w:val="center"/>
          </w:tcPr>
          <w:p w14:paraId="7EE9CA0A"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w:t>
            </w:r>
          </w:p>
        </w:tc>
        <w:tc>
          <w:tcPr>
            <w:tcW w:w="0" w:type="auto"/>
            <w:tcBorders>
              <w:top w:val="dotted" w:sz="4" w:space="0" w:color="auto"/>
            </w:tcBorders>
            <w:vAlign w:val="center"/>
          </w:tcPr>
          <w:p w14:paraId="69F8DF96"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AM</w:t>
            </w:r>
          </w:p>
        </w:tc>
        <w:tc>
          <w:tcPr>
            <w:tcW w:w="0" w:type="auto"/>
            <w:tcBorders>
              <w:top w:val="dotted" w:sz="4" w:space="0" w:color="auto"/>
            </w:tcBorders>
            <w:vAlign w:val="center"/>
          </w:tcPr>
          <w:p w14:paraId="0BA6645F"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w:t>
            </w:r>
          </w:p>
        </w:tc>
        <w:tc>
          <w:tcPr>
            <w:tcW w:w="0" w:type="auto"/>
            <w:tcBorders>
              <w:top w:val="dotted" w:sz="4" w:space="0" w:color="auto"/>
            </w:tcBorders>
            <w:vAlign w:val="center"/>
          </w:tcPr>
          <w:p w14:paraId="0965530D"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PM</w:t>
            </w:r>
          </w:p>
        </w:tc>
        <w:tc>
          <w:tcPr>
            <w:tcW w:w="0" w:type="auto"/>
            <w:vMerge/>
            <w:tcBorders>
              <w:right w:val="double" w:sz="4" w:space="0" w:color="auto"/>
            </w:tcBorders>
          </w:tcPr>
          <w:p w14:paraId="0F2FD897" w14:textId="77777777" w:rsidR="000717C4" w:rsidRPr="007A3223" w:rsidRDefault="000717C4" w:rsidP="000717C4">
            <w:pPr>
              <w:autoSpaceDE w:val="0"/>
              <w:autoSpaceDN w:val="0"/>
              <w:adjustRightInd w:val="0"/>
              <w:spacing w:after="0"/>
              <w:rPr>
                <w:b/>
                <w:bCs/>
                <w:color w:val="000000"/>
                <w:sz w:val="22"/>
              </w:rPr>
            </w:pPr>
          </w:p>
        </w:tc>
        <w:tc>
          <w:tcPr>
            <w:tcW w:w="0" w:type="auto"/>
            <w:vMerge/>
            <w:tcBorders>
              <w:left w:val="double" w:sz="4" w:space="0" w:color="auto"/>
            </w:tcBorders>
          </w:tcPr>
          <w:p w14:paraId="3994DB8B" w14:textId="77777777" w:rsidR="000717C4" w:rsidRPr="007A3223" w:rsidRDefault="000717C4" w:rsidP="000717C4">
            <w:pPr>
              <w:autoSpaceDE w:val="0"/>
              <w:autoSpaceDN w:val="0"/>
              <w:adjustRightInd w:val="0"/>
              <w:spacing w:after="0"/>
              <w:rPr>
                <w:b/>
                <w:bCs/>
                <w:color w:val="000000"/>
                <w:sz w:val="22"/>
              </w:rPr>
            </w:pPr>
          </w:p>
        </w:tc>
        <w:tc>
          <w:tcPr>
            <w:tcW w:w="0" w:type="auto"/>
            <w:vMerge/>
          </w:tcPr>
          <w:p w14:paraId="1EB7304D" w14:textId="77777777" w:rsidR="000717C4" w:rsidRPr="007A3223" w:rsidRDefault="000717C4" w:rsidP="000717C4">
            <w:pPr>
              <w:autoSpaceDE w:val="0"/>
              <w:autoSpaceDN w:val="0"/>
              <w:adjustRightInd w:val="0"/>
              <w:spacing w:after="0"/>
              <w:rPr>
                <w:b/>
                <w:bCs/>
                <w:color w:val="000000"/>
                <w:sz w:val="22"/>
              </w:rPr>
            </w:pPr>
          </w:p>
        </w:tc>
        <w:tc>
          <w:tcPr>
            <w:tcW w:w="0" w:type="auto"/>
            <w:tcBorders>
              <w:top w:val="dotted" w:sz="4" w:space="0" w:color="auto"/>
            </w:tcBorders>
            <w:vAlign w:val="center"/>
          </w:tcPr>
          <w:p w14:paraId="74C4B46A"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w:t>
            </w:r>
          </w:p>
        </w:tc>
        <w:tc>
          <w:tcPr>
            <w:tcW w:w="0" w:type="auto"/>
            <w:tcBorders>
              <w:top w:val="dotted" w:sz="4" w:space="0" w:color="auto"/>
            </w:tcBorders>
            <w:vAlign w:val="center"/>
          </w:tcPr>
          <w:p w14:paraId="394A3A6C"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AM</w:t>
            </w:r>
          </w:p>
        </w:tc>
        <w:tc>
          <w:tcPr>
            <w:tcW w:w="0" w:type="auto"/>
            <w:tcBorders>
              <w:top w:val="dotted" w:sz="4" w:space="0" w:color="auto"/>
            </w:tcBorders>
            <w:vAlign w:val="center"/>
          </w:tcPr>
          <w:p w14:paraId="6FB01B12"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w:t>
            </w:r>
          </w:p>
        </w:tc>
        <w:tc>
          <w:tcPr>
            <w:tcW w:w="0" w:type="auto"/>
            <w:tcBorders>
              <w:top w:val="dotted" w:sz="4" w:space="0" w:color="auto"/>
            </w:tcBorders>
            <w:vAlign w:val="center"/>
          </w:tcPr>
          <w:p w14:paraId="520B7993" w14:textId="77777777" w:rsidR="000717C4" w:rsidRPr="007A3223" w:rsidRDefault="000717C4" w:rsidP="000717C4">
            <w:pPr>
              <w:autoSpaceDE w:val="0"/>
              <w:autoSpaceDN w:val="0"/>
              <w:adjustRightInd w:val="0"/>
              <w:spacing w:after="0"/>
              <w:rPr>
                <w:b/>
                <w:bCs/>
                <w:color w:val="000000"/>
                <w:sz w:val="22"/>
              </w:rPr>
            </w:pPr>
            <w:r w:rsidRPr="007A3223">
              <w:rPr>
                <w:b/>
                <w:bCs/>
                <w:color w:val="000000"/>
                <w:sz w:val="22"/>
              </w:rPr>
              <w:t>PM</w:t>
            </w:r>
          </w:p>
        </w:tc>
        <w:tc>
          <w:tcPr>
            <w:tcW w:w="0" w:type="auto"/>
            <w:vMerge/>
            <w:tcBorders>
              <w:right w:val="double" w:sz="4" w:space="0" w:color="auto"/>
            </w:tcBorders>
          </w:tcPr>
          <w:p w14:paraId="1D43D5F2" w14:textId="77777777" w:rsidR="000717C4" w:rsidRPr="007A3223" w:rsidRDefault="000717C4" w:rsidP="000717C4">
            <w:pPr>
              <w:autoSpaceDE w:val="0"/>
              <w:autoSpaceDN w:val="0"/>
              <w:adjustRightInd w:val="0"/>
              <w:spacing w:after="0"/>
              <w:rPr>
                <w:b/>
                <w:bCs/>
                <w:color w:val="000000"/>
                <w:sz w:val="22"/>
              </w:rPr>
            </w:pPr>
          </w:p>
        </w:tc>
      </w:tr>
      <w:tr w:rsidR="000717C4" w:rsidRPr="007A3223" w14:paraId="638EEB9F" w14:textId="77777777" w:rsidTr="000717C4">
        <w:trPr>
          <w:trHeight w:val="109"/>
        </w:trPr>
        <w:tc>
          <w:tcPr>
            <w:tcW w:w="0" w:type="auto"/>
            <w:tcBorders>
              <w:left w:val="double" w:sz="4" w:space="0" w:color="auto"/>
            </w:tcBorders>
          </w:tcPr>
          <w:p w14:paraId="3A6BE1FE" w14:textId="77777777" w:rsidR="000717C4" w:rsidRPr="007A3223" w:rsidRDefault="000717C4" w:rsidP="000717C4">
            <w:pPr>
              <w:autoSpaceDE w:val="0"/>
              <w:autoSpaceDN w:val="0"/>
              <w:adjustRightInd w:val="0"/>
              <w:spacing w:after="0"/>
              <w:rPr>
                <w:color w:val="000000"/>
                <w:sz w:val="22"/>
              </w:rPr>
            </w:pPr>
          </w:p>
        </w:tc>
        <w:tc>
          <w:tcPr>
            <w:tcW w:w="0" w:type="auto"/>
          </w:tcPr>
          <w:p w14:paraId="57C99A00"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 </w:t>
            </w:r>
          </w:p>
        </w:tc>
        <w:tc>
          <w:tcPr>
            <w:tcW w:w="0" w:type="auto"/>
          </w:tcPr>
          <w:p w14:paraId="6C25CBD6" w14:textId="77777777" w:rsidR="000717C4" w:rsidRPr="007A3223" w:rsidRDefault="000717C4" w:rsidP="000717C4">
            <w:pPr>
              <w:autoSpaceDE w:val="0"/>
              <w:autoSpaceDN w:val="0"/>
              <w:adjustRightInd w:val="0"/>
              <w:spacing w:after="0"/>
              <w:rPr>
                <w:color w:val="000000"/>
                <w:sz w:val="22"/>
              </w:rPr>
            </w:pPr>
          </w:p>
        </w:tc>
        <w:tc>
          <w:tcPr>
            <w:tcW w:w="0" w:type="auto"/>
          </w:tcPr>
          <w:p w14:paraId="0109C8C8" w14:textId="77777777" w:rsidR="000717C4" w:rsidRPr="007A3223" w:rsidRDefault="000717C4" w:rsidP="000717C4">
            <w:pPr>
              <w:autoSpaceDE w:val="0"/>
              <w:autoSpaceDN w:val="0"/>
              <w:adjustRightInd w:val="0"/>
              <w:spacing w:after="0"/>
              <w:rPr>
                <w:color w:val="000000"/>
                <w:sz w:val="22"/>
              </w:rPr>
            </w:pPr>
          </w:p>
        </w:tc>
        <w:tc>
          <w:tcPr>
            <w:tcW w:w="0" w:type="auto"/>
          </w:tcPr>
          <w:p w14:paraId="6F6853D4" w14:textId="77777777" w:rsidR="000717C4" w:rsidRPr="007A3223" w:rsidRDefault="000717C4" w:rsidP="000717C4">
            <w:pPr>
              <w:autoSpaceDE w:val="0"/>
              <w:autoSpaceDN w:val="0"/>
              <w:adjustRightInd w:val="0"/>
              <w:spacing w:after="0"/>
              <w:rPr>
                <w:color w:val="000000"/>
                <w:sz w:val="22"/>
              </w:rPr>
            </w:pPr>
          </w:p>
        </w:tc>
        <w:tc>
          <w:tcPr>
            <w:tcW w:w="0" w:type="auto"/>
          </w:tcPr>
          <w:p w14:paraId="1064EE8C"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0B20198D"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6980DB89" w14:textId="77777777" w:rsidR="000717C4" w:rsidRPr="007A3223" w:rsidRDefault="000717C4" w:rsidP="000717C4">
            <w:pPr>
              <w:autoSpaceDE w:val="0"/>
              <w:autoSpaceDN w:val="0"/>
              <w:adjustRightInd w:val="0"/>
              <w:spacing w:after="0"/>
              <w:rPr>
                <w:color w:val="000000"/>
                <w:sz w:val="22"/>
              </w:rPr>
            </w:pPr>
          </w:p>
        </w:tc>
        <w:tc>
          <w:tcPr>
            <w:tcW w:w="0" w:type="auto"/>
          </w:tcPr>
          <w:p w14:paraId="0F730225"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15 </w:t>
            </w:r>
          </w:p>
        </w:tc>
        <w:tc>
          <w:tcPr>
            <w:tcW w:w="0" w:type="auto"/>
          </w:tcPr>
          <w:p w14:paraId="4A260415" w14:textId="77777777" w:rsidR="000717C4" w:rsidRPr="007A3223" w:rsidRDefault="000717C4" w:rsidP="000717C4">
            <w:pPr>
              <w:autoSpaceDE w:val="0"/>
              <w:autoSpaceDN w:val="0"/>
              <w:adjustRightInd w:val="0"/>
              <w:spacing w:after="0"/>
              <w:rPr>
                <w:color w:val="000000"/>
                <w:sz w:val="22"/>
              </w:rPr>
            </w:pPr>
          </w:p>
        </w:tc>
        <w:tc>
          <w:tcPr>
            <w:tcW w:w="0" w:type="auto"/>
          </w:tcPr>
          <w:p w14:paraId="2F776DC6" w14:textId="77777777" w:rsidR="000717C4" w:rsidRPr="007A3223" w:rsidRDefault="000717C4" w:rsidP="000717C4">
            <w:pPr>
              <w:autoSpaceDE w:val="0"/>
              <w:autoSpaceDN w:val="0"/>
              <w:adjustRightInd w:val="0"/>
              <w:spacing w:after="0"/>
              <w:rPr>
                <w:color w:val="000000"/>
                <w:sz w:val="22"/>
              </w:rPr>
            </w:pPr>
          </w:p>
        </w:tc>
        <w:tc>
          <w:tcPr>
            <w:tcW w:w="0" w:type="auto"/>
          </w:tcPr>
          <w:p w14:paraId="13BB1E19" w14:textId="77777777" w:rsidR="000717C4" w:rsidRPr="007A3223" w:rsidRDefault="000717C4" w:rsidP="000717C4">
            <w:pPr>
              <w:autoSpaceDE w:val="0"/>
              <w:autoSpaceDN w:val="0"/>
              <w:adjustRightInd w:val="0"/>
              <w:spacing w:after="0"/>
              <w:rPr>
                <w:color w:val="000000"/>
                <w:sz w:val="22"/>
              </w:rPr>
            </w:pPr>
          </w:p>
        </w:tc>
        <w:tc>
          <w:tcPr>
            <w:tcW w:w="0" w:type="auto"/>
          </w:tcPr>
          <w:p w14:paraId="0C7E5E68"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66F86D88" w14:textId="77777777" w:rsidR="000717C4" w:rsidRPr="007A3223" w:rsidRDefault="000717C4" w:rsidP="000717C4">
            <w:pPr>
              <w:autoSpaceDE w:val="0"/>
              <w:autoSpaceDN w:val="0"/>
              <w:adjustRightInd w:val="0"/>
              <w:spacing w:after="0"/>
              <w:rPr>
                <w:color w:val="000000"/>
                <w:sz w:val="22"/>
              </w:rPr>
            </w:pPr>
          </w:p>
        </w:tc>
      </w:tr>
      <w:tr w:rsidR="000717C4" w:rsidRPr="007A3223" w14:paraId="3183E2E0" w14:textId="77777777" w:rsidTr="000717C4">
        <w:trPr>
          <w:trHeight w:val="109"/>
        </w:trPr>
        <w:tc>
          <w:tcPr>
            <w:tcW w:w="0" w:type="auto"/>
            <w:tcBorders>
              <w:left w:val="double" w:sz="4" w:space="0" w:color="auto"/>
            </w:tcBorders>
          </w:tcPr>
          <w:p w14:paraId="7CF21E35" w14:textId="77777777" w:rsidR="000717C4" w:rsidRPr="007A3223" w:rsidRDefault="000717C4" w:rsidP="000717C4">
            <w:pPr>
              <w:autoSpaceDE w:val="0"/>
              <w:autoSpaceDN w:val="0"/>
              <w:adjustRightInd w:val="0"/>
              <w:spacing w:after="0"/>
              <w:rPr>
                <w:color w:val="000000"/>
                <w:sz w:val="22"/>
              </w:rPr>
            </w:pPr>
          </w:p>
        </w:tc>
        <w:tc>
          <w:tcPr>
            <w:tcW w:w="0" w:type="auto"/>
          </w:tcPr>
          <w:p w14:paraId="6F7DC339"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 </w:t>
            </w:r>
          </w:p>
        </w:tc>
        <w:tc>
          <w:tcPr>
            <w:tcW w:w="0" w:type="auto"/>
          </w:tcPr>
          <w:p w14:paraId="46B7582B" w14:textId="77777777" w:rsidR="000717C4" w:rsidRPr="007A3223" w:rsidRDefault="000717C4" w:rsidP="000717C4">
            <w:pPr>
              <w:autoSpaceDE w:val="0"/>
              <w:autoSpaceDN w:val="0"/>
              <w:adjustRightInd w:val="0"/>
              <w:spacing w:after="0"/>
              <w:rPr>
                <w:color w:val="000000"/>
                <w:sz w:val="22"/>
              </w:rPr>
            </w:pPr>
          </w:p>
        </w:tc>
        <w:tc>
          <w:tcPr>
            <w:tcW w:w="0" w:type="auto"/>
          </w:tcPr>
          <w:p w14:paraId="02BE4A35" w14:textId="77777777" w:rsidR="000717C4" w:rsidRPr="007A3223" w:rsidRDefault="000717C4" w:rsidP="000717C4">
            <w:pPr>
              <w:autoSpaceDE w:val="0"/>
              <w:autoSpaceDN w:val="0"/>
              <w:adjustRightInd w:val="0"/>
              <w:spacing w:after="0"/>
              <w:rPr>
                <w:color w:val="000000"/>
                <w:sz w:val="22"/>
              </w:rPr>
            </w:pPr>
          </w:p>
        </w:tc>
        <w:tc>
          <w:tcPr>
            <w:tcW w:w="0" w:type="auto"/>
          </w:tcPr>
          <w:p w14:paraId="59318BE6" w14:textId="77777777" w:rsidR="000717C4" w:rsidRPr="007A3223" w:rsidRDefault="000717C4" w:rsidP="000717C4">
            <w:pPr>
              <w:autoSpaceDE w:val="0"/>
              <w:autoSpaceDN w:val="0"/>
              <w:adjustRightInd w:val="0"/>
              <w:spacing w:after="0"/>
              <w:rPr>
                <w:color w:val="000000"/>
                <w:sz w:val="22"/>
              </w:rPr>
            </w:pPr>
          </w:p>
        </w:tc>
        <w:tc>
          <w:tcPr>
            <w:tcW w:w="0" w:type="auto"/>
          </w:tcPr>
          <w:p w14:paraId="5CD0DCAF"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53AF0628"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7C8C0B89" w14:textId="77777777" w:rsidR="000717C4" w:rsidRPr="007A3223" w:rsidRDefault="000717C4" w:rsidP="000717C4">
            <w:pPr>
              <w:autoSpaceDE w:val="0"/>
              <w:autoSpaceDN w:val="0"/>
              <w:adjustRightInd w:val="0"/>
              <w:spacing w:after="0"/>
              <w:rPr>
                <w:color w:val="000000"/>
                <w:sz w:val="22"/>
              </w:rPr>
            </w:pPr>
          </w:p>
        </w:tc>
        <w:tc>
          <w:tcPr>
            <w:tcW w:w="0" w:type="auto"/>
          </w:tcPr>
          <w:p w14:paraId="23A39343"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16 </w:t>
            </w:r>
          </w:p>
        </w:tc>
        <w:tc>
          <w:tcPr>
            <w:tcW w:w="0" w:type="auto"/>
          </w:tcPr>
          <w:p w14:paraId="55553AFE" w14:textId="77777777" w:rsidR="000717C4" w:rsidRPr="007A3223" w:rsidRDefault="000717C4" w:rsidP="000717C4">
            <w:pPr>
              <w:autoSpaceDE w:val="0"/>
              <w:autoSpaceDN w:val="0"/>
              <w:adjustRightInd w:val="0"/>
              <w:spacing w:after="0"/>
              <w:rPr>
                <w:color w:val="000000"/>
                <w:sz w:val="22"/>
              </w:rPr>
            </w:pPr>
          </w:p>
        </w:tc>
        <w:tc>
          <w:tcPr>
            <w:tcW w:w="0" w:type="auto"/>
          </w:tcPr>
          <w:p w14:paraId="41C51151" w14:textId="77777777" w:rsidR="000717C4" w:rsidRPr="007A3223" w:rsidRDefault="000717C4" w:rsidP="000717C4">
            <w:pPr>
              <w:autoSpaceDE w:val="0"/>
              <w:autoSpaceDN w:val="0"/>
              <w:adjustRightInd w:val="0"/>
              <w:spacing w:after="0"/>
              <w:rPr>
                <w:color w:val="000000"/>
                <w:sz w:val="22"/>
              </w:rPr>
            </w:pPr>
          </w:p>
        </w:tc>
        <w:tc>
          <w:tcPr>
            <w:tcW w:w="0" w:type="auto"/>
          </w:tcPr>
          <w:p w14:paraId="4036319C" w14:textId="77777777" w:rsidR="000717C4" w:rsidRPr="007A3223" w:rsidRDefault="000717C4" w:rsidP="000717C4">
            <w:pPr>
              <w:autoSpaceDE w:val="0"/>
              <w:autoSpaceDN w:val="0"/>
              <w:adjustRightInd w:val="0"/>
              <w:spacing w:after="0"/>
              <w:rPr>
                <w:color w:val="000000"/>
                <w:sz w:val="22"/>
              </w:rPr>
            </w:pPr>
          </w:p>
        </w:tc>
        <w:tc>
          <w:tcPr>
            <w:tcW w:w="0" w:type="auto"/>
          </w:tcPr>
          <w:p w14:paraId="7A19F7B3"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5140798C" w14:textId="77777777" w:rsidR="000717C4" w:rsidRPr="007A3223" w:rsidRDefault="000717C4" w:rsidP="000717C4">
            <w:pPr>
              <w:autoSpaceDE w:val="0"/>
              <w:autoSpaceDN w:val="0"/>
              <w:adjustRightInd w:val="0"/>
              <w:spacing w:after="0"/>
              <w:rPr>
                <w:color w:val="000000"/>
                <w:sz w:val="22"/>
              </w:rPr>
            </w:pPr>
          </w:p>
        </w:tc>
      </w:tr>
      <w:tr w:rsidR="000717C4" w:rsidRPr="007A3223" w14:paraId="19044356" w14:textId="77777777" w:rsidTr="000717C4">
        <w:trPr>
          <w:trHeight w:val="109"/>
        </w:trPr>
        <w:tc>
          <w:tcPr>
            <w:tcW w:w="0" w:type="auto"/>
            <w:tcBorders>
              <w:left w:val="double" w:sz="4" w:space="0" w:color="auto"/>
            </w:tcBorders>
          </w:tcPr>
          <w:p w14:paraId="2BA37E3F" w14:textId="77777777" w:rsidR="000717C4" w:rsidRPr="007A3223" w:rsidRDefault="000717C4" w:rsidP="000717C4">
            <w:pPr>
              <w:autoSpaceDE w:val="0"/>
              <w:autoSpaceDN w:val="0"/>
              <w:adjustRightInd w:val="0"/>
              <w:spacing w:after="0"/>
              <w:rPr>
                <w:color w:val="000000"/>
                <w:sz w:val="22"/>
              </w:rPr>
            </w:pPr>
          </w:p>
        </w:tc>
        <w:tc>
          <w:tcPr>
            <w:tcW w:w="0" w:type="auto"/>
          </w:tcPr>
          <w:p w14:paraId="3A2F0CAE"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3 </w:t>
            </w:r>
          </w:p>
        </w:tc>
        <w:tc>
          <w:tcPr>
            <w:tcW w:w="0" w:type="auto"/>
          </w:tcPr>
          <w:p w14:paraId="3A06483A" w14:textId="77777777" w:rsidR="000717C4" w:rsidRPr="007A3223" w:rsidRDefault="000717C4" w:rsidP="000717C4">
            <w:pPr>
              <w:autoSpaceDE w:val="0"/>
              <w:autoSpaceDN w:val="0"/>
              <w:adjustRightInd w:val="0"/>
              <w:spacing w:after="0"/>
              <w:rPr>
                <w:color w:val="000000"/>
                <w:sz w:val="22"/>
              </w:rPr>
            </w:pPr>
          </w:p>
        </w:tc>
        <w:tc>
          <w:tcPr>
            <w:tcW w:w="0" w:type="auto"/>
          </w:tcPr>
          <w:p w14:paraId="1E0DAAD2" w14:textId="77777777" w:rsidR="000717C4" w:rsidRPr="007A3223" w:rsidRDefault="000717C4" w:rsidP="000717C4">
            <w:pPr>
              <w:autoSpaceDE w:val="0"/>
              <w:autoSpaceDN w:val="0"/>
              <w:adjustRightInd w:val="0"/>
              <w:spacing w:after="0"/>
              <w:rPr>
                <w:color w:val="000000"/>
                <w:sz w:val="22"/>
              </w:rPr>
            </w:pPr>
          </w:p>
        </w:tc>
        <w:tc>
          <w:tcPr>
            <w:tcW w:w="0" w:type="auto"/>
          </w:tcPr>
          <w:p w14:paraId="0D5EF449" w14:textId="77777777" w:rsidR="000717C4" w:rsidRPr="007A3223" w:rsidRDefault="000717C4" w:rsidP="000717C4">
            <w:pPr>
              <w:autoSpaceDE w:val="0"/>
              <w:autoSpaceDN w:val="0"/>
              <w:adjustRightInd w:val="0"/>
              <w:spacing w:after="0"/>
              <w:rPr>
                <w:color w:val="000000"/>
                <w:sz w:val="22"/>
              </w:rPr>
            </w:pPr>
          </w:p>
        </w:tc>
        <w:tc>
          <w:tcPr>
            <w:tcW w:w="0" w:type="auto"/>
          </w:tcPr>
          <w:p w14:paraId="0ECE5EA0"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1E10EC41"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0A444213" w14:textId="77777777" w:rsidR="000717C4" w:rsidRPr="007A3223" w:rsidRDefault="000717C4" w:rsidP="000717C4">
            <w:pPr>
              <w:autoSpaceDE w:val="0"/>
              <w:autoSpaceDN w:val="0"/>
              <w:adjustRightInd w:val="0"/>
              <w:spacing w:after="0"/>
              <w:rPr>
                <w:color w:val="000000"/>
                <w:sz w:val="22"/>
              </w:rPr>
            </w:pPr>
          </w:p>
        </w:tc>
        <w:tc>
          <w:tcPr>
            <w:tcW w:w="0" w:type="auto"/>
          </w:tcPr>
          <w:p w14:paraId="77A778D0"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17 </w:t>
            </w:r>
          </w:p>
        </w:tc>
        <w:tc>
          <w:tcPr>
            <w:tcW w:w="0" w:type="auto"/>
          </w:tcPr>
          <w:p w14:paraId="6ED2C051" w14:textId="77777777" w:rsidR="000717C4" w:rsidRPr="007A3223" w:rsidRDefault="000717C4" w:rsidP="000717C4">
            <w:pPr>
              <w:autoSpaceDE w:val="0"/>
              <w:autoSpaceDN w:val="0"/>
              <w:adjustRightInd w:val="0"/>
              <w:spacing w:after="0"/>
              <w:rPr>
                <w:color w:val="000000"/>
                <w:sz w:val="22"/>
              </w:rPr>
            </w:pPr>
          </w:p>
        </w:tc>
        <w:tc>
          <w:tcPr>
            <w:tcW w:w="0" w:type="auto"/>
          </w:tcPr>
          <w:p w14:paraId="2628CDE7" w14:textId="77777777" w:rsidR="000717C4" w:rsidRPr="007A3223" w:rsidRDefault="000717C4" w:rsidP="000717C4">
            <w:pPr>
              <w:autoSpaceDE w:val="0"/>
              <w:autoSpaceDN w:val="0"/>
              <w:adjustRightInd w:val="0"/>
              <w:spacing w:after="0"/>
              <w:rPr>
                <w:color w:val="000000"/>
                <w:sz w:val="22"/>
              </w:rPr>
            </w:pPr>
          </w:p>
        </w:tc>
        <w:tc>
          <w:tcPr>
            <w:tcW w:w="0" w:type="auto"/>
          </w:tcPr>
          <w:p w14:paraId="066FCEBE" w14:textId="77777777" w:rsidR="000717C4" w:rsidRPr="007A3223" w:rsidRDefault="000717C4" w:rsidP="000717C4">
            <w:pPr>
              <w:autoSpaceDE w:val="0"/>
              <w:autoSpaceDN w:val="0"/>
              <w:adjustRightInd w:val="0"/>
              <w:spacing w:after="0"/>
              <w:rPr>
                <w:color w:val="000000"/>
                <w:sz w:val="22"/>
              </w:rPr>
            </w:pPr>
          </w:p>
        </w:tc>
        <w:tc>
          <w:tcPr>
            <w:tcW w:w="0" w:type="auto"/>
          </w:tcPr>
          <w:p w14:paraId="0A5B0EDE"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625604D5" w14:textId="77777777" w:rsidR="000717C4" w:rsidRPr="007A3223" w:rsidRDefault="000717C4" w:rsidP="000717C4">
            <w:pPr>
              <w:autoSpaceDE w:val="0"/>
              <w:autoSpaceDN w:val="0"/>
              <w:adjustRightInd w:val="0"/>
              <w:spacing w:after="0"/>
              <w:rPr>
                <w:color w:val="000000"/>
                <w:sz w:val="22"/>
              </w:rPr>
            </w:pPr>
          </w:p>
        </w:tc>
      </w:tr>
      <w:tr w:rsidR="000717C4" w:rsidRPr="007A3223" w14:paraId="0CD604F5" w14:textId="77777777" w:rsidTr="000717C4">
        <w:trPr>
          <w:trHeight w:val="109"/>
        </w:trPr>
        <w:tc>
          <w:tcPr>
            <w:tcW w:w="0" w:type="auto"/>
            <w:tcBorders>
              <w:left w:val="double" w:sz="4" w:space="0" w:color="auto"/>
            </w:tcBorders>
          </w:tcPr>
          <w:p w14:paraId="5397F98E" w14:textId="77777777" w:rsidR="000717C4" w:rsidRPr="007A3223" w:rsidRDefault="000717C4" w:rsidP="000717C4">
            <w:pPr>
              <w:autoSpaceDE w:val="0"/>
              <w:autoSpaceDN w:val="0"/>
              <w:adjustRightInd w:val="0"/>
              <w:spacing w:after="0"/>
              <w:rPr>
                <w:color w:val="000000"/>
                <w:sz w:val="22"/>
              </w:rPr>
            </w:pPr>
          </w:p>
        </w:tc>
        <w:tc>
          <w:tcPr>
            <w:tcW w:w="0" w:type="auto"/>
          </w:tcPr>
          <w:p w14:paraId="084DA916"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4 </w:t>
            </w:r>
          </w:p>
        </w:tc>
        <w:tc>
          <w:tcPr>
            <w:tcW w:w="0" w:type="auto"/>
          </w:tcPr>
          <w:p w14:paraId="265C6512" w14:textId="77777777" w:rsidR="000717C4" w:rsidRPr="007A3223" w:rsidRDefault="000717C4" w:rsidP="000717C4">
            <w:pPr>
              <w:autoSpaceDE w:val="0"/>
              <w:autoSpaceDN w:val="0"/>
              <w:adjustRightInd w:val="0"/>
              <w:spacing w:after="0"/>
              <w:rPr>
                <w:color w:val="000000"/>
                <w:sz w:val="22"/>
              </w:rPr>
            </w:pPr>
          </w:p>
        </w:tc>
        <w:tc>
          <w:tcPr>
            <w:tcW w:w="0" w:type="auto"/>
          </w:tcPr>
          <w:p w14:paraId="419E203B" w14:textId="77777777" w:rsidR="000717C4" w:rsidRPr="007A3223" w:rsidRDefault="000717C4" w:rsidP="000717C4">
            <w:pPr>
              <w:autoSpaceDE w:val="0"/>
              <w:autoSpaceDN w:val="0"/>
              <w:adjustRightInd w:val="0"/>
              <w:spacing w:after="0"/>
              <w:rPr>
                <w:color w:val="000000"/>
                <w:sz w:val="22"/>
              </w:rPr>
            </w:pPr>
          </w:p>
        </w:tc>
        <w:tc>
          <w:tcPr>
            <w:tcW w:w="0" w:type="auto"/>
          </w:tcPr>
          <w:p w14:paraId="6A475637" w14:textId="77777777" w:rsidR="000717C4" w:rsidRPr="007A3223" w:rsidRDefault="000717C4" w:rsidP="000717C4">
            <w:pPr>
              <w:autoSpaceDE w:val="0"/>
              <w:autoSpaceDN w:val="0"/>
              <w:adjustRightInd w:val="0"/>
              <w:spacing w:after="0"/>
              <w:rPr>
                <w:color w:val="000000"/>
                <w:sz w:val="22"/>
              </w:rPr>
            </w:pPr>
          </w:p>
        </w:tc>
        <w:tc>
          <w:tcPr>
            <w:tcW w:w="0" w:type="auto"/>
          </w:tcPr>
          <w:p w14:paraId="4DC37391"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5E35579E"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3F6F2F5A" w14:textId="77777777" w:rsidR="000717C4" w:rsidRPr="007A3223" w:rsidRDefault="000717C4" w:rsidP="000717C4">
            <w:pPr>
              <w:autoSpaceDE w:val="0"/>
              <w:autoSpaceDN w:val="0"/>
              <w:adjustRightInd w:val="0"/>
              <w:spacing w:after="0"/>
              <w:rPr>
                <w:color w:val="000000"/>
                <w:sz w:val="22"/>
              </w:rPr>
            </w:pPr>
          </w:p>
        </w:tc>
        <w:tc>
          <w:tcPr>
            <w:tcW w:w="0" w:type="auto"/>
          </w:tcPr>
          <w:p w14:paraId="27785934"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18 </w:t>
            </w:r>
          </w:p>
        </w:tc>
        <w:tc>
          <w:tcPr>
            <w:tcW w:w="0" w:type="auto"/>
          </w:tcPr>
          <w:p w14:paraId="4F02DAA2" w14:textId="77777777" w:rsidR="000717C4" w:rsidRPr="007A3223" w:rsidRDefault="000717C4" w:rsidP="000717C4">
            <w:pPr>
              <w:autoSpaceDE w:val="0"/>
              <w:autoSpaceDN w:val="0"/>
              <w:adjustRightInd w:val="0"/>
              <w:spacing w:after="0"/>
              <w:rPr>
                <w:color w:val="000000"/>
                <w:sz w:val="22"/>
              </w:rPr>
            </w:pPr>
          </w:p>
        </w:tc>
        <w:tc>
          <w:tcPr>
            <w:tcW w:w="0" w:type="auto"/>
          </w:tcPr>
          <w:p w14:paraId="3B8A6247" w14:textId="77777777" w:rsidR="000717C4" w:rsidRPr="007A3223" w:rsidRDefault="000717C4" w:rsidP="000717C4">
            <w:pPr>
              <w:autoSpaceDE w:val="0"/>
              <w:autoSpaceDN w:val="0"/>
              <w:adjustRightInd w:val="0"/>
              <w:spacing w:after="0"/>
              <w:rPr>
                <w:color w:val="000000"/>
                <w:sz w:val="22"/>
              </w:rPr>
            </w:pPr>
          </w:p>
        </w:tc>
        <w:tc>
          <w:tcPr>
            <w:tcW w:w="0" w:type="auto"/>
          </w:tcPr>
          <w:p w14:paraId="46E90713" w14:textId="77777777" w:rsidR="000717C4" w:rsidRPr="007A3223" w:rsidRDefault="000717C4" w:rsidP="000717C4">
            <w:pPr>
              <w:autoSpaceDE w:val="0"/>
              <w:autoSpaceDN w:val="0"/>
              <w:adjustRightInd w:val="0"/>
              <w:spacing w:after="0"/>
              <w:rPr>
                <w:color w:val="000000"/>
                <w:sz w:val="22"/>
              </w:rPr>
            </w:pPr>
          </w:p>
        </w:tc>
        <w:tc>
          <w:tcPr>
            <w:tcW w:w="0" w:type="auto"/>
          </w:tcPr>
          <w:p w14:paraId="74C1301A"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25F4B3C" w14:textId="77777777" w:rsidR="000717C4" w:rsidRPr="007A3223" w:rsidRDefault="000717C4" w:rsidP="000717C4">
            <w:pPr>
              <w:autoSpaceDE w:val="0"/>
              <w:autoSpaceDN w:val="0"/>
              <w:adjustRightInd w:val="0"/>
              <w:spacing w:after="0"/>
              <w:rPr>
                <w:color w:val="000000"/>
                <w:sz w:val="22"/>
              </w:rPr>
            </w:pPr>
          </w:p>
        </w:tc>
      </w:tr>
      <w:tr w:rsidR="000717C4" w:rsidRPr="007A3223" w14:paraId="6D9ADB80" w14:textId="77777777" w:rsidTr="000717C4">
        <w:trPr>
          <w:trHeight w:val="109"/>
        </w:trPr>
        <w:tc>
          <w:tcPr>
            <w:tcW w:w="0" w:type="auto"/>
            <w:tcBorders>
              <w:left w:val="double" w:sz="4" w:space="0" w:color="auto"/>
            </w:tcBorders>
          </w:tcPr>
          <w:p w14:paraId="0988DB69" w14:textId="77777777" w:rsidR="000717C4" w:rsidRPr="007A3223" w:rsidRDefault="000717C4" w:rsidP="000717C4">
            <w:pPr>
              <w:autoSpaceDE w:val="0"/>
              <w:autoSpaceDN w:val="0"/>
              <w:adjustRightInd w:val="0"/>
              <w:spacing w:after="0"/>
              <w:rPr>
                <w:color w:val="000000"/>
                <w:sz w:val="22"/>
              </w:rPr>
            </w:pPr>
          </w:p>
        </w:tc>
        <w:tc>
          <w:tcPr>
            <w:tcW w:w="0" w:type="auto"/>
          </w:tcPr>
          <w:p w14:paraId="62560BA8"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5 </w:t>
            </w:r>
          </w:p>
        </w:tc>
        <w:tc>
          <w:tcPr>
            <w:tcW w:w="0" w:type="auto"/>
          </w:tcPr>
          <w:p w14:paraId="1A0A14EF" w14:textId="77777777" w:rsidR="000717C4" w:rsidRPr="007A3223" w:rsidRDefault="000717C4" w:rsidP="000717C4">
            <w:pPr>
              <w:autoSpaceDE w:val="0"/>
              <w:autoSpaceDN w:val="0"/>
              <w:adjustRightInd w:val="0"/>
              <w:spacing w:after="0"/>
              <w:rPr>
                <w:color w:val="000000"/>
                <w:sz w:val="22"/>
              </w:rPr>
            </w:pPr>
          </w:p>
        </w:tc>
        <w:tc>
          <w:tcPr>
            <w:tcW w:w="0" w:type="auto"/>
          </w:tcPr>
          <w:p w14:paraId="0FD1D3B1" w14:textId="77777777" w:rsidR="000717C4" w:rsidRPr="007A3223" w:rsidRDefault="000717C4" w:rsidP="000717C4">
            <w:pPr>
              <w:autoSpaceDE w:val="0"/>
              <w:autoSpaceDN w:val="0"/>
              <w:adjustRightInd w:val="0"/>
              <w:spacing w:after="0"/>
              <w:rPr>
                <w:color w:val="000000"/>
                <w:sz w:val="22"/>
              </w:rPr>
            </w:pPr>
          </w:p>
        </w:tc>
        <w:tc>
          <w:tcPr>
            <w:tcW w:w="0" w:type="auto"/>
          </w:tcPr>
          <w:p w14:paraId="7FB2EFFC" w14:textId="77777777" w:rsidR="000717C4" w:rsidRPr="007A3223" w:rsidRDefault="000717C4" w:rsidP="000717C4">
            <w:pPr>
              <w:autoSpaceDE w:val="0"/>
              <w:autoSpaceDN w:val="0"/>
              <w:adjustRightInd w:val="0"/>
              <w:spacing w:after="0"/>
              <w:rPr>
                <w:color w:val="000000"/>
                <w:sz w:val="22"/>
              </w:rPr>
            </w:pPr>
          </w:p>
        </w:tc>
        <w:tc>
          <w:tcPr>
            <w:tcW w:w="0" w:type="auto"/>
          </w:tcPr>
          <w:p w14:paraId="0EAD89B7"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288EC00"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49D29085" w14:textId="77777777" w:rsidR="000717C4" w:rsidRPr="007A3223" w:rsidRDefault="000717C4" w:rsidP="000717C4">
            <w:pPr>
              <w:autoSpaceDE w:val="0"/>
              <w:autoSpaceDN w:val="0"/>
              <w:adjustRightInd w:val="0"/>
              <w:spacing w:after="0"/>
              <w:rPr>
                <w:color w:val="000000"/>
                <w:sz w:val="22"/>
              </w:rPr>
            </w:pPr>
          </w:p>
        </w:tc>
        <w:tc>
          <w:tcPr>
            <w:tcW w:w="0" w:type="auto"/>
          </w:tcPr>
          <w:p w14:paraId="2DFF13F6"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19 </w:t>
            </w:r>
          </w:p>
        </w:tc>
        <w:tc>
          <w:tcPr>
            <w:tcW w:w="0" w:type="auto"/>
          </w:tcPr>
          <w:p w14:paraId="2DAD8F72" w14:textId="77777777" w:rsidR="000717C4" w:rsidRPr="007A3223" w:rsidRDefault="000717C4" w:rsidP="000717C4">
            <w:pPr>
              <w:autoSpaceDE w:val="0"/>
              <w:autoSpaceDN w:val="0"/>
              <w:adjustRightInd w:val="0"/>
              <w:spacing w:after="0"/>
              <w:rPr>
                <w:color w:val="000000"/>
                <w:sz w:val="22"/>
              </w:rPr>
            </w:pPr>
          </w:p>
        </w:tc>
        <w:tc>
          <w:tcPr>
            <w:tcW w:w="0" w:type="auto"/>
          </w:tcPr>
          <w:p w14:paraId="7664E266" w14:textId="77777777" w:rsidR="000717C4" w:rsidRPr="007A3223" w:rsidRDefault="000717C4" w:rsidP="000717C4">
            <w:pPr>
              <w:autoSpaceDE w:val="0"/>
              <w:autoSpaceDN w:val="0"/>
              <w:adjustRightInd w:val="0"/>
              <w:spacing w:after="0"/>
              <w:rPr>
                <w:color w:val="000000"/>
                <w:sz w:val="22"/>
              </w:rPr>
            </w:pPr>
          </w:p>
        </w:tc>
        <w:tc>
          <w:tcPr>
            <w:tcW w:w="0" w:type="auto"/>
          </w:tcPr>
          <w:p w14:paraId="174E6907" w14:textId="77777777" w:rsidR="000717C4" w:rsidRPr="007A3223" w:rsidRDefault="000717C4" w:rsidP="000717C4">
            <w:pPr>
              <w:autoSpaceDE w:val="0"/>
              <w:autoSpaceDN w:val="0"/>
              <w:adjustRightInd w:val="0"/>
              <w:spacing w:after="0"/>
              <w:rPr>
                <w:color w:val="000000"/>
                <w:sz w:val="22"/>
              </w:rPr>
            </w:pPr>
          </w:p>
        </w:tc>
        <w:tc>
          <w:tcPr>
            <w:tcW w:w="0" w:type="auto"/>
          </w:tcPr>
          <w:p w14:paraId="362002B1"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05140F47" w14:textId="77777777" w:rsidR="000717C4" w:rsidRPr="007A3223" w:rsidRDefault="000717C4" w:rsidP="000717C4">
            <w:pPr>
              <w:autoSpaceDE w:val="0"/>
              <w:autoSpaceDN w:val="0"/>
              <w:adjustRightInd w:val="0"/>
              <w:spacing w:after="0"/>
              <w:rPr>
                <w:color w:val="000000"/>
                <w:sz w:val="22"/>
              </w:rPr>
            </w:pPr>
          </w:p>
        </w:tc>
      </w:tr>
      <w:tr w:rsidR="000717C4" w:rsidRPr="007A3223" w14:paraId="0370106E" w14:textId="77777777" w:rsidTr="000717C4">
        <w:trPr>
          <w:trHeight w:val="109"/>
        </w:trPr>
        <w:tc>
          <w:tcPr>
            <w:tcW w:w="0" w:type="auto"/>
            <w:tcBorders>
              <w:left w:val="double" w:sz="4" w:space="0" w:color="auto"/>
            </w:tcBorders>
          </w:tcPr>
          <w:p w14:paraId="68E3ACFE" w14:textId="77777777" w:rsidR="000717C4" w:rsidRPr="007A3223" w:rsidRDefault="000717C4" w:rsidP="000717C4">
            <w:pPr>
              <w:autoSpaceDE w:val="0"/>
              <w:autoSpaceDN w:val="0"/>
              <w:adjustRightInd w:val="0"/>
              <w:spacing w:after="0"/>
              <w:rPr>
                <w:color w:val="000000"/>
                <w:sz w:val="22"/>
              </w:rPr>
            </w:pPr>
          </w:p>
        </w:tc>
        <w:tc>
          <w:tcPr>
            <w:tcW w:w="0" w:type="auto"/>
          </w:tcPr>
          <w:p w14:paraId="017070E8"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6 </w:t>
            </w:r>
          </w:p>
        </w:tc>
        <w:tc>
          <w:tcPr>
            <w:tcW w:w="0" w:type="auto"/>
          </w:tcPr>
          <w:p w14:paraId="51A82595" w14:textId="77777777" w:rsidR="000717C4" w:rsidRPr="007A3223" w:rsidRDefault="000717C4" w:rsidP="000717C4">
            <w:pPr>
              <w:autoSpaceDE w:val="0"/>
              <w:autoSpaceDN w:val="0"/>
              <w:adjustRightInd w:val="0"/>
              <w:spacing w:after="0"/>
              <w:rPr>
                <w:color w:val="000000"/>
                <w:sz w:val="22"/>
              </w:rPr>
            </w:pPr>
          </w:p>
        </w:tc>
        <w:tc>
          <w:tcPr>
            <w:tcW w:w="0" w:type="auto"/>
          </w:tcPr>
          <w:p w14:paraId="3AB6B2E7" w14:textId="77777777" w:rsidR="000717C4" w:rsidRPr="007A3223" w:rsidRDefault="000717C4" w:rsidP="000717C4">
            <w:pPr>
              <w:autoSpaceDE w:val="0"/>
              <w:autoSpaceDN w:val="0"/>
              <w:adjustRightInd w:val="0"/>
              <w:spacing w:after="0"/>
              <w:rPr>
                <w:color w:val="000000"/>
                <w:sz w:val="22"/>
              </w:rPr>
            </w:pPr>
          </w:p>
        </w:tc>
        <w:tc>
          <w:tcPr>
            <w:tcW w:w="0" w:type="auto"/>
          </w:tcPr>
          <w:p w14:paraId="0DFA0AD5" w14:textId="77777777" w:rsidR="000717C4" w:rsidRPr="007A3223" w:rsidRDefault="000717C4" w:rsidP="000717C4">
            <w:pPr>
              <w:autoSpaceDE w:val="0"/>
              <w:autoSpaceDN w:val="0"/>
              <w:adjustRightInd w:val="0"/>
              <w:spacing w:after="0"/>
              <w:rPr>
                <w:color w:val="000000"/>
                <w:sz w:val="22"/>
              </w:rPr>
            </w:pPr>
          </w:p>
        </w:tc>
        <w:tc>
          <w:tcPr>
            <w:tcW w:w="0" w:type="auto"/>
          </w:tcPr>
          <w:p w14:paraId="4C7E48B9"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23B8B5A7"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001D9659" w14:textId="77777777" w:rsidR="000717C4" w:rsidRPr="007A3223" w:rsidRDefault="000717C4" w:rsidP="000717C4">
            <w:pPr>
              <w:autoSpaceDE w:val="0"/>
              <w:autoSpaceDN w:val="0"/>
              <w:adjustRightInd w:val="0"/>
              <w:spacing w:after="0"/>
              <w:rPr>
                <w:color w:val="000000"/>
                <w:sz w:val="22"/>
              </w:rPr>
            </w:pPr>
          </w:p>
        </w:tc>
        <w:tc>
          <w:tcPr>
            <w:tcW w:w="0" w:type="auto"/>
          </w:tcPr>
          <w:p w14:paraId="0A1D7D2C"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20 </w:t>
            </w:r>
          </w:p>
        </w:tc>
        <w:tc>
          <w:tcPr>
            <w:tcW w:w="0" w:type="auto"/>
          </w:tcPr>
          <w:p w14:paraId="2857B43D" w14:textId="77777777" w:rsidR="000717C4" w:rsidRPr="007A3223" w:rsidRDefault="000717C4" w:rsidP="000717C4">
            <w:pPr>
              <w:autoSpaceDE w:val="0"/>
              <w:autoSpaceDN w:val="0"/>
              <w:adjustRightInd w:val="0"/>
              <w:spacing w:after="0"/>
              <w:rPr>
                <w:color w:val="000000"/>
                <w:sz w:val="22"/>
              </w:rPr>
            </w:pPr>
          </w:p>
        </w:tc>
        <w:tc>
          <w:tcPr>
            <w:tcW w:w="0" w:type="auto"/>
          </w:tcPr>
          <w:p w14:paraId="47AA534E" w14:textId="77777777" w:rsidR="000717C4" w:rsidRPr="007A3223" w:rsidRDefault="000717C4" w:rsidP="000717C4">
            <w:pPr>
              <w:autoSpaceDE w:val="0"/>
              <w:autoSpaceDN w:val="0"/>
              <w:adjustRightInd w:val="0"/>
              <w:spacing w:after="0"/>
              <w:rPr>
                <w:color w:val="000000"/>
                <w:sz w:val="22"/>
              </w:rPr>
            </w:pPr>
          </w:p>
        </w:tc>
        <w:tc>
          <w:tcPr>
            <w:tcW w:w="0" w:type="auto"/>
          </w:tcPr>
          <w:p w14:paraId="6C4AA90B" w14:textId="77777777" w:rsidR="000717C4" w:rsidRPr="007A3223" w:rsidRDefault="000717C4" w:rsidP="000717C4">
            <w:pPr>
              <w:autoSpaceDE w:val="0"/>
              <w:autoSpaceDN w:val="0"/>
              <w:adjustRightInd w:val="0"/>
              <w:spacing w:after="0"/>
              <w:rPr>
                <w:color w:val="000000"/>
                <w:sz w:val="22"/>
              </w:rPr>
            </w:pPr>
          </w:p>
        </w:tc>
        <w:tc>
          <w:tcPr>
            <w:tcW w:w="0" w:type="auto"/>
          </w:tcPr>
          <w:p w14:paraId="0743FB18"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56047101" w14:textId="77777777" w:rsidR="000717C4" w:rsidRPr="007A3223" w:rsidRDefault="000717C4" w:rsidP="000717C4">
            <w:pPr>
              <w:autoSpaceDE w:val="0"/>
              <w:autoSpaceDN w:val="0"/>
              <w:adjustRightInd w:val="0"/>
              <w:spacing w:after="0"/>
              <w:rPr>
                <w:color w:val="000000"/>
                <w:sz w:val="22"/>
              </w:rPr>
            </w:pPr>
          </w:p>
        </w:tc>
      </w:tr>
      <w:tr w:rsidR="000717C4" w:rsidRPr="007A3223" w14:paraId="7105384E" w14:textId="77777777" w:rsidTr="000717C4">
        <w:trPr>
          <w:trHeight w:val="109"/>
        </w:trPr>
        <w:tc>
          <w:tcPr>
            <w:tcW w:w="0" w:type="auto"/>
            <w:tcBorders>
              <w:left w:val="double" w:sz="4" w:space="0" w:color="auto"/>
            </w:tcBorders>
          </w:tcPr>
          <w:p w14:paraId="7D32EFFF" w14:textId="77777777" w:rsidR="000717C4" w:rsidRPr="007A3223" w:rsidRDefault="000717C4" w:rsidP="000717C4">
            <w:pPr>
              <w:autoSpaceDE w:val="0"/>
              <w:autoSpaceDN w:val="0"/>
              <w:adjustRightInd w:val="0"/>
              <w:spacing w:after="0"/>
              <w:rPr>
                <w:color w:val="000000"/>
                <w:sz w:val="22"/>
              </w:rPr>
            </w:pPr>
          </w:p>
        </w:tc>
        <w:tc>
          <w:tcPr>
            <w:tcW w:w="0" w:type="auto"/>
          </w:tcPr>
          <w:p w14:paraId="262E1801"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7 </w:t>
            </w:r>
          </w:p>
        </w:tc>
        <w:tc>
          <w:tcPr>
            <w:tcW w:w="0" w:type="auto"/>
          </w:tcPr>
          <w:p w14:paraId="515B9656" w14:textId="77777777" w:rsidR="000717C4" w:rsidRPr="007A3223" w:rsidRDefault="000717C4" w:rsidP="000717C4">
            <w:pPr>
              <w:autoSpaceDE w:val="0"/>
              <w:autoSpaceDN w:val="0"/>
              <w:adjustRightInd w:val="0"/>
              <w:spacing w:after="0"/>
              <w:rPr>
                <w:color w:val="000000"/>
                <w:sz w:val="22"/>
              </w:rPr>
            </w:pPr>
          </w:p>
        </w:tc>
        <w:tc>
          <w:tcPr>
            <w:tcW w:w="0" w:type="auto"/>
          </w:tcPr>
          <w:p w14:paraId="41A32F05" w14:textId="77777777" w:rsidR="000717C4" w:rsidRPr="007A3223" w:rsidRDefault="000717C4" w:rsidP="000717C4">
            <w:pPr>
              <w:autoSpaceDE w:val="0"/>
              <w:autoSpaceDN w:val="0"/>
              <w:adjustRightInd w:val="0"/>
              <w:spacing w:after="0"/>
              <w:rPr>
                <w:color w:val="000000"/>
                <w:sz w:val="22"/>
              </w:rPr>
            </w:pPr>
          </w:p>
        </w:tc>
        <w:tc>
          <w:tcPr>
            <w:tcW w:w="0" w:type="auto"/>
          </w:tcPr>
          <w:p w14:paraId="2C4F9B20" w14:textId="77777777" w:rsidR="000717C4" w:rsidRPr="007A3223" w:rsidRDefault="000717C4" w:rsidP="000717C4">
            <w:pPr>
              <w:autoSpaceDE w:val="0"/>
              <w:autoSpaceDN w:val="0"/>
              <w:adjustRightInd w:val="0"/>
              <w:spacing w:after="0"/>
              <w:rPr>
                <w:color w:val="000000"/>
                <w:sz w:val="22"/>
              </w:rPr>
            </w:pPr>
          </w:p>
        </w:tc>
        <w:tc>
          <w:tcPr>
            <w:tcW w:w="0" w:type="auto"/>
          </w:tcPr>
          <w:p w14:paraId="04FED8F8"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FD65A5E"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1D558B70" w14:textId="77777777" w:rsidR="000717C4" w:rsidRPr="007A3223" w:rsidRDefault="000717C4" w:rsidP="000717C4">
            <w:pPr>
              <w:autoSpaceDE w:val="0"/>
              <w:autoSpaceDN w:val="0"/>
              <w:adjustRightInd w:val="0"/>
              <w:spacing w:after="0"/>
              <w:rPr>
                <w:color w:val="000000"/>
                <w:sz w:val="22"/>
              </w:rPr>
            </w:pPr>
          </w:p>
        </w:tc>
        <w:tc>
          <w:tcPr>
            <w:tcW w:w="0" w:type="auto"/>
          </w:tcPr>
          <w:p w14:paraId="75D2FF82"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21 </w:t>
            </w:r>
          </w:p>
        </w:tc>
        <w:tc>
          <w:tcPr>
            <w:tcW w:w="0" w:type="auto"/>
          </w:tcPr>
          <w:p w14:paraId="3AA1046E" w14:textId="77777777" w:rsidR="000717C4" w:rsidRPr="007A3223" w:rsidRDefault="000717C4" w:rsidP="000717C4">
            <w:pPr>
              <w:autoSpaceDE w:val="0"/>
              <w:autoSpaceDN w:val="0"/>
              <w:adjustRightInd w:val="0"/>
              <w:spacing w:after="0"/>
              <w:rPr>
                <w:color w:val="000000"/>
                <w:sz w:val="22"/>
              </w:rPr>
            </w:pPr>
          </w:p>
        </w:tc>
        <w:tc>
          <w:tcPr>
            <w:tcW w:w="0" w:type="auto"/>
          </w:tcPr>
          <w:p w14:paraId="4E33C082" w14:textId="77777777" w:rsidR="000717C4" w:rsidRPr="007A3223" w:rsidRDefault="000717C4" w:rsidP="000717C4">
            <w:pPr>
              <w:autoSpaceDE w:val="0"/>
              <w:autoSpaceDN w:val="0"/>
              <w:adjustRightInd w:val="0"/>
              <w:spacing w:after="0"/>
              <w:rPr>
                <w:color w:val="000000"/>
                <w:sz w:val="22"/>
              </w:rPr>
            </w:pPr>
          </w:p>
        </w:tc>
        <w:tc>
          <w:tcPr>
            <w:tcW w:w="0" w:type="auto"/>
          </w:tcPr>
          <w:p w14:paraId="326D1F2F" w14:textId="77777777" w:rsidR="000717C4" w:rsidRPr="007A3223" w:rsidRDefault="000717C4" w:rsidP="000717C4">
            <w:pPr>
              <w:autoSpaceDE w:val="0"/>
              <w:autoSpaceDN w:val="0"/>
              <w:adjustRightInd w:val="0"/>
              <w:spacing w:after="0"/>
              <w:rPr>
                <w:color w:val="000000"/>
                <w:sz w:val="22"/>
              </w:rPr>
            </w:pPr>
          </w:p>
        </w:tc>
        <w:tc>
          <w:tcPr>
            <w:tcW w:w="0" w:type="auto"/>
          </w:tcPr>
          <w:p w14:paraId="1F520D64"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29D87B76" w14:textId="77777777" w:rsidR="000717C4" w:rsidRPr="007A3223" w:rsidRDefault="000717C4" w:rsidP="000717C4">
            <w:pPr>
              <w:autoSpaceDE w:val="0"/>
              <w:autoSpaceDN w:val="0"/>
              <w:adjustRightInd w:val="0"/>
              <w:spacing w:after="0"/>
              <w:rPr>
                <w:color w:val="000000"/>
                <w:sz w:val="22"/>
              </w:rPr>
            </w:pPr>
          </w:p>
        </w:tc>
      </w:tr>
      <w:tr w:rsidR="000717C4" w:rsidRPr="007A3223" w14:paraId="70680C7A" w14:textId="77777777" w:rsidTr="000717C4">
        <w:trPr>
          <w:trHeight w:val="109"/>
        </w:trPr>
        <w:tc>
          <w:tcPr>
            <w:tcW w:w="0" w:type="auto"/>
            <w:tcBorders>
              <w:left w:val="double" w:sz="4" w:space="0" w:color="auto"/>
            </w:tcBorders>
          </w:tcPr>
          <w:p w14:paraId="704DEB63" w14:textId="77777777" w:rsidR="000717C4" w:rsidRPr="007A3223" w:rsidRDefault="000717C4" w:rsidP="000717C4">
            <w:pPr>
              <w:autoSpaceDE w:val="0"/>
              <w:autoSpaceDN w:val="0"/>
              <w:adjustRightInd w:val="0"/>
              <w:spacing w:after="0"/>
              <w:rPr>
                <w:color w:val="000000"/>
                <w:sz w:val="22"/>
              </w:rPr>
            </w:pPr>
          </w:p>
        </w:tc>
        <w:tc>
          <w:tcPr>
            <w:tcW w:w="0" w:type="auto"/>
          </w:tcPr>
          <w:p w14:paraId="784C3A42"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8 </w:t>
            </w:r>
          </w:p>
        </w:tc>
        <w:tc>
          <w:tcPr>
            <w:tcW w:w="0" w:type="auto"/>
          </w:tcPr>
          <w:p w14:paraId="1F63FB93" w14:textId="77777777" w:rsidR="000717C4" w:rsidRPr="007A3223" w:rsidRDefault="000717C4" w:rsidP="000717C4">
            <w:pPr>
              <w:autoSpaceDE w:val="0"/>
              <w:autoSpaceDN w:val="0"/>
              <w:adjustRightInd w:val="0"/>
              <w:spacing w:after="0"/>
              <w:rPr>
                <w:color w:val="000000"/>
                <w:sz w:val="22"/>
              </w:rPr>
            </w:pPr>
          </w:p>
        </w:tc>
        <w:tc>
          <w:tcPr>
            <w:tcW w:w="0" w:type="auto"/>
          </w:tcPr>
          <w:p w14:paraId="59B70B25" w14:textId="77777777" w:rsidR="000717C4" w:rsidRPr="007A3223" w:rsidRDefault="000717C4" w:rsidP="000717C4">
            <w:pPr>
              <w:autoSpaceDE w:val="0"/>
              <w:autoSpaceDN w:val="0"/>
              <w:adjustRightInd w:val="0"/>
              <w:spacing w:after="0"/>
              <w:rPr>
                <w:color w:val="000000"/>
                <w:sz w:val="22"/>
              </w:rPr>
            </w:pPr>
          </w:p>
        </w:tc>
        <w:tc>
          <w:tcPr>
            <w:tcW w:w="0" w:type="auto"/>
          </w:tcPr>
          <w:p w14:paraId="5E3374FD" w14:textId="77777777" w:rsidR="000717C4" w:rsidRPr="007A3223" w:rsidRDefault="000717C4" w:rsidP="000717C4">
            <w:pPr>
              <w:autoSpaceDE w:val="0"/>
              <w:autoSpaceDN w:val="0"/>
              <w:adjustRightInd w:val="0"/>
              <w:spacing w:after="0"/>
              <w:rPr>
                <w:color w:val="000000"/>
                <w:sz w:val="22"/>
              </w:rPr>
            </w:pPr>
          </w:p>
        </w:tc>
        <w:tc>
          <w:tcPr>
            <w:tcW w:w="0" w:type="auto"/>
          </w:tcPr>
          <w:p w14:paraId="771BF2FC"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0645AF07"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3A584E39" w14:textId="77777777" w:rsidR="000717C4" w:rsidRPr="007A3223" w:rsidRDefault="000717C4" w:rsidP="000717C4">
            <w:pPr>
              <w:autoSpaceDE w:val="0"/>
              <w:autoSpaceDN w:val="0"/>
              <w:adjustRightInd w:val="0"/>
              <w:spacing w:after="0"/>
              <w:rPr>
                <w:color w:val="000000"/>
                <w:sz w:val="22"/>
              </w:rPr>
            </w:pPr>
          </w:p>
        </w:tc>
        <w:tc>
          <w:tcPr>
            <w:tcW w:w="0" w:type="auto"/>
          </w:tcPr>
          <w:p w14:paraId="68BDC0C3"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22 </w:t>
            </w:r>
          </w:p>
        </w:tc>
        <w:tc>
          <w:tcPr>
            <w:tcW w:w="0" w:type="auto"/>
          </w:tcPr>
          <w:p w14:paraId="5298F3CC" w14:textId="77777777" w:rsidR="000717C4" w:rsidRPr="007A3223" w:rsidRDefault="000717C4" w:rsidP="000717C4">
            <w:pPr>
              <w:autoSpaceDE w:val="0"/>
              <w:autoSpaceDN w:val="0"/>
              <w:adjustRightInd w:val="0"/>
              <w:spacing w:after="0"/>
              <w:rPr>
                <w:color w:val="000000"/>
                <w:sz w:val="22"/>
              </w:rPr>
            </w:pPr>
          </w:p>
        </w:tc>
        <w:tc>
          <w:tcPr>
            <w:tcW w:w="0" w:type="auto"/>
          </w:tcPr>
          <w:p w14:paraId="50CDB5B8" w14:textId="77777777" w:rsidR="000717C4" w:rsidRPr="007A3223" w:rsidRDefault="000717C4" w:rsidP="000717C4">
            <w:pPr>
              <w:autoSpaceDE w:val="0"/>
              <w:autoSpaceDN w:val="0"/>
              <w:adjustRightInd w:val="0"/>
              <w:spacing w:after="0"/>
              <w:rPr>
                <w:color w:val="000000"/>
                <w:sz w:val="22"/>
              </w:rPr>
            </w:pPr>
          </w:p>
        </w:tc>
        <w:tc>
          <w:tcPr>
            <w:tcW w:w="0" w:type="auto"/>
          </w:tcPr>
          <w:p w14:paraId="7EC14129" w14:textId="77777777" w:rsidR="000717C4" w:rsidRPr="007A3223" w:rsidRDefault="000717C4" w:rsidP="000717C4">
            <w:pPr>
              <w:autoSpaceDE w:val="0"/>
              <w:autoSpaceDN w:val="0"/>
              <w:adjustRightInd w:val="0"/>
              <w:spacing w:after="0"/>
              <w:rPr>
                <w:color w:val="000000"/>
                <w:sz w:val="22"/>
              </w:rPr>
            </w:pPr>
          </w:p>
        </w:tc>
        <w:tc>
          <w:tcPr>
            <w:tcW w:w="0" w:type="auto"/>
          </w:tcPr>
          <w:p w14:paraId="56EDC29F"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7A5029FF" w14:textId="77777777" w:rsidR="000717C4" w:rsidRPr="007A3223" w:rsidRDefault="000717C4" w:rsidP="000717C4">
            <w:pPr>
              <w:autoSpaceDE w:val="0"/>
              <w:autoSpaceDN w:val="0"/>
              <w:adjustRightInd w:val="0"/>
              <w:spacing w:after="0"/>
              <w:rPr>
                <w:color w:val="000000"/>
                <w:sz w:val="22"/>
              </w:rPr>
            </w:pPr>
          </w:p>
        </w:tc>
      </w:tr>
      <w:tr w:rsidR="000717C4" w:rsidRPr="007A3223" w14:paraId="66056B80" w14:textId="77777777" w:rsidTr="000717C4">
        <w:trPr>
          <w:trHeight w:val="109"/>
        </w:trPr>
        <w:tc>
          <w:tcPr>
            <w:tcW w:w="0" w:type="auto"/>
            <w:tcBorders>
              <w:left w:val="double" w:sz="4" w:space="0" w:color="auto"/>
            </w:tcBorders>
          </w:tcPr>
          <w:p w14:paraId="62B39370" w14:textId="77777777" w:rsidR="000717C4" w:rsidRPr="007A3223" w:rsidRDefault="000717C4" w:rsidP="000717C4">
            <w:pPr>
              <w:autoSpaceDE w:val="0"/>
              <w:autoSpaceDN w:val="0"/>
              <w:adjustRightInd w:val="0"/>
              <w:spacing w:after="0"/>
              <w:rPr>
                <w:color w:val="000000"/>
                <w:sz w:val="22"/>
              </w:rPr>
            </w:pPr>
          </w:p>
        </w:tc>
        <w:tc>
          <w:tcPr>
            <w:tcW w:w="0" w:type="auto"/>
          </w:tcPr>
          <w:p w14:paraId="1E2C17EA"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9 </w:t>
            </w:r>
          </w:p>
        </w:tc>
        <w:tc>
          <w:tcPr>
            <w:tcW w:w="0" w:type="auto"/>
          </w:tcPr>
          <w:p w14:paraId="1C9E38E3" w14:textId="77777777" w:rsidR="000717C4" w:rsidRPr="007A3223" w:rsidRDefault="000717C4" w:rsidP="000717C4">
            <w:pPr>
              <w:autoSpaceDE w:val="0"/>
              <w:autoSpaceDN w:val="0"/>
              <w:adjustRightInd w:val="0"/>
              <w:spacing w:after="0"/>
              <w:rPr>
                <w:color w:val="000000"/>
                <w:sz w:val="22"/>
              </w:rPr>
            </w:pPr>
          </w:p>
        </w:tc>
        <w:tc>
          <w:tcPr>
            <w:tcW w:w="0" w:type="auto"/>
          </w:tcPr>
          <w:p w14:paraId="7CF91DE0" w14:textId="77777777" w:rsidR="000717C4" w:rsidRPr="007A3223" w:rsidRDefault="000717C4" w:rsidP="000717C4">
            <w:pPr>
              <w:autoSpaceDE w:val="0"/>
              <w:autoSpaceDN w:val="0"/>
              <w:adjustRightInd w:val="0"/>
              <w:spacing w:after="0"/>
              <w:rPr>
                <w:color w:val="000000"/>
                <w:sz w:val="22"/>
              </w:rPr>
            </w:pPr>
          </w:p>
        </w:tc>
        <w:tc>
          <w:tcPr>
            <w:tcW w:w="0" w:type="auto"/>
          </w:tcPr>
          <w:p w14:paraId="7BFC0A2A" w14:textId="77777777" w:rsidR="000717C4" w:rsidRPr="007A3223" w:rsidRDefault="000717C4" w:rsidP="000717C4">
            <w:pPr>
              <w:autoSpaceDE w:val="0"/>
              <w:autoSpaceDN w:val="0"/>
              <w:adjustRightInd w:val="0"/>
              <w:spacing w:after="0"/>
              <w:rPr>
                <w:color w:val="000000"/>
                <w:sz w:val="22"/>
              </w:rPr>
            </w:pPr>
          </w:p>
        </w:tc>
        <w:tc>
          <w:tcPr>
            <w:tcW w:w="0" w:type="auto"/>
          </w:tcPr>
          <w:p w14:paraId="0F1EEDC3"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0941919"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3C93A3F5" w14:textId="77777777" w:rsidR="000717C4" w:rsidRPr="007A3223" w:rsidRDefault="000717C4" w:rsidP="000717C4">
            <w:pPr>
              <w:autoSpaceDE w:val="0"/>
              <w:autoSpaceDN w:val="0"/>
              <w:adjustRightInd w:val="0"/>
              <w:spacing w:after="0"/>
              <w:rPr>
                <w:color w:val="000000"/>
                <w:sz w:val="22"/>
              </w:rPr>
            </w:pPr>
          </w:p>
        </w:tc>
        <w:tc>
          <w:tcPr>
            <w:tcW w:w="0" w:type="auto"/>
          </w:tcPr>
          <w:p w14:paraId="0705B99C"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23 </w:t>
            </w:r>
          </w:p>
        </w:tc>
        <w:tc>
          <w:tcPr>
            <w:tcW w:w="0" w:type="auto"/>
          </w:tcPr>
          <w:p w14:paraId="01AE53B7" w14:textId="77777777" w:rsidR="000717C4" w:rsidRPr="007A3223" w:rsidRDefault="000717C4" w:rsidP="000717C4">
            <w:pPr>
              <w:autoSpaceDE w:val="0"/>
              <w:autoSpaceDN w:val="0"/>
              <w:adjustRightInd w:val="0"/>
              <w:spacing w:after="0"/>
              <w:rPr>
                <w:color w:val="000000"/>
                <w:sz w:val="22"/>
              </w:rPr>
            </w:pPr>
          </w:p>
        </w:tc>
        <w:tc>
          <w:tcPr>
            <w:tcW w:w="0" w:type="auto"/>
          </w:tcPr>
          <w:p w14:paraId="17CE563F" w14:textId="77777777" w:rsidR="000717C4" w:rsidRPr="007A3223" w:rsidRDefault="000717C4" w:rsidP="000717C4">
            <w:pPr>
              <w:autoSpaceDE w:val="0"/>
              <w:autoSpaceDN w:val="0"/>
              <w:adjustRightInd w:val="0"/>
              <w:spacing w:after="0"/>
              <w:rPr>
                <w:color w:val="000000"/>
                <w:sz w:val="22"/>
              </w:rPr>
            </w:pPr>
          </w:p>
        </w:tc>
        <w:tc>
          <w:tcPr>
            <w:tcW w:w="0" w:type="auto"/>
          </w:tcPr>
          <w:p w14:paraId="61CF5C4B" w14:textId="77777777" w:rsidR="000717C4" w:rsidRPr="007A3223" w:rsidRDefault="000717C4" w:rsidP="000717C4">
            <w:pPr>
              <w:autoSpaceDE w:val="0"/>
              <w:autoSpaceDN w:val="0"/>
              <w:adjustRightInd w:val="0"/>
              <w:spacing w:after="0"/>
              <w:rPr>
                <w:color w:val="000000"/>
                <w:sz w:val="22"/>
              </w:rPr>
            </w:pPr>
          </w:p>
        </w:tc>
        <w:tc>
          <w:tcPr>
            <w:tcW w:w="0" w:type="auto"/>
          </w:tcPr>
          <w:p w14:paraId="6B149CEF"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10D5680D" w14:textId="77777777" w:rsidR="000717C4" w:rsidRPr="007A3223" w:rsidRDefault="000717C4" w:rsidP="000717C4">
            <w:pPr>
              <w:autoSpaceDE w:val="0"/>
              <w:autoSpaceDN w:val="0"/>
              <w:adjustRightInd w:val="0"/>
              <w:spacing w:after="0"/>
              <w:rPr>
                <w:color w:val="000000"/>
                <w:sz w:val="22"/>
              </w:rPr>
            </w:pPr>
          </w:p>
        </w:tc>
      </w:tr>
      <w:tr w:rsidR="000717C4" w:rsidRPr="007A3223" w14:paraId="0C95FFB7" w14:textId="77777777" w:rsidTr="000717C4">
        <w:trPr>
          <w:trHeight w:val="109"/>
        </w:trPr>
        <w:tc>
          <w:tcPr>
            <w:tcW w:w="0" w:type="auto"/>
            <w:tcBorders>
              <w:left w:val="double" w:sz="4" w:space="0" w:color="auto"/>
            </w:tcBorders>
          </w:tcPr>
          <w:p w14:paraId="78F9F0DA" w14:textId="77777777" w:rsidR="000717C4" w:rsidRPr="007A3223" w:rsidRDefault="000717C4" w:rsidP="000717C4">
            <w:pPr>
              <w:autoSpaceDE w:val="0"/>
              <w:autoSpaceDN w:val="0"/>
              <w:adjustRightInd w:val="0"/>
              <w:spacing w:after="0"/>
              <w:rPr>
                <w:color w:val="000000"/>
                <w:sz w:val="22"/>
              </w:rPr>
            </w:pPr>
          </w:p>
        </w:tc>
        <w:tc>
          <w:tcPr>
            <w:tcW w:w="0" w:type="auto"/>
          </w:tcPr>
          <w:p w14:paraId="2799D5DB"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10 </w:t>
            </w:r>
          </w:p>
        </w:tc>
        <w:tc>
          <w:tcPr>
            <w:tcW w:w="0" w:type="auto"/>
          </w:tcPr>
          <w:p w14:paraId="53ADF35F" w14:textId="77777777" w:rsidR="000717C4" w:rsidRPr="007A3223" w:rsidRDefault="000717C4" w:rsidP="000717C4">
            <w:pPr>
              <w:autoSpaceDE w:val="0"/>
              <w:autoSpaceDN w:val="0"/>
              <w:adjustRightInd w:val="0"/>
              <w:spacing w:after="0"/>
              <w:rPr>
                <w:color w:val="000000"/>
                <w:sz w:val="22"/>
              </w:rPr>
            </w:pPr>
          </w:p>
        </w:tc>
        <w:tc>
          <w:tcPr>
            <w:tcW w:w="0" w:type="auto"/>
          </w:tcPr>
          <w:p w14:paraId="535E61EC" w14:textId="77777777" w:rsidR="000717C4" w:rsidRPr="007A3223" w:rsidRDefault="000717C4" w:rsidP="000717C4">
            <w:pPr>
              <w:autoSpaceDE w:val="0"/>
              <w:autoSpaceDN w:val="0"/>
              <w:adjustRightInd w:val="0"/>
              <w:spacing w:after="0"/>
              <w:rPr>
                <w:color w:val="000000"/>
                <w:sz w:val="22"/>
              </w:rPr>
            </w:pPr>
          </w:p>
        </w:tc>
        <w:tc>
          <w:tcPr>
            <w:tcW w:w="0" w:type="auto"/>
          </w:tcPr>
          <w:p w14:paraId="66DF6F7A" w14:textId="77777777" w:rsidR="000717C4" w:rsidRPr="007A3223" w:rsidRDefault="000717C4" w:rsidP="000717C4">
            <w:pPr>
              <w:autoSpaceDE w:val="0"/>
              <w:autoSpaceDN w:val="0"/>
              <w:adjustRightInd w:val="0"/>
              <w:spacing w:after="0"/>
              <w:rPr>
                <w:color w:val="000000"/>
                <w:sz w:val="22"/>
              </w:rPr>
            </w:pPr>
          </w:p>
        </w:tc>
        <w:tc>
          <w:tcPr>
            <w:tcW w:w="0" w:type="auto"/>
          </w:tcPr>
          <w:p w14:paraId="24C485DF"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22507ABB"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04810CB0" w14:textId="77777777" w:rsidR="000717C4" w:rsidRPr="007A3223" w:rsidRDefault="000717C4" w:rsidP="000717C4">
            <w:pPr>
              <w:autoSpaceDE w:val="0"/>
              <w:autoSpaceDN w:val="0"/>
              <w:adjustRightInd w:val="0"/>
              <w:spacing w:after="0"/>
              <w:rPr>
                <w:color w:val="000000"/>
                <w:sz w:val="22"/>
              </w:rPr>
            </w:pPr>
          </w:p>
        </w:tc>
        <w:tc>
          <w:tcPr>
            <w:tcW w:w="0" w:type="auto"/>
          </w:tcPr>
          <w:p w14:paraId="65D06A9E"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24 </w:t>
            </w:r>
          </w:p>
        </w:tc>
        <w:tc>
          <w:tcPr>
            <w:tcW w:w="0" w:type="auto"/>
          </w:tcPr>
          <w:p w14:paraId="07970F76" w14:textId="77777777" w:rsidR="000717C4" w:rsidRPr="007A3223" w:rsidRDefault="000717C4" w:rsidP="000717C4">
            <w:pPr>
              <w:autoSpaceDE w:val="0"/>
              <w:autoSpaceDN w:val="0"/>
              <w:adjustRightInd w:val="0"/>
              <w:spacing w:after="0"/>
              <w:rPr>
                <w:color w:val="000000"/>
                <w:sz w:val="22"/>
              </w:rPr>
            </w:pPr>
          </w:p>
        </w:tc>
        <w:tc>
          <w:tcPr>
            <w:tcW w:w="0" w:type="auto"/>
          </w:tcPr>
          <w:p w14:paraId="4938D019" w14:textId="77777777" w:rsidR="000717C4" w:rsidRPr="007A3223" w:rsidRDefault="000717C4" w:rsidP="000717C4">
            <w:pPr>
              <w:autoSpaceDE w:val="0"/>
              <w:autoSpaceDN w:val="0"/>
              <w:adjustRightInd w:val="0"/>
              <w:spacing w:after="0"/>
              <w:rPr>
                <w:color w:val="000000"/>
                <w:sz w:val="22"/>
              </w:rPr>
            </w:pPr>
          </w:p>
        </w:tc>
        <w:tc>
          <w:tcPr>
            <w:tcW w:w="0" w:type="auto"/>
          </w:tcPr>
          <w:p w14:paraId="23942BB2" w14:textId="77777777" w:rsidR="000717C4" w:rsidRPr="007A3223" w:rsidRDefault="000717C4" w:rsidP="000717C4">
            <w:pPr>
              <w:autoSpaceDE w:val="0"/>
              <w:autoSpaceDN w:val="0"/>
              <w:adjustRightInd w:val="0"/>
              <w:spacing w:after="0"/>
              <w:rPr>
                <w:color w:val="000000"/>
                <w:sz w:val="22"/>
              </w:rPr>
            </w:pPr>
          </w:p>
        </w:tc>
        <w:tc>
          <w:tcPr>
            <w:tcW w:w="0" w:type="auto"/>
          </w:tcPr>
          <w:p w14:paraId="065D12A0"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BA03820" w14:textId="77777777" w:rsidR="000717C4" w:rsidRPr="007A3223" w:rsidRDefault="000717C4" w:rsidP="000717C4">
            <w:pPr>
              <w:autoSpaceDE w:val="0"/>
              <w:autoSpaceDN w:val="0"/>
              <w:adjustRightInd w:val="0"/>
              <w:spacing w:after="0"/>
              <w:rPr>
                <w:color w:val="000000"/>
                <w:sz w:val="22"/>
              </w:rPr>
            </w:pPr>
          </w:p>
        </w:tc>
      </w:tr>
      <w:tr w:rsidR="000717C4" w:rsidRPr="007A3223" w14:paraId="6C4BFD87" w14:textId="77777777" w:rsidTr="000717C4">
        <w:trPr>
          <w:trHeight w:val="109"/>
        </w:trPr>
        <w:tc>
          <w:tcPr>
            <w:tcW w:w="0" w:type="auto"/>
            <w:tcBorders>
              <w:left w:val="double" w:sz="4" w:space="0" w:color="auto"/>
            </w:tcBorders>
          </w:tcPr>
          <w:p w14:paraId="717FCC05" w14:textId="77777777" w:rsidR="000717C4" w:rsidRPr="007A3223" w:rsidRDefault="000717C4" w:rsidP="000717C4">
            <w:pPr>
              <w:autoSpaceDE w:val="0"/>
              <w:autoSpaceDN w:val="0"/>
              <w:adjustRightInd w:val="0"/>
              <w:spacing w:after="0"/>
              <w:rPr>
                <w:color w:val="000000"/>
                <w:sz w:val="22"/>
              </w:rPr>
            </w:pPr>
          </w:p>
        </w:tc>
        <w:tc>
          <w:tcPr>
            <w:tcW w:w="0" w:type="auto"/>
          </w:tcPr>
          <w:p w14:paraId="4EC2D307"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11 </w:t>
            </w:r>
          </w:p>
        </w:tc>
        <w:tc>
          <w:tcPr>
            <w:tcW w:w="0" w:type="auto"/>
          </w:tcPr>
          <w:p w14:paraId="23268D16" w14:textId="77777777" w:rsidR="000717C4" w:rsidRPr="007A3223" w:rsidRDefault="000717C4" w:rsidP="000717C4">
            <w:pPr>
              <w:autoSpaceDE w:val="0"/>
              <w:autoSpaceDN w:val="0"/>
              <w:adjustRightInd w:val="0"/>
              <w:spacing w:after="0"/>
              <w:rPr>
                <w:color w:val="000000"/>
                <w:sz w:val="22"/>
              </w:rPr>
            </w:pPr>
          </w:p>
        </w:tc>
        <w:tc>
          <w:tcPr>
            <w:tcW w:w="0" w:type="auto"/>
          </w:tcPr>
          <w:p w14:paraId="18FF3ACB" w14:textId="77777777" w:rsidR="000717C4" w:rsidRPr="007A3223" w:rsidRDefault="000717C4" w:rsidP="000717C4">
            <w:pPr>
              <w:autoSpaceDE w:val="0"/>
              <w:autoSpaceDN w:val="0"/>
              <w:adjustRightInd w:val="0"/>
              <w:spacing w:after="0"/>
              <w:rPr>
                <w:color w:val="000000"/>
                <w:sz w:val="22"/>
              </w:rPr>
            </w:pPr>
          </w:p>
        </w:tc>
        <w:tc>
          <w:tcPr>
            <w:tcW w:w="0" w:type="auto"/>
          </w:tcPr>
          <w:p w14:paraId="127F4142" w14:textId="77777777" w:rsidR="000717C4" w:rsidRPr="007A3223" w:rsidRDefault="000717C4" w:rsidP="000717C4">
            <w:pPr>
              <w:autoSpaceDE w:val="0"/>
              <w:autoSpaceDN w:val="0"/>
              <w:adjustRightInd w:val="0"/>
              <w:spacing w:after="0"/>
              <w:rPr>
                <w:color w:val="000000"/>
                <w:sz w:val="22"/>
              </w:rPr>
            </w:pPr>
          </w:p>
        </w:tc>
        <w:tc>
          <w:tcPr>
            <w:tcW w:w="0" w:type="auto"/>
          </w:tcPr>
          <w:p w14:paraId="36F74DB4"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486CCC3B"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10E3C51C" w14:textId="77777777" w:rsidR="000717C4" w:rsidRPr="007A3223" w:rsidRDefault="000717C4" w:rsidP="000717C4">
            <w:pPr>
              <w:autoSpaceDE w:val="0"/>
              <w:autoSpaceDN w:val="0"/>
              <w:adjustRightInd w:val="0"/>
              <w:spacing w:after="0"/>
              <w:rPr>
                <w:color w:val="000000"/>
                <w:sz w:val="22"/>
              </w:rPr>
            </w:pPr>
          </w:p>
        </w:tc>
        <w:tc>
          <w:tcPr>
            <w:tcW w:w="0" w:type="auto"/>
          </w:tcPr>
          <w:p w14:paraId="0D0D7634"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25 </w:t>
            </w:r>
          </w:p>
        </w:tc>
        <w:tc>
          <w:tcPr>
            <w:tcW w:w="0" w:type="auto"/>
          </w:tcPr>
          <w:p w14:paraId="587C50C0" w14:textId="77777777" w:rsidR="000717C4" w:rsidRPr="007A3223" w:rsidRDefault="000717C4" w:rsidP="000717C4">
            <w:pPr>
              <w:autoSpaceDE w:val="0"/>
              <w:autoSpaceDN w:val="0"/>
              <w:adjustRightInd w:val="0"/>
              <w:spacing w:after="0"/>
              <w:rPr>
                <w:color w:val="000000"/>
                <w:sz w:val="22"/>
              </w:rPr>
            </w:pPr>
          </w:p>
        </w:tc>
        <w:tc>
          <w:tcPr>
            <w:tcW w:w="0" w:type="auto"/>
          </w:tcPr>
          <w:p w14:paraId="3432C7DE" w14:textId="77777777" w:rsidR="000717C4" w:rsidRPr="007A3223" w:rsidRDefault="000717C4" w:rsidP="000717C4">
            <w:pPr>
              <w:autoSpaceDE w:val="0"/>
              <w:autoSpaceDN w:val="0"/>
              <w:adjustRightInd w:val="0"/>
              <w:spacing w:after="0"/>
              <w:rPr>
                <w:color w:val="000000"/>
                <w:sz w:val="22"/>
              </w:rPr>
            </w:pPr>
          </w:p>
        </w:tc>
        <w:tc>
          <w:tcPr>
            <w:tcW w:w="0" w:type="auto"/>
          </w:tcPr>
          <w:p w14:paraId="1B2A5BA1" w14:textId="77777777" w:rsidR="000717C4" w:rsidRPr="007A3223" w:rsidRDefault="000717C4" w:rsidP="000717C4">
            <w:pPr>
              <w:autoSpaceDE w:val="0"/>
              <w:autoSpaceDN w:val="0"/>
              <w:adjustRightInd w:val="0"/>
              <w:spacing w:after="0"/>
              <w:rPr>
                <w:color w:val="000000"/>
                <w:sz w:val="22"/>
              </w:rPr>
            </w:pPr>
          </w:p>
        </w:tc>
        <w:tc>
          <w:tcPr>
            <w:tcW w:w="0" w:type="auto"/>
          </w:tcPr>
          <w:p w14:paraId="4309EA02"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6E63233E" w14:textId="77777777" w:rsidR="000717C4" w:rsidRPr="007A3223" w:rsidRDefault="000717C4" w:rsidP="000717C4">
            <w:pPr>
              <w:autoSpaceDE w:val="0"/>
              <w:autoSpaceDN w:val="0"/>
              <w:adjustRightInd w:val="0"/>
              <w:spacing w:after="0"/>
              <w:rPr>
                <w:color w:val="000000"/>
                <w:sz w:val="22"/>
              </w:rPr>
            </w:pPr>
          </w:p>
        </w:tc>
      </w:tr>
      <w:tr w:rsidR="000717C4" w:rsidRPr="007A3223" w14:paraId="2013F268" w14:textId="77777777" w:rsidTr="000717C4">
        <w:trPr>
          <w:trHeight w:val="109"/>
        </w:trPr>
        <w:tc>
          <w:tcPr>
            <w:tcW w:w="0" w:type="auto"/>
            <w:tcBorders>
              <w:left w:val="double" w:sz="4" w:space="0" w:color="auto"/>
            </w:tcBorders>
          </w:tcPr>
          <w:p w14:paraId="3A4A158F" w14:textId="77777777" w:rsidR="000717C4" w:rsidRPr="007A3223" w:rsidRDefault="000717C4" w:rsidP="000717C4">
            <w:pPr>
              <w:autoSpaceDE w:val="0"/>
              <w:autoSpaceDN w:val="0"/>
              <w:adjustRightInd w:val="0"/>
              <w:spacing w:after="0"/>
              <w:rPr>
                <w:color w:val="000000"/>
                <w:sz w:val="22"/>
              </w:rPr>
            </w:pPr>
          </w:p>
        </w:tc>
        <w:tc>
          <w:tcPr>
            <w:tcW w:w="0" w:type="auto"/>
          </w:tcPr>
          <w:p w14:paraId="4729EFFB"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12 </w:t>
            </w:r>
          </w:p>
        </w:tc>
        <w:tc>
          <w:tcPr>
            <w:tcW w:w="0" w:type="auto"/>
          </w:tcPr>
          <w:p w14:paraId="2EE852A4" w14:textId="77777777" w:rsidR="000717C4" w:rsidRPr="007A3223" w:rsidRDefault="000717C4" w:rsidP="000717C4">
            <w:pPr>
              <w:autoSpaceDE w:val="0"/>
              <w:autoSpaceDN w:val="0"/>
              <w:adjustRightInd w:val="0"/>
              <w:spacing w:after="0"/>
              <w:rPr>
                <w:color w:val="000000"/>
                <w:sz w:val="22"/>
              </w:rPr>
            </w:pPr>
          </w:p>
        </w:tc>
        <w:tc>
          <w:tcPr>
            <w:tcW w:w="0" w:type="auto"/>
          </w:tcPr>
          <w:p w14:paraId="21B72AFB" w14:textId="77777777" w:rsidR="000717C4" w:rsidRPr="007A3223" w:rsidRDefault="000717C4" w:rsidP="000717C4">
            <w:pPr>
              <w:autoSpaceDE w:val="0"/>
              <w:autoSpaceDN w:val="0"/>
              <w:adjustRightInd w:val="0"/>
              <w:spacing w:after="0"/>
              <w:rPr>
                <w:color w:val="000000"/>
                <w:sz w:val="22"/>
              </w:rPr>
            </w:pPr>
          </w:p>
        </w:tc>
        <w:tc>
          <w:tcPr>
            <w:tcW w:w="0" w:type="auto"/>
          </w:tcPr>
          <w:p w14:paraId="0AF8AB04" w14:textId="77777777" w:rsidR="000717C4" w:rsidRPr="007A3223" w:rsidRDefault="000717C4" w:rsidP="000717C4">
            <w:pPr>
              <w:autoSpaceDE w:val="0"/>
              <w:autoSpaceDN w:val="0"/>
              <w:adjustRightInd w:val="0"/>
              <w:spacing w:after="0"/>
              <w:rPr>
                <w:color w:val="000000"/>
                <w:sz w:val="22"/>
              </w:rPr>
            </w:pPr>
          </w:p>
        </w:tc>
        <w:tc>
          <w:tcPr>
            <w:tcW w:w="0" w:type="auto"/>
          </w:tcPr>
          <w:p w14:paraId="00C5650A"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2FC1E708"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3CC8F2CD" w14:textId="77777777" w:rsidR="000717C4" w:rsidRPr="007A3223" w:rsidRDefault="000717C4" w:rsidP="000717C4">
            <w:pPr>
              <w:autoSpaceDE w:val="0"/>
              <w:autoSpaceDN w:val="0"/>
              <w:adjustRightInd w:val="0"/>
              <w:spacing w:after="0"/>
              <w:rPr>
                <w:color w:val="000000"/>
                <w:sz w:val="22"/>
              </w:rPr>
            </w:pPr>
          </w:p>
        </w:tc>
        <w:tc>
          <w:tcPr>
            <w:tcW w:w="0" w:type="auto"/>
          </w:tcPr>
          <w:p w14:paraId="04178019"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26 </w:t>
            </w:r>
          </w:p>
        </w:tc>
        <w:tc>
          <w:tcPr>
            <w:tcW w:w="0" w:type="auto"/>
          </w:tcPr>
          <w:p w14:paraId="149A042B" w14:textId="77777777" w:rsidR="000717C4" w:rsidRPr="007A3223" w:rsidRDefault="000717C4" w:rsidP="000717C4">
            <w:pPr>
              <w:autoSpaceDE w:val="0"/>
              <w:autoSpaceDN w:val="0"/>
              <w:adjustRightInd w:val="0"/>
              <w:spacing w:after="0"/>
              <w:rPr>
                <w:color w:val="000000"/>
                <w:sz w:val="22"/>
              </w:rPr>
            </w:pPr>
          </w:p>
        </w:tc>
        <w:tc>
          <w:tcPr>
            <w:tcW w:w="0" w:type="auto"/>
          </w:tcPr>
          <w:p w14:paraId="739EAB3A" w14:textId="77777777" w:rsidR="000717C4" w:rsidRPr="007A3223" w:rsidRDefault="000717C4" w:rsidP="000717C4">
            <w:pPr>
              <w:autoSpaceDE w:val="0"/>
              <w:autoSpaceDN w:val="0"/>
              <w:adjustRightInd w:val="0"/>
              <w:spacing w:after="0"/>
              <w:rPr>
                <w:color w:val="000000"/>
                <w:sz w:val="22"/>
              </w:rPr>
            </w:pPr>
          </w:p>
        </w:tc>
        <w:tc>
          <w:tcPr>
            <w:tcW w:w="0" w:type="auto"/>
          </w:tcPr>
          <w:p w14:paraId="291BC675" w14:textId="77777777" w:rsidR="000717C4" w:rsidRPr="007A3223" w:rsidRDefault="000717C4" w:rsidP="000717C4">
            <w:pPr>
              <w:autoSpaceDE w:val="0"/>
              <w:autoSpaceDN w:val="0"/>
              <w:adjustRightInd w:val="0"/>
              <w:spacing w:after="0"/>
              <w:rPr>
                <w:color w:val="000000"/>
                <w:sz w:val="22"/>
              </w:rPr>
            </w:pPr>
          </w:p>
        </w:tc>
        <w:tc>
          <w:tcPr>
            <w:tcW w:w="0" w:type="auto"/>
          </w:tcPr>
          <w:p w14:paraId="2999500B"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79A09228" w14:textId="77777777" w:rsidR="000717C4" w:rsidRPr="007A3223" w:rsidRDefault="000717C4" w:rsidP="000717C4">
            <w:pPr>
              <w:autoSpaceDE w:val="0"/>
              <w:autoSpaceDN w:val="0"/>
              <w:adjustRightInd w:val="0"/>
              <w:spacing w:after="0"/>
              <w:rPr>
                <w:color w:val="000000"/>
                <w:sz w:val="22"/>
              </w:rPr>
            </w:pPr>
          </w:p>
        </w:tc>
      </w:tr>
      <w:tr w:rsidR="000717C4" w:rsidRPr="007A3223" w14:paraId="762BF174" w14:textId="77777777" w:rsidTr="000717C4">
        <w:trPr>
          <w:trHeight w:val="80"/>
        </w:trPr>
        <w:tc>
          <w:tcPr>
            <w:tcW w:w="0" w:type="auto"/>
            <w:tcBorders>
              <w:left w:val="double" w:sz="4" w:space="0" w:color="auto"/>
            </w:tcBorders>
          </w:tcPr>
          <w:p w14:paraId="38474C95" w14:textId="77777777" w:rsidR="000717C4" w:rsidRPr="007A3223" w:rsidRDefault="000717C4" w:rsidP="000717C4">
            <w:pPr>
              <w:autoSpaceDE w:val="0"/>
              <w:autoSpaceDN w:val="0"/>
              <w:adjustRightInd w:val="0"/>
              <w:spacing w:after="0"/>
              <w:rPr>
                <w:color w:val="000000"/>
                <w:sz w:val="22"/>
              </w:rPr>
            </w:pPr>
          </w:p>
        </w:tc>
        <w:tc>
          <w:tcPr>
            <w:tcW w:w="0" w:type="auto"/>
          </w:tcPr>
          <w:p w14:paraId="2251D0F0"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13 </w:t>
            </w:r>
          </w:p>
        </w:tc>
        <w:tc>
          <w:tcPr>
            <w:tcW w:w="0" w:type="auto"/>
          </w:tcPr>
          <w:p w14:paraId="37C954BD" w14:textId="77777777" w:rsidR="000717C4" w:rsidRPr="007A3223" w:rsidRDefault="000717C4" w:rsidP="000717C4">
            <w:pPr>
              <w:autoSpaceDE w:val="0"/>
              <w:autoSpaceDN w:val="0"/>
              <w:adjustRightInd w:val="0"/>
              <w:spacing w:after="0"/>
              <w:rPr>
                <w:color w:val="000000"/>
                <w:sz w:val="22"/>
              </w:rPr>
            </w:pPr>
          </w:p>
        </w:tc>
        <w:tc>
          <w:tcPr>
            <w:tcW w:w="0" w:type="auto"/>
          </w:tcPr>
          <w:p w14:paraId="41C4B06D" w14:textId="77777777" w:rsidR="000717C4" w:rsidRPr="007A3223" w:rsidRDefault="000717C4" w:rsidP="000717C4">
            <w:pPr>
              <w:autoSpaceDE w:val="0"/>
              <w:autoSpaceDN w:val="0"/>
              <w:adjustRightInd w:val="0"/>
              <w:spacing w:after="0"/>
              <w:rPr>
                <w:color w:val="000000"/>
                <w:sz w:val="22"/>
              </w:rPr>
            </w:pPr>
          </w:p>
        </w:tc>
        <w:tc>
          <w:tcPr>
            <w:tcW w:w="0" w:type="auto"/>
          </w:tcPr>
          <w:p w14:paraId="31B1104D" w14:textId="77777777" w:rsidR="000717C4" w:rsidRPr="007A3223" w:rsidRDefault="000717C4" w:rsidP="000717C4">
            <w:pPr>
              <w:autoSpaceDE w:val="0"/>
              <w:autoSpaceDN w:val="0"/>
              <w:adjustRightInd w:val="0"/>
              <w:spacing w:after="0"/>
              <w:rPr>
                <w:color w:val="000000"/>
                <w:sz w:val="22"/>
              </w:rPr>
            </w:pPr>
          </w:p>
        </w:tc>
        <w:tc>
          <w:tcPr>
            <w:tcW w:w="0" w:type="auto"/>
          </w:tcPr>
          <w:p w14:paraId="70CB377B"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3F1C5DE6"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3E4B0FE7" w14:textId="77777777" w:rsidR="000717C4" w:rsidRPr="007A3223" w:rsidRDefault="000717C4" w:rsidP="000717C4">
            <w:pPr>
              <w:autoSpaceDE w:val="0"/>
              <w:autoSpaceDN w:val="0"/>
              <w:adjustRightInd w:val="0"/>
              <w:spacing w:after="0"/>
              <w:rPr>
                <w:color w:val="000000"/>
                <w:sz w:val="22"/>
              </w:rPr>
            </w:pPr>
          </w:p>
        </w:tc>
        <w:tc>
          <w:tcPr>
            <w:tcW w:w="0" w:type="auto"/>
          </w:tcPr>
          <w:p w14:paraId="60ADF878"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27 </w:t>
            </w:r>
          </w:p>
        </w:tc>
        <w:tc>
          <w:tcPr>
            <w:tcW w:w="0" w:type="auto"/>
          </w:tcPr>
          <w:p w14:paraId="0D21EE7C" w14:textId="77777777" w:rsidR="000717C4" w:rsidRPr="007A3223" w:rsidRDefault="000717C4" w:rsidP="000717C4">
            <w:pPr>
              <w:autoSpaceDE w:val="0"/>
              <w:autoSpaceDN w:val="0"/>
              <w:adjustRightInd w:val="0"/>
              <w:spacing w:after="0"/>
              <w:rPr>
                <w:color w:val="000000"/>
                <w:sz w:val="22"/>
              </w:rPr>
            </w:pPr>
          </w:p>
        </w:tc>
        <w:tc>
          <w:tcPr>
            <w:tcW w:w="0" w:type="auto"/>
          </w:tcPr>
          <w:p w14:paraId="69C6CB2F" w14:textId="77777777" w:rsidR="000717C4" w:rsidRPr="007A3223" w:rsidRDefault="000717C4" w:rsidP="000717C4">
            <w:pPr>
              <w:autoSpaceDE w:val="0"/>
              <w:autoSpaceDN w:val="0"/>
              <w:adjustRightInd w:val="0"/>
              <w:spacing w:after="0"/>
              <w:rPr>
                <w:color w:val="000000"/>
                <w:sz w:val="22"/>
              </w:rPr>
            </w:pPr>
          </w:p>
        </w:tc>
        <w:tc>
          <w:tcPr>
            <w:tcW w:w="0" w:type="auto"/>
          </w:tcPr>
          <w:p w14:paraId="0A6DB680" w14:textId="77777777" w:rsidR="000717C4" w:rsidRPr="007A3223" w:rsidRDefault="000717C4" w:rsidP="000717C4">
            <w:pPr>
              <w:autoSpaceDE w:val="0"/>
              <w:autoSpaceDN w:val="0"/>
              <w:adjustRightInd w:val="0"/>
              <w:spacing w:after="0"/>
              <w:rPr>
                <w:color w:val="000000"/>
                <w:sz w:val="22"/>
              </w:rPr>
            </w:pPr>
          </w:p>
        </w:tc>
        <w:tc>
          <w:tcPr>
            <w:tcW w:w="0" w:type="auto"/>
          </w:tcPr>
          <w:p w14:paraId="2DFEF99C"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29BA967D" w14:textId="77777777" w:rsidR="000717C4" w:rsidRPr="007A3223" w:rsidRDefault="000717C4" w:rsidP="000717C4">
            <w:pPr>
              <w:autoSpaceDE w:val="0"/>
              <w:autoSpaceDN w:val="0"/>
              <w:adjustRightInd w:val="0"/>
              <w:spacing w:after="0"/>
              <w:rPr>
                <w:color w:val="000000"/>
                <w:sz w:val="22"/>
              </w:rPr>
            </w:pPr>
          </w:p>
        </w:tc>
      </w:tr>
      <w:tr w:rsidR="000717C4" w:rsidRPr="007A3223" w14:paraId="447F28AE" w14:textId="77777777" w:rsidTr="000717C4">
        <w:trPr>
          <w:trHeight w:val="109"/>
        </w:trPr>
        <w:tc>
          <w:tcPr>
            <w:tcW w:w="0" w:type="auto"/>
            <w:tcBorders>
              <w:left w:val="double" w:sz="4" w:space="0" w:color="auto"/>
            </w:tcBorders>
          </w:tcPr>
          <w:p w14:paraId="0EDAEA40" w14:textId="77777777" w:rsidR="000717C4" w:rsidRPr="007A3223" w:rsidRDefault="000717C4" w:rsidP="000717C4">
            <w:pPr>
              <w:autoSpaceDE w:val="0"/>
              <w:autoSpaceDN w:val="0"/>
              <w:adjustRightInd w:val="0"/>
              <w:spacing w:after="0"/>
              <w:rPr>
                <w:color w:val="000000"/>
                <w:sz w:val="22"/>
              </w:rPr>
            </w:pPr>
          </w:p>
        </w:tc>
        <w:tc>
          <w:tcPr>
            <w:tcW w:w="0" w:type="auto"/>
          </w:tcPr>
          <w:p w14:paraId="7F595D82"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14 </w:t>
            </w:r>
          </w:p>
        </w:tc>
        <w:tc>
          <w:tcPr>
            <w:tcW w:w="0" w:type="auto"/>
          </w:tcPr>
          <w:p w14:paraId="22653046" w14:textId="77777777" w:rsidR="000717C4" w:rsidRPr="007A3223" w:rsidRDefault="000717C4" w:rsidP="000717C4">
            <w:pPr>
              <w:autoSpaceDE w:val="0"/>
              <w:autoSpaceDN w:val="0"/>
              <w:adjustRightInd w:val="0"/>
              <w:spacing w:after="0"/>
              <w:rPr>
                <w:color w:val="000000"/>
                <w:sz w:val="22"/>
              </w:rPr>
            </w:pPr>
          </w:p>
        </w:tc>
        <w:tc>
          <w:tcPr>
            <w:tcW w:w="0" w:type="auto"/>
          </w:tcPr>
          <w:p w14:paraId="1EF9C493" w14:textId="77777777" w:rsidR="000717C4" w:rsidRPr="007A3223" w:rsidRDefault="000717C4" w:rsidP="000717C4">
            <w:pPr>
              <w:autoSpaceDE w:val="0"/>
              <w:autoSpaceDN w:val="0"/>
              <w:adjustRightInd w:val="0"/>
              <w:spacing w:after="0"/>
              <w:rPr>
                <w:color w:val="000000"/>
                <w:sz w:val="22"/>
              </w:rPr>
            </w:pPr>
          </w:p>
        </w:tc>
        <w:tc>
          <w:tcPr>
            <w:tcW w:w="0" w:type="auto"/>
          </w:tcPr>
          <w:p w14:paraId="6EF6F864" w14:textId="77777777" w:rsidR="000717C4" w:rsidRPr="007A3223" w:rsidRDefault="000717C4" w:rsidP="000717C4">
            <w:pPr>
              <w:autoSpaceDE w:val="0"/>
              <w:autoSpaceDN w:val="0"/>
              <w:adjustRightInd w:val="0"/>
              <w:spacing w:after="0"/>
              <w:rPr>
                <w:color w:val="000000"/>
                <w:sz w:val="22"/>
              </w:rPr>
            </w:pPr>
          </w:p>
        </w:tc>
        <w:tc>
          <w:tcPr>
            <w:tcW w:w="0" w:type="auto"/>
          </w:tcPr>
          <w:p w14:paraId="13A40EFD"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17DFC0BA" w14:textId="77777777" w:rsidR="000717C4" w:rsidRPr="007A3223" w:rsidRDefault="000717C4" w:rsidP="000717C4">
            <w:pPr>
              <w:autoSpaceDE w:val="0"/>
              <w:autoSpaceDN w:val="0"/>
              <w:adjustRightInd w:val="0"/>
              <w:spacing w:after="0"/>
              <w:rPr>
                <w:color w:val="000000"/>
                <w:sz w:val="22"/>
              </w:rPr>
            </w:pPr>
          </w:p>
        </w:tc>
        <w:tc>
          <w:tcPr>
            <w:tcW w:w="0" w:type="auto"/>
            <w:tcBorders>
              <w:left w:val="double" w:sz="4" w:space="0" w:color="auto"/>
            </w:tcBorders>
          </w:tcPr>
          <w:p w14:paraId="7DF1579D" w14:textId="77777777" w:rsidR="000717C4" w:rsidRPr="007A3223" w:rsidRDefault="000717C4" w:rsidP="000717C4">
            <w:pPr>
              <w:autoSpaceDE w:val="0"/>
              <w:autoSpaceDN w:val="0"/>
              <w:adjustRightInd w:val="0"/>
              <w:spacing w:after="0"/>
              <w:rPr>
                <w:color w:val="000000"/>
                <w:sz w:val="22"/>
              </w:rPr>
            </w:pPr>
          </w:p>
        </w:tc>
        <w:tc>
          <w:tcPr>
            <w:tcW w:w="0" w:type="auto"/>
          </w:tcPr>
          <w:p w14:paraId="2EBB1D25" w14:textId="77777777" w:rsidR="000717C4" w:rsidRPr="007A3223" w:rsidRDefault="000717C4" w:rsidP="000717C4">
            <w:pPr>
              <w:autoSpaceDE w:val="0"/>
              <w:autoSpaceDN w:val="0"/>
              <w:adjustRightInd w:val="0"/>
              <w:spacing w:after="0"/>
              <w:rPr>
                <w:color w:val="000000"/>
                <w:sz w:val="22"/>
              </w:rPr>
            </w:pPr>
            <w:r w:rsidRPr="007A3223">
              <w:rPr>
                <w:color w:val="000000"/>
                <w:sz w:val="22"/>
              </w:rPr>
              <w:t xml:space="preserve">28 </w:t>
            </w:r>
          </w:p>
        </w:tc>
        <w:tc>
          <w:tcPr>
            <w:tcW w:w="0" w:type="auto"/>
          </w:tcPr>
          <w:p w14:paraId="5B59D8B3" w14:textId="77777777" w:rsidR="000717C4" w:rsidRPr="007A3223" w:rsidRDefault="000717C4" w:rsidP="000717C4">
            <w:pPr>
              <w:autoSpaceDE w:val="0"/>
              <w:autoSpaceDN w:val="0"/>
              <w:adjustRightInd w:val="0"/>
              <w:spacing w:after="0"/>
              <w:rPr>
                <w:color w:val="000000"/>
                <w:sz w:val="22"/>
              </w:rPr>
            </w:pPr>
          </w:p>
        </w:tc>
        <w:tc>
          <w:tcPr>
            <w:tcW w:w="0" w:type="auto"/>
          </w:tcPr>
          <w:p w14:paraId="20DB3713" w14:textId="77777777" w:rsidR="000717C4" w:rsidRPr="007A3223" w:rsidRDefault="000717C4" w:rsidP="000717C4">
            <w:pPr>
              <w:autoSpaceDE w:val="0"/>
              <w:autoSpaceDN w:val="0"/>
              <w:adjustRightInd w:val="0"/>
              <w:spacing w:after="0"/>
              <w:rPr>
                <w:color w:val="000000"/>
                <w:sz w:val="22"/>
              </w:rPr>
            </w:pPr>
          </w:p>
        </w:tc>
        <w:tc>
          <w:tcPr>
            <w:tcW w:w="0" w:type="auto"/>
          </w:tcPr>
          <w:p w14:paraId="14DCAAE6" w14:textId="77777777" w:rsidR="000717C4" w:rsidRPr="007A3223" w:rsidRDefault="000717C4" w:rsidP="000717C4">
            <w:pPr>
              <w:autoSpaceDE w:val="0"/>
              <w:autoSpaceDN w:val="0"/>
              <w:adjustRightInd w:val="0"/>
              <w:spacing w:after="0"/>
              <w:rPr>
                <w:color w:val="000000"/>
                <w:sz w:val="22"/>
              </w:rPr>
            </w:pPr>
          </w:p>
        </w:tc>
        <w:tc>
          <w:tcPr>
            <w:tcW w:w="0" w:type="auto"/>
          </w:tcPr>
          <w:p w14:paraId="7094E89B" w14:textId="77777777" w:rsidR="000717C4" w:rsidRPr="007A3223" w:rsidRDefault="000717C4" w:rsidP="000717C4">
            <w:pPr>
              <w:autoSpaceDE w:val="0"/>
              <w:autoSpaceDN w:val="0"/>
              <w:adjustRightInd w:val="0"/>
              <w:spacing w:after="0"/>
              <w:rPr>
                <w:color w:val="000000"/>
                <w:sz w:val="22"/>
              </w:rPr>
            </w:pPr>
          </w:p>
        </w:tc>
        <w:tc>
          <w:tcPr>
            <w:tcW w:w="0" w:type="auto"/>
            <w:tcBorders>
              <w:right w:val="double" w:sz="4" w:space="0" w:color="auto"/>
            </w:tcBorders>
          </w:tcPr>
          <w:p w14:paraId="1BAC8536" w14:textId="77777777" w:rsidR="000717C4" w:rsidRPr="007A3223" w:rsidRDefault="000717C4" w:rsidP="000717C4">
            <w:pPr>
              <w:autoSpaceDE w:val="0"/>
              <w:autoSpaceDN w:val="0"/>
              <w:adjustRightInd w:val="0"/>
              <w:spacing w:after="0"/>
              <w:rPr>
                <w:color w:val="000000"/>
                <w:sz w:val="22"/>
              </w:rPr>
            </w:pPr>
          </w:p>
        </w:tc>
      </w:tr>
      <w:tr w:rsidR="000717C4" w:rsidRPr="007A3223" w14:paraId="417CD159" w14:textId="77777777" w:rsidTr="000717C4">
        <w:trPr>
          <w:trHeight w:val="109"/>
        </w:trPr>
        <w:tc>
          <w:tcPr>
            <w:tcW w:w="0" w:type="auto"/>
            <w:gridSpan w:val="14"/>
            <w:tcBorders>
              <w:left w:val="double" w:sz="4" w:space="0" w:color="auto"/>
              <w:bottom w:val="double" w:sz="4" w:space="0" w:color="auto"/>
              <w:right w:val="double" w:sz="4" w:space="0" w:color="auto"/>
            </w:tcBorders>
          </w:tcPr>
          <w:p w14:paraId="5D4880AA" w14:textId="77777777" w:rsidR="000717C4" w:rsidRPr="007A3223" w:rsidRDefault="000717C4" w:rsidP="000717C4">
            <w:pPr>
              <w:autoSpaceDE w:val="0"/>
              <w:autoSpaceDN w:val="0"/>
              <w:adjustRightInd w:val="0"/>
              <w:spacing w:before="240" w:after="240"/>
              <w:rPr>
                <w:color w:val="000000"/>
                <w:sz w:val="22"/>
              </w:rPr>
            </w:pPr>
            <w:r w:rsidRPr="007A3223">
              <w:rPr>
                <w:color w:val="000000"/>
                <w:sz w:val="22"/>
              </w:rPr>
              <w:t xml:space="preserve">Patient’s Signature: __________________________________ Date: _____________________ </w:t>
            </w:r>
          </w:p>
        </w:tc>
      </w:tr>
    </w:tbl>
    <w:p w14:paraId="6C782A22" w14:textId="77777777" w:rsidR="000717C4" w:rsidRPr="007A3223" w:rsidRDefault="000717C4" w:rsidP="000717C4">
      <w:pPr>
        <w:autoSpaceDE w:val="0"/>
        <w:autoSpaceDN w:val="0"/>
        <w:adjustRightInd w:val="0"/>
        <w:spacing w:after="0"/>
        <w:rPr>
          <w:color w:val="000000"/>
          <w:sz w:val="22"/>
        </w:rPr>
      </w:pPr>
      <w:r w:rsidRPr="007A3223">
        <w:rPr>
          <w:b/>
          <w:bCs/>
          <w:color w:val="000000"/>
          <w:sz w:val="22"/>
        </w:rPr>
        <w:t xml:space="preserve">Study Team will complete this section: </w:t>
      </w:r>
    </w:p>
    <w:p w14:paraId="58F53C48" w14:textId="77777777" w:rsidR="001D52C8" w:rsidRPr="007A3223" w:rsidRDefault="000717C4" w:rsidP="00943354">
      <w:pPr>
        <w:pStyle w:val="ListParagraph"/>
        <w:numPr>
          <w:ilvl w:val="0"/>
          <w:numId w:val="12"/>
        </w:numPr>
        <w:autoSpaceDE w:val="0"/>
        <w:autoSpaceDN w:val="0"/>
        <w:adjustRightInd w:val="0"/>
        <w:rPr>
          <w:color w:val="000000"/>
          <w:sz w:val="22"/>
          <w:szCs w:val="22"/>
        </w:rPr>
      </w:pPr>
      <w:r w:rsidRPr="007A3223">
        <w:rPr>
          <w:color w:val="000000"/>
          <w:sz w:val="22"/>
          <w:szCs w:val="22"/>
        </w:rPr>
        <w:t>Date patient started protocol treatment________________</w:t>
      </w:r>
      <w:r w:rsidR="008A0080" w:rsidRPr="007A3223">
        <w:rPr>
          <w:color w:val="000000"/>
          <w:sz w:val="22"/>
          <w:szCs w:val="22"/>
        </w:rPr>
        <w:t>_____</w:t>
      </w:r>
    </w:p>
    <w:p w14:paraId="53167F94" w14:textId="77777777" w:rsidR="001D52C8" w:rsidRPr="007A3223" w:rsidRDefault="000717C4" w:rsidP="00943354">
      <w:pPr>
        <w:pStyle w:val="ListParagraph"/>
        <w:numPr>
          <w:ilvl w:val="0"/>
          <w:numId w:val="12"/>
        </w:numPr>
        <w:autoSpaceDE w:val="0"/>
        <w:autoSpaceDN w:val="0"/>
        <w:adjustRightInd w:val="0"/>
        <w:rPr>
          <w:color w:val="000000"/>
          <w:sz w:val="22"/>
          <w:szCs w:val="22"/>
        </w:rPr>
      </w:pPr>
      <w:r w:rsidRPr="007A3223">
        <w:rPr>
          <w:color w:val="000000"/>
          <w:sz w:val="22"/>
          <w:szCs w:val="22"/>
        </w:rPr>
        <w:lastRenderedPageBreak/>
        <w:t>Date patient was removed from study _____________________</w:t>
      </w:r>
      <w:r w:rsidR="008A0080" w:rsidRPr="007A3223">
        <w:rPr>
          <w:color w:val="000000"/>
          <w:sz w:val="22"/>
          <w:szCs w:val="22"/>
        </w:rPr>
        <w:t>_</w:t>
      </w:r>
      <w:r w:rsidRPr="007A3223">
        <w:rPr>
          <w:color w:val="000000"/>
          <w:sz w:val="22"/>
          <w:szCs w:val="22"/>
        </w:rPr>
        <w:t xml:space="preserve"> </w:t>
      </w:r>
    </w:p>
    <w:p w14:paraId="21294069" w14:textId="77777777" w:rsidR="001D52C8" w:rsidRPr="007A3223" w:rsidRDefault="000717C4" w:rsidP="00943354">
      <w:pPr>
        <w:pStyle w:val="ListParagraph"/>
        <w:numPr>
          <w:ilvl w:val="0"/>
          <w:numId w:val="12"/>
        </w:numPr>
        <w:autoSpaceDE w:val="0"/>
        <w:autoSpaceDN w:val="0"/>
        <w:adjustRightInd w:val="0"/>
        <w:rPr>
          <w:color w:val="000000"/>
          <w:sz w:val="22"/>
          <w:szCs w:val="22"/>
        </w:rPr>
      </w:pPr>
      <w:r w:rsidRPr="007A3223">
        <w:rPr>
          <w:color w:val="000000"/>
          <w:sz w:val="22"/>
          <w:szCs w:val="22"/>
        </w:rPr>
        <w:t>Patient’s planned daily dose________</w:t>
      </w:r>
      <w:r w:rsidR="008A0080" w:rsidRPr="007A3223">
        <w:rPr>
          <w:color w:val="000000"/>
          <w:sz w:val="22"/>
          <w:szCs w:val="22"/>
        </w:rPr>
        <w:t>______________________</w:t>
      </w:r>
      <w:r w:rsidRPr="007A3223">
        <w:rPr>
          <w:color w:val="000000"/>
          <w:sz w:val="22"/>
          <w:szCs w:val="22"/>
        </w:rPr>
        <w:t xml:space="preserve"> </w:t>
      </w:r>
    </w:p>
    <w:p w14:paraId="4698C859" w14:textId="77777777" w:rsidR="000717C4" w:rsidRPr="007A3223" w:rsidRDefault="000717C4" w:rsidP="00943354">
      <w:pPr>
        <w:pStyle w:val="ListParagraph"/>
        <w:numPr>
          <w:ilvl w:val="0"/>
          <w:numId w:val="12"/>
        </w:numPr>
        <w:autoSpaceDE w:val="0"/>
        <w:autoSpaceDN w:val="0"/>
        <w:adjustRightInd w:val="0"/>
        <w:rPr>
          <w:color w:val="000000"/>
          <w:sz w:val="22"/>
          <w:szCs w:val="22"/>
        </w:rPr>
      </w:pPr>
      <w:r w:rsidRPr="007A3223">
        <w:rPr>
          <w:color w:val="000000"/>
          <w:sz w:val="22"/>
          <w:szCs w:val="22"/>
        </w:rPr>
        <w:t>Total number of pills taken this month ____________________</w:t>
      </w:r>
      <w:r w:rsidR="008A0080" w:rsidRPr="007A3223">
        <w:rPr>
          <w:color w:val="000000"/>
          <w:sz w:val="22"/>
          <w:szCs w:val="22"/>
        </w:rPr>
        <w:t>_</w:t>
      </w:r>
      <w:r w:rsidRPr="007A3223">
        <w:rPr>
          <w:color w:val="000000"/>
          <w:sz w:val="22"/>
          <w:szCs w:val="22"/>
        </w:rPr>
        <w:t xml:space="preserve"> </w:t>
      </w:r>
    </w:p>
    <w:p w14:paraId="6E4ACDC1" w14:textId="77777777" w:rsidR="000717C4" w:rsidRPr="007A3223" w:rsidRDefault="000717C4" w:rsidP="000717C4">
      <w:pPr>
        <w:rPr>
          <w:color w:val="000000"/>
          <w:sz w:val="22"/>
        </w:rPr>
      </w:pPr>
      <w:r w:rsidRPr="007A3223">
        <w:rPr>
          <w:color w:val="000000"/>
          <w:sz w:val="22"/>
        </w:rPr>
        <w:t xml:space="preserve">Physician/Nurse’s Signature ____________________________________________________________________ </w:t>
      </w:r>
    </w:p>
    <w:p w14:paraId="46C453A2" w14:textId="77777777" w:rsidR="00BB4772" w:rsidRPr="007A3223" w:rsidRDefault="00BB4772" w:rsidP="00EA69AB">
      <w:bookmarkStart w:id="583" w:name="_Ref399167554"/>
    </w:p>
    <w:p w14:paraId="74C944B1" w14:textId="5BF9D26D" w:rsidR="002004F2" w:rsidRPr="007A3223" w:rsidRDefault="003261D7" w:rsidP="00ED703B">
      <w:pPr>
        <w:pStyle w:val="Heading2"/>
      </w:pPr>
      <w:r w:rsidRPr="007A3223">
        <w:br w:type="page"/>
      </w:r>
      <w:bookmarkStart w:id="584" w:name="_Ref405291048"/>
      <w:bookmarkStart w:id="585" w:name="_Toc82444427"/>
      <w:r w:rsidR="002004F2" w:rsidRPr="007A3223">
        <w:lastRenderedPageBreak/>
        <w:t xml:space="preserve">Appendix </w:t>
      </w:r>
      <w:r w:rsidR="002457B0" w:rsidRPr="00F33908">
        <w:rPr>
          <w:rFonts w:hint="eastAsia"/>
        </w:rPr>
        <w:fldChar w:fldCharType="begin"/>
      </w:r>
      <w:r w:rsidR="002004F2" w:rsidRPr="007A3223">
        <w:instrText xml:space="preserve"> SEQ Appendix \* ALPHABETIC </w:instrText>
      </w:r>
      <w:r w:rsidR="002457B0" w:rsidRPr="00F33908">
        <w:rPr>
          <w:rFonts w:hint="eastAsia"/>
        </w:rPr>
        <w:fldChar w:fldCharType="separate"/>
      </w:r>
      <w:r w:rsidR="00E47ACA">
        <w:rPr>
          <w:noProof/>
        </w:rPr>
        <w:t>D</w:t>
      </w:r>
      <w:r w:rsidR="002457B0" w:rsidRPr="00F33908">
        <w:rPr>
          <w:rFonts w:hint="eastAsia"/>
        </w:rPr>
        <w:fldChar w:fldCharType="end"/>
      </w:r>
      <w:bookmarkEnd w:id="584"/>
      <w:r w:rsidR="002004F2" w:rsidRPr="007A3223">
        <w:t>: Patient’s Blood Pressure Diary</w:t>
      </w:r>
      <w:r w:rsidR="00F236D8" w:rsidRPr="00F33908">
        <w:t xml:space="preserve"> (</w:t>
      </w:r>
      <w:r w:rsidR="00203A68">
        <w:rPr>
          <w:lang w:val="en-US"/>
        </w:rPr>
        <w:t>Durvalumab</w:t>
      </w:r>
      <w:r w:rsidR="00DB46A1" w:rsidRPr="007A3223">
        <w:t>+</w:t>
      </w:r>
      <w:r w:rsidR="00772708" w:rsidRPr="007A3223">
        <w:t>C</w:t>
      </w:r>
      <w:r w:rsidR="00F236D8" w:rsidRPr="007A3223">
        <w:t xml:space="preserve"> </w:t>
      </w:r>
      <w:r w:rsidR="00F01CE4" w:rsidRPr="007A3223">
        <w:t xml:space="preserve">or </w:t>
      </w:r>
      <w:r w:rsidR="00203A68">
        <w:rPr>
          <w:lang w:val="en-US"/>
        </w:rPr>
        <w:t>Durvalumab</w:t>
      </w:r>
      <w:r w:rsidR="00F01CE4" w:rsidRPr="007A3223">
        <w:t xml:space="preserve">+O+C </w:t>
      </w:r>
      <w:r w:rsidR="00F236D8" w:rsidRPr="007A3223">
        <w:t>Arm only)</w:t>
      </w:r>
      <w:bookmarkEnd w:id="585"/>
    </w:p>
    <w:p w14:paraId="685D2825" w14:textId="77777777" w:rsidR="002004F2" w:rsidRPr="007A3223" w:rsidRDefault="002004F2" w:rsidP="00772708">
      <w:pPr>
        <w:tabs>
          <w:tab w:val="left" w:pos="4590"/>
        </w:tabs>
        <w:rPr>
          <w:u w:val="single"/>
        </w:rPr>
      </w:pPr>
      <w:r w:rsidRPr="007A3223">
        <w:t xml:space="preserve">Today’s Date </w:t>
      </w:r>
      <w:r w:rsidRPr="007A3223">
        <w:rPr>
          <w:u w:val="single"/>
        </w:rPr>
        <w:tab/>
      </w:r>
    </w:p>
    <w:p w14:paraId="58D9F85E" w14:textId="77777777" w:rsidR="002004F2" w:rsidRPr="007A3223" w:rsidRDefault="002004F2" w:rsidP="00772708">
      <w:pPr>
        <w:tabs>
          <w:tab w:val="left" w:pos="4590"/>
          <w:tab w:val="left" w:pos="5130"/>
          <w:tab w:val="left" w:pos="8640"/>
        </w:tabs>
        <w:rPr>
          <w:u w:val="single"/>
        </w:rPr>
      </w:pPr>
      <w:r w:rsidRPr="007A3223">
        <w:t xml:space="preserve">Patient Name </w:t>
      </w:r>
      <w:r w:rsidRPr="007A3223">
        <w:rPr>
          <w:u w:val="single"/>
        </w:rPr>
        <w:tab/>
      </w:r>
      <w:r w:rsidRPr="007A3223">
        <w:tab/>
        <w:t xml:space="preserve">Patient Study ID </w:t>
      </w:r>
      <w:r w:rsidRPr="007A3223">
        <w:rPr>
          <w:u w:val="single"/>
        </w:rPr>
        <w:tab/>
      </w:r>
    </w:p>
    <w:p w14:paraId="21453F77" w14:textId="4C868AF3" w:rsidR="00850EE9" w:rsidRPr="007A3223" w:rsidRDefault="00850EE9" w:rsidP="00772708">
      <w:pPr>
        <w:tabs>
          <w:tab w:val="left" w:pos="4590"/>
          <w:tab w:val="left" w:pos="5130"/>
          <w:tab w:val="left" w:pos="8640"/>
        </w:tabs>
        <w:rPr>
          <w:sz w:val="23"/>
          <w:szCs w:val="23"/>
          <w:u w:val="single"/>
        </w:rPr>
      </w:pPr>
      <w:r w:rsidRPr="007A3223">
        <w:rPr>
          <w:sz w:val="23"/>
          <w:szCs w:val="23"/>
        </w:rPr>
        <w:t xml:space="preserve">Please bring this form to every clinic visit or appointment. </w:t>
      </w:r>
      <w:r w:rsidRPr="007A3223">
        <w:rPr>
          <w:b/>
          <w:i/>
          <w:color w:val="000000"/>
          <w:sz w:val="23"/>
          <w:szCs w:val="23"/>
        </w:rPr>
        <w:t>This is required for study compliance.</w:t>
      </w:r>
    </w:p>
    <w:tbl>
      <w:tblPr>
        <w:tblStyle w:val="TableGrid"/>
        <w:tblW w:w="9738" w:type="dxa"/>
        <w:tblLayout w:type="fixed"/>
        <w:tblLook w:val="04A0" w:firstRow="1" w:lastRow="0" w:firstColumn="1" w:lastColumn="0" w:noHBand="0" w:noVBand="1"/>
      </w:tblPr>
      <w:tblGrid>
        <w:gridCol w:w="738"/>
        <w:gridCol w:w="990"/>
        <w:gridCol w:w="990"/>
        <w:gridCol w:w="2158"/>
        <w:gridCol w:w="722"/>
        <w:gridCol w:w="990"/>
        <w:gridCol w:w="990"/>
        <w:gridCol w:w="2160"/>
      </w:tblGrid>
      <w:tr w:rsidR="002004F2" w:rsidRPr="007A3223" w14:paraId="60942744" w14:textId="77777777" w:rsidTr="00772708">
        <w:tc>
          <w:tcPr>
            <w:tcW w:w="9738" w:type="dxa"/>
            <w:gridSpan w:val="8"/>
          </w:tcPr>
          <w:p w14:paraId="3D1A21B0" w14:textId="77777777" w:rsidR="002004F2" w:rsidRPr="007A3223" w:rsidRDefault="002004F2" w:rsidP="00772708">
            <w:pPr>
              <w:tabs>
                <w:tab w:val="left" w:pos="4590"/>
                <w:tab w:val="left" w:pos="5130"/>
                <w:tab w:val="left" w:pos="8640"/>
              </w:tabs>
              <w:spacing w:before="20" w:after="20"/>
            </w:pPr>
            <w:r w:rsidRPr="007A3223">
              <w:t>Instructions to the Patient</w:t>
            </w:r>
          </w:p>
          <w:p w14:paraId="2E8B3A3A" w14:textId="77777777" w:rsidR="002004F2" w:rsidRPr="007A3223" w:rsidRDefault="002004F2" w:rsidP="00F93ED6">
            <w:pPr>
              <w:pStyle w:val="Default"/>
              <w:numPr>
                <w:ilvl w:val="2"/>
                <w:numId w:val="4"/>
              </w:numPr>
              <w:spacing w:before="20" w:after="20"/>
              <w:ind w:left="270"/>
            </w:pPr>
            <w:r w:rsidRPr="007A3223">
              <w:t xml:space="preserve">Your blood pressure readings have two numbers. The first number is the pressure in your blood vessels during a heart beat (systolic), and the second number is the pressure in the vessels when the heart rests in between beats (diastolic). These numbers are usually written with a slash in between them (for example, normal blood pressure is 120/80). </w:t>
            </w:r>
          </w:p>
          <w:p w14:paraId="2E457C04" w14:textId="77777777" w:rsidR="002004F2" w:rsidRPr="007A3223" w:rsidRDefault="002004F2" w:rsidP="00F93ED6">
            <w:pPr>
              <w:pStyle w:val="Default"/>
              <w:numPr>
                <w:ilvl w:val="2"/>
                <w:numId w:val="4"/>
              </w:numPr>
              <w:spacing w:before="20" w:after="20"/>
              <w:ind w:left="270"/>
            </w:pPr>
            <w:r w:rsidRPr="007A3223">
              <w:t xml:space="preserve">Record the date, then record your blood pressure twice each day using a home blood pressure monitor: </w:t>
            </w:r>
          </w:p>
          <w:p w14:paraId="3AB38117" w14:textId="77777777" w:rsidR="002004F2" w:rsidRPr="007A3223" w:rsidRDefault="002004F2" w:rsidP="00FB66BA">
            <w:pPr>
              <w:pStyle w:val="Default"/>
              <w:numPr>
                <w:ilvl w:val="0"/>
                <w:numId w:val="43"/>
              </w:numPr>
              <w:spacing w:before="20" w:after="20"/>
            </w:pPr>
            <w:r w:rsidRPr="007A3223">
              <w:t xml:space="preserve">each morning while you are resting or reading (not while you are active: dressing, making breakfast, etc.) </w:t>
            </w:r>
          </w:p>
          <w:p w14:paraId="136C2ED1" w14:textId="77777777" w:rsidR="002004F2" w:rsidRPr="007A3223" w:rsidRDefault="002004F2" w:rsidP="00FB66BA">
            <w:pPr>
              <w:pStyle w:val="Default"/>
              <w:numPr>
                <w:ilvl w:val="0"/>
                <w:numId w:val="43"/>
              </w:numPr>
              <w:spacing w:before="20" w:after="20"/>
            </w:pPr>
            <w:r w:rsidRPr="007A3223">
              <w:t xml:space="preserve">each evening at bedtime or while you are relaxing during the evening </w:t>
            </w:r>
          </w:p>
          <w:p w14:paraId="384CCB23" w14:textId="77777777" w:rsidR="002004F2" w:rsidRPr="007A3223" w:rsidRDefault="002004F2" w:rsidP="00F93ED6">
            <w:pPr>
              <w:pStyle w:val="Default"/>
              <w:numPr>
                <w:ilvl w:val="2"/>
                <w:numId w:val="4"/>
              </w:numPr>
              <w:spacing w:before="20" w:after="20"/>
              <w:ind w:left="270"/>
            </w:pPr>
            <w:r w:rsidRPr="007A3223">
              <w:t xml:space="preserve">If you take your blood pressure at other times of the day, please record the numbers and time under “Other readings.” </w:t>
            </w:r>
          </w:p>
          <w:p w14:paraId="7B0A98C8" w14:textId="6030CC91" w:rsidR="002004F2" w:rsidRPr="007A3223" w:rsidRDefault="002004F2" w:rsidP="00F93ED6">
            <w:pPr>
              <w:pStyle w:val="Default"/>
              <w:numPr>
                <w:ilvl w:val="2"/>
                <w:numId w:val="4"/>
              </w:numPr>
              <w:spacing w:before="20" w:after="20"/>
              <w:ind w:left="270"/>
            </w:pPr>
            <w:r w:rsidRPr="007A3223">
              <w:t xml:space="preserve">If your systolic pressure is greater than 140 or your diastolic blood pressure is greater than 90 twice in a row measured several hours apart, please contact your doctor’s office at ___________________ for instructions. </w:t>
            </w:r>
          </w:p>
        </w:tc>
      </w:tr>
      <w:tr w:rsidR="00B53C4A" w:rsidRPr="007A3223" w14:paraId="29FD1302" w14:textId="77777777" w:rsidTr="00F236D8">
        <w:tc>
          <w:tcPr>
            <w:tcW w:w="738" w:type="dxa"/>
            <w:tcBorders>
              <w:bottom w:val="single" w:sz="18" w:space="0" w:color="auto"/>
            </w:tcBorders>
          </w:tcPr>
          <w:p w14:paraId="2EB34A39" w14:textId="77777777" w:rsidR="002004F2" w:rsidRPr="007A3223" w:rsidRDefault="002004F2" w:rsidP="002004F2">
            <w:pPr>
              <w:tabs>
                <w:tab w:val="left" w:pos="4590"/>
                <w:tab w:val="left" w:pos="5130"/>
                <w:tab w:val="left" w:pos="8640"/>
              </w:tabs>
            </w:pPr>
            <w:r w:rsidRPr="007A3223">
              <w:t>Date</w:t>
            </w:r>
          </w:p>
        </w:tc>
        <w:tc>
          <w:tcPr>
            <w:tcW w:w="990" w:type="dxa"/>
            <w:tcBorders>
              <w:bottom w:val="single" w:sz="18" w:space="0" w:color="auto"/>
            </w:tcBorders>
          </w:tcPr>
          <w:p w14:paraId="2F33437A" w14:textId="77777777" w:rsidR="002004F2" w:rsidRPr="007A3223" w:rsidRDefault="002004F2" w:rsidP="002004F2">
            <w:pPr>
              <w:tabs>
                <w:tab w:val="left" w:pos="4590"/>
                <w:tab w:val="left" w:pos="5130"/>
                <w:tab w:val="left" w:pos="8640"/>
              </w:tabs>
            </w:pPr>
            <w:r w:rsidRPr="007A3223">
              <w:t>AM readings</w:t>
            </w:r>
          </w:p>
        </w:tc>
        <w:tc>
          <w:tcPr>
            <w:tcW w:w="990" w:type="dxa"/>
            <w:tcBorders>
              <w:bottom w:val="single" w:sz="18" w:space="0" w:color="auto"/>
            </w:tcBorders>
          </w:tcPr>
          <w:p w14:paraId="5CB05FD5" w14:textId="77777777" w:rsidR="002004F2" w:rsidRPr="007A3223" w:rsidRDefault="002004F2" w:rsidP="002004F2">
            <w:pPr>
              <w:tabs>
                <w:tab w:val="left" w:pos="4590"/>
                <w:tab w:val="left" w:pos="5130"/>
                <w:tab w:val="left" w:pos="8640"/>
              </w:tabs>
            </w:pPr>
            <w:r w:rsidRPr="007A3223">
              <w:t>PM readings</w:t>
            </w:r>
          </w:p>
        </w:tc>
        <w:tc>
          <w:tcPr>
            <w:tcW w:w="2158" w:type="dxa"/>
            <w:tcBorders>
              <w:bottom w:val="single" w:sz="18" w:space="0" w:color="auto"/>
              <w:right w:val="double" w:sz="4" w:space="0" w:color="auto"/>
            </w:tcBorders>
          </w:tcPr>
          <w:p w14:paraId="75595747" w14:textId="77777777" w:rsidR="002004F2" w:rsidRPr="007A3223" w:rsidRDefault="002004F2" w:rsidP="002004F2">
            <w:pPr>
              <w:tabs>
                <w:tab w:val="left" w:pos="4590"/>
                <w:tab w:val="left" w:pos="5130"/>
                <w:tab w:val="left" w:pos="8640"/>
              </w:tabs>
            </w:pPr>
            <w:r w:rsidRPr="007A3223">
              <w:t>Other readings (include time of day)</w:t>
            </w:r>
          </w:p>
        </w:tc>
        <w:tc>
          <w:tcPr>
            <w:tcW w:w="722" w:type="dxa"/>
            <w:tcBorders>
              <w:left w:val="double" w:sz="4" w:space="0" w:color="auto"/>
              <w:bottom w:val="single" w:sz="18" w:space="0" w:color="auto"/>
            </w:tcBorders>
          </w:tcPr>
          <w:p w14:paraId="7F762404" w14:textId="77777777" w:rsidR="002004F2" w:rsidRPr="007A3223" w:rsidRDefault="002004F2" w:rsidP="002004F2">
            <w:pPr>
              <w:tabs>
                <w:tab w:val="left" w:pos="4590"/>
                <w:tab w:val="left" w:pos="5130"/>
                <w:tab w:val="left" w:pos="8640"/>
              </w:tabs>
            </w:pPr>
            <w:r w:rsidRPr="007A3223">
              <w:t>Date</w:t>
            </w:r>
          </w:p>
        </w:tc>
        <w:tc>
          <w:tcPr>
            <w:tcW w:w="990" w:type="dxa"/>
            <w:tcBorders>
              <w:bottom w:val="single" w:sz="18" w:space="0" w:color="auto"/>
            </w:tcBorders>
          </w:tcPr>
          <w:p w14:paraId="7250BCF0" w14:textId="77777777" w:rsidR="002004F2" w:rsidRPr="007A3223" w:rsidRDefault="002004F2" w:rsidP="002004F2">
            <w:pPr>
              <w:tabs>
                <w:tab w:val="left" w:pos="4590"/>
                <w:tab w:val="left" w:pos="5130"/>
                <w:tab w:val="left" w:pos="8640"/>
              </w:tabs>
            </w:pPr>
            <w:r w:rsidRPr="007A3223">
              <w:t>AM readings</w:t>
            </w:r>
          </w:p>
        </w:tc>
        <w:tc>
          <w:tcPr>
            <w:tcW w:w="990" w:type="dxa"/>
            <w:tcBorders>
              <w:bottom w:val="single" w:sz="18" w:space="0" w:color="auto"/>
            </w:tcBorders>
          </w:tcPr>
          <w:p w14:paraId="1E6D3D66" w14:textId="77777777" w:rsidR="002004F2" w:rsidRPr="007A3223" w:rsidRDefault="002004F2" w:rsidP="002004F2">
            <w:pPr>
              <w:tabs>
                <w:tab w:val="left" w:pos="4590"/>
                <w:tab w:val="left" w:pos="5130"/>
                <w:tab w:val="left" w:pos="8640"/>
              </w:tabs>
            </w:pPr>
            <w:r w:rsidRPr="007A3223">
              <w:t>PM readings</w:t>
            </w:r>
          </w:p>
        </w:tc>
        <w:tc>
          <w:tcPr>
            <w:tcW w:w="2160" w:type="dxa"/>
            <w:tcBorders>
              <w:bottom w:val="single" w:sz="18" w:space="0" w:color="auto"/>
            </w:tcBorders>
          </w:tcPr>
          <w:p w14:paraId="5FD92F6B" w14:textId="77777777" w:rsidR="002004F2" w:rsidRPr="007A3223" w:rsidRDefault="002004F2" w:rsidP="002004F2">
            <w:pPr>
              <w:tabs>
                <w:tab w:val="left" w:pos="4590"/>
                <w:tab w:val="left" w:pos="5130"/>
                <w:tab w:val="left" w:pos="8640"/>
              </w:tabs>
            </w:pPr>
            <w:r w:rsidRPr="007A3223">
              <w:t>Other readings (include time of day)</w:t>
            </w:r>
          </w:p>
        </w:tc>
      </w:tr>
      <w:tr w:rsidR="00B53C4A" w:rsidRPr="007A3223" w14:paraId="05D9FCA3" w14:textId="77777777" w:rsidTr="00F236D8">
        <w:tc>
          <w:tcPr>
            <w:tcW w:w="738" w:type="dxa"/>
            <w:tcBorders>
              <w:top w:val="single" w:sz="18" w:space="0" w:color="auto"/>
            </w:tcBorders>
          </w:tcPr>
          <w:p w14:paraId="6CCF0638" w14:textId="77777777" w:rsidR="00E904E0" w:rsidRPr="007A3223" w:rsidRDefault="00E904E0" w:rsidP="00772708">
            <w:pPr>
              <w:tabs>
                <w:tab w:val="left" w:pos="4590"/>
                <w:tab w:val="left" w:pos="5130"/>
                <w:tab w:val="left" w:pos="8640"/>
              </w:tabs>
              <w:spacing w:after="60"/>
            </w:pPr>
          </w:p>
        </w:tc>
        <w:tc>
          <w:tcPr>
            <w:tcW w:w="990" w:type="dxa"/>
            <w:tcBorders>
              <w:top w:val="single" w:sz="18" w:space="0" w:color="auto"/>
            </w:tcBorders>
          </w:tcPr>
          <w:p w14:paraId="5D2E9205"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Borders>
              <w:top w:val="single" w:sz="18" w:space="0" w:color="auto"/>
            </w:tcBorders>
          </w:tcPr>
          <w:p w14:paraId="5EA4B76F"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top w:val="single" w:sz="18" w:space="0" w:color="auto"/>
              <w:right w:val="double" w:sz="4" w:space="0" w:color="auto"/>
            </w:tcBorders>
          </w:tcPr>
          <w:p w14:paraId="701E138F" w14:textId="77777777" w:rsidR="00E904E0" w:rsidRPr="007A3223" w:rsidRDefault="00E904E0" w:rsidP="00772708">
            <w:pPr>
              <w:tabs>
                <w:tab w:val="left" w:pos="4590"/>
                <w:tab w:val="left" w:pos="5130"/>
                <w:tab w:val="left" w:pos="8640"/>
              </w:tabs>
              <w:spacing w:after="60"/>
            </w:pPr>
          </w:p>
        </w:tc>
        <w:tc>
          <w:tcPr>
            <w:tcW w:w="722" w:type="dxa"/>
            <w:tcBorders>
              <w:top w:val="single" w:sz="18" w:space="0" w:color="auto"/>
              <w:left w:val="double" w:sz="4" w:space="0" w:color="auto"/>
            </w:tcBorders>
          </w:tcPr>
          <w:p w14:paraId="4CE146EA" w14:textId="77777777" w:rsidR="00E904E0" w:rsidRPr="007A3223" w:rsidRDefault="00E904E0" w:rsidP="00772708">
            <w:pPr>
              <w:tabs>
                <w:tab w:val="left" w:pos="4590"/>
                <w:tab w:val="left" w:pos="5130"/>
                <w:tab w:val="left" w:pos="8640"/>
              </w:tabs>
              <w:spacing w:after="60"/>
            </w:pPr>
          </w:p>
        </w:tc>
        <w:tc>
          <w:tcPr>
            <w:tcW w:w="990" w:type="dxa"/>
            <w:tcBorders>
              <w:top w:val="single" w:sz="18" w:space="0" w:color="auto"/>
            </w:tcBorders>
          </w:tcPr>
          <w:p w14:paraId="796A637C"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Borders>
              <w:top w:val="single" w:sz="18" w:space="0" w:color="auto"/>
            </w:tcBorders>
          </w:tcPr>
          <w:p w14:paraId="01777C25"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Borders>
              <w:top w:val="single" w:sz="18" w:space="0" w:color="auto"/>
            </w:tcBorders>
          </w:tcPr>
          <w:p w14:paraId="5FE240BA" w14:textId="77777777" w:rsidR="00E904E0" w:rsidRPr="007A3223" w:rsidRDefault="00E904E0" w:rsidP="00772708">
            <w:pPr>
              <w:tabs>
                <w:tab w:val="left" w:pos="4590"/>
                <w:tab w:val="left" w:pos="5130"/>
                <w:tab w:val="left" w:pos="8640"/>
              </w:tabs>
              <w:spacing w:after="60"/>
            </w:pPr>
          </w:p>
        </w:tc>
      </w:tr>
      <w:tr w:rsidR="00B53C4A" w:rsidRPr="007A3223" w14:paraId="32572475" w14:textId="77777777" w:rsidTr="00F236D8">
        <w:tc>
          <w:tcPr>
            <w:tcW w:w="738" w:type="dxa"/>
          </w:tcPr>
          <w:p w14:paraId="16BDA8B9" w14:textId="77777777" w:rsidR="00E904E0" w:rsidRPr="007A3223" w:rsidRDefault="00E904E0" w:rsidP="00772708">
            <w:pPr>
              <w:tabs>
                <w:tab w:val="left" w:pos="4590"/>
                <w:tab w:val="left" w:pos="5130"/>
                <w:tab w:val="left" w:pos="8640"/>
              </w:tabs>
              <w:spacing w:after="60"/>
            </w:pPr>
          </w:p>
        </w:tc>
        <w:tc>
          <w:tcPr>
            <w:tcW w:w="990" w:type="dxa"/>
          </w:tcPr>
          <w:p w14:paraId="04FE7AD5"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31BAE4A4"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69E2484F"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28FCEBA6" w14:textId="77777777" w:rsidR="00E904E0" w:rsidRPr="007A3223" w:rsidRDefault="00E904E0" w:rsidP="00772708">
            <w:pPr>
              <w:tabs>
                <w:tab w:val="left" w:pos="4590"/>
                <w:tab w:val="left" w:pos="5130"/>
                <w:tab w:val="left" w:pos="8640"/>
              </w:tabs>
              <w:spacing w:after="60"/>
            </w:pPr>
          </w:p>
        </w:tc>
        <w:tc>
          <w:tcPr>
            <w:tcW w:w="990" w:type="dxa"/>
          </w:tcPr>
          <w:p w14:paraId="09E8F6D5"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4951ED58"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670B2A00" w14:textId="77777777" w:rsidR="00E904E0" w:rsidRPr="007A3223" w:rsidRDefault="00E904E0" w:rsidP="00772708">
            <w:pPr>
              <w:tabs>
                <w:tab w:val="left" w:pos="4590"/>
                <w:tab w:val="left" w:pos="5130"/>
                <w:tab w:val="left" w:pos="8640"/>
              </w:tabs>
              <w:spacing w:after="60"/>
            </w:pPr>
          </w:p>
        </w:tc>
      </w:tr>
      <w:tr w:rsidR="00E904E0" w:rsidRPr="007A3223" w14:paraId="096B4F47" w14:textId="77777777" w:rsidTr="00772708">
        <w:tc>
          <w:tcPr>
            <w:tcW w:w="738" w:type="dxa"/>
          </w:tcPr>
          <w:p w14:paraId="541E69E7" w14:textId="77777777" w:rsidR="00E904E0" w:rsidRPr="007A3223" w:rsidRDefault="00E904E0" w:rsidP="00772708">
            <w:pPr>
              <w:tabs>
                <w:tab w:val="left" w:pos="4590"/>
                <w:tab w:val="left" w:pos="5130"/>
                <w:tab w:val="left" w:pos="8640"/>
              </w:tabs>
              <w:spacing w:after="60"/>
            </w:pPr>
          </w:p>
        </w:tc>
        <w:tc>
          <w:tcPr>
            <w:tcW w:w="990" w:type="dxa"/>
          </w:tcPr>
          <w:p w14:paraId="2DD1B51C"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611DC61E"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4E4649A9"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7984AD49" w14:textId="77777777" w:rsidR="00E904E0" w:rsidRPr="007A3223" w:rsidRDefault="00E904E0" w:rsidP="00772708">
            <w:pPr>
              <w:tabs>
                <w:tab w:val="left" w:pos="4590"/>
                <w:tab w:val="left" w:pos="5130"/>
                <w:tab w:val="left" w:pos="8640"/>
              </w:tabs>
              <w:spacing w:after="60"/>
            </w:pPr>
          </w:p>
        </w:tc>
        <w:tc>
          <w:tcPr>
            <w:tcW w:w="990" w:type="dxa"/>
          </w:tcPr>
          <w:p w14:paraId="71F8C200"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6F377D32"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3ECAE977" w14:textId="77777777" w:rsidR="00E904E0" w:rsidRPr="007A3223" w:rsidRDefault="00E904E0" w:rsidP="00772708">
            <w:pPr>
              <w:tabs>
                <w:tab w:val="left" w:pos="4590"/>
                <w:tab w:val="left" w:pos="5130"/>
                <w:tab w:val="left" w:pos="8640"/>
              </w:tabs>
              <w:spacing w:after="60"/>
            </w:pPr>
          </w:p>
        </w:tc>
      </w:tr>
      <w:tr w:rsidR="00E904E0" w:rsidRPr="007A3223" w14:paraId="68883FEF" w14:textId="77777777" w:rsidTr="00772708">
        <w:tc>
          <w:tcPr>
            <w:tcW w:w="738" w:type="dxa"/>
          </w:tcPr>
          <w:p w14:paraId="74CD107C" w14:textId="77777777" w:rsidR="00E904E0" w:rsidRPr="007A3223" w:rsidRDefault="00E904E0" w:rsidP="00772708">
            <w:pPr>
              <w:tabs>
                <w:tab w:val="left" w:pos="4590"/>
                <w:tab w:val="left" w:pos="5130"/>
                <w:tab w:val="left" w:pos="8640"/>
              </w:tabs>
              <w:spacing w:after="60"/>
            </w:pPr>
          </w:p>
        </w:tc>
        <w:tc>
          <w:tcPr>
            <w:tcW w:w="990" w:type="dxa"/>
          </w:tcPr>
          <w:p w14:paraId="79FE6000"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2EB5E30D"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12D437BA"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726A916A" w14:textId="77777777" w:rsidR="00E904E0" w:rsidRPr="007A3223" w:rsidRDefault="00E904E0" w:rsidP="00772708">
            <w:pPr>
              <w:tabs>
                <w:tab w:val="left" w:pos="4590"/>
                <w:tab w:val="left" w:pos="5130"/>
                <w:tab w:val="left" w:pos="8640"/>
              </w:tabs>
              <w:spacing w:after="60"/>
            </w:pPr>
          </w:p>
        </w:tc>
        <w:tc>
          <w:tcPr>
            <w:tcW w:w="990" w:type="dxa"/>
          </w:tcPr>
          <w:p w14:paraId="7D598E35"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6FB18D73"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098C5AE9" w14:textId="77777777" w:rsidR="00E904E0" w:rsidRPr="007A3223" w:rsidRDefault="00E904E0" w:rsidP="00772708">
            <w:pPr>
              <w:tabs>
                <w:tab w:val="left" w:pos="4590"/>
                <w:tab w:val="left" w:pos="5130"/>
                <w:tab w:val="left" w:pos="8640"/>
              </w:tabs>
              <w:spacing w:after="60"/>
            </w:pPr>
          </w:p>
        </w:tc>
      </w:tr>
      <w:tr w:rsidR="00E904E0" w:rsidRPr="007A3223" w14:paraId="44A6BF04" w14:textId="77777777" w:rsidTr="00772708">
        <w:tc>
          <w:tcPr>
            <w:tcW w:w="738" w:type="dxa"/>
          </w:tcPr>
          <w:p w14:paraId="4E09A2DE" w14:textId="77777777" w:rsidR="00E904E0" w:rsidRPr="007A3223" w:rsidRDefault="00E904E0" w:rsidP="00772708">
            <w:pPr>
              <w:tabs>
                <w:tab w:val="left" w:pos="4590"/>
                <w:tab w:val="left" w:pos="5130"/>
                <w:tab w:val="left" w:pos="8640"/>
              </w:tabs>
              <w:spacing w:after="60"/>
            </w:pPr>
          </w:p>
        </w:tc>
        <w:tc>
          <w:tcPr>
            <w:tcW w:w="990" w:type="dxa"/>
          </w:tcPr>
          <w:p w14:paraId="62B9FFD4"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14985869"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3384794E"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7C2E71E9" w14:textId="77777777" w:rsidR="00E904E0" w:rsidRPr="007A3223" w:rsidRDefault="00E904E0" w:rsidP="00772708">
            <w:pPr>
              <w:tabs>
                <w:tab w:val="left" w:pos="4590"/>
                <w:tab w:val="left" w:pos="5130"/>
                <w:tab w:val="left" w:pos="8640"/>
              </w:tabs>
              <w:spacing w:after="60"/>
            </w:pPr>
          </w:p>
        </w:tc>
        <w:tc>
          <w:tcPr>
            <w:tcW w:w="990" w:type="dxa"/>
          </w:tcPr>
          <w:p w14:paraId="1CD4E9EA"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2F1E69A3"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3CC74B76" w14:textId="77777777" w:rsidR="00E904E0" w:rsidRPr="007A3223" w:rsidRDefault="00E904E0" w:rsidP="00772708">
            <w:pPr>
              <w:tabs>
                <w:tab w:val="left" w:pos="4590"/>
                <w:tab w:val="left" w:pos="5130"/>
                <w:tab w:val="left" w:pos="8640"/>
              </w:tabs>
              <w:spacing w:after="60"/>
            </w:pPr>
          </w:p>
        </w:tc>
      </w:tr>
      <w:tr w:rsidR="00E904E0" w:rsidRPr="007A3223" w14:paraId="240FA8E9" w14:textId="77777777" w:rsidTr="00772708">
        <w:tc>
          <w:tcPr>
            <w:tcW w:w="738" w:type="dxa"/>
          </w:tcPr>
          <w:p w14:paraId="4BFACB6D" w14:textId="77777777" w:rsidR="00E904E0" w:rsidRPr="007A3223" w:rsidRDefault="00E904E0" w:rsidP="00772708">
            <w:pPr>
              <w:tabs>
                <w:tab w:val="left" w:pos="4590"/>
                <w:tab w:val="left" w:pos="5130"/>
                <w:tab w:val="left" w:pos="8640"/>
              </w:tabs>
              <w:spacing w:after="60"/>
            </w:pPr>
          </w:p>
        </w:tc>
        <w:tc>
          <w:tcPr>
            <w:tcW w:w="990" w:type="dxa"/>
          </w:tcPr>
          <w:p w14:paraId="6F5AFFAB"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110F329E"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0F1595AB"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4A1B726C" w14:textId="77777777" w:rsidR="00E904E0" w:rsidRPr="007A3223" w:rsidRDefault="00E904E0" w:rsidP="00772708">
            <w:pPr>
              <w:tabs>
                <w:tab w:val="left" w:pos="4590"/>
                <w:tab w:val="left" w:pos="5130"/>
                <w:tab w:val="left" w:pos="8640"/>
              </w:tabs>
              <w:spacing w:after="60"/>
            </w:pPr>
          </w:p>
        </w:tc>
        <w:tc>
          <w:tcPr>
            <w:tcW w:w="990" w:type="dxa"/>
          </w:tcPr>
          <w:p w14:paraId="1A018702"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47A50F2C"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2243F4B6" w14:textId="77777777" w:rsidR="00E904E0" w:rsidRPr="007A3223" w:rsidRDefault="00E904E0" w:rsidP="00772708">
            <w:pPr>
              <w:tabs>
                <w:tab w:val="left" w:pos="4590"/>
                <w:tab w:val="left" w:pos="5130"/>
                <w:tab w:val="left" w:pos="8640"/>
              </w:tabs>
              <w:spacing w:after="60"/>
            </w:pPr>
          </w:p>
        </w:tc>
      </w:tr>
      <w:tr w:rsidR="00E904E0" w:rsidRPr="007A3223" w14:paraId="24BAF1B5" w14:textId="77777777" w:rsidTr="00772708">
        <w:tc>
          <w:tcPr>
            <w:tcW w:w="738" w:type="dxa"/>
          </w:tcPr>
          <w:p w14:paraId="07CFAE5E" w14:textId="77777777" w:rsidR="00E904E0" w:rsidRPr="007A3223" w:rsidRDefault="00E904E0" w:rsidP="00772708">
            <w:pPr>
              <w:tabs>
                <w:tab w:val="left" w:pos="4590"/>
                <w:tab w:val="left" w:pos="5130"/>
                <w:tab w:val="left" w:pos="8640"/>
              </w:tabs>
              <w:spacing w:after="60"/>
            </w:pPr>
          </w:p>
        </w:tc>
        <w:tc>
          <w:tcPr>
            <w:tcW w:w="990" w:type="dxa"/>
          </w:tcPr>
          <w:p w14:paraId="4560F6B5"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33E55E30"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015B2884"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212DF199" w14:textId="77777777" w:rsidR="00E904E0" w:rsidRPr="007A3223" w:rsidRDefault="00E904E0" w:rsidP="00772708">
            <w:pPr>
              <w:tabs>
                <w:tab w:val="left" w:pos="4590"/>
                <w:tab w:val="left" w:pos="5130"/>
                <w:tab w:val="left" w:pos="8640"/>
              </w:tabs>
              <w:spacing w:after="60"/>
            </w:pPr>
          </w:p>
        </w:tc>
        <w:tc>
          <w:tcPr>
            <w:tcW w:w="990" w:type="dxa"/>
          </w:tcPr>
          <w:p w14:paraId="7A9A4369"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0B190DC5"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5B31E8C0" w14:textId="77777777" w:rsidR="00E904E0" w:rsidRPr="007A3223" w:rsidRDefault="00E904E0" w:rsidP="00772708">
            <w:pPr>
              <w:tabs>
                <w:tab w:val="left" w:pos="4590"/>
                <w:tab w:val="left" w:pos="5130"/>
                <w:tab w:val="left" w:pos="8640"/>
              </w:tabs>
              <w:spacing w:after="60"/>
            </w:pPr>
          </w:p>
        </w:tc>
      </w:tr>
      <w:tr w:rsidR="00E904E0" w:rsidRPr="007A3223" w14:paraId="4388E596" w14:textId="77777777" w:rsidTr="00772708">
        <w:tc>
          <w:tcPr>
            <w:tcW w:w="738" w:type="dxa"/>
          </w:tcPr>
          <w:p w14:paraId="32D76C12" w14:textId="77777777" w:rsidR="00E904E0" w:rsidRPr="007A3223" w:rsidRDefault="00E904E0" w:rsidP="00772708">
            <w:pPr>
              <w:tabs>
                <w:tab w:val="left" w:pos="4590"/>
                <w:tab w:val="left" w:pos="5130"/>
                <w:tab w:val="left" w:pos="8640"/>
              </w:tabs>
              <w:spacing w:after="60"/>
            </w:pPr>
          </w:p>
        </w:tc>
        <w:tc>
          <w:tcPr>
            <w:tcW w:w="990" w:type="dxa"/>
          </w:tcPr>
          <w:p w14:paraId="0D59B4AD"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457504EC"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354AB4CA"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0E06882C" w14:textId="77777777" w:rsidR="00E904E0" w:rsidRPr="007A3223" w:rsidRDefault="00E904E0" w:rsidP="00772708">
            <w:pPr>
              <w:tabs>
                <w:tab w:val="left" w:pos="4590"/>
                <w:tab w:val="left" w:pos="5130"/>
                <w:tab w:val="left" w:pos="8640"/>
              </w:tabs>
              <w:spacing w:after="60"/>
            </w:pPr>
          </w:p>
        </w:tc>
        <w:tc>
          <w:tcPr>
            <w:tcW w:w="990" w:type="dxa"/>
          </w:tcPr>
          <w:p w14:paraId="2BA2AAD8"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1A80F66A"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607A0118" w14:textId="77777777" w:rsidR="00E904E0" w:rsidRPr="007A3223" w:rsidRDefault="00E904E0" w:rsidP="00772708">
            <w:pPr>
              <w:tabs>
                <w:tab w:val="left" w:pos="4590"/>
                <w:tab w:val="left" w:pos="5130"/>
                <w:tab w:val="left" w:pos="8640"/>
              </w:tabs>
              <w:spacing w:after="60"/>
            </w:pPr>
          </w:p>
        </w:tc>
      </w:tr>
      <w:tr w:rsidR="00E904E0" w:rsidRPr="007A3223" w14:paraId="7A0F296C" w14:textId="77777777" w:rsidTr="00772708">
        <w:tc>
          <w:tcPr>
            <w:tcW w:w="738" w:type="dxa"/>
          </w:tcPr>
          <w:p w14:paraId="75DC8C99" w14:textId="77777777" w:rsidR="00E904E0" w:rsidRPr="007A3223" w:rsidRDefault="00E904E0" w:rsidP="00772708">
            <w:pPr>
              <w:tabs>
                <w:tab w:val="left" w:pos="4590"/>
                <w:tab w:val="left" w:pos="5130"/>
                <w:tab w:val="left" w:pos="8640"/>
              </w:tabs>
              <w:spacing w:after="60"/>
            </w:pPr>
          </w:p>
        </w:tc>
        <w:tc>
          <w:tcPr>
            <w:tcW w:w="990" w:type="dxa"/>
          </w:tcPr>
          <w:p w14:paraId="290AB302"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1A821D15"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0CA281CE"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515A60C6" w14:textId="77777777" w:rsidR="00E904E0" w:rsidRPr="007A3223" w:rsidRDefault="00E904E0" w:rsidP="00772708">
            <w:pPr>
              <w:tabs>
                <w:tab w:val="left" w:pos="4590"/>
                <w:tab w:val="left" w:pos="5130"/>
                <w:tab w:val="left" w:pos="8640"/>
              </w:tabs>
              <w:spacing w:after="60"/>
            </w:pPr>
          </w:p>
        </w:tc>
        <w:tc>
          <w:tcPr>
            <w:tcW w:w="990" w:type="dxa"/>
          </w:tcPr>
          <w:p w14:paraId="133F7AD4"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0557C3E7"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130320D4" w14:textId="77777777" w:rsidR="00E904E0" w:rsidRPr="007A3223" w:rsidRDefault="00E904E0" w:rsidP="00772708">
            <w:pPr>
              <w:tabs>
                <w:tab w:val="left" w:pos="4590"/>
                <w:tab w:val="left" w:pos="5130"/>
                <w:tab w:val="left" w:pos="8640"/>
              </w:tabs>
              <w:spacing w:after="60"/>
            </w:pPr>
          </w:p>
        </w:tc>
      </w:tr>
      <w:tr w:rsidR="00E904E0" w:rsidRPr="007A3223" w14:paraId="61B5D9D4" w14:textId="77777777" w:rsidTr="00772708">
        <w:tc>
          <w:tcPr>
            <w:tcW w:w="738" w:type="dxa"/>
          </w:tcPr>
          <w:p w14:paraId="32B50E38" w14:textId="77777777" w:rsidR="00E904E0" w:rsidRPr="007A3223" w:rsidRDefault="00E904E0" w:rsidP="00772708">
            <w:pPr>
              <w:tabs>
                <w:tab w:val="left" w:pos="4590"/>
                <w:tab w:val="left" w:pos="5130"/>
                <w:tab w:val="left" w:pos="8640"/>
              </w:tabs>
              <w:spacing w:after="60"/>
            </w:pPr>
          </w:p>
        </w:tc>
        <w:tc>
          <w:tcPr>
            <w:tcW w:w="990" w:type="dxa"/>
          </w:tcPr>
          <w:p w14:paraId="66EF4917"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04D3F3E4" w14:textId="77777777" w:rsidR="00E904E0" w:rsidRPr="007A3223" w:rsidRDefault="00E904E0"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524020F5" w14:textId="77777777" w:rsidR="00E904E0" w:rsidRPr="007A3223" w:rsidRDefault="00E904E0" w:rsidP="00772708">
            <w:pPr>
              <w:tabs>
                <w:tab w:val="left" w:pos="4590"/>
                <w:tab w:val="left" w:pos="5130"/>
                <w:tab w:val="left" w:pos="8640"/>
              </w:tabs>
              <w:spacing w:after="60"/>
            </w:pPr>
          </w:p>
        </w:tc>
        <w:tc>
          <w:tcPr>
            <w:tcW w:w="722" w:type="dxa"/>
            <w:tcBorders>
              <w:left w:val="double" w:sz="4" w:space="0" w:color="auto"/>
            </w:tcBorders>
          </w:tcPr>
          <w:p w14:paraId="013D3A83" w14:textId="77777777" w:rsidR="00E904E0" w:rsidRPr="007A3223" w:rsidRDefault="00E904E0" w:rsidP="00772708">
            <w:pPr>
              <w:tabs>
                <w:tab w:val="left" w:pos="4590"/>
                <w:tab w:val="left" w:pos="5130"/>
                <w:tab w:val="left" w:pos="8640"/>
              </w:tabs>
              <w:spacing w:after="60"/>
            </w:pPr>
          </w:p>
        </w:tc>
        <w:tc>
          <w:tcPr>
            <w:tcW w:w="990" w:type="dxa"/>
          </w:tcPr>
          <w:p w14:paraId="24FA6F76" w14:textId="77777777" w:rsidR="00E904E0" w:rsidRPr="007A3223" w:rsidRDefault="00E904E0" w:rsidP="00772708">
            <w:pPr>
              <w:tabs>
                <w:tab w:val="left" w:pos="4590"/>
                <w:tab w:val="left" w:pos="5130"/>
                <w:tab w:val="left" w:pos="8640"/>
              </w:tabs>
              <w:spacing w:after="60"/>
              <w:jc w:val="center"/>
            </w:pPr>
            <w:r w:rsidRPr="007A3223">
              <w:t>/</w:t>
            </w:r>
          </w:p>
        </w:tc>
        <w:tc>
          <w:tcPr>
            <w:tcW w:w="990" w:type="dxa"/>
          </w:tcPr>
          <w:p w14:paraId="3692BA5D" w14:textId="77777777" w:rsidR="00E904E0" w:rsidRPr="007A3223" w:rsidRDefault="00E904E0" w:rsidP="00772708">
            <w:pPr>
              <w:tabs>
                <w:tab w:val="left" w:pos="4590"/>
                <w:tab w:val="left" w:pos="5130"/>
                <w:tab w:val="left" w:pos="8640"/>
              </w:tabs>
              <w:spacing w:after="60"/>
              <w:jc w:val="center"/>
            </w:pPr>
            <w:r w:rsidRPr="007A3223">
              <w:t>/</w:t>
            </w:r>
          </w:p>
        </w:tc>
        <w:tc>
          <w:tcPr>
            <w:tcW w:w="2160" w:type="dxa"/>
          </w:tcPr>
          <w:p w14:paraId="3604657A" w14:textId="77777777" w:rsidR="00E904E0" w:rsidRPr="007A3223" w:rsidRDefault="00E904E0" w:rsidP="00772708">
            <w:pPr>
              <w:tabs>
                <w:tab w:val="left" w:pos="4590"/>
                <w:tab w:val="left" w:pos="5130"/>
                <w:tab w:val="left" w:pos="8640"/>
              </w:tabs>
              <w:spacing w:after="60"/>
            </w:pPr>
          </w:p>
        </w:tc>
      </w:tr>
      <w:tr w:rsidR="00B53C4A" w:rsidRPr="007A3223" w14:paraId="19E08ACE" w14:textId="77777777" w:rsidTr="00F236D8">
        <w:tc>
          <w:tcPr>
            <w:tcW w:w="738" w:type="dxa"/>
          </w:tcPr>
          <w:p w14:paraId="1872720F" w14:textId="77777777" w:rsidR="00B53C4A" w:rsidRPr="007A3223" w:rsidRDefault="00B53C4A" w:rsidP="00772708">
            <w:pPr>
              <w:tabs>
                <w:tab w:val="left" w:pos="4590"/>
                <w:tab w:val="left" w:pos="5130"/>
                <w:tab w:val="left" w:pos="8640"/>
              </w:tabs>
              <w:spacing w:after="60"/>
            </w:pPr>
          </w:p>
        </w:tc>
        <w:tc>
          <w:tcPr>
            <w:tcW w:w="990" w:type="dxa"/>
          </w:tcPr>
          <w:p w14:paraId="798E6D55"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68054572" w14:textId="77777777" w:rsidR="00B53C4A" w:rsidRPr="007A3223" w:rsidRDefault="00B53C4A"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2D461216" w14:textId="77777777" w:rsidR="00B53C4A" w:rsidRPr="007A3223" w:rsidRDefault="00B53C4A" w:rsidP="00772708">
            <w:pPr>
              <w:tabs>
                <w:tab w:val="left" w:pos="4590"/>
                <w:tab w:val="left" w:pos="5130"/>
                <w:tab w:val="left" w:pos="8640"/>
              </w:tabs>
              <w:spacing w:after="60"/>
            </w:pPr>
          </w:p>
        </w:tc>
        <w:tc>
          <w:tcPr>
            <w:tcW w:w="722" w:type="dxa"/>
            <w:tcBorders>
              <w:left w:val="double" w:sz="4" w:space="0" w:color="auto"/>
            </w:tcBorders>
          </w:tcPr>
          <w:p w14:paraId="7430B081" w14:textId="77777777" w:rsidR="00B53C4A" w:rsidRPr="007A3223" w:rsidRDefault="00B53C4A" w:rsidP="00772708">
            <w:pPr>
              <w:tabs>
                <w:tab w:val="left" w:pos="4590"/>
                <w:tab w:val="left" w:pos="5130"/>
                <w:tab w:val="left" w:pos="8640"/>
              </w:tabs>
              <w:spacing w:after="60"/>
            </w:pPr>
          </w:p>
        </w:tc>
        <w:tc>
          <w:tcPr>
            <w:tcW w:w="990" w:type="dxa"/>
          </w:tcPr>
          <w:p w14:paraId="0AF02EE4"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3B439534" w14:textId="77777777" w:rsidR="00B53C4A" w:rsidRPr="007A3223" w:rsidRDefault="00B53C4A" w:rsidP="00772708">
            <w:pPr>
              <w:tabs>
                <w:tab w:val="left" w:pos="4590"/>
                <w:tab w:val="left" w:pos="5130"/>
                <w:tab w:val="left" w:pos="8640"/>
              </w:tabs>
              <w:spacing w:after="60"/>
              <w:jc w:val="center"/>
            </w:pPr>
            <w:r w:rsidRPr="007A3223">
              <w:t>/</w:t>
            </w:r>
          </w:p>
        </w:tc>
        <w:tc>
          <w:tcPr>
            <w:tcW w:w="2160" w:type="dxa"/>
          </w:tcPr>
          <w:p w14:paraId="2ABFC475" w14:textId="77777777" w:rsidR="00B53C4A" w:rsidRPr="007A3223" w:rsidRDefault="00B53C4A" w:rsidP="00772708">
            <w:pPr>
              <w:tabs>
                <w:tab w:val="left" w:pos="4590"/>
                <w:tab w:val="left" w:pos="5130"/>
                <w:tab w:val="left" w:pos="8640"/>
              </w:tabs>
              <w:spacing w:after="60"/>
            </w:pPr>
          </w:p>
        </w:tc>
      </w:tr>
      <w:tr w:rsidR="00B53C4A" w:rsidRPr="007A3223" w14:paraId="679AFC6E" w14:textId="77777777" w:rsidTr="00772708">
        <w:tc>
          <w:tcPr>
            <w:tcW w:w="738" w:type="dxa"/>
          </w:tcPr>
          <w:p w14:paraId="5639D38E" w14:textId="77777777" w:rsidR="00B53C4A" w:rsidRPr="007A3223" w:rsidRDefault="00B53C4A" w:rsidP="00772708">
            <w:pPr>
              <w:tabs>
                <w:tab w:val="left" w:pos="4590"/>
                <w:tab w:val="left" w:pos="5130"/>
                <w:tab w:val="left" w:pos="8640"/>
              </w:tabs>
              <w:spacing w:after="60"/>
            </w:pPr>
          </w:p>
        </w:tc>
        <w:tc>
          <w:tcPr>
            <w:tcW w:w="990" w:type="dxa"/>
          </w:tcPr>
          <w:p w14:paraId="0375DCCF"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5BA4AC17" w14:textId="77777777" w:rsidR="00B53C4A" w:rsidRPr="007A3223" w:rsidRDefault="00B53C4A"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576AE5B7" w14:textId="77777777" w:rsidR="00B53C4A" w:rsidRPr="007A3223" w:rsidRDefault="00B53C4A" w:rsidP="00772708">
            <w:pPr>
              <w:tabs>
                <w:tab w:val="left" w:pos="4590"/>
                <w:tab w:val="left" w:pos="5130"/>
                <w:tab w:val="left" w:pos="8640"/>
              </w:tabs>
              <w:spacing w:after="60"/>
            </w:pPr>
          </w:p>
        </w:tc>
        <w:tc>
          <w:tcPr>
            <w:tcW w:w="722" w:type="dxa"/>
            <w:tcBorders>
              <w:left w:val="double" w:sz="4" w:space="0" w:color="auto"/>
            </w:tcBorders>
          </w:tcPr>
          <w:p w14:paraId="3AFB84E2" w14:textId="77777777" w:rsidR="00B53C4A" w:rsidRPr="007A3223" w:rsidRDefault="00B53C4A" w:rsidP="00772708">
            <w:pPr>
              <w:tabs>
                <w:tab w:val="left" w:pos="4590"/>
                <w:tab w:val="left" w:pos="5130"/>
                <w:tab w:val="left" w:pos="8640"/>
              </w:tabs>
              <w:spacing w:after="60"/>
            </w:pPr>
          </w:p>
        </w:tc>
        <w:tc>
          <w:tcPr>
            <w:tcW w:w="990" w:type="dxa"/>
          </w:tcPr>
          <w:p w14:paraId="5E259F0D"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6453A477" w14:textId="77777777" w:rsidR="00B53C4A" w:rsidRPr="007A3223" w:rsidRDefault="00B53C4A" w:rsidP="00772708">
            <w:pPr>
              <w:tabs>
                <w:tab w:val="left" w:pos="4590"/>
                <w:tab w:val="left" w:pos="5130"/>
                <w:tab w:val="left" w:pos="8640"/>
              </w:tabs>
              <w:spacing w:after="60"/>
              <w:jc w:val="center"/>
            </w:pPr>
            <w:r w:rsidRPr="007A3223">
              <w:t>/</w:t>
            </w:r>
          </w:p>
        </w:tc>
        <w:tc>
          <w:tcPr>
            <w:tcW w:w="2160" w:type="dxa"/>
          </w:tcPr>
          <w:p w14:paraId="77D954E6" w14:textId="77777777" w:rsidR="00B53C4A" w:rsidRPr="007A3223" w:rsidRDefault="00B53C4A" w:rsidP="00772708">
            <w:pPr>
              <w:tabs>
                <w:tab w:val="left" w:pos="4590"/>
                <w:tab w:val="left" w:pos="5130"/>
                <w:tab w:val="left" w:pos="8640"/>
              </w:tabs>
              <w:spacing w:after="60"/>
            </w:pPr>
          </w:p>
        </w:tc>
      </w:tr>
      <w:tr w:rsidR="00B53C4A" w:rsidRPr="007A3223" w14:paraId="61D9828D" w14:textId="77777777" w:rsidTr="00772708">
        <w:tc>
          <w:tcPr>
            <w:tcW w:w="738" w:type="dxa"/>
          </w:tcPr>
          <w:p w14:paraId="3FD2F1FC" w14:textId="77777777" w:rsidR="00B53C4A" w:rsidRPr="007A3223" w:rsidRDefault="00B53C4A" w:rsidP="00772708">
            <w:pPr>
              <w:tabs>
                <w:tab w:val="left" w:pos="4590"/>
                <w:tab w:val="left" w:pos="5130"/>
                <w:tab w:val="left" w:pos="8640"/>
              </w:tabs>
              <w:spacing w:after="60"/>
            </w:pPr>
          </w:p>
        </w:tc>
        <w:tc>
          <w:tcPr>
            <w:tcW w:w="990" w:type="dxa"/>
          </w:tcPr>
          <w:p w14:paraId="1A9A2B36"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27788837" w14:textId="77777777" w:rsidR="00B53C4A" w:rsidRPr="007A3223" w:rsidRDefault="00B53C4A"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560E7867" w14:textId="77777777" w:rsidR="00B53C4A" w:rsidRPr="007A3223" w:rsidRDefault="00B53C4A" w:rsidP="00772708">
            <w:pPr>
              <w:tabs>
                <w:tab w:val="left" w:pos="4590"/>
                <w:tab w:val="left" w:pos="5130"/>
                <w:tab w:val="left" w:pos="8640"/>
              </w:tabs>
              <w:spacing w:after="60"/>
            </w:pPr>
          </w:p>
        </w:tc>
        <w:tc>
          <w:tcPr>
            <w:tcW w:w="722" w:type="dxa"/>
            <w:tcBorders>
              <w:left w:val="double" w:sz="4" w:space="0" w:color="auto"/>
            </w:tcBorders>
          </w:tcPr>
          <w:p w14:paraId="042DD9C5" w14:textId="77777777" w:rsidR="00B53C4A" w:rsidRPr="007A3223" w:rsidRDefault="00B53C4A" w:rsidP="00772708">
            <w:pPr>
              <w:tabs>
                <w:tab w:val="left" w:pos="4590"/>
                <w:tab w:val="left" w:pos="5130"/>
                <w:tab w:val="left" w:pos="8640"/>
              </w:tabs>
              <w:spacing w:after="60"/>
            </w:pPr>
          </w:p>
        </w:tc>
        <w:tc>
          <w:tcPr>
            <w:tcW w:w="990" w:type="dxa"/>
          </w:tcPr>
          <w:p w14:paraId="6E07FF94"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43E4C6A1" w14:textId="77777777" w:rsidR="00B53C4A" w:rsidRPr="007A3223" w:rsidRDefault="00B53C4A" w:rsidP="00772708">
            <w:pPr>
              <w:tabs>
                <w:tab w:val="left" w:pos="4590"/>
                <w:tab w:val="left" w:pos="5130"/>
                <w:tab w:val="left" w:pos="8640"/>
              </w:tabs>
              <w:spacing w:after="60"/>
              <w:jc w:val="center"/>
            </w:pPr>
            <w:r w:rsidRPr="007A3223">
              <w:t>/</w:t>
            </w:r>
          </w:p>
        </w:tc>
        <w:tc>
          <w:tcPr>
            <w:tcW w:w="2160" w:type="dxa"/>
          </w:tcPr>
          <w:p w14:paraId="3AA4DDB0" w14:textId="77777777" w:rsidR="00B53C4A" w:rsidRPr="007A3223" w:rsidRDefault="00B53C4A" w:rsidP="00772708">
            <w:pPr>
              <w:tabs>
                <w:tab w:val="left" w:pos="4590"/>
                <w:tab w:val="left" w:pos="5130"/>
                <w:tab w:val="left" w:pos="8640"/>
              </w:tabs>
              <w:spacing w:after="60"/>
            </w:pPr>
          </w:p>
        </w:tc>
      </w:tr>
      <w:tr w:rsidR="00B53C4A" w:rsidRPr="007A3223" w14:paraId="285C72E1" w14:textId="77777777" w:rsidTr="00772708">
        <w:tc>
          <w:tcPr>
            <w:tcW w:w="738" w:type="dxa"/>
          </w:tcPr>
          <w:p w14:paraId="70723E5A" w14:textId="77777777" w:rsidR="00B53C4A" w:rsidRPr="007A3223" w:rsidRDefault="00B53C4A" w:rsidP="00772708">
            <w:pPr>
              <w:tabs>
                <w:tab w:val="left" w:pos="4590"/>
                <w:tab w:val="left" w:pos="5130"/>
                <w:tab w:val="left" w:pos="8640"/>
              </w:tabs>
              <w:spacing w:after="60"/>
            </w:pPr>
          </w:p>
        </w:tc>
        <w:tc>
          <w:tcPr>
            <w:tcW w:w="990" w:type="dxa"/>
          </w:tcPr>
          <w:p w14:paraId="69CEE872"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41B85107" w14:textId="77777777" w:rsidR="00B53C4A" w:rsidRPr="007A3223" w:rsidRDefault="00B53C4A" w:rsidP="00772708">
            <w:pPr>
              <w:tabs>
                <w:tab w:val="left" w:pos="4590"/>
                <w:tab w:val="left" w:pos="5130"/>
                <w:tab w:val="left" w:pos="8640"/>
              </w:tabs>
              <w:spacing w:after="60"/>
              <w:jc w:val="center"/>
            </w:pPr>
            <w:r w:rsidRPr="007A3223">
              <w:t>/</w:t>
            </w:r>
          </w:p>
        </w:tc>
        <w:tc>
          <w:tcPr>
            <w:tcW w:w="2158" w:type="dxa"/>
            <w:tcBorders>
              <w:right w:val="double" w:sz="4" w:space="0" w:color="auto"/>
            </w:tcBorders>
          </w:tcPr>
          <w:p w14:paraId="57095DCC" w14:textId="77777777" w:rsidR="00B53C4A" w:rsidRPr="007A3223" w:rsidRDefault="00B53C4A" w:rsidP="00772708">
            <w:pPr>
              <w:tabs>
                <w:tab w:val="left" w:pos="4590"/>
                <w:tab w:val="left" w:pos="5130"/>
                <w:tab w:val="left" w:pos="8640"/>
              </w:tabs>
              <w:spacing w:after="60"/>
            </w:pPr>
          </w:p>
        </w:tc>
        <w:tc>
          <w:tcPr>
            <w:tcW w:w="722" w:type="dxa"/>
            <w:tcBorders>
              <w:left w:val="double" w:sz="4" w:space="0" w:color="auto"/>
            </w:tcBorders>
          </w:tcPr>
          <w:p w14:paraId="1D60364D" w14:textId="77777777" w:rsidR="00B53C4A" w:rsidRPr="007A3223" w:rsidRDefault="00B53C4A" w:rsidP="00772708">
            <w:pPr>
              <w:tabs>
                <w:tab w:val="left" w:pos="4590"/>
                <w:tab w:val="left" w:pos="5130"/>
                <w:tab w:val="left" w:pos="8640"/>
              </w:tabs>
              <w:spacing w:after="60"/>
            </w:pPr>
          </w:p>
        </w:tc>
        <w:tc>
          <w:tcPr>
            <w:tcW w:w="990" w:type="dxa"/>
          </w:tcPr>
          <w:p w14:paraId="0F0FDDA0" w14:textId="77777777" w:rsidR="00B53C4A" w:rsidRPr="007A3223" w:rsidRDefault="00B53C4A" w:rsidP="00772708">
            <w:pPr>
              <w:tabs>
                <w:tab w:val="left" w:pos="4590"/>
                <w:tab w:val="left" w:pos="5130"/>
                <w:tab w:val="left" w:pos="8640"/>
              </w:tabs>
              <w:spacing w:after="60"/>
              <w:jc w:val="center"/>
            </w:pPr>
            <w:r w:rsidRPr="007A3223">
              <w:t>/</w:t>
            </w:r>
          </w:p>
        </w:tc>
        <w:tc>
          <w:tcPr>
            <w:tcW w:w="990" w:type="dxa"/>
          </w:tcPr>
          <w:p w14:paraId="6EB5F8B2" w14:textId="77777777" w:rsidR="00B53C4A" w:rsidRPr="007A3223" w:rsidRDefault="00B53C4A" w:rsidP="00772708">
            <w:pPr>
              <w:tabs>
                <w:tab w:val="left" w:pos="4590"/>
                <w:tab w:val="left" w:pos="5130"/>
                <w:tab w:val="left" w:pos="8640"/>
              </w:tabs>
              <w:spacing w:after="60"/>
              <w:jc w:val="center"/>
            </w:pPr>
            <w:r w:rsidRPr="007A3223">
              <w:t>/</w:t>
            </w:r>
          </w:p>
        </w:tc>
        <w:tc>
          <w:tcPr>
            <w:tcW w:w="2160" w:type="dxa"/>
          </w:tcPr>
          <w:p w14:paraId="5612BFFF" w14:textId="77777777" w:rsidR="00B53C4A" w:rsidRPr="007A3223" w:rsidRDefault="00B53C4A" w:rsidP="00772708">
            <w:pPr>
              <w:tabs>
                <w:tab w:val="left" w:pos="4590"/>
                <w:tab w:val="left" w:pos="5130"/>
                <w:tab w:val="left" w:pos="8640"/>
              </w:tabs>
              <w:spacing w:after="60"/>
            </w:pPr>
          </w:p>
        </w:tc>
      </w:tr>
      <w:tr w:rsidR="00B53C4A" w:rsidRPr="007A3223" w14:paraId="5F7EFA89" w14:textId="77777777" w:rsidTr="00772708">
        <w:tc>
          <w:tcPr>
            <w:tcW w:w="9738" w:type="dxa"/>
            <w:gridSpan w:val="8"/>
          </w:tcPr>
          <w:p w14:paraId="7DAFE206" w14:textId="77777777" w:rsidR="00B53C4A" w:rsidRPr="007A3223" w:rsidRDefault="00B53C4A" w:rsidP="00772708">
            <w:pPr>
              <w:tabs>
                <w:tab w:val="left" w:pos="5760"/>
                <w:tab w:val="left" w:pos="6210"/>
                <w:tab w:val="left" w:pos="8640"/>
              </w:tabs>
              <w:spacing w:before="240" w:after="240"/>
              <w:rPr>
                <w:u w:val="single"/>
              </w:rPr>
            </w:pPr>
            <w:r w:rsidRPr="007A3223">
              <w:t xml:space="preserve">Patient’s Signature: </w:t>
            </w:r>
            <w:r w:rsidRPr="007A3223">
              <w:rPr>
                <w:u w:val="single"/>
              </w:rPr>
              <w:tab/>
            </w:r>
            <w:r w:rsidRPr="007A3223">
              <w:tab/>
              <w:t xml:space="preserve">Date: </w:t>
            </w:r>
            <w:r w:rsidRPr="007A3223">
              <w:rPr>
                <w:u w:val="single"/>
              </w:rPr>
              <w:tab/>
            </w:r>
          </w:p>
        </w:tc>
      </w:tr>
      <w:tr w:rsidR="00B53C4A" w:rsidRPr="007A3223" w14:paraId="1BB5BE21" w14:textId="77777777" w:rsidTr="00772708">
        <w:tc>
          <w:tcPr>
            <w:tcW w:w="9738" w:type="dxa"/>
            <w:gridSpan w:val="8"/>
          </w:tcPr>
          <w:p w14:paraId="255E4B70" w14:textId="77777777" w:rsidR="00B53C4A" w:rsidRPr="007A3223" w:rsidRDefault="00B53C4A" w:rsidP="00772708">
            <w:pPr>
              <w:tabs>
                <w:tab w:val="left" w:pos="5760"/>
                <w:tab w:val="left" w:pos="6210"/>
                <w:tab w:val="left" w:pos="8640"/>
              </w:tabs>
              <w:spacing w:after="0"/>
              <w:rPr>
                <w:b/>
              </w:rPr>
            </w:pPr>
            <w:r w:rsidRPr="007A3223">
              <w:rPr>
                <w:b/>
              </w:rPr>
              <w:t>Study Team will complete this section</w:t>
            </w:r>
          </w:p>
          <w:p w14:paraId="2D80D038" w14:textId="77777777" w:rsidR="00B53C4A" w:rsidRPr="007A3223" w:rsidRDefault="00B53C4A" w:rsidP="00772708">
            <w:pPr>
              <w:tabs>
                <w:tab w:val="left" w:pos="4134"/>
                <w:tab w:val="left" w:pos="5760"/>
                <w:tab w:val="left" w:pos="6210"/>
                <w:tab w:val="left" w:pos="8640"/>
              </w:tabs>
              <w:spacing w:before="60" w:after="60"/>
              <w:rPr>
                <w:u w:val="single"/>
              </w:rPr>
            </w:pPr>
            <w:r w:rsidRPr="007A3223">
              <w:t>Date of visit:</w:t>
            </w:r>
            <w:r w:rsidR="00F236D8" w:rsidRPr="007A3223">
              <w:t xml:space="preserve">  </w:t>
            </w:r>
            <w:r w:rsidR="00F236D8" w:rsidRPr="007A3223">
              <w:rPr>
                <w:u w:val="single"/>
              </w:rPr>
              <w:tab/>
            </w:r>
          </w:p>
          <w:p w14:paraId="41C0C797" w14:textId="77777777" w:rsidR="00B53C4A" w:rsidRPr="007A3223" w:rsidRDefault="00B53C4A" w:rsidP="00772708">
            <w:pPr>
              <w:tabs>
                <w:tab w:val="left" w:pos="6300"/>
                <w:tab w:val="left" w:pos="6660"/>
                <w:tab w:val="left" w:pos="8640"/>
              </w:tabs>
              <w:spacing w:before="60" w:after="60"/>
              <w:rPr>
                <w:u w:val="single"/>
              </w:rPr>
            </w:pPr>
            <w:r w:rsidRPr="007A3223">
              <w:t xml:space="preserve">Physician/Nurse’s Signature: </w:t>
            </w:r>
            <w:r w:rsidRPr="007A3223">
              <w:rPr>
                <w:u w:val="single"/>
              </w:rPr>
              <w:tab/>
            </w:r>
            <w:r w:rsidRPr="007A3223">
              <w:tab/>
              <w:t xml:space="preserve">Date: </w:t>
            </w:r>
            <w:r w:rsidRPr="007A3223">
              <w:rPr>
                <w:u w:val="single"/>
              </w:rPr>
              <w:tab/>
            </w:r>
          </w:p>
        </w:tc>
      </w:tr>
    </w:tbl>
    <w:p w14:paraId="264BBC66" w14:textId="77777777" w:rsidR="002004F2" w:rsidRPr="007A3223" w:rsidRDefault="002004F2" w:rsidP="00EA69AB">
      <w:pPr>
        <w:tabs>
          <w:tab w:val="left" w:pos="4590"/>
          <w:tab w:val="left" w:pos="5130"/>
          <w:tab w:val="left" w:pos="8640"/>
        </w:tabs>
      </w:pPr>
    </w:p>
    <w:p w14:paraId="428768AD" w14:textId="19DD8D48" w:rsidR="005771C4" w:rsidRPr="007A3223" w:rsidRDefault="005771C4" w:rsidP="00ED703B">
      <w:pPr>
        <w:pStyle w:val="Heading2"/>
      </w:pPr>
      <w:bookmarkStart w:id="586" w:name="_Toc411253102"/>
      <w:bookmarkStart w:id="587" w:name="_Toc82444428"/>
      <w:bookmarkStart w:id="588" w:name="_Ref405292593"/>
      <w:r w:rsidRPr="007A3223">
        <w:t xml:space="preserve">Appendix </w:t>
      </w:r>
      <w:r w:rsidR="002457B0" w:rsidRPr="00F33908">
        <w:rPr>
          <w:rFonts w:hint="eastAsia"/>
        </w:rPr>
        <w:fldChar w:fldCharType="begin"/>
      </w:r>
      <w:r w:rsidRPr="007A3223">
        <w:instrText xml:space="preserve"> SEQ Appendix \* ALPHABETIC </w:instrText>
      </w:r>
      <w:r w:rsidR="002457B0" w:rsidRPr="00F33908">
        <w:rPr>
          <w:rFonts w:hint="eastAsia"/>
        </w:rPr>
        <w:fldChar w:fldCharType="separate"/>
      </w:r>
      <w:r w:rsidR="00E47ACA">
        <w:rPr>
          <w:noProof/>
        </w:rPr>
        <w:t>E</w:t>
      </w:r>
      <w:r w:rsidR="002457B0" w:rsidRPr="00F33908">
        <w:rPr>
          <w:rFonts w:hint="eastAsia"/>
        </w:rPr>
        <w:fldChar w:fldCharType="end"/>
      </w:r>
      <w:r w:rsidRPr="007A3223">
        <w:t>: Patient’s DIARRHEA Diary (</w:t>
      </w:r>
      <w:r w:rsidR="00F01CE4" w:rsidRPr="00F33908">
        <w:t>ALL</w:t>
      </w:r>
      <w:r w:rsidRPr="007A3223">
        <w:t xml:space="preserve"> ARMS)</w:t>
      </w:r>
      <w:bookmarkEnd w:id="586"/>
      <w:bookmarkEnd w:id="587"/>
    </w:p>
    <w:p w14:paraId="5FC78398" w14:textId="77777777" w:rsidR="005771C4" w:rsidRPr="007A3223" w:rsidRDefault="005771C4" w:rsidP="005771C4">
      <w:pPr>
        <w:tabs>
          <w:tab w:val="left" w:pos="4590"/>
        </w:tabs>
        <w:rPr>
          <w:u w:val="single"/>
        </w:rPr>
      </w:pPr>
      <w:r w:rsidRPr="007A3223">
        <w:t xml:space="preserve">Today’s Date </w:t>
      </w:r>
      <w:r w:rsidRPr="007A3223">
        <w:rPr>
          <w:u w:val="single"/>
        </w:rPr>
        <w:tab/>
      </w:r>
    </w:p>
    <w:p w14:paraId="04105AC1" w14:textId="77777777" w:rsidR="005771C4" w:rsidRPr="007A3223" w:rsidRDefault="005771C4" w:rsidP="005771C4">
      <w:pPr>
        <w:tabs>
          <w:tab w:val="left" w:pos="4590"/>
          <w:tab w:val="left" w:pos="5130"/>
          <w:tab w:val="left" w:pos="8640"/>
        </w:tabs>
        <w:rPr>
          <w:u w:val="single"/>
        </w:rPr>
      </w:pPr>
      <w:r w:rsidRPr="007A3223">
        <w:t xml:space="preserve">Patient Name </w:t>
      </w:r>
      <w:r w:rsidRPr="007A3223">
        <w:rPr>
          <w:u w:val="single"/>
        </w:rPr>
        <w:tab/>
      </w:r>
      <w:r w:rsidRPr="007A3223">
        <w:tab/>
        <w:t xml:space="preserve">Patient Study ID </w:t>
      </w:r>
      <w:r w:rsidRPr="007A3223">
        <w:rPr>
          <w:u w:val="single"/>
        </w:rPr>
        <w:tab/>
      </w:r>
    </w:p>
    <w:p w14:paraId="1084CC35" w14:textId="39A12EF1" w:rsidR="00C8146E" w:rsidRPr="007A3223" w:rsidRDefault="00C8146E" w:rsidP="005771C4">
      <w:pPr>
        <w:tabs>
          <w:tab w:val="left" w:pos="4590"/>
          <w:tab w:val="left" w:pos="5130"/>
          <w:tab w:val="left" w:pos="8640"/>
        </w:tabs>
        <w:rPr>
          <w:sz w:val="23"/>
          <w:szCs w:val="23"/>
          <w:u w:val="single"/>
        </w:rPr>
      </w:pPr>
      <w:r w:rsidRPr="007A3223">
        <w:rPr>
          <w:sz w:val="23"/>
          <w:szCs w:val="23"/>
        </w:rPr>
        <w:t xml:space="preserve">Please bring this form to every clinic visit or appointment. </w:t>
      </w:r>
      <w:r w:rsidRPr="007A3223">
        <w:rPr>
          <w:b/>
          <w:i/>
          <w:color w:val="000000"/>
          <w:sz w:val="23"/>
          <w:szCs w:val="23"/>
        </w:rPr>
        <w:t>This is required for study compliance.</w:t>
      </w:r>
    </w:p>
    <w:tbl>
      <w:tblPr>
        <w:tblStyle w:val="TableGrid"/>
        <w:tblW w:w="9738" w:type="dxa"/>
        <w:tblLayout w:type="fixed"/>
        <w:tblLook w:val="04A0" w:firstRow="1" w:lastRow="0" w:firstColumn="1" w:lastColumn="0" w:noHBand="0" w:noVBand="1"/>
      </w:tblPr>
      <w:tblGrid>
        <w:gridCol w:w="738"/>
        <w:gridCol w:w="1980"/>
        <w:gridCol w:w="2158"/>
        <w:gridCol w:w="722"/>
        <w:gridCol w:w="1980"/>
        <w:gridCol w:w="2160"/>
      </w:tblGrid>
      <w:tr w:rsidR="005771C4" w:rsidRPr="007A3223" w14:paraId="2BBB1588" w14:textId="77777777" w:rsidTr="00C213E0">
        <w:tc>
          <w:tcPr>
            <w:tcW w:w="9738" w:type="dxa"/>
            <w:gridSpan w:val="6"/>
          </w:tcPr>
          <w:p w14:paraId="02764D3F" w14:textId="77777777" w:rsidR="005771C4" w:rsidRPr="007A3223" w:rsidRDefault="005771C4" w:rsidP="00C213E0">
            <w:pPr>
              <w:tabs>
                <w:tab w:val="left" w:pos="4590"/>
                <w:tab w:val="left" w:pos="5130"/>
                <w:tab w:val="left" w:pos="8640"/>
              </w:tabs>
              <w:spacing w:before="20" w:after="20"/>
            </w:pPr>
            <w:r w:rsidRPr="007A3223">
              <w:t>Instructions to the Patient</w:t>
            </w:r>
          </w:p>
          <w:p w14:paraId="0F7E2708" w14:textId="77777777" w:rsidR="005771C4" w:rsidRPr="007A3223" w:rsidRDefault="005771C4" w:rsidP="00FB66BA">
            <w:pPr>
              <w:pStyle w:val="Default"/>
              <w:numPr>
                <w:ilvl w:val="0"/>
                <w:numId w:val="67"/>
              </w:numPr>
              <w:spacing w:before="20" w:after="20"/>
            </w:pPr>
            <w:r w:rsidRPr="007A3223">
              <w:t xml:space="preserve">Record the date, then record the number of bowel movements you have at the end of each day. </w:t>
            </w:r>
          </w:p>
          <w:p w14:paraId="75AC19C6" w14:textId="77777777" w:rsidR="005771C4" w:rsidRPr="007A3223" w:rsidRDefault="005771C4" w:rsidP="00FB66BA">
            <w:pPr>
              <w:pStyle w:val="Default"/>
              <w:numPr>
                <w:ilvl w:val="0"/>
                <w:numId w:val="67"/>
              </w:numPr>
              <w:spacing w:before="20" w:after="20"/>
            </w:pPr>
            <w:r w:rsidRPr="007A3223">
              <w:t xml:space="preserve">Please note if there is blood or mucus in the stool, or if you have any abdominal pain. </w:t>
            </w:r>
          </w:p>
          <w:p w14:paraId="672258F1" w14:textId="5BBF50AA" w:rsidR="005771C4" w:rsidRPr="007A3223" w:rsidRDefault="005771C4" w:rsidP="00FB66BA">
            <w:pPr>
              <w:pStyle w:val="Default"/>
              <w:numPr>
                <w:ilvl w:val="0"/>
                <w:numId w:val="67"/>
              </w:numPr>
              <w:spacing w:before="20" w:after="20"/>
            </w:pPr>
            <w:r w:rsidRPr="007A3223">
              <w:t xml:space="preserve">If you have 4 or more episodes of diarrhea in one day, or notice blood, mucus, or pain, please contact your doctor’s office at _______________________________ for instructions. </w:t>
            </w:r>
          </w:p>
        </w:tc>
      </w:tr>
      <w:tr w:rsidR="005771C4" w:rsidRPr="007A3223" w14:paraId="33406965" w14:textId="77777777" w:rsidTr="00C213E0">
        <w:tc>
          <w:tcPr>
            <w:tcW w:w="738" w:type="dxa"/>
            <w:tcBorders>
              <w:bottom w:val="single" w:sz="18" w:space="0" w:color="auto"/>
            </w:tcBorders>
          </w:tcPr>
          <w:p w14:paraId="4335BF2C" w14:textId="77777777" w:rsidR="005771C4" w:rsidRPr="007A3223" w:rsidRDefault="005771C4" w:rsidP="00C213E0">
            <w:pPr>
              <w:tabs>
                <w:tab w:val="left" w:pos="4590"/>
                <w:tab w:val="left" w:pos="5130"/>
                <w:tab w:val="left" w:pos="8640"/>
              </w:tabs>
            </w:pPr>
            <w:r w:rsidRPr="007A3223">
              <w:t>Date</w:t>
            </w:r>
          </w:p>
        </w:tc>
        <w:tc>
          <w:tcPr>
            <w:tcW w:w="1980" w:type="dxa"/>
            <w:tcBorders>
              <w:bottom w:val="single" w:sz="18" w:space="0" w:color="auto"/>
            </w:tcBorders>
          </w:tcPr>
          <w:p w14:paraId="7FF3E0BC" w14:textId="77777777" w:rsidR="005771C4" w:rsidRPr="007A3223" w:rsidRDefault="005771C4" w:rsidP="00C213E0">
            <w:pPr>
              <w:tabs>
                <w:tab w:val="left" w:pos="4590"/>
                <w:tab w:val="left" w:pos="5130"/>
                <w:tab w:val="left" w:pos="8640"/>
              </w:tabs>
            </w:pPr>
            <w:r w:rsidRPr="007A3223">
              <w:t>Number of stools</w:t>
            </w:r>
          </w:p>
          <w:p w14:paraId="4A017FC3" w14:textId="77777777" w:rsidR="005771C4" w:rsidRPr="007A3223" w:rsidRDefault="005771C4" w:rsidP="00C213E0">
            <w:pPr>
              <w:tabs>
                <w:tab w:val="left" w:pos="4590"/>
                <w:tab w:val="left" w:pos="5130"/>
                <w:tab w:val="left" w:pos="8640"/>
              </w:tabs>
            </w:pPr>
          </w:p>
        </w:tc>
        <w:tc>
          <w:tcPr>
            <w:tcW w:w="2158" w:type="dxa"/>
            <w:tcBorders>
              <w:bottom w:val="single" w:sz="18" w:space="0" w:color="auto"/>
              <w:right w:val="double" w:sz="4" w:space="0" w:color="auto"/>
            </w:tcBorders>
          </w:tcPr>
          <w:p w14:paraId="368F323C" w14:textId="77777777" w:rsidR="005771C4" w:rsidRPr="007A3223" w:rsidRDefault="005771C4" w:rsidP="00C213E0">
            <w:pPr>
              <w:tabs>
                <w:tab w:val="left" w:pos="4590"/>
                <w:tab w:val="left" w:pos="5130"/>
                <w:tab w:val="left" w:pos="8640"/>
              </w:tabs>
            </w:pPr>
            <w:r w:rsidRPr="007A3223">
              <w:t>Comments</w:t>
            </w:r>
          </w:p>
        </w:tc>
        <w:tc>
          <w:tcPr>
            <w:tcW w:w="722" w:type="dxa"/>
            <w:tcBorders>
              <w:left w:val="double" w:sz="4" w:space="0" w:color="auto"/>
              <w:bottom w:val="single" w:sz="18" w:space="0" w:color="auto"/>
            </w:tcBorders>
          </w:tcPr>
          <w:p w14:paraId="2E86EBD5" w14:textId="77777777" w:rsidR="005771C4" w:rsidRPr="007A3223" w:rsidRDefault="005771C4" w:rsidP="00C213E0">
            <w:pPr>
              <w:tabs>
                <w:tab w:val="left" w:pos="4590"/>
                <w:tab w:val="left" w:pos="5130"/>
                <w:tab w:val="left" w:pos="8640"/>
              </w:tabs>
            </w:pPr>
            <w:r w:rsidRPr="007A3223">
              <w:t>Date</w:t>
            </w:r>
          </w:p>
        </w:tc>
        <w:tc>
          <w:tcPr>
            <w:tcW w:w="1980" w:type="dxa"/>
            <w:tcBorders>
              <w:bottom w:val="single" w:sz="18" w:space="0" w:color="auto"/>
            </w:tcBorders>
          </w:tcPr>
          <w:p w14:paraId="09122186" w14:textId="77777777" w:rsidR="005771C4" w:rsidRPr="007A3223" w:rsidRDefault="005771C4" w:rsidP="00C213E0">
            <w:pPr>
              <w:tabs>
                <w:tab w:val="left" w:pos="4590"/>
                <w:tab w:val="left" w:pos="5130"/>
                <w:tab w:val="left" w:pos="8640"/>
              </w:tabs>
            </w:pPr>
            <w:r w:rsidRPr="007A3223">
              <w:t>Number of stools</w:t>
            </w:r>
          </w:p>
          <w:p w14:paraId="179CCEAD" w14:textId="77777777" w:rsidR="005771C4" w:rsidRPr="007A3223" w:rsidRDefault="005771C4" w:rsidP="00C213E0">
            <w:pPr>
              <w:tabs>
                <w:tab w:val="left" w:pos="4590"/>
                <w:tab w:val="left" w:pos="5130"/>
                <w:tab w:val="left" w:pos="8640"/>
              </w:tabs>
            </w:pPr>
          </w:p>
        </w:tc>
        <w:tc>
          <w:tcPr>
            <w:tcW w:w="2160" w:type="dxa"/>
            <w:tcBorders>
              <w:bottom w:val="single" w:sz="18" w:space="0" w:color="auto"/>
            </w:tcBorders>
          </w:tcPr>
          <w:p w14:paraId="75B170C7" w14:textId="77777777" w:rsidR="005771C4" w:rsidRPr="007A3223" w:rsidRDefault="005771C4" w:rsidP="00C213E0">
            <w:pPr>
              <w:tabs>
                <w:tab w:val="left" w:pos="4590"/>
                <w:tab w:val="left" w:pos="5130"/>
                <w:tab w:val="left" w:pos="8640"/>
              </w:tabs>
            </w:pPr>
            <w:r w:rsidRPr="007A3223">
              <w:t>Comments</w:t>
            </w:r>
          </w:p>
        </w:tc>
      </w:tr>
      <w:tr w:rsidR="005771C4" w:rsidRPr="007A3223" w14:paraId="537CC995" w14:textId="77777777" w:rsidTr="00C213E0">
        <w:tc>
          <w:tcPr>
            <w:tcW w:w="738" w:type="dxa"/>
            <w:tcBorders>
              <w:top w:val="single" w:sz="18" w:space="0" w:color="auto"/>
            </w:tcBorders>
          </w:tcPr>
          <w:p w14:paraId="49181F22" w14:textId="77777777" w:rsidR="005771C4" w:rsidRPr="007A3223" w:rsidRDefault="005771C4" w:rsidP="00C213E0">
            <w:pPr>
              <w:tabs>
                <w:tab w:val="left" w:pos="4590"/>
                <w:tab w:val="left" w:pos="5130"/>
                <w:tab w:val="left" w:pos="8640"/>
              </w:tabs>
              <w:spacing w:after="60"/>
            </w:pPr>
          </w:p>
        </w:tc>
        <w:tc>
          <w:tcPr>
            <w:tcW w:w="1980" w:type="dxa"/>
            <w:tcBorders>
              <w:top w:val="single" w:sz="18" w:space="0" w:color="auto"/>
            </w:tcBorders>
          </w:tcPr>
          <w:p w14:paraId="3D6F3438" w14:textId="77777777" w:rsidR="005771C4" w:rsidRPr="007A3223" w:rsidRDefault="005771C4" w:rsidP="00C213E0">
            <w:pPr>
              <w:tabs>
                <w:tab w:val="left" w:pos="4590"/>
                <w:tab w:val="left" w:pos="5130"/>
                <w:tab w:val="left" w:pos="8640"/>
              </w:tabs>
              <w:spacing w:after="60"/>
              <w:jc w:val="center"/>
            </w:pPr>
          </w:p>
        </w:tc>
        <w:tc>
          <w:tcPr>
            <w:tcW w:w="2158" w:type="dxa"/>
            <w:tcBorders>
              <w:top w:val="single" w:sz="18" w:space="0" w:color="auto"/>
              <w:right w:val="double" w:sz="4" w:space="0" w:color="auto"/>
            </w:tcBorders>
          </w:tcPr>
          <w:p w14:paraId="6E330C27" w14:textId="77777777" w:rsidR="005771C4" w:rsidRPr="007A3223" w:rsidRDefault="005771C4" w:rsidP="00C213E0">
            <w:pPr>
              <w:tabs>
                <w:tab w:val="left" w:pos="4590"/>
                <w:tab w:val="left" w:pos="5130"/>
                <w:tab w:val="left" w:pos="8640"/>
              </w:tabs>
              <w:spacing w:after="60"/>
            </w:pPr>
          </w:p>
        </w:tc>
        <w:tc>
          <w:tcPr>
            <w:tcW w:w="722" w:type="dxa"/>
            <w:tcBorders>
              <w:top w:val="single" w:sz="18" w:space="0" w:color="auto"/>
              <w:left w:val="double" w:sz="4" w:space="0" w:color="auto"/>
            </w:tcBorders>
          </w:tcPr>
          <w:p w14:paraId="37661CC5" w14:textId="77777777" w:rsidR="005771C4" w:rsidRPr="007A3223" w:rsidRDefault="005771C4" w:rsidP="00C213E0">
            <w:pPr>
              <w:tabs>
                <w:tab w:val="left" w:pos="4590"/>
                <w:tab w:val="left" w:pos="5130"/>
                <w:tab w:val="left" w:pos="8640"/>
              </w:tabs>
              <w:spacing w:after="60"/>
            </w:pPr>
          </w:p>
        </w:tc>
        <w:tc>
          <w:tcPr>
            <w:tcW w:w="1980" w:type="dxa"/>
            <w:tcBorders>
              <w:top w:val="single" w:sz="18" w:space="0" w:color="auto"/>
            </w:tcBorders>
          </w:tcPr>
          <w:p w14:paraId="636A7AEB" w14:textId="77777777" w:rsidR="005771C4" w:rsidRPr="007A3223" w:rsidRDefault="005771C4" w:rsidP="00C213E0">
            <w:pPr>
              <w:tabs>
                <w:tab w:val="left" w:pos="4590"/>
                <w:tab w:val="left" w:pos="5130"/>
                <w:tab w:val="left" w:pos="8640"/>
              </w:tabs>
              <w:spacing w:after="60"/>
              <w:jc w:val="center"/>
            </w:pPr>
          </w:p>
        </w:tc>
        <w:tc>
          <w:tcPr>
            <w:tcW w:w="2160" w:type="dxa"/>
            <w:tcBorders>
              <w:top w:val="single" w:sz="18" w:space="0" w:color="auto"/>
            </w:tcBorders>
          </w:tcPr>
          <w:p w14:paraId="06FA82E9" w14:textId="77777777" w:rsidR="005771C4" w:rsidRPr="007A3223" w:rsidRDefault="005771C4" w:rsidP="00C213E0">
            <w:pPr>
              <w:tabs>
                <w:tab w:val="left" w:pos="4590"/>
                <w:tab w:val="left" w:pos="5130"/>
                <w:tab w:val="left" w:pos="8640"/>
              </w:tabs>
              <w:spacing w:after="60"/>
            </w:pPr>
          </w:p>
        </w:tc>
      </w:tr>
      <w:tr w:rsidR="005771C4" w:rsidRPr="007A3223" w14:paraId="6522251B" w14:textId="77777777" w:rsidTr="00C213E0">
        <w:tc>
          <w:tcPr>
            <w:tcW w:w="738" w:type="dxa"/>
          </w:tcPr>
          <w:p w14:paraId="754E4805" w14:textId="77777777" w:rsidR="005771C4" w:rsidRPr="007A3223" w:rsidRDefault="005771C4" w:rsidP="00C213E0">
            <w:pPr>
              <w:tabs>
                <w:tab w:val="left" w:pos="4590"/>
                <w:tab w:val="left" w:pos="5130"/>
                <w:tab w:val="left" w:pos="8640"/>
              </w:tabs>
              <w:spacing w:after="60"/>
            </w:pPr>
          </w:p>
        </w:tc>
        <w:tc>
          <w:tcPr>
            <w:tcW w:w="1980" w:type="dxa"/>
          </w:tcPr>
          <w:p w14:paraId="572DE16D"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162DE4F2"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79B4E34A" w14:textId="77777777" w:rsidR="005771C4" w:rsidRPr="007A3223" w:rsidRDefault="005771C4" w:rsidP="00C213E0">
            <w:pPr>
              <w:tabs>
                <w:tab w:val="left" w:pos="4590"/>
                <w:tab w:val="left" w:pos="5130"/>
                <w:tab w:val="left" w:pos="8640"/>
              </w:tabs>
              <w:spacing w:after="60"/>
            </w:pPr>
          </w:p>
        </w:tc>
        <w:tc>
          <w:tcPr>
            <w:tcW w:w="1980" w:type="dxa"/>
          </w:tcPr>
          <w:p w14:paraId="2B8083BF" w14:textId="77777777" w:rsidR="005771C4" w:rsidRPr="007A3223" w:rsidRDefault="005771C4" w:rsidP="00C213E0">
            <w:pPr>
              <w:tabs>
                <w:tab w:val="left" w:pos="4590"/>
                <w:tab w:val="left" w:pos="5130"/>
                <w:tab w:val="left" w:pos="8640"/>
              </w:tabs>
              <w:spacing w:after="60"/>
            </w:pPr>
          </w:p>
        </w:tc>
        <w:tc>
          <w:tcPr>
            <w:tcW w:w="2160" w:type="dxa"/>
          </w:tcPr>
          <w:p w14:paraId="7C4B0595" w14:textId="77777777" w:rsidR="005771C4" w:rsidRPr="007A3223" w:rsidRDefault="005771C4" w:rsidP="00C213E0">
            <w:pPr>
              <w:tabs>
                <w:tab w:val="left" w:pos="4590"/>
                <w:tab w:val="left" w:pos="5130"/>
                <w:tab w:val="left" w:pos="8640"/>
              </w:tabs>
              <w:spacing w:after="60"/>
            </w:pPr>
          </w:p>
        </w:tc>
      </w:tr>
      <w:tr w:rsidR="005771C4" w:rsidRPr="007A3223" w14:paraId="1593719D" w14:textId="77777777" w:rsidTr="00C213E0">
        <w:tc>
          <w:tcPr>
            <w:tcW w:w="738" w:type="dxa"/>
          </w:tcPr>
          <w:p w14:paraId="69F65FF0" w14:textId="77777777" w:rsidR="005771C4" w:rsidRPr="007A3223" w:rsidRDefault="005771C4" w:rsidP="00C213E0">
            <w:pPr>
              <w:tabs>
                <w:tab w:val="left" w:pos="4590"/>
                <w:tab w:val="left" w:pos="5130"/>
                <w:tab w:val="left" w:pos="8640"/>
              </w:tabs>
              <w:spacing w:after="60"/>
            </w:pPr>
          </w:p>
        </w:tc>
        <w:tc>
          <w:tcPr>
            <w:tcW w:w="1980" w:type="dxa"/>
          </w:tcPr>
          <w:p w14:paraId="2BCB5FF1"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342C6DA7"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277775FD" w14:textId="77777777" w:rsidR="005771C4" w:rsidRPr="007A3223" w:rsidRDefault="005771C4" w:rsidP="00C213E0">
            <w:pPr>
              <w:tabs>
                <w:tab w:val="left" w:pos="4590"/>
                <w:tab w:val="left" w:pos="5130"/>
                <w:tab w:val="left" w:pos="8640"/>
              </w:tabs>
              <w:spacing w:after="60"/>
            </w:pPr>
          </w:p>
        </w:tc>
        <w:tc>
          <w:tcPr>
            <w:tcW w:w="1980" w:type="dxa"/>
          </w:tcPr>
          <w:p w14:paraId="2CF627FA" w14:textId="77777777" w:rsidR="005771C4" w:rsidRPr="007A3223" w:rsidRDefault="005771C4" w:rsidP="00C213E0">
            <w:pPr>
              <w:tabs>
                <w:tab w:val="left" w:pos="4590"/>
                <w:tab w:val="left" w:pos="5130"/>
                <w:tab w:val="left" w:pos="8640"/>
              </w:tabs>
              <w:spacing w:after="60"/>
              <w:jc w:val="center"/>
            </w:pPr>
          </w:p>
        </w:tc>
        <w:tc>
          <w:tcPr>
            <w:tcW w:w="2160" w:type="dxa"/>
          </w:tcPr>
          <w:p w14:paraId="7A687D14" w14:textId="77777777" w:rsidR="005771C4" w:rsidRPr="007A3223" w:rsidRDefault="005771C4" w:rsidP="00C213E0">
            <w:pPr>
              <w:tabs>
                <w:tab w:val="left" w:pos="4590"/>
                <w:tab w:val="left" w:pos="5130"/>
                <w:tab w:val="left" w:pos="8640"/>
              </w:tabs>
              <w:spacing w:after="60"/>
            </w:pPr>
          </w:p>
        </w:tc>
      </w:tr>
      <w:tr w:rsidR="005771C4" w:rsidRPr="007A3223" w14:paraId="541E4039" w14:textId="77777777" w:rsidTr="00C213E0">
        <w:tc>
          <w:tcPr>
            <w:tcW w:w="738" w:type="dxa"/>
          </w:tcPr>
          <w:p w14:paraId="547A4590" w14:textId="77777777" w:rsidR="005771C4" w:rsidRPr="007A3223" w:rsidRDefault="005771C4" w:rsidP="00C213E0">
            <w:pPr>
              <w:tabs>
                <w:tab w:val="left" w:pos="4590"/>
                <w:tab w:val="left" w:pos="5130"/>
                <w:tab w:val="left" w:pos="8640"/>
              </w:tabs>
              <w:spacing w:after="60"/>
            </w:pPr>
          </w:p>
        </w:tc>
        <w:tc>
          <w:tcPr>
            <w:tcW w:w="1980" w:type="dxa"/>
          </w:tcPr>
          <w:p w14:paraId="71CB819F"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2738A893"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43A7D3F6" w14:textId="77777777" w:rsidR="005771C4" w:rsidRPr="007A3223" w:rsidRDefault="005771C4" w:rsidP="00C213E0">
            <w:pPr>
              <w:tabs>
                <w:tab w:val="left" w:pos="4590"/>
                <w:tab w:val="left" w:pos="5130"/>
                <w:tab w:val="left" w:pos="8640"/>
              </w:tabs>
              <w:spacing w:after="60"/>
            </w:pPr>
          </w:p>
        </w:tc>
        <w:tc>
          <w:tcPr>
            <w:tcW w:w="1980" w:type="dxa"/>
          </w:tcPr>
          <w:p w14:paraId="187B65ED" w14:textId="77777777" w:rsidR="005771C4" w:rsidRPr="007A3223" w:rsidRDefault="005771C4" w:rsidP="00C213E0">
            <w:pPr>
              <w:tabs>
                <w:tab w:val="left" w:pos="4590"/>
                <w:tab w:val="left" w:pos="5130"/>
                <w:tab w:val="left" w:pos="8640"/>
              </w:tabs>
              <w:spacing w:after="60"/>
              <w:jc w:val="center"/>
            </w:pPr>
          </w:p>
        </w:tc>
        <w:tc>
          <w:tcPr>
            <w:tcW w:w="2160" w:type="dxa"/>
          </w:tcPr>
          <w:p w14:paraId="5101FB9B" w14:textId="77777777" w:rsidR="005771C4" w:rsidRPr="007A3223" w:rsidRDefault="005771C4" w:rsidP="00C213E0">
            <w:pPr>
              <w:tabs>
                <w:tab w:val="left" w:pos="4590"/>
                <w:tab w:val="left" w:pos="5130"/>
                <w:tab w:val="left" w:pos="8640"/>
              </w:tabs>
              <w:spacing w:after="60"/>
            </w:pPr>
          </w:p>
        </w:tc>
      </w:tr>
      <w:tr w:rsidR="005771C4" w:rsidRPr="007A3223" w14:paraId="50C3F164" w14:textId="77777777" w:rsidTr="00C213E0">
        <w:tc>
          <w:tcPr>
            <w:tcW w:w="738" w:type="dxa"/>
          </w:tcPr>
          <w:p w14:paraId="2792BF86" w14:textId="77777777" w:rsidR="005771C4" w:rsidRPr="007A3223" w:rsidRDefault="005771C4" w:rsidP="00C213E0">
            <w:pPr>
              <w:tabs>
                <w:tab w:val="left" w:pos="4590"/>
                <w:tab w:val="left" w:pos="5130"/>
                <w:tab w:val="left" w:pos="8640"/>
              </w:tabs>
              <w:spacing w:after="60"/>
            </w:pPr>
          </w:p>
        </w:tc>
        <w:tc>
          <w:tcPr>
            <w:tcW w:w="1980" w:type="dxa"/>
          </w:tcPr>
          <w:p w14:paraId="43CA31F9"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3EEC036F"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7F4C9B54" w14:textId="77777777" w:rsidR="005771C4" w:rsidRPr="007A3223" w:rsidRDefault="005771C4" w:rsidP="00C213E0">
            <w:pPr>
              <w:tabs>
                <w:tab w:val="left" w:pos="4590"/>
                <w:tab w:val="left" w:pos="5130"/>
                <w:tab w:val="left" w:pos="8640"/>
              </w:tabs>
              <w:spacing w:after="60"/>
            </w:pPr>
          </w:p>
        </w:tc>
        <w:tc>
          <w:tcPr>
            <w:tcW w:w="1980" w:type="dxa"/>
          </w:tcPr>
          <w:p w14:paraId="38EFD5D5" w14:textId="77777777" w:rsidR="005771C4" w:rsidRPr="007A3223" w:rsidRDefault="005771C4" w:rsidP="00C213E0">
            <w:pPr>
              <w:tabs>
                <w:tab w:val="left" w:pos="4590"/>
                <w:tab w:val="left" w:pos="5130"/>
                <w:tab w:val="left" w:pos="8640"/>
              </w:tabs>
              <w:spacing w:after="60"/>
              <w:jc w:val="center"/>
            </w:pPr>
          </w:p>
        </w:tc>
        <w:tc>
          <w:tcPr>
            <w:tcW w:w="2160" w:type="dxa"/>
          </w:tcPr>
          <w:p w14:paraId="63EB3101" w14:textId="77777777" w:rsidR="005771C4" w:rsidRPr="007A3223" w:rsidRDefault="005771C4" w:rsidP="00C213E0">
            <w:pPr>
              <w:tabs>
                <w:tab w:val="left" w:pos="4590"/>
                <w:tab w:val="left" w:pos="5130"/>
                <w:tab w:val="left" w:pos="8640"/>
              </w:tabs>
              <w:spacing w:after="60"/>
            </w:pPr>
          </w:p>
        </w:tc>
      </w:tr>
      <w:tr w:rsidR="005771C4" w:rsidRPr="007A3223" w14:paraId="76386079" w14:textId="77777777" w:rsidTr="00C213E0">
        <w:tc>
          <w:tcPr>
            <w:tcW w:w="738" w:type="dxa"/>
          </w:tcPr>
          <w:p w14:paraId="0810771A" w14:textId="77777777" w:rsidR="005771C4" w:rsidRPr="007A3223" w:rsidRDefault="005771C4" w:rsidP="00C213E0">
            <w:pPr>
              <w:tabs>
                <w:tab w:val="left" w:pos="4590"/>
                <w:tab w:val="left" w:pos="5130"/>
                <w:tab w:val="left" w:pos="8640"/>
              </w:tabs>
              <w:spacing w:after="60"/>
            </w:pPr>
          </w:p>
        </w:tc>
        <w:tc>
          <w:tcPr>
            <w:tcW w:w="1980" w:type="dxa"/>
          </w:tcPr>
          <w:p w14:paraId="7AB5D7E4"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2D282F8E"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79B51973" w14:textId="77777777" w:rsidR="005771C4" w:rsidRPr="007A3223" w:rsidRDefault="005771C4" w:rsidP="00C213E0">
            <w:pPr>
              <w:tabs>
                <w:tab w:val="left" w:pos="4590"/>
                <w:tab w:val="left" w:pos="5130"/>
                <w:tab w:val="left" w:pos="8640"/>
              </w:tabs>
              <w:spacing w:after="60"/>
            </w:pPr>
          </w:p>
        </w:tc>
        <w:tc>
          <w:tcPr>
            <w:tcW w:w="1980" w:type="dxa"/>
          </w:tcPr>
          <w:p w14:paraId="339E39D4" w14:textId="77777777" w:rsidR="005771C4" w:rsidRPr="007A3223" w:rsidRDefault="005771C4" w:rsidP="00C213E0">
            <w:pPr>
              <w:tabs>
                <w:tab w:val="left" w:pos="4590"/>
                <w:tab w:val="left" w:pos="5130"/>
                <w:tab w:val="left" w:pos="8640"/>
              </w:tabs>
              <w:spacing w:after="60"/>
              <w:jc w:val="center"/>
            </w:pPr>
          </w:p>
        </w:tc>
        <w:tc>
          <w:tcPr>
            <w:tcW w:w="2160" w:type="dxa"/>
          </w:tcPr>
          <w:p w14:paraId="581D46F7" w14:textId="77777777" w:rsidR="005771C4" w:rsidRPr="007A3223" w:rsidRDefault="005771C4" w:rsidP="00C213E0">
            <w:pPr>
              <w:tabs>
                <w:tab w:val="left" w:pos="4590"/>
                <w:tab w:val="left" w:pos="5130"/>
                <w:tab w:val="left" w:pos="8640"/>
              </w:tabs>
              <w:spacing w:after="60"/>
            </w:pPr>
          </w:p>
        </w:tc>
      </w:tr>
      <w:tr w:rsidR="005771C4" w:rsidRPr="007A3223" w14:paraId="33FCFE5B" w14:textId="77777777" w:rsidTr="00C213E0">
        <w:tc>
          <w:tcPr>
            <w:tcW w:w="738" w:type="dxa"/>
          </w:tcPr>
          <w:p w14:paraId="6BD9EDA0" w14:textId="77777777" w:rsidR="005771C4" w:rsidRPr="007A3223" w:rsidRDefault="005771C4" w:rsidP="00C213E0">
            <w:pPr>
              <w:tabs>
                <w:tab w:val="left" w:pos="4590"/>
                <w:tab w:val="left" w:pos="5130"/>
                <w:tab w:val="left" w:pos="8640"/>
              </w:tabs>
              <w:spacing w:after="60"/>
            </w:pPr>
          </w:p>
        </w:tc>
        <w:tc>
          <w:tcPr>
            <w:tcW w:w="1980" w:type="dxa"/>
          </w:tcPr>
          <w:p w14:paraId="227E1414"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59D50DF8"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5D85C09A" w14:textId="77777777" w:rsidR="005771C4" w:rsidRPr="007A3223" w:rsidRDefault="005771C4" w:rsidP="00C213E0">
            <w:pPr>
              <w:tabs>
                <w:tab w:val="left" w:pos="4590"/>
                <w:tab w:val="left" w:pos="5130"/>
                <w:tab w:val="left" w:pos="8640"/>
              </w:tabs>
              <w:spacing w:after="60"/>
            </w:pPr>
          </w:p>
        </w:tc>
        <w:tc>
          <w:tcPr>
            <w:tcW w:w="1980" w:type="dxa"/>
          </w:tcPr>
          <w:p w14:paraId="6F3AC828" w14:textId="77777777" w:rsidR="005771C4" w:rsidRPr="007A3223" w:rsidRDefault="005771C4" w:rsidP="00C213E0">
            <w:pPr>
              <w:tabs>
                <w:tab w:val="left" w:pos="4590"/>
                <w:tab w:val="left" w:pos="5130"/>
                <w:tab w:val="left" w:pos="8640"/>
              </w:tabs>
              <w:spacing w:after="60"/>
              <w:jc w:val="center"/>
            </w:pPr>
          </w:p>
        </w:tc>
        <w:tc>
          <w:tcPr>
            <w:tcW w:w="2160" w:type="dxa"/>
          </w:tcPr>
          <w:p w14:paraId="3D1D9C2B" w14:textId="77777777" w:rsidR="005771C4" w:rsidRPr="007A3223" w:rsidRDefault="005771C4" w:rsidP="00C213E0">
            <w:pPr>
              <w:tabs>
                <w:tab w:val="left" w:pos="4590"/>
                <w:tab w:val="left" w:pos="5130"/>
                <w:tab w:val="left" w:pos="8640"/>
              </w:tabs>
              <w:spacing w:after="60"/>
            </w:pPr>
          </w:p>
        </w:tc>
      </w:tr>
      <w:tr w:rsidR="005771C4" w:rsidRPr="007A3223" w14:paraId="48B5C8D4" w14:textId="77777777" w:rsidTr="00C213E0">
        <w:tc>
          <w:tcPr>
            <w:tcW w:w="738" w:type="dxa"/>
          </w:tcPr>
          <w:p w14:paraId="0BB6AFA5" w14:textId="77777777" w:rsidR="005771C4" w:rsidRPr="007A3223" w:rsidRDefault="005771C4" w:rsidP="00C213E0">
            <w:pPr>
              <w:tabs>
                <w:tab w:val="left" w:pos="4590"/>
                <w:tab w:val="left" w:pos="5130"/>
                <w:tab w:val="left" w:pos="8640"/>
              </w:tabs>
              <w:spacing w:after="60"/>
            </w:pPr>
          </w:p>
        </w:tc>
        <w:tc>
          <w:tcPr>
            <w:tcW w:w="1980" w:type="dxa"/>
          </w:tcPr>
          <w:p w14:paraId="7A7D0476"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29211390"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74F835FA" w14:textId="77777777" w:rsidR="005771C4" w:rsidRPr="007A3223" w:rsidRDefault="005771C4" w:rsidP="00C213E0">
            <w:pPr>
              <w:tabs>
                <w:tab w:val="left" w:pos="4590"/>
                <w:tab w:val="left" w:pos="5130"/>
                <w:tab w:val="left" w:pos="8640"/>
              </w:tabs>
              <w:spacing w:after="60"/>
            </w:pPr>
          </w:p>
        </w:tc>
        <w:tc>
          <w:tcPr>
            <w:tcW w:w="1980" w:type="dxa"/>
          </w:tcPr>
          <w:p w14:paraId="713BC0A3" w14:textId="77777777" w:rsidR="005771C4" w:rsidRPr="007A3223" w:rsidRDefault="005771C4" w:rsidP="00C213E0">
            <w:pPr>
              <w:tabs>
                <w:tab w:val="left" w:pos="4590"/>
                <w:tab w:val="left" w:pos="5130"/>
                <w:tab w:val="left" w:pos="8640"/>
              </w:tabs>
              <w:spacing w:after="60"/>
              <w:jc w:val="center"/>
            </w:pPr>
          </w:p>
        </w:tc>
        <w:tc>
          <w:tcPr>
            <w:tcW w:w="2160" w:type="dxa"/>
          </w:tcPr>
          <w:p w14:paraId="1C5A2122" w14:textId="77777777" w:rsidR="005771C4" w:rsidRPr="007A3223" w:rsidRDefault="005771C4" w:rsidP="00C213E0">
            <w:pPr>
              <w:tabs>
                <w:tab w:val="left" w:pos="4590"/>
                <w:tab w:val="left" w:pos="5130"/>
                <w:tab w:val="left" w:pos="8640"/>
              </w:tabs>
              <w:spacing w:after="60"/>
            </w:pPr>
          </w:p>
        </w:tc>
      </w:tr>
      <w:tr w:rsidR="005771C4" w:rsidRPr="007A3223" w14:paraId="39385EDF" w14:textId="77777777" w:rsidTr="00C213E0">
        <w:tc>
          <w:tcPr>
            <w:tcW w:w="738" w:type="dxa"/>
          </w:tcPr>
          <w:p w14:paraId="00E63EB1" w14:textId="77777777" w:rsidR="005771C4" w:rsidRPr="007A3223" w:rsidRDefault="005771C4" w:rsidP="00C213E0">
            <w:pPr>
              <w:tabs>
                <w:tab w:val="left" w:pos="4590"/>
                <w:tab w:val="left" w:pos="5130"/>
                <w:tab w:val="left" w:pos="8640"/>
              </w:tabs>
              <w:spacing w:after="60"/>
            </w:pPr>
          </w:p>
        </w:tc>
        <w:tc>
          <w:tcPr>
            <w:tcW w:w="1980" w:type="dxa"/>
          </w:tcPr>
          <w:p w14:paraId="1BFFBF54"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3D5BC7BE"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050A9B48" w14:textId="77777777" w:rsidR="005771C4" w:rsidRPr="007A3223" w:rsidRDefault="005771C4" w:rsidP="00C213E0">
            <w:pPr>
              <w:tabs>
                <w:tab w:val="left" w:pos="4590"/>
                <w:tab w:val="left" w:pos="5130"/>
                <w:tab w:val="left" w:pos="8640"/>
              </w:tabs>
              <w:spacing w:after="60"/>
            </w:pPr>
          </w:p>
        </w:tc>
        <w:tc>
          <w:tcPr>
            <w:tcW w:w="1980" w:type="dxa"/>
          </w:tcPr>
          <w:p w14:paraId="02F3CD76" w14:textId="77777777" w:rsidR="005771C4" w:rsidRPr="007A3223" w:rsidRDefault="005771C4" w:rsidP="00C213E0">
            <w:pPr>
              <w:tabs>
                <w:tab w:val="left" w:pos="4590"/>
                <w:tab w:val="left" w:pos="5130"/>
                <w:tab w:val="left" w:pos="8640"/>
              </w:tabs>
              <w:spacing w:after="60"/>
              <w:jc w:val="center"/>
            </w:pPr>
          </w:p>
        </w:tc>
        <w:tc>
          <w:tcPr>
            <w:tcW w:w="2160" w:type="dxa"/>
          </w:tcPr>
          <w:p w14:paraId="5E1DD319" w14:textId="77777777" w:rsidR="005771C4" w:rsidRPr="007A3223" w:rsidRDefault="005771C4" w:rsidP="00C213E0">
            <w:pPr>
              <w:tabs>
                <w:tab w:val="left" w:pos="4590"/>
                <w:tab w:val="left" w:pos="5130"/>
                <w:tab w:val="left" w:pos="8640"/>
              </w:tabs>
              <w:spacing w:after="60"/>
            </w:pPr>
          </w:p>
        </w:tc>
      </w:tr>
      <w:tr w:rsidR="005771C4" w:rsidRPr="007A3223" w14:paraId="19E4A4DD" w14:textId="77777777" w:rsidTr="00C213E0">
        <w:tc>
          <w:tcPr>
            <w:tcW w:w="738" w:type="dxa"/>
          </w:tcPr>
          <w:p w14:paraId="429C53FF" w14:textId="77777777" w:rsidR="005771C4" w:rsidRPr="007A3223" w:rsidRDefault="005771C4" w:rsidP="00C213E0">
            <w:pPr>
              <w:tabs>
                <w:tab w:val="left" w:pos="4590"/>
                <w:tab w:val="left" w:pos="5130"/>
                <w:tab w:val="left" w:pos="8640"/>
              </w:tabs>
              <w:spacing w:after="60"/>
            </w:pPr>
          </w:p>
        </w:tc>
        <w:tc>
          <w:tcPr>
            <w:tcW w:w="1980" w:type="dxa"/>
          </w:tcPr>
          <w:p w14:paraId="024F4651"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36493B63"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32781405" w14:textId="77777777" w:rsidR="005771C4" w:rsidRPr="007A3223" w:rsidRDefault="005771C4" w:rsidP="00C213E0">
            <w:pPr>
              <w:tabs>
                <w:tab w:val="left" w:pos="4590"/>
                <w:tab w:val="left" w:pos="5130"/>
                <w:tab w:val="left" w:pos="8640"/>
              </w:tabs>
              <w:spacing w:after="60"/>
            </w:pPr>
          </w:p>
        </w:tc>
        <w:tc>
          <w:tcPr>
            <w:tcW w:w="1980" w:type="dxa"/>
          </w:tcPr>
          <w:p w14:paraId="43A4C022" w14:textId="77777777" w:rsidR="005771C4" w:rsidRPr="007A3223" w:rsidRDefault="005771C4" w:rsidP="00C213E0">
            <w:pPr>
              <w:tabs>
                <w:tab w:val="left" w:pos="4590"/>
                <w:tab w:val="left" w:pos="5130"/>
                <w:tab w:val="left" w:pos="8640"/>
              </w:tabs>
              <w:spacing w:after="60"/>
              <w:jc w:val="center"/>
            </w:pPr>
          </w:p>
        </w:tc>
        <w:tc>
          <w:tcPr>
            <w:tcW w:w="2160" w:type="dxa"/>
          </w:tcPr>
          <w:p w14:paraId="226BBAA9" w14:textId="77777777" w:rsidR="005771C4" w:rsidRPr="007A3223" w:rsidRDefault="005771C4" w:rsidP="00C213E0">
            <w:pPr>
              <w:tabs>
                <w:tab w:val="left" w:pos="4590"/>
                <w:tab w:val="left" w:pos="5130"/>
                <w:tab w:val="left" w:pos="8640"/>
              </w:tabs>
              <w:spacing w:after="60"/>
            </w:pPr>
          </w:p>
        </w:tc>
      </w:tr>
      <w:tr w:rsidR="005771C4" w:rsidRPr="007A3223" w14:paraId="1BCA73EB" w14:textId="77777777" w:rsidTr="00C213E0">
        <w:tc>
          <w:tcPr>
            <w:tcW w:w="738" w:type="dxa"/>
          </w:tcPr>
          <w:p w14:paraId="73955FFD" w14:textId="77777777" w:rsidR="005771C4" w:rsidRPr="007A3223" w:rsidRDefault="005771C4" w:rsidP="00C213E0">
            <w:pPr>
              <w:tabs>
                <w:tab w:val="left" w:pos="4590"/>
                <w:tab w:val="left" w:pos="5130"/>
                <w:tab w:val="left" w:pos="8640"/>
              </w:tabs>
              <w:spacing w:after="60"/>
            </w:pPr>
          </w:p>
        </w:tc>
        <w:tc>
          <w:tcPr>
            <w:tcW w:w="1980" w:type="dxa"/>
          </w:tcPr>
          <w:p w14:paraId="44906578"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72919078"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556050AA" w14:textId="77777777" w:rsidR="005771C4" w:rsidRPr="007A3223" w:rsidRDefault="005771C4" w:rsidP="00C213E0">
            <w:pPr>
              <w:tabs>
                <w:tab w:val="left" w:pos="4590"/>
                <w:tab w:val="left" w:pos="5130"/>
                <w:tab w:val="left" w:pos="8640"/>
              </w:tabs>
              <w:spacing w:after="60"/>
            </w:pPr>
          </w:p>
        </w:tc>
        <w:tc>
          <w:tcPr>
            <w:tcW w:w="1980" w:type="dxa"/>
          </w:tcPr>
          <w:p w14:paraId="6B037A5F" w14:textId="77777777" w:rsidR="005771C4" w:rsidRPr="007A3223" w:rsidRDefault="005771C4" w:rsidP="00C213E0">
            <w:pPr>
              <w:tabs>
                <w:tab w:val="left" w:pos="4590"/>
                <w:tab w:val="left" w:pos="5130"/>
                <w:tab w:val="left" w:pos="8640"/>
              </w:tabs>
              <w:spacing w:after="60"/>
              <w:jc w:val="center"/>
            </w:pPr>
          </w:p>
        </w:tc>
        <w:tc>
          <w:tcPr>
            <w:tcW w:w="2160" w:type="dxa"/>
          </w:tcPr>
          <w:p w14:paraId="7F7A8EEF" w14:textId="77777777" w:rsidR="005771C4" w:rsidRPr="007A3223" w:rsidRDefault="005771C4" w:rsidP="00C213E0">
            <w:pPr>
              <w:tabs>
                <w:tab w:val="left" w:pos="4590"/>
                <w:tab w:val="left" w:pos="5130"/>
                <w:tab w:val="left" w:pos="8640"/>
              </w:tabs>
              <w:spacing w:after="60"/>
            </w:pPr>
          </w:p>
        </w:tc>
      </w:tr>
      <w:tr w:rsidR="005771C4" w:rsidRPr="007A3223" w14:paraId="2372B8E9" w14:textId="77777777" w:rsidTr="00C213E0">
        <w:tc>
          <w:tcPr>
            <w:tcW w:w="738" w:type="dxa"/>
          </w:tcPr>
          <w:p w14:paraId="40CDB30C" w14:textId="77777777" w:rsidR="005771C4" w:rsidRPr="007A3223" w:rsidRDefault="005771C4" w:rsidP="00C213E0">
            <w:pPr>
              <w:tabs>
                <w:tab w:val="left" w:pos="4590"/>
                <w:tab w:val="left" w:pos="5130"/>
                <w:tab w:val="left" w:pos="8640"/>
              </w:tabs>
              <w:spacing w:after="60"/>
            </w:pPr>
          </w:p>
        </w:tc>
        <w:tc>
          <w:tcPr>
            <w:tcW w:w="1980" w:type="dxa"/>
          </w:tcPr>
          <w:p w14:paraId="2E5AA170"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65F00380"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43C34015" w14:textId="77777777" w:rsidR="005771C4" w:rsidRPr="007A3223" w:rsidRDefault="005771C4" w:rsidP="00C213E0">
            <w:pPr>
              <w:tabs>
                <w:tab w:val="left" w:pos="4590"/>
                <w:tab w:val="left" w:pos="5130"/>
                <w:tab w:val="left" w:pos="8640"/>
              </w:tabs>
              <w:spacing w:after="60"/>
            </w:pPr>
          </w:p>
        </w:tc>
        <w:tc>
          <w:tcPr>
            <w:tcW w:w="1980" w:type="dxa"/>
          </w:tcPr>
          <w:p w14:paraId="347E45C3" w14:textId="77777777" w:rsidR="005771C4" w:rsidRPr="007A3223" w:rsidRDefault="005771C4" w:rsidP="00C213E0">
            <w:pPr>
              <w:tabs>
                <w:tab w:val="left" w:pos="4590"/>
                <w:tab w:val="left" w:pos="5130"/>
                <w:tab w:val="left" w:pos="8640"/>
              </w:tabs>
              <w:spacing w:after="60"/>
              <w:jc w:val="center"/>
            </w:pPr>
          </w:p>
        </w:tc>
        <w:tc>
          <w:tcPr>
            <w:tcW w:w="2160" w:type="dxa"/>
          </w:tcPr>
          <w:p w14:paraId="6B472566" w14:textId="77777777" w:rsidR="005771C4" w:rsidRPr="007A3223" w:rsidRDefault="005771C4" w:rsidP="00C213E0">
            <w:pPr>
              <w:tabs>
                <w:tab w:val="left" w:pos="4590"/>
                <w:tab w:val="left" w:pos="5130"/>
                <w:tab w:val="left" w:pos="8640"/>
              </w:tabs>
              <w:spacing w:after="60"/>
            </w:pPr>
          </w:p>
        </w:tc>
      </w:tr>
      <w:tr w:rsidR="005771C4" w:rsidRPr="007A3223" w14:paraId="7399027F" w14:textId="77777777" w:rsidTr="00C213E0">
        <w:tc>
          <w:tcPr>
            <w:tcW w:w="738" w:type="dxa"/>
          </w:tcPr>
          <w:p w14:paraId="032C8A0E" w14:textId="77777777" w:rsidR="005771C4" w:rsidRPr="007A3223" w:rsidRDefault="005771C4" w:rsidP="00C213E0">
            <w:pPr>
              <w:tabs>
                <w:tab w:val="left" w:pos="4590"/>
                <w:tab w:val="left" w:pos="5130"/>
                <w:tab w:val="left" w:pos="8640"/>
              </w:tabs>
              <w:spacing w:after="60"/>
            </w:pPr>
          </w:p>
        </w:tc>
        <w:tc>
          <w:tcPr>
            <w:tcW w:w="1980" w:type="dxa"/>
          </w:tcPr>
          <w:p w14:paraId="5EB8F288"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783D3521"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5F2C2F25" w14:textId="77777777" w:rsidR="005771C4" w:rsidRPr="007A3223" w:rsidRDefault="005771C4" w:rsidP="00C213E0">
            <w:pPr>
              <w:tabs>
                <w:tab w:val="left" w:pos="4590"/>
                <w:tab w:val="left" w:pos="5130"/>
                <w:tab w:val="left" w:pos="8640"/>
              </w:tabs>
              <w:spacing w:after="60"/>
            </w:pPr>
          </w:p>
        </w:tc>
        <w:tc>
          <w:tcPr>
            <w:tcW w:w="1980" w:type="dxa"/>
          </w:tcPr>
          <w:p w14:paraId="3D197788" w14:textId="77777777" w:rsidR="005771C4" w:rsidRPr="007A3223" w:rsidRDefault="005771C4" w:rsidP="00C213E0">
            <w:pPr>
              <w:tabs>
                <w:tab w:val="left" w:pos="4590"/>
                <w:tab w:val="left" w:pos="5130"/>
                <w:tab w:val="left" w:pos="8640"/>
              </w:tabs>
              <w:spacing w:after="60"/>
              <w:jc w:val="center"/>
            </w:pPr>
          </w:p>
        </w:tc>
        <w:tc>
          <w:tcPr>
            <w:tcW w:w="2160" w:type="dxa"/>
          </w:tcPr>
          <w:p w14:paraId="150B7520" w14:textId="77777777" w:rsidR="005771C4" w:rsidRPr="007A3223" w:rsidRDefault="005771C4" w:rsidP="00C213E0">
            <w:pPr>
              <w:tabs>
                <w:tab w:val="left" w:pos="4590"/>
                <w:tab w:val="left" w:pos="5130"/>
                <w:tab w:val="left" w:pos="8640"/>
              </w:tabs>
              <w:spacing w:after="60"/>
            </w:pPr>
          </w:p>
        </w:tc>
      </w:tr>
      <w:tr w:rsidR="005771C4" w:rsidRPr="007A3223" w14:paraId="3CDFF95F" w14:textId="77777777" w:rsidTr="00C213E0">
        <w:tc>
          <w:tcPr>
            <w:tcW w:w="738" w:type="dxa"/>
          </w:tcPr>
          <w:p w14:paraId="5001B2FA" w14:textId="77777777" w:rsidR="005771C4" w:rsidRPr="007A3223" w:rsidRDefault="005771C4" w:rsidP="00C213E0">
            <w:pPr>
              <w:tabs>
                <w:tab w:val="left" w:pos="4590"/>
                <w:tab w:val="left" w:pos="5130"/>
                <w:tab w:val="left" w:pos="8640"/>
              </w:tabs>
              <w:spacing w:after="60"/>
            </w:pPr>
          </w:p>
        </w:tc>
        <w:tc>
          <w:tcPr>
            <w:tcW w:w="1980" w:type="dxa"/>
          </w:tcPr>
          <w:p w14:paraId="6C3C0FF0" w14:textId="77777777" w:rsidR="005771C4" w:rsidRPr="007A3223" w:rsidRDefault="005771C4" w:rsidP="00C213E0">
            <w:pPr>
              <w:tabs>
                <w:tab w:val="left" w:pos="4590"/>
                <w:tab w:val="left" w:pos="5130"/>
                <w:tab w:val="left" w:pos="8640"/>
              </w:tabs>
              <w:spacing w:after="60"/>
              <w:jc w:val="center"/>
            </w:pPr>
          </w:p>
        </w:tc>
        <w:tc>
          <w:tcPr>
            <w:tcW w:w="2158" w:type="dxa"/>
            <w:tcBorders>
              <w:right w:val="double" w:sz="4" w:space="0" w:color="auto"/>
            </w:tcBorders>
          </w:tcPr>
          <w:p w14:paraId="573C5256" w14:textId="77777777" w:rsidR="005771C4" w:rsidRPr="007A3223" w:rsidRDefault="005771C4" w:rsidP="00C213E0">
            <w:pPr>
              <w:tabs>
                <w:tab w:val="left" w:pos="4590"/>
                <w:tab w:val="left" w:pos="5130"/>
                <w:tab w:val="left" w:pos="8640"/>
              </w:tabs>
              <w:spacing w:after="60"/>
            </w:pPr>
          </w:p>
        </w:tc>
        <w:tc>
          <w:tcPr>
            <w:tcW w:w="722" w:type="dxa"/>
            <w:tcBorders>
              <w:left w:val="double" w:sz="4" w:space="0" w:color="auto"/>
            </w:tcBorders>
          </w:tcPr>
          <w:p w14:paraId="402F99AA" w14:textId="77777777" w:rsidR="005771C4" w:rsidRPr="007A3223" w:rsidRDefault="005771C4" w:rsidP="00C213E0">
            <w:pPr>
              <w:tabs>
                <w:tab w:val="left" w:pos="4590"/>
                <w:tab w:val="left" w:pos="5130"/>
                <w:tab w:val="left" w:pos="8640"/>
              </w:tabs>
              <w:spacing w:after="60"/>
            </w:pPr>
          </w:p>
        </w:tc>
        <w:tc>
          <w:tcPr>
            <w:tcW w:w="1980" w:type="dxa"/>
          </w:tcPr>
          <w:p w14:paraId="7D26E239" w14:textId="77777777" w:rsidR="005771C4" w:rsidRPr="007A3223" w:rsidRDefault="005771C4" w:rsidP="00C213E0">
            <w:pPr>
              <w:tabs>
                <w:tab w:val="left" w:pos="4590"/>
                <w:tab w:val="left" w:pos="5130"/>
                <w:tab w:val="left" w:pos="8640"/>
              </w:tabs>
              <w:spacing w:after="60"/>
              <w:jc w:val="center"/>
            </w:pPr>
          </w:p>
        </w:tc>
        <w:tc>
          <w:tcPr>
            <w:tcW w:w="2160" w:type="dxa"/>
          </w:tcPr>
          <w:p w14:paraId="57C1B23F" w14:textId="77777777" w:rsidR="005771C4" w:rsidRPr="007A3223" w:rsidRDefault="005771C4" w:rsidP="00C213E0">
            <w:pPr>
              <w:tabs>
                <w:tab w:val="left" w:pos="4590"/>
                <w:tab w:val="left" w:pos="5130"/>
                <w:tab w:val="left" w:pos="8640"/>
              </w:tabs>
              <w:spacing w:after="60"/>
            </w:pPr>
          </w:p>
        </w:tc>
      </w:tr>
      <w:tr w:rsidR="005771C4" w:rsidRPr="007A3223" w14:paraId="672CAA22" w14:textId="77777777" w:rsidTr="00C213E0">
        <w:tc>
          <w:tcPr>
            <w:tcW w:w="9738" w:type="dxa"/>
            <w:gridSpan w:val="6"/>
          </w:tcPr>
          <w:p w14:paraId="776E8D39" w14:textId="77777777" w:rsidR="005771C4" w:rsidRPr="007A3223" w:rsidRDefault="005771C4" w:rsidP="00C213E0">
            <w:pPr>
              <w:tabs>
                <w:tab w:val="left" w:pos="5760"/>
                <w:tab w:val="left" w:pos="6210"/>
                <w:tab w:val="left" w:pos="8640"/>
              </w:tabs>
              <w:spacing w:before="240" w:after="240"/>
              <w:rPr>
                <w:u w:val="single"/>
              </w:rPr>
            </w:pPr>
            <w:r w:rsidRPr="007A3223">
              <w:t xml:space="preserve">Patient’s Signature: </w:t>
            </w:r>
            <w:r w:rsidRPr="007A3223">
              <w:rPr>
                <w:u w:val="single"/>
              </w:rPr>
              <w:tab/>
            </w:r>
            <w:r w:rsidRPr="007A3223">
              <w:tab/>
              <w:t xml:space="preserve">Date: </w:t>
            </w:r>
            <w:r w:rsidRPr="007A3223">
              <w:rPr>
                <w:u w:val="single"/>
              </w:rPr>
              <w:tab/>
            </w:r>
          </w:p>
        </w:tc>
      </w:tr>
      <w:tr w:rsidR="005771C4" w:rsidRPr="007A3223" w14:paraId="437DE844" w14:textId="77777777" w:rsidTr="00C213E0">
        <w:tc>
          <w:tcPr>
            <w:tcW w:w="9738" w:type="dxa"/>
            <w:gridSpan w:val="6"/>
          </w:tcPr>
          <w:p w14:paraId="3787BFE1" w14:textId="77777777" w:rsidR="005771C4" w:rsidRPr="007A3223" w:rsidRDefault="005771C4" w:rsidP="00C213E0">
            <w:pPr>
              <w:tabs>
                <w:tab w:val="left" w:pos="5760"/>
                <w:tab w:val="left" w:pos="6210"/>
                <w:tab w:val="left" w:pos="8640"/>
              </w:tabs>
              <w:spacing w:after="0"/>
              <w:rPr>
                <w:b/>
              </w:rPr>
            </w:pPr>
            <w:r w:rsidRPr="007A3223">
              <w:rPr>
                <w:b/>
              </w:rPr>
              <w:t>Study Team will complete this section</w:t>
            </w:r>
          </w:p>
          <w:p w14:paraId="6DD8F94C" w14:textId="77777777" w:rsidR="005771C4" w:rsidRPr="007A3223" w:rsidRDefault="005771C4" w:rsidP="00C213E0">
            <w:pPr>
              <w:tabs>
                <w:tab w:val="left" w:pos="4134"/>
                <w:tab w:val="left" w:pos="5760"/>
                <w:tab w:val="left" w:pos="6210"/>
                <w:tab w:val="left" w:pos="8640"/>
              </w:tabs>
              <w:spacing w:before="60" w:after="60"/>
              <w:rPr>
                <w:u w:val="single"/>
              </w:rPr>
            </w:pPr>
            <w:r w:rsidRPr="007A3223">
              <w:t xml:space="preserve">Date of visit:  </w:t>
            </w:r>
            <w:r w:rsidRPr="007A3223">
              <w:rPr>
                <w:u w:val="single"/>
              </w:rPr>
              <w:tab/>
            </w:r>
          </w:p>
          <w:p w14:paraId="37E0BB4A" w14:textId="77777777" w:rsidR="005771C4" w:rsidRPr="007A3223" w:rsidRDefault="005771C4" w:rsidP="00C213E0">
            <w:pPr>
              <w:tabs>
                <w:tab w:val="left" w:pos="6300"/>
                <w:tab w:val="left" w:pos="6660"/>
                <w:tab w:val="left" w:pos="8640"/>
              </w:tabs>
              <w:spacing w:before="60" w:after="60"/>
              <w:rPr>
                <w:u w:val="single"/>
              </w:rPr>
            </w:pPr>
            <w:r w:rsidRPr="007A3223">
              <w:t xml:space="preserve">Physician/Nurse’s Signature: </w:t>
            </w:r>
            <w:r w:rsidRPr="007A3223">
              <w:rPr>
                <w:u w:val="single"/>
              </w:rPr>
              <w:tab/>
            </w:r>
            <w:r w:rsidRPr="007A3223">
              <w:tab/>
              <w:t xml:space="preserve">Date: </w:t>
            </w:r>
            <w:r w:rsidRPr="007A3223">
              <w:rPr>
                <w:u w:val="single"/>
              </w:rPr>
              <w:tab/>
            </w:r>
          </w:p>
        </w:tc>
      </w:tr>
    </w:tbl>
    <w:p w14:paraId="50443F23" w14:textId="77777777" w:rsidR="005771C4" w:rsidRPr="007A3223" w:rsidRDefault="005771C4" w:rsidP="005771C4">
      <w:pPr>
        <w:tabs>
          <w:tab w:val="left" w:pos="4590"/>
          <w:tab w:val="left" w:pos="5130"/>
          <w:tab w:val="left" w:pos="8640"/>
        </w:tabs>
      </w:pPr>
    </w:p>
    <w:p w14:paraId="6536F1A9" w14:textId="5F04470C" w:rsidR="00A40E55" w:rsidRPr="007A3223" w:rsidRDefault="005771C4" w:rsidP="00043472">
      <w:pPr>
        <w:pStyle w:val="Heading2"/>
      </w:pPr>
      <w:r w:rsidRPr="007A3223">
        <w:br w:type="page"/>
      </w:r>
      <w:bookmarkStart w:id="589" w:name="F"/>
      <w:bookmarkStart w:id="590" w:name="_Ref433989929"/>
      <w:bookmarkStart w:id="591" w:name="_Toc82444429"/>
      <w:r w:rsidR="00D55CB8" w:rsidRPr="007A3223">
        <w:lastRenderedPageBreak/>
        <w:t xml:space="preserve">Appendix </w:t>
      </w:r>
      <w:bookmarkEnd w:id="583"/>
      <w:bookmarkEnd w:id="588"/>
      <w:r w:rsidR="00043472" w:rsidRPr="00F33908">
        <w:fldChar w:fldCharType="begin"/>
      </w:r>
      <w:r w:rsidR="00043472" w:rsidRPr="007A3223">
        <w:instrText xml:space="preserve"> SEQ Appendix \* ALPHABETIC </w:instrText>
      </w:r>
      <w:r w:rsidR="00043472" w:rsidRPr="00F33908">
        <w:fldChar w:fldCharType="separate"/>
      </w:r>
      <w:r w:rsidR="00E47ACA">
        <w:rPr>
          <w:noProof/>
        </w:rPr>
        <w:t>F</w:t>
      </w:r>
      <w:r w:rsidR="00043472" w:rsidRPr="00F33908">
        <w:fldChar w:fldCharType="end"/>
      </w:r>
      <w:bookmarkEnd w:id="589"/>
      <w:r w:rsidR="001315B8">
        <w:rPr>
          <w:lang w:val="en-US"/>
        </w:rPr>
        <w:t>:</w:t>
      </w:r>
      <w:r w:rsidR="00D55CB8" w:rsidRPr="007A3223">
        <w:t xml:space="preserve"> </w:t>
      </w:r>
      <w:bookmarkEnd w:id="579"/>
      <w:bookmarkEnd w:id="580"/>
      <w:r w:rsidR="00BB4772" w:rsidRPr="00F33908">
        <w:t xml:space="preserve">Suggested Anti-hypertensive Medications, Starting Doses and Hepatic </w:t>
      </w:r>
      <w:r w:rsidR="00EE484C" w:rsidRPr="007A3223">
        <w:t>Metabolism</w:t>
      </w:r>
      <w:bookmarkEnd w:id="590"/>
      <w:bookmarkEnd w:id="591"/>
    </w:p>
    <w:tbl>
      <w:tblPr>
        <w:tblStyle w:val="TableGrid"/>
        <w:tblpPr w:leftFromText="180" w:rightFromText="180" w:vertAnchor="text" w:horzAnchor="page" w:tblpX="1429" w:tblpY="261"/>
        <w:tblW w:w="0" w:type="auto"/>
        <w:tblLook w:val="04A0" w:firstRow="1" w:lastRow="0" w:firstColumn="1" w:lastColumn="0" w:noHBand="0" w:noVBand="1"/>
      </w:tblPr>
      <w:tblGrid>
        <w:gridCol w:w="2191"/>
        <w:gridCol w:w="1710"/>
        <w:gridCol w:w="1839"/>
        <w:gridCol w:w="1791"/>
        <w:gridCol w:w="1819"/>
      </w:tblGrid>
      <w:tr w:rsidR="008E39C1" w:rsidRPr="007A3223" w14:paraId="7E5B4BCC" w14:textId="77777777" w:rsidTr="007B71E4">
        <w:tc>
          <w:tcPr>
            <w:tcW w:w="9576" w:type="dxa"/>
            <w:gridSpan w:val="5"/>
          </w:tcPr>
          <w:p w14:paraId="07E1D955" w14:textId="77777777" w:rsidR="008E39C1" w:rsidRPr="007A3223" w:rsidRDefault="008E39C1" w:rsidP="007B71E4">
            <w:pPr>
              <w:rPr>
                <w:b/>
              </w:rPr>
            </w:pPr>
          </w:p>
        </w:tc>
      </w:tr>
      <w:tr w:rsidR="008E39C1" w:rsidRPr="007A3223" w14:paraId="7F3EC2EB" w14:textId="77777777" w:rsidTr="007B71E4">
        <w:tc>
          <w:tcPr>
            <w:tcW w:w="9576" w:type="dxa"/>
            <w:gridSpan w:val="5"/>
          </w:tcPr>
          <w:p w14:paraId="0F77BA9D" w14:textId="77777777" w:rsidR="008E39C1" w:rsidRPr="007A3223" w:rsidRDefault="008E39C1" w:rsidP="00AF58CF">
            <w:pPr>
              <w:widowControl w:val="0"/>
              <w:autoSpaceDE w:val="0"/>
              <w:autoSpaceDN w:val="0"/>
              <w:adjustRightInd w:val="0"/>
              <w:spacing w:after="0"/>
            </w:pPr>
          </w:p>
        </w:tc>
      </w:tr>
      <w:tr w:rsidR="008E39C1" w:rsidRPr="007A3223" w14:paraId="4612EBF4" w14:textId="77777777" w:rsidTr="007B71E4">
        <w:tc>
          <w:tcPr>
            <w:tcW w:w="2243" w:type="dxa"/>
          </w:tcPr>
          <w:p w14:paraId="25C89FD1" w14:textId="77777777" w:rsidR="008E39C1" w:rsidRPr="007A3223" w:rsidRDefault="008E39C1" w:rsidP="007B71E4">
            <w:pPr>
              <w:jc w:val="center"/>
              <w:rPr>
                <w:b/>
              </w:rPr>
            </w:pPr>
            <w:r w:rsidRPr="007A3223">
              <w:rPr>
                <w:b/>
              </w:rPr>
              <w:t>Agent</w:t>
            </w:r>
          </w:p>
        </w:tc>
        <w:tc>
          <w:tcPr>
            <w:tcW w:w="1777" w:type="dxa"/>
          </w:tcPr>
          <w:p w14:paraId="1CA7E4E0" w14:textId="77777777" w:rsidR="008E39C1" w:rsidRPr="007A3223" w:rsidRDefault="008E39C1" w:rsidP="007B71E4">
            <w:pPr>
              <w:jc w:val="center"/>
              <w:rPr>
                <w:b/>
              </w:rPr>
            </w:pPr>
            <w:r w:rsidRPr="007A3223">
              <w:rPr>
                <w:b/>
              </w:rPr>
              <w:t>Initial Dose</w:t>
            </w:r>
          </w:p>
        </w:tc>
        <w:tc>
          <w:tcPr>
            <w:tcW w:w="1868" w:type="dxa"/>
          </w:tcPr>
          <w:p w14:paraId="700437F2" w14:textId="77777777" w:rsidR="008E39C1" w:rsidRPr="007A3223" w:rsidRDefault="008E39C1" w:rsidP="007B71E4">
            <w:pPr>
              <w:jc w:val="center"/>
              <w:rPr>
                <w:b/>
              </w:rPr>
            </w:pPr>
            <w:r w:rsidRPr="007A3223">
              <w:rPr>
                <w:b/>
              </w:rPr>
              <w:t>Intermediate Dose</w:t>
            </w:r>
          </w:p>
        </w:tc>
        <w:tc>
          <w:tcPr>
            <w:tcW w:w="1834" w:type="dxa"/>
          </w:tcPr>
          <w:p w14:paraId="6CE31F32" w14:textId="77777777" w:rsidR="008E39C1" w:rsidRPr="007A3223" w:rsidRDefault="008E39C1" w:rsidP="007B71E4">
            <w:pPr>
              <w:jc w:val="center"/>
              <w:rPr>
                <w:b/>
              </w:rPr>
            </w:pPr>
            <w:r w:rsidRPr="007A3223">
              <w:rPr>
                <w:b/>
              </w:rPr>
              <w:t>Maximum Dose</w:t>
            </w:r>
          </w:p>
        </w:tc>
        <w:tc>
          <w:tcPr>
            <w:tcW w:w="1854" w:type="dxa"/>
          </w:tcPr>
          <w:p w14:paraId="6030AABD" w14:textId="77777777" w:rsidR="008E39C1" w:rsidRPr="007A3223" w:rsidRDefault="008E39C1" w:rsidP="007B71E4">
            <w:pPr>
              <w:jc w:val="center"/>
              <w:rPr>
                <w:b/>
              </w:rPr>
            </w:pPr>
            <w:r w:rsidRPr="007A3223">
              <w:rPr>
                <w:b/>
              </w:rPr>
              <w:t>Hepatic Metabolism</w:t>
            </w:r>
          </w:p>
        </w:tc>
      </w:tr>
      <w:tr w:rsidR="008E39C1" w:rsidRPr="007A3223" w14:paraId="7F4D60C0" w14:textId="77777777" w:rsidTr="00832A97">
        <w:trPr>
          <w:trHeight w:val="905"/>
        </w:trPr>
        <w:tc>
          <w:tcPr>
            <w:tcW w:w="2243" w:type="dxa"/>
          </w:tcPr>
          <w:p w14:paraId="5EF2BA91" w14:textId="77777777" w:rsidR="008E39C1" w:rsidRPr="007A3223" w:rsidRDefault="008E39C1" w:rsidP="007B71E4">
            <w:pPr>
              <w:widowControl w:val="0"/>
              <w:autoSpaceDE w:val="0"/>
              <w:autoSpaceDN w:val="0"/>
              <w:adjustRightInd w:val="0"/>
              <w:spacing w:before="240" w:after="0"/>
              <w:outlineLvl w:val="6"/>
              <w:rPr>
                <w:b/>
              </w:rPr>
            </w:pPr>
            <w:r w:rsidRPr="007A3223">
              <w:rPr>
                <w:b/>
              </w:rPr>
              <w:t>Nifedipine XL*</w:t>
            </w:r>
          </w:p>
          <w:p w14:paraId="20EC3F18" w14:textId="77777777" w:rsidR="008E39C1" w:rsidRPr="007A3223" w:rsidRDefault="008E39C1" w:rsidP="007B71E4">
            <w:pPr>
              <w:rPr>
                <w:b/>
              </w:rPr>
            </w:pPr>
          </w:p>
        </w:tc>
        <w:tc>
          <w:tcPr>
            <w:tcW w:w="1777" w:type="dxa"/>
          </w:tcPr>
          <w:p w14:paraId="223D3D35" w14:textId="77777777" w:rsidR="008E39C1" w:rsidRPr="007A3223" w:rsidRDefault="008E39C1" w:rsidP="007B71E4">
            <w:r w:rsidRPr="007A3223">
              <w:t>30 mg po qd</w:t>
            </w:r>
          </w:p>
        </w:tc>
        <w:tc>
          <w:tcPr>
            <w:tcW w:w="1868" w:type="dxa"/>
          </w:tcPr>
          <w:p w14:paraId="2261EAA7" w14:textId="77777777" w:rsidR="008E39C1" w:rsidRPr="007A3223" w:rsidRDefault="008E39C1" w:rsidP="007B71E4">
            <w:pPr>
              <w:widowControl w:val="0"/>
              <w:autoSpaceDE w:val="0"/>
              <w:autoSpaceDN w:val="0"/>
              <w:adjustRightInd w:val="0"/>
              <w:spacing w:after="0"/>
            </w:pPr>
            <w:r w:rsidRPr="007A3223">
              <w:t>60 mg po qd</w:t>
            </w:r>
          </w:p>
          <w:p w14:paraId="2173DEB0" w14:textId="77777777" w:rsidR="008E39C1" w:rsidRPr="007A3223" w:rsidRDefault="008E39C1" w:rsidP="007B71E4"/>
        </w:tc>
        <w:tc>
          <w:tcPr>
            <w:tcW w:w="1834" w:type="dxa"/>
          </w:tcPr>
          <w:p w14:paraId="7532CD7E" w14:textId="77777777" w:rsidR="008E39C1" w:rsidRPr="007A3223" w:rsidRDefault="008E39C1" w:rsidP="007B71E4">
            <w:r w:rsidRPr="007A3223">
              <w:t>90 mg po qd</w:t>
            </w:r>
          </w:p>
        </w:tc>
        <w:tc>
          <w:tcPr>
            <w:tcW w:w="1854" w:type="dxa"/>
          </w:tcPr>
          <w:p w14:paraId="39024685" w14:textId="77777777" w:rsidR="008E39C1" w:rsidRPr="007A3223" w:rsidRDefault="008E39C1" w:rsidP="007B71E4">
            <w:pPr>
              <w:widowControl w:val="0"/>
              <w:autoSpaceDE w:val="0"/>
              <w:autoSpaceDN w:val="0"/>
              <w:adjustRightInd w:val="0"/>
              <w:spacing w:after="0"/>
              <w:jc w:val="center"/>
            </w:pPr>
            <w:r w:rsidRPr="007A3223">
              <w:t>CYP 3A4</w:t>
            </w:r>
          </w:p>
          <w:p w14:paraId="27583DF3" w14:textId="77777777" w:rsidR="008E39C1" w:rsidRPr="007A3223" w:rsidRDefault="008E39C1" w:rsidP="007B71E4">
            <w:pPr>
              <w:jc w:val="center"/>
            </w:pPr>
            <w:r w:rsidRPr="007A3223">
              <w:t>substrate</w:t>
            </w:r>
          </w:p>
        </w:tc>
      </w:tr>
      <w:tr w:rsidR="008E39C1" w:rsidRPr="007A3223" w14:paraId="58227FB4" w14:textId="77777777" w:rsidTr="007B71E4">
        <w:tc>
          <w:tcPr>
            <w:tcW w:w="2243" w:type="dxa"/>
          </w:tcPr>
          <w:p w14:paraId="56859EE8" w14:textId="77777777" w:rsidR="008E39C1" w:rsidRPr="007A3223" w:rsidRDefault="008E39C1" w:rsidP="007B71E4">
            <w:pPr>
              <w:widowControl w:val="0"/>
              <w:autoSpaceDE w:val="0"/>
              <w:autoSpaceDN w:val="0"/>
              <w:adjustRightInd w:val="0"/>
              <w:spacing w:before="240" w:after="0"/>
              <w:outlineLvl w:val="6"/>
              <w:rPr>
                <w:b/>
              </w:rPr>
            </w:pPr>
            <w:r w:rsidRPr="007A3223">
              <w:rPr>
                <w:b/>
              </w:rPr>
              <w:t>Amlodipine*</w:t>
            </w:r>
          </w:p>
          <w:p w14:paraId="5F2E1F8B" w14:textId="77777777" w:rsidR="008E39C1" w:rsidRPr="007A3223" w:rsidRDefault="008E39C1" w:rsidP="007B71E4">
            <w:pPr>
              <w:rPr>
                <w:b/>
              </w:rPr>
            </w:pPr>
          </w:p>
        </w:tc>
        <w:tc>
          <w:tcPr>
            <w:tcW w:w="1777" w:type="dxa"/>
          </w:tcPr>
          <w:p w14:paraId="077CFB9B" w14:textId="77777777" w:rsidR="008E39C1" w:rsidRPr="007A3223" w:rsidRDefault="008E39C1" w:rsidP="007B71E4">
            <w:r w:rsidRPr="007A3223">
              <w:t>2.5 mg po qd</w:t>
            </w:r>
          </w:p>
        </w:tc>
        <w:tc>
          <w:tcPr>
            <w:tcW w:w="1868" w:type="dxa"/>
          </w:tcPr>
          <w:p w14:paraId="60CD1032" w14:textId="77777777" w:rsidR="008E39C1" w:rsidRPr="007A3223" w:rsidRDefault="008E39C1" w:rsidP="007B71E4">
            <w:pPr>
              <w:widowControl w:val="0"/>
              <w:autoSpaceDE w:val="0"/>
              <w:autoSpaceDN w:val="0"/>
              <w:adjustRightInd w:val="0"/>
              <w:spacing w:after="0"/>
            </w:pPr>
            <w:r w:rsidRPr="007A3223">
              <w:t>5 mg po qd</w:t>
            </w:r>
          </w:p>
          <w:p w14:paraId="35F3326B" w14:textId="77777777" w:rsidR="008E39C1" w:rsidRPr="007A3223" w:rsidRDefault="008E39C1" w:rsidP="007B71E4"/>
        </w:tc>
        <w:tc>
          <w:tcPr>
            <w:tcW w:w="1834" w:type="dxa"/>
          </w:tcPr>
          <w:p w14:paraId="4DE20E0F" w14:textId="759ECD6F" w:rsidR="008E39C1" w:rsidRPr="007A3223" w:rsidRDefault="00374CAC" w:rsidP="007B71E4">
            <w:pPr>
              <w:widowControl w:val="0"/>
              <w:autoSpaceDE w:val="0"/>
              <w:autoSpaceDN w:val="0"/>
              <w:adjustRightInd w:val="0"/>
              <w:spacing w:after="0"/>
            </w:pPr>
            <w:r w:rsidRPr="007A3223">
              <w:t>1</w:t>
            </w:r>
            <w:r w:rsidR="008E39C1" w:rsidRPr="007A3223">
              <w:t>0 mg po qd</w:t>
            </w:r>
          </w:p>
          <w:p w14:paraId="74423175" w14:textId="77777777" w:rsidR="008E39C1" w:rsidRPr="007A3223" w:rsidRDefault="008E39C1" w:rsidP="007B71E4">
            <w:pPr>
              <w:widowControl w:val="0"/>
              <w:autoSpaceDE w:val="0"/>
              <w:autoSpaceDN w:val="0"/>
              <w:adjustRightInd w:val="0"/>
              <w:spacing w:after="0"/>
            </w:pPr>
            <w:r w:rsidRPr="007A3223">
              <w:t>5 mg po qd</w:t>
            </w:r>
          </w:p>
          <w:p w14:paraId="2A7057CE" w14:textId="77777777" w:rsidR="008E39C1" w:rsidRPr="007A3223" w:rsidRDefault="008E39C1" w:rsidP="007B71E4">
            <w:r w:rsidRPr="007A3223">
              <w:t>5 mg po qd</w:t>
            </w:r>
          </w:p>
        </w:tc>
        <w:tc>
          <w:tcPr>
            <w:tcW w:w="1854" w:type="dxa"/>
          </w:tcPr>
          <w:p w14:paraId="32E54EE1" w14:textId="77777777" w:rsidR="008E39C1" w:rsidRPr="007A3223" w:rsidRDefault="008E39C1" w:rsidP="007B71E4">
            <w:pPr>
              <w:widowControl w:val="0"/>
              <w:autoSpaceDE w:val="0"/>
              <w:autoSpaceDN w:val="0"/>
              <w:adjustRightInd w:val="0"/>
              <w:spacing w:after="0"/>
              <w:jc w:val="center"/>
            </w:pPr>
            <w:r w:rsidRPr="007A3223">
              <w:t>CYP 3A4</w:t>
            </w:r>
          </w:p>
          <w:p w14:paraId="220FEDCC" w14:textId="77777777" w:rsidR="008E39C1" w:rsidRPr="007A3223" w:rsidRDefault="008E39C1" w:rsidP="007B71E4">
            <w:pPr>
              <w:jc w:val="center"/>
            </w:pPr>
            <w:r w:rsidRPr="007A3223">
              <w:t>substrate</w:t>
            </w:r>
          </w:p>
        </w:tc>
      </w:tr>
      <w:tr w:rsidR="008E39C1" w:rsidRPr="007A3223" w14:paraId="78019366" w14:textId="77777777" w:rsidTr="007B71E4">
        <w:tc>
          <w:tcPr>
            <w:tcW w:w="2243" w:type="dxa"/>
          </w:tcPr>
          <w:p w14:paraId="3E89F901" w14:textId="77777777" w:rsidR="008E39C1" w:rsidRPr="007A3223" w:rsidRDefault="008E39C1" w:rsidP="007B71E4">
            <w:r w:rsidRPr="007A3223">
              <w:t>Felodipine</w:t>
            </w:r>
          </w:p>
        </w:tc>
        <w:tc>
          <w:tcPr>
            <w:tcW w:w="1777" w:type="dxa"/>
          </w:tcPr>
          <w:p w14:paraId="4E226252" w14:textId="77777777" w:rsidR="008E39C1" w:rsidRPr="007A3223" w:rsidRDefault="008E39C1" w:rsidP="007B71E4">
            <w:r w:rsidRPr="007A3223">
              <w:t>2.5 mg po qd</w:t>
            </w:r>
          </w:p>
        </w:tc>
        <w:tc>
          <w:tcPr>
            <w:tcW w:w="1868" w:type="dxa"/>
          </w:tcPr>
          <w:p w14:paraId="1822BE28" w14:textId="77777777" w:rsidR="008E39C1" w:rsidRPr="007A3223" w:rsidRDefault="008E39C1" w:rsidP="007B71E4">
            <w:r w:rsidRPr="007A3223">
              <w:t>5 mg po qd</w:t>
            </w:r>
          </w:p>
        </w:tc>
        <w:tc>
          <w:tcPr>
            <w:tcW w:w="1834" w:type="dxa"/>
          </w:tcPr>
          <w:p w14:paraId="07E5BA42" w14:textId="77777777" w:rsidR="008E39C1" w:rsidRPr="007A3223" w:rsidRDefault="008E39C1" w:rsidP="007B71E4">
            <w:r w:rsidRPr="007A3223">
              <w:t>10 mg po qd</w:t>
            </w:r>
          </w:p>
        </w:tc>
        <w:tc>
          <w:tcPr>
            <w:tcW w:w="1854" w:type="dxa"/>
          </w:tcPr>
          <w:p w14:paraId="13273286" w14:textId="77777777" w:rsidR="008E39C1" w:rsidRPr="007A3223" w:rsidRDefault="008E39C1" w:rsidP="007B71E4">
            <w:pPr>
              <w:widowControl w:val="0"/>
              <w:autoSpaceDE w:val="0"/>
              <w:autoSpaceDN w:val="0"/>
              <w:adjustRightInd w:val="0"/>
              <w:spacing w:after="0"/>
              <w:jc w:val="center"/>
            </w:pPr>
            <w:r w:rsidRPr="007A3223">
              <w:t>CYP 3A4</w:t>
            </w:r>
          </w:p>
          <w:p w14:paraId="61C9E92A" w14:textId="77777777" w:rsidR="008E39C1" w:rsidRPr="007A3223" w:rsidRDefault="008E39C1" w:rsidP="007B71E4">
            <w:pPr>
              <w:widowControl w:val="0"/>
              <w:autoSpaceDE w:val="0"/>
              <w:autoSpaceDN w:val="0"/>
              <w:adjustRightInd w:val="0"/>
              <w:spacing w:after="0"/>
              <w:jc w:val="center"/>
            </w:pPr>
            <w:r w:rsidRPr="007A3223">
              <w:t>substrate +</w:t>
            </w:r>
          </w:p>
          <w:p w14:paraId="1A02C9BA" w14:textId="77777777" w:rsidR="008E39C1" w:rsidRPr="007A3223" w:rsidRDefault="008E39C1" w:rsidP="007B71E4">
            <w:pPr>
              <w:jc w:val="center"/>
            </w:pPr>
            <w:r w:rsidRPr="007A3223">
              <w:t>inhibitor</w:t>
            </w:r>
          </w:p>
        </w:tc>
      </w:tr>
      <w:tr w:rsidR="008E39C1" w:rsidRPr="007A3223" w14:paraId="343C2513" w14:textId="77777777" w:rsidTr="007B71E4">
        <w:tc>
          <w:tcPr>
            <w:tcW w:w="9576" w:type="dxa"/>
            <w:gridSpan w:val="5"/>
          </w:tcPr>
          <w:p w14:paraId="6F809E0C" w14:textId="77777777" w:rsidR="008E39C1" w:rsidRPr="007A3223" w:rsidRDefault="008E39C1" w:rsidP="00EE484C">
            <w:pPr>
              <w:tabs>
                <w:tab w:val="left" w:pos="1824"/>
              </w:tabs>
              <w:rPr>
                <w:b/>
              </w:rPr>
            </w:pPr>
            <w:r w:rsidRPr="007A3223">
              <w:rPr>
                <w:b/>
              </w:rPr>
              <w:t xml:space="preserve">Selective </w:t>
            </w:r>
            <w:r w:rsidR="00EE484C" w:rsidRPr="007A3223">
              <w:rPr>
                <w:b/>
              </w:rPr>
              <w:t>β</w:t>
            </w:r>
            <w:r w:rsidRPr="007A3223">
              <w:rPr>
                <w:b/>
              </w:rPr>
              <w:t xml:space="preserve"> blockers (BB):</w:t>
            </w:r>
          </w:p>
        </w:tc>
      </w:tr>
      <w:tr w:rsidR="008E39C1" w:rsidRPr="007A3223" w14:paraId="2FDBFBCB" w14:textId="77777777" w:rsidTr="007B71E4">
        <w:tc>
          <w:tcPr>
            <w:tcW w:w="2243" w:type="dxa"/>
          </w:tcPr>
          <w:p w14:paraId="02672758" w14:textId="77777777" w:rsidR="008E39C1" w:rsidRPr="007A3223" w:rsidRDefault="008E39C1" w:rsidP="007B71E4">
            <w:pPr>
              <w:jc w:val="center"/>
            </w:pPr>
            <w:r w:rsidRPr="007A3223">
              <w:rPr>
                <w:b/>
              </w:rPr>
              <w:t>Agent</w:t>
            </w:r>
          </w:p>
        </w:tc>
        <w:tc>
          <w:tcPr>
            <w:tcW w:w="1777" w:type="dxa"/>
          </w:tcPr>
          <w:p w14:paraId="4A5CFB7D" w14:textId="77777777" w:rsidR="008E39C1" w:rsidRPr="007A3223" w:rsidRDefault="008E39C1" w:rsidP="007B71E4">
            <w:pPr>
              <w:jc w:val="center"/>
            </w:pPr>
            <w:r w:rsidRPr="007A3223">
              <w:rPr>
                <w:b/>
              </w:rPr>
              <w:t>Initial Dose</w:t>
            </w:r>
          </w:p>
        </w:tc>
        <w:tc>
          <w:tcPr>
            <w:tcW w:w="1868" w:type="dxa"/>
          </w:tcPr>
          <w:p w14:paraId="6C28BDCE" w14:textId="77777777" w:rsidR="008E39C1" w:rsidRPr="007A3223" w:rsidRDefault="008E39C1" w:rsidP="007B71E4">
            <w:pPr>
              <w:jc w:val="center"/>
            </w:pPr>
            <w:r w:rsidRPr="007A3223">
              <w:rPr>
                <w:b/>
              </w:rPr>
              <w:t>Intermediate Dose</w:t>
            </w:r>
          </w:p>
        </w:tc>
        <w:tc>
          <w:tcPr>
            <w:tcW w:w="1834" w:type="dxa"/>
          </w:tcPr>
          <w:p w14:paraId="72067F0B" w14:textId="77777777" w:rsidR="008E39C1" w:rsidRPr="007A3223" w:rsidRDefault="008E39C1" w:rsidP="007B71E4">
            <w:pPr>
              <w:jc w:val="center"/>
            </w:pPr>
            <w:r w:rsidRPr="007A3223">
              <w:rPr>
                <w:b/>
              </w:rPr>
              <w:t>Maximum Dose</w:t>
            </w:r>
          </w:p>
        </w:tc>
        <w:tc>
          <w:tcPr>
            <w:tcW w:w="1854" w:type="dxa"/>
          </w:tcPr>
          <w:p w14:paraId="7E44C8E5" w14:textId="77777777" w:rsidR="008E39C1" w:rsidRPr="007A3223" w:rsidRDefault="008E39C1" w:rsidP="007B71E4">
            <w:pPr>
              <w:jc w:val="center"/>
            </w:pPr>
            <w:r w:rsidRPr="007A3223">
              <w:rPr>
                <w:b/>
              </w:rPr>
              <w:t>Hepatic Metabolism</w:t>
            </w:r>
          </w:p>
        </w:tc>
      </w:tr>
      <w:tr w:rsidR="008E39C1" w:rsidRPr="007A3223" w14:paraId="657C2B88" w14:textId="77777777" w:rsidTr="007B71E4">
        <w:tc>
          <w:tcPr>
            <w:tcW w:w="2243" w:type="dxa"/>
          </w:tcPr>
          <w:p w14:paraId="2557654D" w14:textId="77777777" w:rsidR="008E39C1" w:rsidRPr="007A3223" w:rsidRDefault="008E39C1" w:rsidP="007B71E4">
            <w:pPr>
              <w:widowControl w:val="0"/>
              <w:autoSpaceDE w:val="0"/>
              <w:autoSpaceDN w:val="0"/>
              <w:adjustRightInd w:val="0"/>
              <w:spacing w:after="0"/>
            </w:pPr>
            <w:r w:rsidRPr="007A3223">
              <w:t>Metoprolol</w:t>
            </w:r>
          </w:p>
        </w:tc>
        <w:tc>
          <w:tcPr>
            <w:tcW w:w="1777" w:type="dxa"/>
          </w:tcPr>
          <w:p w14:paraId="24D60A8C" w14:textId="77777777" w:rsidR="008E39C1" w:rsidRPr="007A3223" w:rsidRDefault="008E39C1" w:rsidP="007B71E4">
            <w:r w:rsidRPr="007A3223">
              <w:t>25 mg po bid</w:t>
            </w:r>
          </w:p>
        </w:tc>
        <w:tc>
          <w:tcPr>
            <w:tcW w:w="1868" w:type="dxa"/>
          </w:tcPr>
          <w:p w14:paraId="425F72F4" w14:textId="77777777" w:rsidR="008E39C1" w:rsidRPr="007A3223" w:rsidRDefault="008E39C1" w:rsidP="007B71E4">
            <w:pPr>
              <w:widowControl w:val="0"/>
              <w:autoSpaceDE w:val="0"/>
              <w:autoSpaceDN w:val="0"/>
              <w:adjustRightInd w:val="0"/>
              <w:spacing w:after="0"/>
              <w:rPr>
                <w:i/>
                <w:iCs/>
              </w:rPr>
            </w:pPr>
            <w:r w:rsidRPr="007A3223">
              <w:t>50 mg po bid</w:t>
            </w:r>
          </w:p>
        </w:tc>
        <w:tc>
          <w:tcPr>
            <w:tcW w:w="1834" w:type="dxa"/>
          </w:tcPr>
          <w:p w14:paraId="62C9C92A" w14:textId="77777777" w:rsidR="008E39C1" w:rsidRPr="007A3223" w:rsidRDefault="008E39C1" w:rsidP="007B71E4">
            <w:r w:rsidRPr="007A3223">
              <w:t>100 mg po bid</w:t>
            </w:r>
          </w:p>
        </w:tc>
        <w:tc>
          <w:tcPr>
            <w:tcW w:w="1854" w:type="dxa"/>
          </w:tcPr>
          <w:p w14:paraId="723737E2" w14:textId="77777777" w:rsidR="008E39C1" w:rsidRPr="007A3223" w:rsidRDefault="008E39C1" w:rsidP="007B71E4">
            <w:pPr>
              <w:widowControl w:val="0"/>
              <w:autoSpaceDE w:val="0"/>
              <w:autoSpaceDN w:val="0"/>
              <w:adjustRightInd w:val="0"/>
              <w:spacing w:after="0"/>
              <w:jc w:val="center"/>
            </w:pPr>
            <w:r w:rsidRPr="007A3223">
              <w:t>CYP 2D6</w:t>
            </w:r>
          </w:p>
          <w:p w14:paraId="4B67BAF5" w14:textId="77777777" w:rsidR="008E39C1" w:rsidRPr="007A3223" w:rsidRDefault="008E39C1" w:rsidP="007B71E4">
            <w:pPr>
              <w:jc w:val="center"/>
            </w:pPr>
            <w:r w:rsidRPr="007A3223">
              <w:t>substrate</w:t>
            </w:r>
          </w:p>
        </w:tc>
      </w:tr>
      <w:tr w:rsidR="008E39C1" w:rsidRPr="007A3223" w14:paraId="70E10167" w14:textId="77777777" w:rsidTr="007B71E4">
        <w:tc>
          <w:tcPr>
            <w:tcW w:w="2243" w:type="dxa"/>
          </w:tcPr>
          <w:p w14:paraId="679EFB23" w14:textId="77777777" w:rsidR="008E39C1" w:rsidRPr="007A3223" w:rsidRDefault="008E39C1" w:rsidP="007B71E4">
            <w:pPr>
              <w:widowControl w:val="0"/>
              <w:autoSpaceDE w:val="0"/>
              <w:autoSpaceDN w:val="0"/>
              <w:adjustRightInd w:val="0"/>
              <w:spacing w:after="0"/>
              <w:rPr>
                <w:b/>
              </w:rPr>
            </w:pPr>
            <w:r w:rsidRPr="007A3223">
              <w:rPr>
                <w:b/>
              </w:rPr>
              <w:t>Atenolol*</w:t>
            </w:r>
          </w:p>
        </w:tc>
        <w:tc>
          <w:tcPr>
            <w:tcW w:w="1777" w:type="dxa"/>
          </w:tcPr>
          <w:p w14:paraId="59155BC9" w14:textId="77777777" w:rsidR="008E39C1" w:rsidRPr="007A3223" w:rsidRDefault="008E39C1" w:rsidP="007B71E4">
            <w:r w:rsidRPr="007A3223">
              <w:t>25 mg po bid</w:t>
            </w:r>
          </w:p>
        </w:tc>
        <w:tc>
          <w:tcPr>
            <w:tcW w:w="1868" w:type="dxa"/>
          </w:tcPr>
          <w:p w14:paraId="236F0158" w14:textId="77777777" w:rsidR="008E39C1" w:rsidRPr="007A3223" w:rsidRDefault="008E39C1" w:rsidP="007B71E4">
            <w:pPr>
              <w:widowControl w:val="0"/>
              <w:autoSpaceDE w:val="0"/>
              <w:autoSpaceDN w:val="0"/>
              <w:adjustRightInd w:val="0"/>
              <w:spacing w:after="0"/>
              <w:rPr>
                <w:b/>
                <w:bCs/>
                <w:caps/>
              </w:rPr>
            </w:pPr>
            <w:r w:rsidRPr="007A3223">
              <w:t>50 mg po qd</w:t>
            </w:r>
          </w:p>
        </w:tc>
        <w:tc>
          <w:tcPr>
            <w:tcW w:w="1834" w:type="dxa"/>
          </w:tcPr>
          <w:p w14:paraId="74933FD8" w14:textId="77777777" w:rsidR="008E39C1" w:rsidRPr="007A3223" w:rsidRDefault="008E39C1" w:rsidP="007B71E4">
            <w:r w:rsidRPr="007A3223">
              <w:t>100 mg po bid</w:t>
            </w:r>
          </w:p>
        </w:tc>
        <w:tc>
          <w:tcPr>
            <w:tcW w:w="1854" w:type="dxa"/>
          </w:tcPr>
          <w:p w14:paraId="5005281F" w14:textId="77777777" w:rsidR="008E39C1" w:rsidRPr="007A3223" w:rsidRDefault="008E39C1" w:rsidP="007B71E4">
            <w:pPr>
              <w:jc w:val="center"/>
            </w:pPr>
            <w:r w:rsidRPr="007A3223">
              <w:t>No</w:t>
            </w:r>
          </w:p>
        </w:tc>
      </w:tr>
      <w:tr w:rsidR="008E39C1" w:rsidRPr="007A3223" w14:paraId="150FB9BC" w14:textId="77777777" w:rsidTr="007B71E4">
        <w:tc>
          <w:tcPr>
            <w:tcW w:w="2243" w:type="dxa"/>
          </w:tcPr>
          <w:p w14:paraId="02FFCBF3" w14:textId="77777777" w:rsidR="008E39C1" w:rsidRPr="007A3223" w:rsidRDefault="008E39C1" w:rsidP="007B71E4">
            <w:pPr>
              <w:widowControl w:val="0"/>
              <w:autoSpaceDE w:val="0"/>
              <w:autoSpaceDN w:val="0"/>
              <w:adjustRightInd w:val="0"/>
              <w:spacing w:after="0"/>
              <w:rPr>
                <w:i/>
                <w:iCs/>
              </w:rPr>
            </w:pPr>
            <w:r w:rsidRPr="007A3223">
              <w:t>Acebutolol</w:t>
            </w:r>
          </w:p>
        </w:tc>
        <w:tc>
          <w:tcPr>
            <w:tcW w:w="1777" w:type="dxa"/>
          </w:tcPr>
          <w:p w14:paraId="2A3FE2C0" w14:textId="77777777" w:rsidR="008E39C1" w:rsidRPr="007A3223" w:rsidRDefault="008E39C1" w:rsidP="007B71E4">
            <w:r w:rsidRPr="007A3223">
              <w:t>100 mg po bid</w:t>
            </w:r>
          </w:p>
        </w:tc>
        <w:tc>
          <w:tcPr>
            <w:tcW w:w="1868" w:type="dxa"/>
          </w:tcPr>
          <w:p w14:paraId="6FEA9F70" w14:textId="77777777" w:rsidR="008E39C1" w:rsidRPr="007A3223" w:rsidRDefault="008E39C1" w:rsidP="007B71E4">
            <w:pPr>
              <w:widowControl w:val="0"/>
              <w:autoSpaceDE w:val="0"/>
              <w:autoSpaceDN w:val="0"/>
              <w:adjustRightInd w:val="0"/>
              <w:spacing w:after="0"/>
            </w:pPr>
            <w:r w:rsidRPr="007A3223">
              <w:t>200mg-300 mg</w:t>
            </w:r>
          </w:p>
          <w:p w14:paraId="16F38BAB" w14:textId="77777777" w:rsidR="008E39C1" w:rsidRPr="007A3223" w:rsidRDefault="008E39C1" w:rsidP="007B71E4">
            <w:pPr>
              <w:widowControl w:val="0"/>
              <w:autoSpaceDE w:val="0"/>
              <w:autoSpaceDN w:val="0"/>
              <w:adjustRightInd w:val="0"/>
              <w:spacing w:after="0"/>
              <w:rPr>
                <w:i/>
                <w:iCs/>
              </w:rPr>
            </w:pPr>
            <w:r w:rsidRPr="007A3223">
              <w:t>po bid</w:t>
            </w:r>
          </w:p>
        </w:tc>
        <w:tc>
          <w:tcPr>
            <w:tcW w:w="1834" w:type="dxa"/>
          </w:tcPr>
          <w:p w14:paraId="1841DBE4" w14:textId="77777777" w:rsidR="008E39C1" w:rsidRPr="007A3223" w:rsidRDefault="008E39C1" w:rsidP="007B71E4">
            <w:r w:rsidRPr="007A3223">
              <w:t>400 mg po bid</w:t>
            </w:r>
          </w:p>
        </w:tc>
        <w:tc>
          <w:tcPr>
            <w:tcW w:w="1854" w:type="dxa"/>
          </w:tcPr>
          <w:p w14:paraId="319D7938" w14:textId="77777777" w:rsidR="008E39C1" w:rsidRPr="007A3223" w:rsidRDefault="008E39C1" w:rsidP="007B71E4">
            <w:pPr>
              <w:widowControl w:val="0"/>
              <w:autoSpaceDE w:val="0"/>
              <w:autoSpaceDN w:val="0"/>
              <w:adjustRightInd w:val="0"/>
              <w:spacing w:after="0"/>
              <w:jc w:val="center"/>
            </w:pPr>
            <w:r w:rsidRPr="007A3223">
              <w:t>Yes (CYP450</w:t>
            </w:r>
          </w:p>
          <w:p w14:paraId="01402673" w14:textId="77777777" w:rsidR="008E39C1" w:rsidRPr="007A3223" w:rsidRDefault="008E39C1" w:rsidP="007B71E4">
            <w:pPr>
              <w:jc w:val="center"/>
            </w:pPr>
            <w:r w:rsidRPr="007A3223">
              <w:t>unknown)</w:t>
            </w:r>
          </w:p>
        </w:tc>
      </w:tr>
      <w:tr w:rsidR="008E39C1" w:rsidRPr="007A3223" w14:paraId="38C7FD52" w14:textId="77777777" w:rsidTr="007B71E4">
        <w:tc>
          <w:tcPr>
            <w:tcW w:w="2243" w:type="dxa"/>
          </w:tcPr>
          <w:p w14:paraId="17551E5E" w14:textId="77777777" w:rsidR="008E39C1" w:rsidRPr="007A3223" w:rsidRDefault="008E39C1" w:rsidP="007B71E4">
            <w:r w:rsidRPr="007A3223">
              <w:t>Bisoprolol</w:t>
            </w:r>
          </w:p>
        </w:tc>
        <w:tc>
          <w:tcPr>
            <w:tcW w:w="1777" w:type="dxa"/>
          </w:tcPr>
          <w:p w14:paraId="377ABC8D" w14:textId="77777777" w:rsidR="008E39C1" w:rsidRPr="007A3223" w:rsidRDefault="008E39C1" w:rsidP="007B71E4">
            <w:r w:rsidRPr="007A3223">
              <w:t>2.5 mg po qd</w:t>
            </w:r>
          </w:p>
        </w:tc>
        <w:tc>
          <w:tcPr>
            <w:tcW w:w="1868" w:type="dxa"/>
          </w:tcPr>
          <w:p w14:paraId="7AA0387C" w14:textId="77777777" w:rsidR="008E39C1" w:rsidRPr="007A3223" w:rsidRDefault="008E39C1" w:rsidP="007B71E4">
            <w:r w:rsidRPr="007A3223">
              <w:t>5-10 mg po bid</w:t>
            </w:r>
          </w:p>
        </w:tc>
        <w:tc>
          <w:tcPr>
            <w:tcW w:w="1834" w:type="dxa"/>
          </w:tcPr>
          <w:p w14:paraId="6FA3EBAC" w14:textId="77777777" w:rsidR="008E39C1" w:rsidRPr="007A3223" w:rsidRDefault="008E39C1" w:rsidP="007B71E4">
            <w:r w:rsidRPr="007A3223">
              <w:t>20 mg po qd</w:t>
            </w:r>
          </w:p>
        </w:tc>
        <w:tc>
          <w:tcPr>
            <w:tcW w:w="1854" w:type="dxa"/>
          </w:tcPr>
          <w:p w14:paraId="7E9524C9" w14:textId="77777777" w:rsidR="008E39C1" w:rsidRPr="007A3223" w:rsidRDefault="008E39C1" w:rsidP="007B71E4">
            <w:pPr>
              <w:widowControl w:val="0"/>
              <w:autoSpaceDE w:val="0"/>
              <w:autoSpaceDN w:val="0"/>
              <w:adjustRightInd w:val="0"/>
              <w:spacing w:after="0"/>
              <w:jc w:val="center"/>
            </w:pPr>
            <w:r w:rsidRPr="007A3223">
              <w:t>Yes (CYP450</w:t>
            </w:r>
          </w:p>
          <w:p w14:paraId="3AB1243D" w14:textId="77777777" w:rsidR="008E39C1" w:rsidRPr="007A3223" w:rsidRDefault="008E39C1" w:rsidP="007B71E4">
            <w:pPr>
              <w:jc w:val="center"/>
            </w:pPr>
            <w:r w:rsidRPr="007A3223">
              <w:t>unknown)</w:t>
            </w:r>
          </w:p>
        </w:tc>
      </w:tr>
      <w:tr w:rsidR="008E39C1" w:rsidRPr="007A3223" w14:paraId="2A4A850D" w14:textId="77777777" w:rsidTr="007B71E4">
        <w:tc>
          <w:tcPr>
            <w:tcW w:w="9576" w:type="dxa"/>
            <w:gridSpan w:val="5"/>
          </w:tcPr>
          <w:p w14:paraId="6B4DFF5D" w14:textId="77777777" w:rsidR="008E39C1" w:rsidRPr="007A3223" w:rsidRDefault="008E39C1" w:rsidP="007B71E4">
            <w:pPr>
              <w:spacing w:before="240"/>
              <w:outlineLvl w:val="6"/>
              <w:rPr>
                <w:b/>
              </w:rPr>
            </w:pPr>
            <w:r w:rsidRPr="007A3223">
              <w:rPr>
                <w:b/>
              </w:rPr>
              <w:t>Angiotensin Converting Enzyme Inhibitors (ACEIs):</w:t>
            </w:r>
          </w:p>
        </w:tc>
      </w:tr>
      <w:tr w:rsidR="008E39C1" w:rsidRPr="007A3223" w14:paraId="395258F2" w14:textId="77777777" w:rsidTr="007B71E4">
        <w:tc>
          <w:tcPr>
            <w:tcW w:w="2243" w:type="dxa"/>
          </w:tcPr>
          <w:p w14:paraId="07DF1DB7" w14:textId="77777777" w:rsidR="008E39C1" w:rsidRPr="007A3223" w:rsidRDefault="008E39C1" w:rsidP="007B71E4">
            <w:pPr>
              <w:jc w:val="center"/>
            </w:pPr>
            <w:r w:rsidRPr="007A3223">
              <w:rPr>
                <w:b/>
              </w:rPr>
              <w:t>Agent</w:t>
            </w:r>
          </w:p>
        </w:tc>
        <w:tc>
          <w:tcPr>
            <w:tcW w:w="1777" w:type="dxa"/>
          </w:tcPr>
          <w:p w14:paraId="1583AEBB" w14:textId="77777777" w:rsidR="008E39C1" w:rsidRPr="007A3223" w:rsidRDefault="008E39C1" w:rsidP="007B71E4">
            <w:pPr>
              <w:jc w:val="center"/>
            </w:pPr>
            <w:r w:rsidRPr="007A3223">
              <w:rPr>
                <w:b/>
              </w:rPr>
              <w:t>Initial Dose</w:t>
            </w:r>
          </w:p>
        </w:tc>
        <w:tc>
          <w:tcPr>
            <w:tcW w:w="1868" w:type="dxa"/>
          </w:tcPr>
          <w:p w14:paraId="77D2E6B7" w14:textId="77777777" w:rsidR="008E39C1" w:rsidRPr="007A3223" w:rsidRDefault="008E39C1" w:rsidP="007B71E4">
            <w:pPr>
              <w:jc w:val="center"/>
            </w:pPr>
            <w:r w:rsidRPr="007A3223">
              <w:rPr>
                <w:b/>
              </w:rPr>
              <w:t>Intermediate Dose</w:t>
            </w:r>
          </w:p>
        </w:tc>
        <w:tc>
          <w:tcPr>
            <w:tcW w:w="1834" w:type="dxa"/>
          </w:tcPr>
          <w:p w14:paraId="70E9EFD1" w14:textId="77777777" w:rsidR="008E39C1" w:rsidRPr="007A3223" w:rsidRDefault="008E39C1" w:rsidP="007B71E4">
            <w:pPr>
              <w:jc w:val="center"/>
            </w:pPr>
            <w:r w:rsidRPr="007A3223">
              <w:rPr>
                <w:b/>
              </w:rPr>
              <w:t>Maximum Dose</w:t>
            </w:r>
          </w:p>
        </w:tc>
        <w:tc>
          <w:tcPr>
            <w:tcW w:w="1854" w:type="dxa"/>
          </w:tcPr>
          <w:p w14:paraId="59A21026" w14:textId="77777777" w:rsidR="008E39C1" w:rsidRPr="007A3223" w:rsidRDefault="008E39C1" w:rsidP="007B71E4">
            <w:pPr>
              <w:jc w:val="center"/>
            </w:pPr>
            <w:r w:rsidRPr="007A3223">
              <w:rPr>
                <w:b/>
              </w:rPr>
              <w:t>Hepatic Metabolism</w:t>
            </w:r>
          </w:p>
        </w:tc>
      </w:tr>
      <w:tr w:rsidR="008E39C1" w:rsidRPr="007A3223" w14:paraId="29454BB6" w14:textId="77777777" w:rsidTr="007B71E4">
        <w:tc>
          <w:tcPr>
            <w:tcW w:w="2243" w:type="dxa"/>
          </w:tcPr>
          <w:p w14:paraId="272B1F45" w14:textId="77777777" w:rsidR="008E39C1" w:rsidRPr="007A3223" w:rsidRDefault="008E39C1" w:rsidP="007B71E4">
            <w:pPr>
              <w:widowControl w:val="0"/>
              <w:autoSpaceDE w:val="0"/>
              <w:autoSpaceDN w:val="0"/>
              <w:adjustRightInd w:val="0"/>
              <w:spacing w:after="0"/>
            </w:pPr>
            <w:r w:rsidRPr="007A3223">
              <w:t>Captopril</w:t>
            </w:r>
          </w:p>
        </w:tc>
        <w:tc>
          <w:tcPr>
            <w:tcW w:w="1777" w:type="dxa"/>
          </w:tcPr>
          <w:p w14:paraId="3C5B6E5C" w14:textId="77777777" w:rsidR="008E39C1" w:rsidRPr="007A3223" w:rsidRDefault="008E39C1" w:rsidP="007B71E4">
            <w:r w:rsidRPr="007A3223">
              <w:t>12.5 po tid</w:t>
            </w:r>
          </w:p>
        </w:tc>
        <w:tc>
          <w:tcPr>
            <w:tcW w:w="1868" w:type="dxa"/>
          </w:tcPr>
          <w:p w14:paraId="1AA5A687" w14:textId="77777777" w:rsidR="008E39C1" w:rsidRPr="007A3223" w:rsidRDefault="008E39C1" w:rsidP="007B71E4">
            <w:r w:rsidRPr="007A3223">
              <w:t>25 mg po tid</w:t>
            </w:r>
          </w:p>
        </w:tc>
        <w:tc>
          <w:tcPr>
            <w:tcW w:w="1834" w:type="dxa"/>
          </w:tcPr>
          <w:p w14:paraId="5FF23A1F" w14:textId="77777777" w:rsidR="008E39C1" w:rsidRPr="007A3223" w:rsidRDefault="008E39C1" w:rsidP="007B71E4">
            <w:r w:rsidRPr="007A3223">
              <w:t>50 mg po tid</w:t>
            </w:r>
          </w:p>
        </w:tc>
        <w:tc>
          <w:tcPr>
            <w:tcW w:w="1854" w:type="dxa"/>
          </w:tcPr>
          <w:p w14:paraId="6AAC9020" w14:textId="77777777" w:rsidR="008E39C1" w:rsidRPr="007A3223" w:rsidRDefault="008E39C1" w:rsidP="007B71E4">
            <w:pPr>
              <w:widowControl w:val="0"/>
              <w:autoSpaceDE w:val="0"/>
              <w:autoSpaceDN w:val="0"/>
              <w:adjustRightInd w:val="0"/>
              <w:spacing w:after="0"/>
              <w:jc w:val="center"/>
            </w:pPr>
            <w:r w:rsidRPr="007A3223">
              <w:t>CYP 2D6</w:t>
            </w:r>
          </w:p>
          <w:p w14:paraId="792205CC" w14:textId="77777777" w:rsidR="008E39C1" w:rsidRPr="007A3223" w:rsidRDefault="008E39C1" w:rsidP="007B71E4">
            <w:pPr>
              <w:jc w:val="center"/>
            </w:pPr>
            <w:r w:rsidRPr="007A3223">
              <w:lastRenderedPageBreak/>
              <w:t>substrate</w:t>
            </w:r>
          </w:p>
        </w:tc>
      </w:tr>
      <w:tr w:rsidR="008E39C1" w:rsidRPr="007A3223" w14:paraId="45498C65" w14:textId="77777777" w:rsidTr="007B71E4">
        <w:tc>
          <w:tcPr>
            <w:tcW w:w="2243" w:type="dxa"/>
          </w:tcPr>
          <w:p w14:paraId="62764E78" w14:textId="77777777" w:rsidR="008E39C1" w:rsidRPr="007A3223" w:rsidRDefault="008E39C1" w:rsidP="007B71E4">
            <w:pPr>
              <w:widowControl w:val="0"/>
              <w:autoSpaceDE w:val="0"/>
              <w:autoSpaceDN w:val="0"/>
              <w:adjustRightInd w:val="0"/>
              <w:spacing w:after="0"/>
              <w:rPr>
                <w:i/>
                <w:iCs/>
              </w:rPr>
            </w:pPr>
            <w:r w:rsidRPr="007A3223">
              <w:lastRenderedPageBreak/>
              <w:t>Enalapril</w:t>
            </w:r>
          </w:p>
        </w:tc>
        <w:tc>
          <w:tcPr>
            <w:tcW w:w="1777" w:type="dxa"/>
          </w:tcPr>
          <w:p w14:paraId="6FAD4B20" w14:textId="77777777" w:rsidR="008E39C1" w:rsidRPr="007A3223" w:rsidRDefault="008E39C1" w:rsidP="007B71E4">
            <w:r w:rsidRPr="007A3223">
              <w:t>5 mg po qd</w:t>
            </w:r>
          </w:p>
        </w:tc>
        <w:tc>
          <w:tcPr>
            <w:tcW w:w="1868" w:type="dxa"/>
          </w:tcPr>
          <w:p w14:paraId="6627FC4A" w14:textId="77777777" w:rsidR="008E39C1" w:rsidRPr="007A3223" w:rsidRDefault="008E39C1" w:rsidP="007B71E4">
            <w:r w:rsidRPr="007A3223">
              <w:t>10-20 mg po qd</w:t>
            </w:r>
          </w:p>
        </w:tc>
        <w:tc>
          <w:tcPr>
            <w:tcW w:w="1834" w:type="dxa"/>
          </w:tcPr>
          <w:p w14:paraId="270691DA" w14:textId="77777777" w:rsidR="008E39C1" w:rsidRPr="007A3223" w:rsidRDefault="008E39C1" w:rsidP="007B71E4">
            <w:r w:rsidRPr="007A3223">
              <w:t>40 mg po qd</w:t>
            </w:r>
          </w:p>
        </w:tc>
        <w:tc>
          <w:tcPr>
            <w:tcW w:w="1854" w:type="dxa"/>
          </w:tcPr>
          <w:p w14:paraId="42163269" w14:textId="77777777" w:rsidR="008E39C1" w:rsidRPr="007A3223" w:rsidRDefault="008E39C1" w:rsidP="007B71E4">
            <w:pPr>
              <w:widowControl w:val="0"/>
              <w:autoSpaceDE w:val="0"/>
              <w:autoSpaceDN w:val="0"/>
              <w:adjustRightInd w:val="0"/>
              <w:spacing w:after="0"/>
              <w:jc w:val="center"/>
            </w:pPr>
            <w:r w:rsidRPr="007A3223">
              <w:t>CYP 3A4</w:t>
            </w:r>
          </w:p>
          <w:p w14:paraId="6898B44B" w14:textId="77777777" w:rsidR="008E39C1" w:rsidRPr="007A3223" w:rsidRDefault="008E39C1" w:rsidP="007B71E4">
            <w:pPr>
              <w:jc w:val="center"/>
            </w:pPr>
            <w:r w:rsidRPr="007A3223">
              <w:t>substrate</w:t>
            </w:r>
          </w:p>
        </w:tc>
      </w:tr>
      <w:tr w:rsidR="008E39C1" w:rsidRPr="007A3223" w14:paraId="02181974" w14:textId="77777777" w:rsidTr="007B71E4">
        <w:tc>
          <w:tcPr>
            <w:tcW w:w="2243" w:type="dxa"/>
          </w:tcPr>
          <w:p w14:paraId="319BCECA" w14:textId="77777777" w:rsidR="008E39C1" w:rsidRPr="007A3223" w:rsidRDefault="008E39C1" w:rsidP="007B71E4">
            <w:r w:rsidRPr="007A3223">
              <w:t>Ramipril</w:t>
            </w:r>
          </w:p>
        </w:tc>
        <w:tc>
          <w:tcPr>
            <w:tcW w:w="1777" w:type="dxa"/>
          </w:tcPr>
          <w:p w14:paraId="4158FBE4" w14:textId="77777777" w:rsidR="008E39C1" w:rsidRPr="007A3223" w:rsidRDefault="008E39C1" w:rsidP="007B71E4">
            <w:r w:rsidRPr="007A3223">
              <w:t>2.5 mg po qd</w:t>
            </w:r>
          </w:p>
        </w:tc>
        <w:tc>
          <w:tcPr>
            <w:tcW w:w="1868" w:type="dxa"/>
          </w:tcPr>
          <w:p w14:paraId="0DC431DF" w14:textId="77777777" w:rsidR="008E39C1" w:rsidRPr="007A3223" w:rsidRDefault="008E39C1" w:rsidP="007B71E4">
            <w:r w:rsidRPr="007A3223">
              <w:t>5 mg po qd</w:t>
            </w:r>
          </w:p>
        </w:tc>
        <w:tc>
          <w:tcPr>
            <w:tcW w:w="1834" w:type="dxa"/>
          </w:tcPr>
          <w:p w14:paraId="3AB9FBE6" w14:textId="77777777" w:rsidR="008E39C1" w:rsidRPr="007A3223" w:rsidRDefault="008E39C1" w:rsidP="007B71E4">
            <w:r w:rsidRPr="007A3223">
              <w:t>10 mg po qd</w:t>
            </w:r>
          </w:p>
        </w:tc>
        <w:tc>
          <w:tcPr>
            <w:tcW w:w="1854" w:type="dxa"/>
          </w:tcPr>
          <w:p w14:paraId="0C016FC3" w14:textId="77777777" w:rsidR="008E39C1" w:rsidRPr="007A3223" w:rsidRDefault="008E39C1" w:rsidP="007B71E4">
            <w:pPr>
              <w:widowControl w:val="0"/>
              <w:autoSpaceDE w:val="0"/>
              <w:autoSpaceDN w:val="0"/>
              <w:adjustRightInd w:val="0"/>
              <w:spacing w:after="0"/>
              <w:jc w:val="center"/>
            </w:pPr>
            <w:r w:rsidRPr="007A3223">
              <w:t>Yes (CYP450</w:t>
            </w:r>
          </w:p>
          <w:p w14:paraId="2E295113" w14:textId="77777777" w:rsidR="008E39C1" w:rsidRPr="007A3223" w:rsidRDefault="008E39C1" w:rsidP="007B71E4">
            <w:pPr>
              <w:jc w:val="center"/>
            </w:pPr>
            <w:r w:rsidRPr="007A3223">
              <w:t>unknown)</w:t>
            </w:r>
          </w:p>
        </w:tc>
      </w:tr>
      <w:tr w:rsidR="008E39C1" w:rsidRPr="007A3223" w14:paraId="6B8194F2" w14:textId="77777777" w:rsidTr="007B71E4">
        <w:tc>
          <w:tcPr>
            <w:tcW w:w="2243" w:type="dxa"/>
          </w:tcPr>
          <w:p w14:paraId="7195188E" w14:textId="77777777" w:rsidR="008E39C1" w:rsidRPr="007A3223" w:rsidRDefault="008E39C1" w:rsidP="007B71E4">
            <w:pPr>
              <w:widowControl w:val="0"/>
              <w:autoSpaceDE w:val="0"/>
              <w:autoSpaceDN w:val="0"/>
              <w:adjustRightInd w:val="0"/>
              <w:spacing w:before="240" w:after="0"/>
              <w:outlineLvl w:val="6"/>
            </w:pPr>
            <w:r w:rsidRPr="007A3223">
              <w:rPr>
                <w:b/>
              </w:rPr>
              <w:t>Lisinopril*</w:t>
            </w:r>
          </w:p>
        </w:tc>
        <w:tc>
          <w:tcPr>
            <w:tcW w:w="1777" w:type="dxa"/>
          </w:tcPr>
          <w:p w14:paraId="7FDC003D" w14:textId="77777777" w:rsidR="008E39C1" w:rsidRPr="007A3223" w:rsidRDefault="008E39C1" w:rsidP="007B71E4">
            <w:pPr>
              <w:widowControl w:val="0"/>
              <w:autoSpaceDE w:val="0"/>
              <w:autoSpaceDN w:val="0"/>
              <w:adjustRightInd w:val="0"/>
              <w:spacing w:after="0"/>
            </w:pPr>
            <w:r w:rsidRPr="007A3223">
              <w:t>5 mg po qd</w:t>
            </w:r>
          </w:p>
          <w:p w14:paraId="36021048" w14:textId="77777777" w:rsidR="008E39C1" w:rsidRPr="007A3223" w:rsidRDefault="008E39C1" w:rsidP="007B71E4">
            <w:pPr>
              <w:jc w:val="center"/>
            </w:pPr>
          </w:p>
        </w:tc>
        <w:tc>
          <w:tcPr>
            <w:tcW w:w="1868" w:type="dxa"/>
          </w:tcPr>
          <w:p w14:paraId="08377832" w14:textId="77777777" w:rsidR="008E39C1" w:rsidRPr="007A3223" w:rsidRDefault="008E39C1" w:rsidP="007B71E4">
            <w:pPr>
              <w:widowControl w:val="0"/>
              <w:autoSpaceDE w:val="0"/>
              <w:autoSpaceDN w:val="0"/>
              <w:adjustRightInd w:val="0"/>
              <w:spacing w:after="0"/>
            </w:pPr>
            <w:r w:rsidRPr="007A3223">
              <w:t>10-20 mg po qd</w:t>
            </w:r>
          </w:p>
          <w:p w14:paraId="530AC811" w14:textId="77777777" w:rsidR="008E39C1" w:rsidRPr="007A3223" w:rsidRDefault="008E39C1" w:rsidP="007B71E4"/>
        </w:tc>
        <w:tc>
          <w:tcPr>
            <w:tcW w:w="1834" w:type="dxa"/>
          </w:tcPr>
          <w:p w14:paraId="5FAA0CF7" w14:textId="77777777" w:rsidR="008E39C1" w:rsidRPr="007A3223" w:rsidRDefault="008E39C1" w:rsidP="007B71E4">
            <w:pPr>
              <w:widowControl w:val="0"/>
              <w:autoSpaceDE w:val="0"/>
              <w:autoSpaceDN w:val="0"/>
              <w:adjustRightInd w:val="0"/>
              <w:spacing w:after="0"/>
            </w:pPr>
            <w:r w:rsidRPr="007A3223">
              <w:t>40 mg po qd</w:t>
            </w:r>
          </w:p>
          <w:p w14:paraId="19C042F0" w14:textId="77777777" w:rsidR="008E39C1" w:rsidRPr="007A3223" w:rsidRDefault="008E39C1" w:rsidP="007B71E4"/>
        </w:tc>
        <w:tc>
          <w:tcPr>
            <w:tcW w:w="1854" w:type="dxa"/>
          </w:tcPr>
          <w:p w14:paraId="7FD4B78B" w14:textId="77777777" w:rsidR="008E39C1" w:rsidRPr="007A3223" w:rsidRDefault="008E39C1" w:rsidP="007B71E4">
            <w:pPr>
              <w:widowControl w:val="0"/>
              <w:autoSpaceDE w:val="0"/>
              <w:autoSpaceDN w:val="0"/>
              <w:adjustRightInd w:val="0"/>
              <w:spacing w:after="0"/>
              <w:jc w:val="center"/>
            </w:pPr>
            <w:r w:rsidRPr="007A3223">
              <w:t>No</w:t>
            </w:r>
          </w:p>
          <w:p w14:paraId="1E923ED8" w14:textId="77777777" w:rsidR="008E39C1" w:rsidRPr="007A3223" w:rsidRDefault="008E39C1" w:rsidP="007B71E4">
            <w:pPr>
              <w:jc w:val="center"/>
            </w:pPr>
          </w:p>
        </w:tc>
      </w:tr>
      <w:tr w:rsidR="008E39C1" w:rsidRPr="007A3223" w14:paraId="6BFB5AF4" w14:textId="77777777" w:rsidTr="007B71E4">
        <w:tc>
          <w:tcPr>
            <w:tcW w:w="2243" w:type="dxa"/>
          </w:tcPr>
          <w:p w14:paraId="653BF5C2" w14:textId="77777777" w:rsidR="008E39C1" w:rsidRPr="007A3223" w:rsidRDefault="008E39C1" w:rsidP="007B71E4">
            <w:pPr>
              <w:widowControl w:val="0"/>
              <w:autoSpaceDE w:val="0"/>
              <w:autoSpaceDN w:val="0"/>
              <w:adjustRightInd w:val="0"/>
              <w:spacing w:after="0"/>
            </w:pPr>
            <w:r w:rsidRPr="007A3223">
              <w:t>Fosinopril</w:t>
            </w:r>
          </w:p>
          <w:p w14:paraId="484FF868" w14:textId="77777777" w:rsidR="008E39C1" w:rsidRPr="007A3223" w:rsidRDefault="008E39C1" w:rsidP="007B71E4"/>
        </w:tc>
        <w:tc>
          <w:tcPr>
            <w:tcW w:w="1777" w:type="dxa"/>
          </w:tcPr>
          <w:p w14:paraId="3EF97AF5" w14:textId="77777777" w:rsidR="008E39C1" w:rsidRPr="007A3223" w:rsidRDefault="008E39C1" w:rsidP="007B71E4">
            <w:pPr>
              <w:widowControl w:val="0"/>
              <w:autoSpaceDE w:val="0"/>
              <w:autoSpaceDN w:val="0"/>
              <w:adjustRightInd w:val="0"/>
              <w:spacing w:after="0"/>
            </w:pPr>
            <w:r w:rsidRPr="007A3223">
              <w:t>10 mg po qd</w:t>
            </w:r>
          </w:p>
          <w:p w14:paraId="03EEE64B" w14:textId="77777777" w:rsidR="008E39C1" w:rsidRPr="007A3223" w:rsidRDefault="008E39C1" w:rsidP="007B71E4"/>
        </w:tc>
        <w:tc>
          <w:tcPr>
            <w:tcW w:w="1868" w:type="dxa"/>
          </w:tcPr>
          <w:p w14:paraId="7F058430" w14:textId="77777777" w:rsidR="008E39C1" w:rsidRPr="007A3223" w:rsidRDefault="008E39C1" w:rsidP="007B71E4">
            <w:pPr>
              <w:widowControl w:val="0"/>
              <w:autoSpaceDE w:val="0"/>
              <w:autoSpaceDN w:val="0"/>
              <w:adjustRightInd w:val="0"/>
              <w:spacing w:after="0"/>
            </w:pPr>
            <w:r w:rsidRPr="007A3223">
              <w:t>20 mg po qd</w:t>
            </w:r>
          </w:p>
          <w:p w14:paraId="11AD2771" w14:textId="77777777" w:rsidR="008E39C1" w:rsidRPr="007A3223" w:rsidRDefault="008E39C1" w:rsidP="007B71E4"/>
        </w:tc>
        <w:tc>
          <w:tcPr>
            <w:tcW w:w="1834" w:type="dxa"/>
          </w:tcPr>
          <w:p w14:paraId="3ACED339" w14:textId="77777777" w:rsidR="008E39C1" w:rsidRPr="007A3223" w:rsidRDefault="008E39C1" w:rsidP="007B71E4">
            <w:pPr>
              <w:widowControl w:val="0"/>
              <w:autoSpaceDE w:val="0"/>
              <w:autoSpaceDN w:val="0"/>
              <w:adjustRightInd w:val="0"/>
              <w:spacing w:after="0"/>
            </w:pPr>
            <w:r w:rsidRPr="007A3223">
              <w:t>40 mg po qd</w:t>
            </w:r>
          </w:p>
          <w:p w14:paraId="2B89FBE3" w14:textId="77777777" w:rsidR="008E39C1" w:rsidRPr="007A3223" w:rsidRDefault="008E39C1" w:rsidP="007B71E4"/>
        </w:tc>
        <w:tc>
          <w:tcPr>
            <w:tcW w:w="1854" w:type="dxa"/>
          </w:tcPr>
          <w:p w14:paraId="6791068F" w14:textId="77777777" w:rsidR="008E39C1" w:rsidRPr="007A3223" w:rsidRDefault="008E39C1" w:rsidP="007B71E4">
            <w:pPr>
              <w:widowControl w:val="0"/>
              <w:autoSpaceDE w:val="0"/>
              <w:autoSpaceDN w:val="0"/>
              <w:adjustRightInd w:val="0"/>
              <w:spacing w:after="0"/>
              <w:jc w:val="center"/>
            </w:pPr>
            <w:r w:rsidRPr="007A3223">
              <w:t>Yes (CYP450</w:t>
            </w:r>
          </w:p>
          <w:p w14:paraId="41B586A6" w14:textId="77777777" w:rsidR="008E39C1" w:rsidRPr="007A3223" w:rsidRDefault="008E39C1" w:rsidP="007B71E4">
            <w:pPr>
              <w:widowControl w:val="0"/>
              <w:autoSpaceDE w:val="0"/>
              <w:autoSpaceDN w:val="0"/>
              <w:adjustRightInd w:val="0"/>
              <w:spacing w:after="0"/>
              <w:jc w:val="center"/>
              <w:rPr>
                <w:i/>
                <w:iCs/>
              </w:rPr>
            </w:pPr>
            <w:r w:rsidRPr="007A3223">
              <w:t>unknown)</w:t>
            </w:r>
          </w:p>
        </w:tc>
      </w:tr>
      <w:tr w:rsidR="008E39C1" w:rsidRPr="007A3223" w14:paraId="547333D3" w14:textId="77777777" w:rsidTr="00FC758C">
        <w:trPr>
          <w:trHeight w:val="722"/>
        </w:trPr>
        <w:tc>
          <w:tcPr>
            <w:tcW w:w="2243" w:type="dxa"/>
          </w:tcPr>
          <w:p w14:paraId="24DD3BE0" w14:textId="77777777" w:rsidR="008E39C1" w:rsidRPr="007A3223" w:rsidRDefault="008E39C1" w:rsidP="007B71E4">
            <w:pPr>
              <w:widowControl w:val="0"/>
              <w:autoSpaceDE w:val="0"/>
              <w:autoSpaceDN w:val="0"/>
              <w:adjustRightInd w:val="0"/>
              <w:spacing w:before="240" w:after="0"/>
              <w:outlineLvl w:val="6"/>
              <w:rPr>
                <w:b/>
              </w:rPr>
            </w:pPr>
            <w:r w:rsidRPr="007A3223">
              <w:rPr>
                <w:b/>
              </w:rPr>
              <w:t>Rarely used:</w:t>
            </w:r>
          </w:p>
          <w:p w14:paraId="564ED651" w14:textId="77777777" w:rsidR="008E39C1" w:rsidRPr="007A3223" w:rsidRDefault="008E39C1" w:rsidP="00FC758C">
            <w:pPr>
              <w:widowControl w:val="0"/>
              <w:autoSpaceDE w:val="0"/>
              <w:autoSpaceDN w:val="0"/>
              <w:adjustRightInd w:val="0"/>
              <w:spacing w:before="240" w:after="0"/>
              <w:outlineLvl w:val="6"/>
              <w:rPr>
                <w:b/>
              </w:rPr>
            </w:pPr>
            <w:r w:rsidRPr="007A3223">
              <w:rPr>
                <w:b/>
              </w:rPr>
              <w:t>Perindopril*</w:t>
            </w:r>
          </w:p>
        </w:tc>
        <w:tc>
          <w:tcPr>
            <w:tcW w:w="1777" w:type="dxa"/>
          </w:tcPr>
          <w:p w14:paraId="2980C861" w14:textId="77777777" w:rsidR="008E39C1" w:rsidRPr="007A3223" w:rsidRDefault="008E39C1" w:rsidP="007B71E4">
            <w:pPr>
              <w:widowControl w:val="0"/>
              <w:autoSpaceDE w:val="0"/>
              <w:autoSpaceDN w:val="0"/>
              <w:adjustRightInd w:val="0"/>
              <w:spacing w:after="0"/>
            </w:pPr>
            <w:r w:rsidRPr="007A3223">
              <w:t>4mg po qd</w:t>
            </w:r>
          </w:p>
        </w:tc>
        <w:tc>
          <w:tcPr>
            <w:tcW w:w="1868" w:type="dxa"/>
          </w:tcPr>
          <w:p w14:paraId="4C93FABE" w14:textId="77777777" w:rsidR="008E39C1" w:rsidRPr="007A3223" w:rsidRDefault="008E39C1" w:rsidP="007B71E4">
            <w:pPr>
              <w:widowControl w:val="0"/>
              <w:autoSpaceDE w:val="0"/>
              <w:autoSpaceDN w:val="0"/>
              <w:adjustRightInd w:val="0"/>
              <w:spacing w:after="0"/>
            </w:pPr>
            <w:r w:rsidRPr="007A3223">
              <w:t>none</w:t>
            </w:r>
          </w:p>
          <w:p w14:paraId="64072C21" w14:textId="77777777" w:rsidR="008E39C1" w:rsidRPr="007A3223" w:rsidRDefault="008E39C1" w:rsidP="007B71E4"/>
        </w:tc>
        <w:tc>
          <w:tcPr>
            <w:tcW w:w="1834" w:type="dxa"/>
          </w:tcPr>
          <w:p w14:paraId="0234D76B" w14:textId="77777777" w:rsidR="008E39C1" w:rsidRPr="007A3223" w:rsidRDefault="008E39C1" w:rsidP="007B71E4">
            <w:pPr>
              <w:widowControl w:val="0"/>
              <w:autoSpaceDE w:val="0"/>
              <w:autoSpaceDN w:val="0"/>
              <w:adjustRightInd w:val="0"/>
              <w:spacing w:after="0"/>
            </w:pPr>
            <w:r w:rsidRPr="007A3223">
              <w:t>8mg po qd</w:t>
            </w:r>
          </w:p>
          <w:p w14:paraId="4038C6CA" w14:textId="77777777" w:rsidR="008E39C1" w:rsidRPr="007A3223" w:rsidRDefault="008E39C1" w:rsidP="007B71E4"/>
        </w:tc>
        <w:tc>
          <w:tcPr>
            <w:tcW w:w="1854" w:type="dxa"/>
          </w:tcPr>
          <w:p w14:paraId="5D2EFF96" w14:textId="77777777" w:rsidR="008E39C1" w:rsidRPr="007A3223" w:rsidRDefault="008E39C1" w:rsidP="007B71E4">
            <w:pPr>
              <w:widowControl w:val="0"/>
              <w:autoSpaceDE w:val="0"/>
              <w:autoSpaceDN w:val="0"/>
              <w:adjustRightInd w:val="0"/>
              <w:spacing w:after="0"/>
              <w:jc w:val="center"/>
            </w:pPr>
            <w:r w:rsidRPr="007A3223">
              <w:t>Yes but not</w:t>
            </w:r>
          </w:p>
          <w:p w14:paraId="6F1003EB" w14:textId="77777777" w:rsidR="008E39C1" w:rsidRPr="007A3223" w:rsidRDefault="008E39C1" w:rsidP="00FC758C">
            <w:pPr>
              <w:widowControl w:val="0"/>
              <w:autoSpaceDE w:val="0"/>
              <w:autoSpaceDN w:val="0"/>
              <w:adjustRightInd w:val="0"/>
              <w:spacing w:after="0"/>
              <w:jc w:val="center"/>
            </w:pPr>
            <w:r w:rsidRPr="007A3223">
              <w:t>CYP450</w:t>
            </w:r>
          </w:p>
        </w:tc>
      </w:tr>
      <w:tr w:rsidR="008E39C1" w:rsidRPr="007A3223" w14:paraId="6C051151" w14:textId="77777777" w:rsidTr="007B71E4">
        <w:tc>
          <w:tcPr>
            <w:tcW w:w="2243" w:type="dxa"/>
          </w:tcPr>
          <w:p w14:paraId="6297FD64" w14:textId="77777777" w:rsidR="008E39C1" w:rsidRPr="007A3223" w:rsidRDefault="008E39C1" w:rsidP="007B71E4">
            <w:pPr>
              <w:spacing w:before="240"/>
              <w:outlineLvl w:val="6"/>
              <w:rPr>
                <w:b/>
              </w:rPr>
            </w:pPr>
            <w:r w:rsidRPr="007A3223">
              <w:rPr>
                <w:b/>
              </w:rPr>
              <w:t>Rarely used:</w:t>
            </w:r>
          </w:p>
          <w:p w14:paraId="7BE0DA10" w14:textId="77777777" w:rsidR="008E39C1" w:rsidRPr="007A3223" w:rsidRDefault="008E39C1" w:rsidP="007B71E4">
            <w:pPr>
              <w:rPr>
                <w:b/>
              </w:rPr>
            </w:pPr>
            <w:r w:rsidRPr="007A3223">
              <w:rPr>
                <w:b/>
              </w:rPr>
              <w:t>Quinapril*</w:t>
            </w:r>
          </w:p>
        </w:tc>
        <w:tc>
          <w:tcPr>
            <w:tcW w:w="1777" w:type="dxa"/>
          </w:tcPr>
          <w:p w14:paraId="7C1A97DD" w14:textId="77777777" w:rsidR="008E39C1" w:rsidRPr="007A3223" w:rsidRDefault="008E39C1" w:rsidP="007B71E4">
            <w:r w:rsidRPr="007A3223">
              <w:t>10mg po qd</w:t>
            </w:r>
          </w:p>
        </w:tc>
        <w:tc>
          <w:tcPr>
            <w:tcW w:w="1868" w:type="dxa"/>
          </w:tcPr>
          <w:p w14:paraId="2340E376" w14:textId="77777777" w:rsidR="008E39C1" w:rsidRPr="007A3223" w:rsidRDefault="008E39C1" w:rsidP="007B71E4">
            <w:r w:rsidRPr="007A3223">
              <w:t>20 mg po qd</w:t>
            </w:r>
          </w:p>
        </w:tc>
        <w:tc>
          <w:tcPr>
            <w:tcW w:w="1834" w:type="dxa"/>
          </w:tcPr>
          <w:p w14:paraId="0B62E82F" w14:textId="77777777" w:rsidR="008E39C1" w:rsidRPr="007A3223" w:rsidRDefault="008E39C1" w:rsidP="007B71E4">
            <w:r w:rsidRPr="007A3223">
              <w:t>40 mg po /qd</w:t>
            </w:r>
          </w:p>
        </w:tc>
        <w:tc>
          <w:tcPr>
            <w:tcW w:w="1854" w:type="dxa"/>
          </w:tcPr>
          <w:p w14:paraId="6C71FD08" w14:textId="77777777" w:rsidR="008E39C1" w:rsidRPr="007A3223" w:rsidRDefault="008E39C1" w:rsidP="007B71E4">
            <w:pPr>
              <w:jc w:val="center"/>
            </w:pPr>
            <w:r w:rsidRPr="007A3223">
              <w:t>No</w:t>
            </w:r>
          </w:p>
        </w:tc>
      </w:tr>
      <w:tr w:rsidR="008E39C1" w:rsidRPr="007A3223" w14:paraId="68E39A8C" w14:textId="77777777" w:rsidTr="007B71E4">
        <w:tc>
          <w:tcPr>
            <w:tcW w:w="9576" w:type="dxa"/>
            <w:gridSpan w:val="5"/>
          </w:tcPr>
          <w:p w14:paraId="1976428B" w14:textId="77777777" w:rsidR="008E39C1" w:rsidRPr="007A3223" w:rsidRDefault="008E39C1" w:rsidP="007B71E4">
            <w:pPr>
              <w:rPr>
                <w:b/>
              </w:rPr>
            </w:pPr>
            <w:r w:rsidRPr="007A3223">
              <w:rPr>
                <w:b/>
              </w:rPr>
              <w:t>Angiotensin II Receptor Blockers (ARB’s):</w:t>
            </w:r>
          </w:p>
        </w:tc>
      </w:tr>
      <w:tr w:rsidR="008E39C1" w:rsidRPr="007A3223" w14:paraId="6BE48C6D" w14:textId="77777777" w:rsidTr="007B71E4">
        <w:tc>
          <w:tcPr>
            <w:tcW w:w="2243" w:type="dxa"/>
          </w:tcPr>
          <w:p w14:paraId="7EACD4B5" w14:textId="77777777" w:rsidR="008E39C1" w:rsidRPr="007A3223" w:rsidRDefault="008E39C1" w:rsidP="007B71E4">
            <w:pPr>
              <w:jc w:val="center"/>
            </w:pPr>
            <w:r w:rsidRPr="007A3223">
              <w:rPr>
                <w:b/>
              </w:rPr>
              <w:t>Agent</w:t>
            </w:r>
          </w:p>
        </w:tc>
        <w:tc>
          <w:tcPr>
            <w:tcW w:w="1777" w:type="dxa"/>
          </w:tcPr>
          <w:p w14:paraId="47691A84" w14:textId="77777777" w:rsidR="008E39C1" w:rsidRPr="007A3223" w:rsidRDefault="008E39C1" w:rsidP="007B71E4">
            <w:pPr>
              <w:jc w:val="center"/>
            </w:pPr>
            <w:r w:rsidRPr="007A3223">
              <w:rPr>
                <w:b/>
              </w:rPr>
              <w:t>Initial Dose</w:t>
            </w:r>
          </w:p>
        </w:tc>
        <w:tc>
          <w:tcPr>
            <w:tcW w:w="1868" w:type="dxa"/>
          </w:tcPr>
          <w:p w14:paraId="262B100C" w14:textId="77777777" w:rsidR="008E39C1" w:rsidRPr="007A3223" w:rsidRDefault="008E39C1" w:rsidP="007B71E4">
            <w:pPr>
              <w:jc w:val="center"/>
            </w:pPr>
            <w:r w:rsidRPr="007A3223">
              <w:rPr>
                <w:b/>
              </w:rPr>
              <w:t>Intermediate Dose</w:t>
            </w:r>
          </w:p>
        </w:tc>
        <w:tc>
          <w:tcPr>
            <w:tcW w:w="1834" w:type="dxa"/>
          </w:tcPr>
          <w:p w14:paraId="5D136AE2" w14:textId="77777777" w:rsidR="008E39C1" w:rsidRPr="007A3223" w:rsidRDefault="008E39C1" w:rsidP="007B71E4">
            <w:pPr>
              <w:jc w:val="center"/>
            </w:pPr>
            <w:r w:rsidRPr="007A3223">
              <w:rPr>
                <w:b/>
              </w:rPr>
              <w:t>Maximum Dose</w:t>
            </w:r>
          </w:p>
        </w:tc>
        <w:tc>
          <w:tcPr>
            <w:tcW w:w="1854" w:type="dxa"/>
          </w:tcPr>
          <w:p w14:paraId="4CF847BA" w14:textId="77777777" w:rsidR="008E39C1" w:rsidRPr="007A3223" w:rsidRDefault="008E39C1" w:rsidP="007B71E4">
            <w:pPr>
              <w:jc w:val="center"/>
            </w:pPr>
            <w:r w:rsidRPr="007A3223">
              <w:rPr>
                <w:b/>
              </w:rPr>
              <w:t>Hepatic Metabolism</w:t>
            </w:r>
          </w:p>
        </w:tc>
      </w:tr>
      <w:tr w:rsidR="008E39C1" w:rsidRPr="007A3223" w14:paraId="37F61822" w14:textId="77777777" w:rsidTr="007B71E4">
        <w:tc>
          <w:tcPr>
            <w:tcW w:w="2243" w:type="dxa"/>
          </w:tcPr>
          <w:p w14:paraId="39EC13FB" w14:textId="77777777" w:rsidR="008E39C1" w:rsidRPr="007A3223" w:rsidRDefault="008E39C1" w:rsidP="007B71E4">
            <w:pPr>
              <w:widowControl w:val="0"/>
              <w:autoSpaceDE w:val="0"/>
              <w:autoSpaceDN w:val="0"/>
              <w:adjustRightInd w:val="0"/>
              <w:spacing w:after="0"/>
            </w:pPr>
            <w:r w:rsidRPr="007A3223">
              <w:t>Losartan</w:t>
            </w:r>
          </w:p>
          <w:p w14:paraId="30C74AB1" w14:textId="77777777" w:rsidR="008E39C1" w:rsidRPr="007A3223" w:rsidRDefault="008E39C1" w:rsidP="007B71E4">
            <w:pPr>
              <w:jc w:val="center"/>
              <w:rPr>
                <w:b/>
              </w:rPr>
            </w:pPr>
          </w:p>
        </w:tc>
        <w:tc>
          <w:tcPr>
            <w:tcW w:w="1777" w:type="dxa"/>
          </w:tcPr>
          <w:p w14:paraId="68893F37" w14:textId="77777777" w:rsidR="008E39C1" w:rsidRPr="007A3223" w:rsidRDefault="008E39C1" w:rsidP="007B71E4">
            <w:pPr>
              <w:widowControl w:val="0"/>
              <w:autoSpaceDE w:val="0"/>
              <w:autoSpaceDN w:val="0"/>
              <w:adjustRightInd w:val="0"/>
              <w:spacing w:after="0"/>
              <w:jc w:val="center"/>
            </w:pPr>
            <w:r w:rsidRPr="007A3223">
              <w:t>25mg po qd</w:t>
            </w:r>
          </w:p>
          <w:p w14:paraId="744B15CA" w14:textId="77777777" w:rsidR="008E39C1" w:rsidRPr="007A3223" w:rsidRDefault="008E39C1" w:rsidP="007B71E4">
            <w:pPr>
              <w:jc w:val="center"/>
              <w:rPr>
                <w:b/>
              </w:rPr>
            </w:pPr>
          </w:p>
        </w:tc>
        <w:tc>
          <w:tcPr>
            <w:tcW w:w="1868" w:type="dxa"/>
          </w:tcPr>
          <w:p w14:paraId="7F8FED66" w14:textId="77777777" w:rsidR="008E39C1" w:rsidRPr="007A3223" w:rsidRDefault="008E39C1" w:rsidP="007B71E4">
            <w:pPr>
              <w:widowControl w:val="0"/>
              <w:autoSpaceDE w:val="0"/>
              <w:autoSpaceDN w:val="0"/>
              <w:adjustRightInd w:val="0"/>
              <w:spacing w:after="0"/>
              <w:jc w:val="center"/>
            </w:pPr>
            <w:r w:rsidRPr="007A3223">
              <w:t>50 mg po qd</w:t>
            </w:r>
          </w:p>
          <w:p w14:paraId="4F936E8B" w14:textId="77777777" w:rsidR="008E39C1" w:rsidRPr="007A3223" w:rsidRDefault="008E39C1" w:rsidP="007B71E4">
            <w:pPr>
              <w:jc w:val="center"/>
              <w:rPr>
                <w:b/>
              </w:rPr>
            </w:pPr>
          </w:p>
        </w:tc>
        <w:tc>
          <w:tcPr>
            <w:tcW w:w="1834" w:type="dxa"/>
          </w:tcPr>
          <w:p w14:paraId="6604BA83" w14:textId="77777777" w:rsidR="008E39C1" w:rsidRPr="007A3223" w:rsidRDefault="008E39C1" w:rsidP="007B71E4">
            <w:pPr>
              <w:widowControl w:val="0"/>
              <w:autoSpaceDE w:val="0"/>
              <w:autoSpaceDN w:val="0"/>
              <w:adjustRightInd w:val="0"/>
              <w:spacing w:after="0"/>
              <w:jc w:val="center"/>
            </w:pPr>
            <w:r w:rsidRPr="007A3223">
              <w:t>100 mg po qd</w:t>
            </w:r>
          </w:p>
          <w:p w14:paraId="5E7422A2" w14:textId="77777777" w:rsidR="008E39C1" w:rsidRPr="007A3223" w:rsidRDefault="008E39C1" w:rsidP="007B71E4">
            <w:pPr>
              <w:jc w:val="center"/>
              <w:rPr>
                <w:b/>
              </w:rPr>
            </w:pPr>
          </w:p>
        </w:tc>
        <w:tc>
          <w:tcPr>
            <w:tcW w:w="1854" w:type="dxa"/>
          </w:tcPr>
          <w:p w14:paraId="28618209" w14:textId="77777777" w:rsidR="008E39C1" w:rsidRPr="007A3223" w:rsidRDefault="008E39C1" w:rsidP="007B71E4">
            <w:pPr>
              <w:widowControl w:val="0"/>
              <w:autoSpaceDE w:val="0"/>
              <w:autoSpaceDN w:val="0"/>
              <w:adjustRightInd w:val="0"/>
              <w:spacing w:after="0"/>
              <w:jc w:val="center"/>
            </w:pPr>
            <w:r w:rsidRPr="007A3223">
              <w:t>CYP 3A4</w:t>
            </w:r>
          </w:p>
          <w:p w14:paraId="3FC65D4D" w14:textId="77777777" w:rsidR="008E39C1" w:rsidRPr="007A3223" w:rsidRDefault="008E39C1" w:rsidP="00FC758C">
            <w:pPr>
              <w:widowControl w:val="0"/>
              <w:autoSpaceDE w:val="0"/>
              <w:autoSpaceDN w:val="0"/>
              <w:adjustRightInd w:val="0"/>
              <w:spacing w:after="0"/>
              <w:jc w:val="center"/>
            </w:pPr>
            <w:r w:rsidRPr="007A3223">
              <w:t>substrate</w:t>
            </w:r>
          </w:p>
        </w:tc>
      </w:tr>
      <w:tr w:rsidR="008E39C1" w:rsidRPr="007A3223" w14:paraId="2F8162A7" w14:textId="77777777" w:rsidTr="007B71E4">
        <w:tc>
          <w:tcPr>
            <w:tcW w:w="2243" w:type="dxa"/>
          </w:tcPr>
          <w:p w14:paraId="77089CED" w14:textId="77777777" w:rsidR="008E39C1" w:rsidRPr="007A3223" w:rsidRDefault="008E39C1" w:rsidP="007B71E4">
            <w:pPr>
              <w:widowControl w:val="0"/>
              <w:autoSpaceDE w:val="0"/>
              <w:autoSpaceDN w:val="0"/>
              <w:adjustRightInd w:val="0"/>
              <w:spacing w:after="0"/>
            </w:pPr>
            <w:r w:rsidRPr="007A3223">
              <w:t>Candesartan</w:t>
            </w:r>
          </w:p>
          <w:p w14:paraId="2079225E" w14:textId="77777777" w:rsidR="008E39C1" w:rsidRPr="007A3223" w:rsidRDefault="008E39C1" w:rsidP="007B71E4">
            <w:pPr>
              <w:jc w:val="center"/>
              <w:rPr>
                <w:b/>
              </w:rPr>
            </w:pPr>
          </w:p>
        </w:tc>
        <w:tc>
          <w:tcPr>
            <w:tcW w:w="1777" w:type="dxa"/>
          </w:tcPr>
          <w:p w14:paraId="622823C6" w14:textId="77777777" w:rsidR="008E39C1" w:rsidRPr="007A3223" w:rsidRDefault="008E39C1" w:rsidP="007B71E4">
            <w:pPr>
              <w:widowControl w:val="0"/>
              <w:autoSpaceDE w:val="0"/>
              <w:autoSpaceDN w:val="0"/>
              <w:adjustRightInd w:val="0"/>
              <w:spacing w:after="0"/>
              <w:jc w:val="center"/>
            </w:pPr>
            <w:r w:rsidRPr="007A3223">
              <w:t>4mg po qd</w:t>
            </w:r>
          </w:p>
          <w:p w14:paraId="38F1428A" w14:textId="77777777" w:rsidR="008E39C1" w:rsidRPr="007A3223" w:rsidRDefault="008E39C1" w:rsidP="007B71E4">
            <w:pPr>
              <w:jc w:val="center"/>
              <w:rPr>
                <w:b/>
              </w:rPr>
            </w:pPr>
          </w:p>
        </w:tc>
        <w:tc>
          <w:tcPr>
            <w:tcW w:w="1868" w:type="dxa"/>
          </w:tcPr>
          <w:p w14:paraId="1A927948" w14:textId="77777777" w:rsidR="008E39C1" w:rsidRPr="007A3223" w:rsidRDefault="008E39C1" w:rsidP="007B71E4">
            <w:pPr>
              <w:widowControl w:val="0"/>
              <w:autoSpaceDE w:val="0"/>
              <w:autoSpaceDN w:val="0"/>
              <w:adjustRightInd w:val="0"/>
              <w:spacing w:after="0"/>
              <w:jc w:val="center"/>
            </w:pPr>
            <w:r w:rsidRPr="007A3223">
              <w:t>8-16 mg po qd</w:t>
            </w:r>
          </w:p>
          <w:p w14:paraId="00438E23" w14:textId="77777777" w:rsidR="008E39C1" w:rsidRPr="007A3223" w:rsidRDefault="008E39C1" w:rsidP="007B71E4">
            <w:pPr>
              <w:jc w:val="center"/>
              <w:rPr>
                <w:b/>
              </w:rPr>
            </w:pPr>
          </w:p>
        </w:tc>
        <w:tc>
          <w:tcPr>
            <w:tcW w:w="1834" w:type="dxa"/>
          </w:tcPr>
          <w:p w14:paraId="3AB07310" w14:textId="77777777" w:rsidR="008E39C1" w:rsidRPr="007A3223" w:rsidRDefault="008E39C1" w:rsidP="007B71E4">
            <w:pPr>
              <w:widowControl w:val="0"/>
              <w:autoSpaceDE w:val="0"/>
              <w:autoSpaceDN w:val="0"/>
              <w:adjustRightInd w:val="0"/>
              <w:spacing w:after="0"/>
              <w:jc w:val="center"/>
            </w:pPr>
            <w:r w:rsidRPr="007A3223">
              <w:t>32mg po qd</w:t>
            </w:r>
          </w:p>
          <w:p w14:paraId="1E3AF5F2" w14:textId="77777777" w:rsidR="008E39C1" w:rsidRPr="007A3223" w:rsidRDefault="008E39C1" w:rsidP="007B71E4">
            <w:pPr>
              <w:jc w:val="center"/>
              <w:rPr>
                <w:b/>
              </w:rPr>
            </w:pPr>
          </w:p>
        </w:tc>
        <w:tc>
          <w:tcPr>
            <w:tcW w:w="1854" w:type="dxa"/>
          </w:tcPr>
          <w:p w14:paraId="56FA1191" w14:textId="77777777" w:rsidR="008E39C1" w:rsidRPr="007A3223" w:rsidRDefault="008E39C1" w:rsidP="007B71E4">
            <w:pPr>
              <w:widowControl w:val="0"/>
              <w:autoSpaceDE w:val="0"/>
              <w:autoSpaceDN w:val="0"/>
              <w:adjustRightInd w:val="0"/>
              <w:spacing w:after="0"/>
              <w:jc w:val="center"/>
            </w:pPr>
            <w:r w:rsidRPr="007A3223">
              <w:t>CYP 2C9</w:t>
            </w:r>
          </w:p>
          <w:p w14:paraId="5280BA8C" w14:textId="77777777" w:rsidR="008E39C1" w:rsidRPr="007A3223" w:rsidRDefault="008E39C1" w:rsidP="00FC758C">
            <w:pPr>
              <w:widowControl w:val="0"/>
              <w:autoSpaceDE w:val="0"/>
              <w:autoSpaceDN w:val="0"/>
              <w:adjustRightInd w:val="0"/>
              <w:spacing w:after="0"/>
              <w:jc w:val="center"/>
            </w:pPr>
            <w:r w:rsidRPr="007A3223">
              <w:t>substrate</w:t>
            </w:r>
          </w:p>
        </w:tc>
      </w:tr>
      <w:tr w:rsidR="008E39C1" w:rsidRPr="007A3223" w14:paraId="0BB4BD93" w14:textId="77777777" w:rsidTr="007B71E4">
        <w:tc>
          <w:tcPr>
            <w:tcW w:w="2243" w:type="dxa"/>
          </w:tcPr>
          <w:p w14:paraId="11B279B0" w14:textId="77777777" w:rsidR="008E39C1" w:rsidRPr="007A3223" w:rsidRDefault="008E39C1" w:rsidP="007B71E4">
            <w:pPr>
              <w:widowControl w:val="0"/>
              <w:autoSpaceDE w:val="0"/>
              <w:autoSpaceDN w:val="0"/>
              <w:adjustRightInd w:val="0"/>
              <w:spacing w:after="0"/>
            </w:pPr>
            <w:r w:rsidRPr="007A3223">
              <w:t>Irbesartan</w:t>
            </w:r>
          </w:p>
          <w:p w14:paraId="06F30053" w14:textId="77777777" w:rsidR="008E39C1" w:rsidRPr="007A3223" w:rsidRDefault="008E39C1" w:rsidP="007B71E4">
            <w:pPr>
              <w:jc w:val="center"/>
              <w:rPr>
                <w:b/>
              </w:rPr>
            </w:pPr>
          </w:p>
        </w:tc>
        <w:tc>
          <w:tcPr>
            <w:tcW w:w="1777" w:type="dxa"/>
          </w:tcPr>
          <w:p w14:paraId="33602A26" w14:textId="77777777" w:rsidR="008E39C1" w:rsidRPr="007A3223" w:rsidRDefault="008E39C1" w:rsidP="007B71E4">
            <w:pPr>
              <w:widowControl w:val="0"/>
              <w:autoSpaceDE w:val="0"/>
              <w:autoSpaceDN w:val="0"/>
              <w:adjustRightInd w:val="0"/>
              <w:spacing w:after="0"/>
              <w:jc w:val="center"/>
            </w:pPr>
            <w:r w:rsidRPr="007A3223">
              <w:t>75mg po qd</w:t>
            </w:r>
          </w:p>
          <w:p w14:paraId="0B3DBDEA" w14:textId="77777777" w:rsidR="008E39C1" w:rsidRPr="007A3223" w:rsidRDefault="008E39C1" w:rsidP="007B71E4">
            <w:pPr>
              <w:jc w:val="center"/>
              <w:rPr>
                <w:b/>
              </w:rPr>
            </w:pPr>
          </w:p>
        </w:tc>
        <w:tc>
          <w:tcPr>
            <w:tcW w:w="1868" w:type="dxa"/>
          </w:tcPr>
          <w:p w14:paraId="5AAB5FC5" w14:textId="77777777" w:rsidR="008E39C1" w:rsidRPr="007A3223" w:rsidRDefault="008E39C1" w:rsidP="007B71E4">
            <w:pPr>
              <w:widowControl w:val="0"/>
              <w:autoSpaceDE w:val="0"/>
              <w:autoSpaceDN w:val="0"/>
              <w:adjustRightInd w:val="0"/>
              <w:spacing w:after="0"/>
              <w:jc w:val="center"/>
            </w:pPr>
            <w:r w:rsidRPr="007A3223">
              <w:t>150 mg po qd</w:t>
            </w:r>
          </w:p>
          <w:p w14:paraId="7B85F762" w14:textId="77777777" w:rsidR="008E39C1" w:rsidRPr="007A3223" w:rsidRDefault="008E39C1" w:rsidP="007B71E4">
            <w:pPr>
              <w:jc w:val="center"/>
              <w:rPr>
                <w:b/>
              </w:rPr>
            </w:pPr>
          </w:p>
        </w:tc>
        <w:tc>
          <w:tcPr>
            <w:tcW w:w="1834" w:type="dxa"/>
          </w:tcPr>
          <w:p w14:paraId="5D705D3E" w14:textId="77777777" w:rsidR="008E39C1" w:rsidRPr="007A3223" w:rsidRDefault="008E39C1" w:rsidP="007B71E4">
            <w:pPr>
              <w:widowControl w:val="0"/>
              <w:autoSpaceDE w:val="0"/>
              <w:autoSpaceDN w:val="0"/>
              <w:adjustRightInd w:val="0"/>
              <w:spacing w:after="0"/>
              <w:jc w:val="center"/>
            </w:pPr>
            <w:r w:rsidRPr="007A3223">
              <w:t>300 mg po qd</w:t>
            </w:r>
          </w:p>
          <w:p w14:paraId="3AB5EA11" w14:textId="77777777" w:rsidR="008E39C1" w:rsidRPr="007A3223" w:rsidRDefault="008E39C1" w:rsidP="007B71E4">
            <w:pPr>
              <w:jc w:val="center"/>
              <w:rPr>
                <w:b/>
              </w:rPr>
            </w:pPr>
          </w:p>
        </w:tc>
        <w:tc>
          <w:tcPr>
            <w:tcW w:w="1854" w:type="dxa"/>
          </w:tcPr>
          <w:p w14:paraId="6FE16025" w14:textId="77777777" w:rsidR="008E39C1" w:rsidRPr="007A3223" w:rsidRDefault="008E39C1" w:rsidP="007B71E4">
            <w:pPr>
              <w:widowControl w:val="0"/>
              <w:autoSpaceDE w:val="0"/>
              <w:autoSpaceDN w:val="0"/>
              <w:adjustRightInd w:val="0"/>
              <w:spacing w:after="0"/>
              <w:jc w:val="center"/>
            </w:pPr>
            <w:r w:rsidRPr="007A3223">
              <w:t>CYP 2C9</w:t>
            </w:r>
          </w:p>
          <w:p w14:paraId="343260B5" w14:textId="77777777" w:rsidR="008E39C1" w:rsidRPr="007A3223" w:rsidRDefault="008E39C1" w:rsidP="00FC758C">
            <w:pPr>
              <w:widowControl w:val="0"/>
              <w:autoSpaceDE w:val="0"/>
              <w:autoSpaceDN w:val="0"/>
              <w:adjustRightInd w:val="0"/>
              <w:spacing w:after="0"/>
              <w:jc w:val="center"/>
            </w:pPr>
            <w:r w:rsidRPr="007A3223">
              <w:t>substrate</w:t>
            </w:r>
          </w:p>
        </w:tc>
      </w:tr>
      <w:tr w:rsidR="008E39C1" w:rsidRPr="007A3223" w14:paraId="78EAE525" w14:textId="77777777" w:rsidTr="007B71E4">
        <w:tc>
          <w:tcPr>
            <w:tcW w:w="2243" w:type="dxa"/>
          </w:tcPr>
          <w:p w14:paraId="2FD95E43" w14:textId="77777777" w:rsidR="008E39C1" w:rsidRPr="007A3223" w:rsidRDefault="008E39C1" w:rsidP="007B71E4">
            <w:pPr>
              <w:widowControl w:val="0"/>
              <w:autoSpaceDE w:val="0"/>
              <w:autoSpaceDN w:val="0"/>
              <w:adjustRightInd w:val="0"/>
              <w:spacing w:after="0"/>
              <w:rPr>
                <w:b/>
              </w:rPr>
            </w:pPr>
            <w:r w:rsidRPr="007A3223">
              <w:rPr>
                <w:b/>
              </w:rPr>
              <w:t>Telmisartan*</w:t>
            </w:r>
          </w:p>
          <w:p w14:paraId="4101EA1C" w14:textId="77777777" w:rsidR="008E39C1" w:rsidRPr="007A3223" w:rsidRDefault="008E39C1" w:rsidP="007B71E4">
            <w:pPr>
              <w:rPr>
                <w:b/>
              </w:rPr>
            </w:pPr>
          </w:p>
        </w:tc>
        <w:tc>
          <w:tcPr>
            <w:tcW w:w="1777" w:type="dxa"/>
          </w:tcPr>
          <w:p w14:paraId="017F0FBD" w14:textId="77777777" w:rsidR="008E39C1" w:rsidRPr="007A3223" w:rsidRDefault="008E39C1" w:rsidP="007B71E4">
            <w:pPr>
              <w:widowControl w:val="0"/>
              <w:autoSpaceDE w:val="0"/>
              <w:autoSpaceDN w:val="0"/>
              <w:adjustRightInd w:val="0"/>
              <w:spacing w:after="0"/>
              <w:jc w:val="center"/>
            </w:pPr>
            <w:r w:rsidRPr="007A3223">
              <w:t>40 mg po qd</w:t>
            </w:r>
          </w:p>
          <w:p w14:paraId="028B77CB" w14:textId="77777777" w:rsidR="008E39C1" w:rsidRPr="007A3223" w:rsidRDefault="008E39C1" w:rsidP="007B71E4">
            <w:pPr>
              <w:jc w:val="center"/>
              <w:rPr>
                <w:b/>
              </w:rPr>
            </w:pPr>
          </w:p>
        </w:tc>
        <w:tc>
          <w:tcPr>
            <w:tcW w:w="1868" w:type="dxa"/>
          </w:tcPr>
          <w:p w14:paraId="3B7F47B7" w14:textId="77777777" w:rsidR="008E39C1" w:rsidRPr="007A3223" w:rsidRDefault="008E39C1" w:rsidP="007B71E4">
            <w:pPr>
              <w:widowControl w:val="0"/>
              <w:autoSpaceDE w:val="0"/>
              <w:autoSpaceDN w:val="0"/>
              <w:adjustRightInd w:val="0"/>
              <w:spacing w:after="0"/>
              <w:jc w:val="center"/>
            </w:pPr>
            <w:r w:rsidRPr="007A3223">
              <w:t>none</w:t>
            </w:r>
          </w:p>
          <w:p w14:paraId="1CEF19D3" w14:textId="77777777" w:rsidR="008E39C1" w:rsidRPr="007A3223" w:rsidRDefault="008E39C1" w:rsidP="007B71E4">
            <w:pPr>
              <w:jc w:val="center"/>
              <w:rPr>
                <w:b/>
              </w:rPr>
            </w:pPr>
          </w:p>
        </w:tc>
        <w:tc>
          <w:tcPr>
            <w:tcW w:w="1834" w:type="dxa"/>
          </w:tcPr>
          <w:p w14:paraId="1BBE72D2" w14:textId="77777777" w:rsidR="008E39C1" w:rsidRPr="007A3223" w:rsidRDefault="008E39C1" w:rsidP="007B71E4">
            <w:pPr>
              <w:widowControl w:val="0"/>
              <w:autoSpaceDE w:val="0"/>
              <w:autoSpaceDN w:val="0"/>
              <w:adjustRightInd w:val="0"/>
              <w:spacing w:after="0"/>
              <w:jc w:val="center"/>
            </w:pPr>
            <w:r w:rsidRPr="007A3223">
              <w:t>80 mg po qd</w:t>
            </w:r>
          </w:p>
          <w:p w14:paraId="74479A7B" w14:textId="77777777" w:rsidR="008E39C1" w:rsidRPr="007A3223" w:rsidRDefault="008E39C1" w:rsidP="007B71E4">
            <w:pPr>
              <w:jc w:val="center"/>
              <w:rPr>
                <w:b/>
              </w:rPr>
            </w:pPr>
          </w:p>
        </w:tc>
        <w:tc>
          <w:tcPr>
            <w:tcW w:w="1854" w:type="dxa"/>
          </w:tcPr>
          <w:p w14:paraId="79FE69B9" w14:textId="77777777" w:rsidR="008E39C1" w:rsidRPr="007A3223" w:rsidRDefault="008E39C1" w:rsidP="007B71E4">
            <w:pPr>
              <w:widowControl w:val="0"/>
              <w:autoSpaceDE w:val="0"/>
              <w:autoSpaceDN w:val="0"/>
              <w:adjustRightInd w:val="0"/>
              <w:spacing w:after="0"/>
              <w:jc w:val="center"/>
            </w:pPr>
            <w:r w:rsidRPr="007A3223">
              <w:t>Yes but not</w:t>
            </w:r>
          </w:p>
          <w:p w14:paraId="302AE6F4" w14:textId="77777777" w:rsidR="008E39C1" w:rsidRPr="007A3223" w:rsidRDefault="008E39C1" w:rsidP="00FC758C">
            <w:pPr>
              <w:widowControl w:val="0"/>
              <w:autoSpaceDE w:val="0"/>
              <w:autoSpaceDN w:val="0"/>
              <w:adjustRightInd w:val="0"/>
              <w:spacing w:after="0"/>
              <w:jc w:val="center"/>
            </w:pPr>
            <w:r w:rsidRPr="007A3223">
              <w:t>CYP450</w:t>
            </w:r>
          </w:p>
        </w:tc>
      </w:tr>
      <w:tr w:rsidR="008E39C1" w:rsidRPr="007A3223" w14:paraId="12983E57" w14:textId="77777777" w:rsidTr="007B71E4">
        <w:tc>
          <w:tcPr>
            <w:tcW w:w="2243" w:type="dxa"/>
          </w:tcPr>
          <w:p w14:paraId="6665B9B8" w14:textId="77777777" w:rsidR="008E39C1" w:rsidRPr="007A3223" w:rsidRDefault="008E39C1" w:rsidP="007B71E4">
            <w:pPr>
              <w:rPr>
                <w:b/>
              </w:rPr>
            </w:pPr>
            <w:r w:rsidRPr="007A3223">
              <w:rPr>
                <w:b/>
              </w:rPr>
              <w:t>Valsartan*</w:t>
            </w:r>
          </w:p>
        </w:tc>
        <w:tc>
          <w:tcPr>
            <w:tcW w:w="1777" w:type="dxa"/>
          </w:tcPr>
          <w:p w14:paraId="6792BCA8" w14:textId="77777777" w:rsidR="008E39C1" w:rsidRPr="007A3223" w:rsidRDefault="008E39C1" w:rsidP="007B71E4">
            <w:pPr>
              <w:jc w:val="center"/>
              <w:rPr>
                <w:b/>
              </w:rPr>
            </w:pPr>
            <w:r w:rsidRPr="007A3223">
              <w:t>80 mg po qd</w:t>
            </w:r>
          </w:p>
        </w:tc>
        <w:tc>
          <w:tcPr>
            <w:tcW w:w="1868" w:type="dxa"/>
          </w:tcPr>
          <w:p w14:paraId="035C59B1" w14:textId="77777777" w:rsidR="008E39C1" w:rsidRPr="007A3223" w:rsidRDefault="008E39C1" w:rsidP="007B71E4">
            <w:pPr>
              <w:jc w:val="center"/>
              <w:rPr>
                <w:b/>
              </w:rPr>
            </w:pPr>
            <w:r w:rsidRPr="007A3223">
              <w:t>none</w:t>
            </w:r>
          </w:p>
        </w:tc>
        <w:tc>
          <w:tcPr>
            <w:tcW w:w="1834" w:type="dxa"/>
          </w:tcPr>
          <w:p w14:paraId="08E99AEB" w14:textId="77777777" w:rsidR="008E39C1" w:rsidRPr="007A3223" w:rsidRDefault="008E39C1" w:rsidP="007B71E4">
            <w:pPr>
              <w:jc w:val="center"/>
              <w:rPr>
                <w:b/>
              </w:rPr>
            </w:pPr>
            <w:r w:rsidRPr="007A3223">
              <w:t>160mg po qd</w:t>
            </w:r>
          </w:p>
        </w:tc>
        <w:tc>
          <w:tcPr>
            <w:tcW w:w="1854" w:type="dxa"/>
          </w:tcPr>
          <w:p w14:paraId="04E8E505" w14:textId="77777777" w:rsidR="008E39C1" w:rsidRPr="007A3223" w:rsidRDefault="008E39C1" w:rsidP="007B71E4">
            <w:pPr>
              <w:widowControl w:val="0"/>
              <w:autoSpaceDE w:val="0"/>
              <w:autoSpaceDN w:val="0"/>
              <w:adjustRightInd w:val="0"/>
              <w:spacing w:after="0"/>
              <w:jc w:val="center"/>
            </w:pPr>
            <w:r w:rsidRPr="007A3223">
              <w:t>Yes but not</w:t>
            </w:r>
          </w:p>
          <w:p w14:paraId="75A69468" w14:textId="77777777" w:rsidR="008E39C1" w:rsidRPr="007A3223" w:rsidRDefault="008E39C1" w:rsidP="007B71E4">
            <w:pPr>
              <w:jc w:val="center"/>
              <w:rPr>
                <w:b/>
              </w:rPr>
            </w:pPr>
            <w:r w:rsidRPr="007A3223">
              <w:t>CYP450</w:t>
            </w:r>
          </w:p>
        </w:tc>
      </w:tr>
      <w:tr w:rsidR="008E39C1" w:rsidRPr="007A3223" w14:paraId="056D5DD3" w14:textId="77777777" w:rsidTr="007B71E4">
        <w:tc>
          <w:tcPr>
            <w:tcW w:w="9576" w:type="dxa"/>
            <w:gridSpan w:val="5"/>
          </w:tcPr>
          <w:p w14:paraId="759C3A16" w14:textId="77777777" w:rsidR="008E39C1" w:rsidRPr="007A3223" w:rsidRDefault="008E39C1" w:rsidP="007B71E4">
            <w:pPr>
              <w:rPr>
                <w:b/>
              </w:rPr>
            </w:pPr>
            <w:r w:rsidRPr="007A3223">
              <w:t>Alpha and beta blockers</w:t>
            </w:r>
          </w:p>
        </w:tc>
      </w:tr>
      <w:tr w:rsidR="008E39C1" w:rsidRPr="007A3223" w14:paraId="6FAF0A0F" w14:textId="77777777" w:rsidTr="007B71E4">
        <w:tc>
          <w:tcPr>
            <w:tcW w:w="2243" w:type="dxa"/>
          </w:tcPr>
          <w:p w14:paraId="4FB516A2" w14:textId="77777777" w:rsidR="008E39C1" w:rsidRPr="007A3223" w:rsidRDefault="008E39C1" w:rsidP="007B71E4">
            <w:pPr>
              <w:jc w:val="center"/>
              <w:rPr>
                <w:b/>
              </w:rPr>
            </w:pPr>
            <w:r w:rsidRPr="007A3223">
              <w:rPr>
                <w:b/>
              </w:rPr>
              <w:lastRenderedPageBreak/>
              <w:t>Agent</w:t>
            </w:r>
          </w:p>
        </w:tc>
        <w:tc>
          <w:tcPr>
            <w:tcW w:w="1777" w:type="dxa"/>
          </w:tcPr>
          <w:p w14:paraId="71321A6B" w14:textId="77777777" w:rsidR="008E39C1" w:rsidRPr="007A3223" w:rsidRDefault="008E39C1" w:rsidP="007B71E4">
            <w:pPr>
              <w:jc w:val="center"/>
              <w:rPr>
                <w:b/>
              </w:rPr>
            </w:pPr>
            <w:r w:rsidRPr="007A3223">
              <w:rPr>
                <w:b/>
              </w:rPr>
              <w:t>Initial Dose</w:t>
            </w:r>
          </w:p>
        </w:tc>
        <w:tc>
          <w:tcPr>
            <w:tcW w:w="1868" w:type="dxa"/>
          </w:tcPr>
          <w:p w14:paraId="2A2C6559" w14:textId="77777777" w:rsidR="008E39C1" w:rsidRPr="007A3223" w:rsidRDefault="008E39C1" w:rsidP="007B71E4">
            <w:pPr>
              <w:jc w:val="center"/>
              <w:rPr>
                <w:b/>
              </w:rPr>
            </w:pPr>
            <w:r w:rsidRPr="007A3223">
              <w:rPr>
                <w:b/>
              </w:rPr>
              <w:t>Intermediate Dose</w:t>
            </w:r>
          </w:p>
        </w:tc>
        <w:tc>
          <w:tcPr>
            <w:tcW w:w="1834" w:type="dxa"/>
          </w:tcPr>
          <w:p w14:paraId="0438BF28" w14:textId="77777777" w:rsidR="008E39C1" w:rsidRPr="007A3223" w:rsidRDefault="008E39C1" w:rsidP="007B71E4">
            <w:pPr>
              <w:jc w:val="center"/>
              <w:rPr>
                <w:b/>
              </w:rPr>
            </w:pPr>
            <w:r w:rsidRPr="007A3223">
              <w:rPr>
                <w:b/>
              </w:rPr>
              <w:t>Maximum Dose</w:t>
            </w:r>
          </w:p>
        </w:tc>
        <w:tc>
          <w:tcPr>
            <w:tcW w:w="1854" w:type="dxa"/>
          </w:tcPr>
          <w:p w14:paraId="100A2160" w14:textId="77777777" w:rsidR="008E39C1" w:rsidRPr="007A3223" w:rsidRDefault="008E39C1" w:rsidP="007B71E4">
            <w:pPr>
              <w:jc w:val="center"/>
              <w:rPr>
                <w:b/>
              </w:rPr>
            </w:pPr>
            <w:r w:rsidRPr="007A3223">
              <w:rPr>
                <w:b/>
              </w:rPr>
              <w:t>Hepatic Metabolism</w:t>
            </w:r>
          </w:p>
        </w:tc>
      </w:tr>
      <w:tr w:rsidR="008E39C1" w:rsidRPr="007A3223" w14:paraId="621B5795" w14:textId="77777777" w:rsidTr="007B71E4">
        <w:tc>
          <w:tcPr>
            <w:tcW w:w="2243" w:type="dxa"/>
          </w:tcPr>
          <w:p w14:paraId="2921C568" w14:textId="77777777" w:rsidR="008E39C1" w:rsidRPr="007A3223" w:rsidRDefault="008E39C1" w:rsidP="007B71E4">
            <w:pPr>
              <w:rPr>
                <w:b/>
              </w:rPr>
            </w:pPr>
            <w:r w:rsidRPr="007A3223">
              <w:t>Labetolol</w:t>
            </w:r>
          </w:p>
        </w:tc>
        <w:tc>
          <w:tcPr>
            <w:tcW w:w="1777" w:type="dxa"/>
          </w:tcPr>
          <w:p w14:paraId="0F9EE640" w14:textId="77777777" w:rsidR="008E39C1" w:rsidRPr="007A3223" w:rsidRDefault="008E39C1" w:rsidP="007B71E4">
            <w:pPr>
              <w:widowControl w:val="0"/>
              <w:autoSpaceDE w:val="0"/>
              <w:autoSpaceDN w:val="0"/>
              <w:adjustRightInd w:val="0"/>
              <w:spacing w:after="0"/>
              <w:jc w:val="center"/>
            </w:pPr>
            <w:r w:rsidRPr="007A3223">
              <w:t>100 mg po bid</w:t>
            </w:r>
          </w:p>
          <w:p w14:paraId="5DF3D2F4" w14:textId="77777777" w:rsidR="008E39C1" w:rsidRPr="007A3223" w:rsidRDefault="008E39C1" w:rsidP="007B71E4">
            <w:pPr>
              <w:jc w:val="center"/>
              <w:rPr>
                <w:b/>
              </w:rPr>
            </w:pPr>
          </w:p>
        </w:tc>
        <w:tc>
          <w:tcPr>
            <w:tcW w:w="1868" w:type="dxa"/>
          </w:tcPr>
          <w:p w14:paraId="6DF0D333" w14:textId="77777777" w:rsidR="008E39C1" w:rsidRPr="007A3223" w:rsidRDefault="008E39C1" w:rsidP="007B71E4">
            <w:pPr>
              <w:widowControl w:val="0"/>
              <w:autoSpaceDE w:val="0"/>
              <w:autoSpaceDN w:val="0"/>
              <w:adjustRightInd w:val="0"/>
              <w:spacing w:after="0"/>
              <w:jc w:val="center"/>
            </w:pPr>
            <w:r w:rsidRPr="007A3223">
              <w:t>200 mg po bid</w:t>
            </w:r>
          </w:p>
          <w:p w14:paraId="4AE32F55" w14:textId="77777777" w:rsidR="008E39C1" w:rsidRPr="007A3223" w:rsidRDefault="008E39C1" w:rsidP="007B71E4">
            <w:pPr>
              <w:jc w:val="center"/>
              <w:rPr>
                <w:b/>
              </w:rPr>
            </w:pPr>
          </w:p>
        </w:tc>
        <w:tc>
          <w:tcPr>
            <w:tcW w:w="1834" w:type="dxa"/>
          </w:tcPr>
          <w:p w14:paraId="089BA7A0" w14:textId="77777777" w:rsidR="008E39C1" w:rsidRPr="007A3223" w:rsidRDefault="008E39C1" w:rsidP="007B71E4">
            <w:pPr>
              <w:widowControl w:val="0"/>
              <w:autoSpaceDE w:val="0"/>
              <w:autoSpaceDN w:val="0"/>
              <w:adjustRightInd w:val="0"/>
              <w:spacing w:after="0"/>
              <w:jc w:val="center"/>
            </w:pPr>
            <w:r w:rsidRPr="007A3223">
              <w:t>400 mg po bid</w:t>
            </w:r>
          </w:p>
          <w:p w14:paraId="567A4D23" w14:textId="77777777" w:rsidR="008E39C1" w:rsidRPr="007A3223" w:rsidRDefault="008E39C1" w:rsidP="007B71E4">
            <w:pPr>
              <w:jc w:val="center"/>
              <w:rPr>
                <w:b/>
              </w:rPr>
            </w:pPr>
          </w:p>
        </w:tc>
        <w:tc>
          <w:tcPr>
            <w:tcW w:w="1854" w:type="dxa"/>
          </w:tcPr>
          <w:p w14:paraId="2CEE1168" w14:textId="77777777" w:rsidR="008E39C1" w:rsidRPr="007A3223" w:rsidRDefault="008E39C1" w:rsidP="007B71E4">
            <w:pPr>
              <w:widowControl w:val="0"/>
              <w:autoSpaceDE w:val="0"/>
              <w:autoSpaceDN w:val="0"/>
              <w:adjustRightInd w:val="0"/>
              <w:spacing w:after="0"/>
              <w:jc w:val="center"/>
            </w:pPr>
            <w:r w:rsidRPr="007A3223">
              <w:t>CYP 2D6</w:t>
            </w:r>
          </w:p>
          <w:p w14:paraId="441E8684" w14:textId="77777777" w:rsidR="008E39C1" w:rsidRPr="007A3223" w:rsidRDefault="008E39C1" w:rsidP="007B71E4">
            <w:pPr>
              <w:jc w:val="center"/>
              <w:rPr>
                <w:b/>
              </w:rPr>
            </w:pPr>
            <w:r w:rsidRPr="007A3223">
              <w:t>substrate and inhibitor</w:t>
            </w:r>
          </w:p>
        </w:tc>
      </w:tr>
    </w:tbl>
    <w:p w14:paraId="4DFBE2F8" w14:textId="77777777" w:rsidR="00A40E55" w:rsidRPr="007A3223" w:rsidRDefault="00A40E55" w:rsidP="008E39C1">
      <w:pPr>
        <w:widowControl w:val="0"/>
        <w:autoSpaceDE w:val="0"/>
        <w:autoSpaceDN w:val="0"/>
        <w:adjustRightInd w:val="0"/>
        <w:spacing w:after="0"/>
        <w:rPr>
          <w:sz w:val="20"/>
          <w:szCs w:val="20"/>
        </w:rPr>
      </w:pPr>
    </w:p>
    <w:p w14:paraId="533F16E3" w14:textId="77777777" w:rsidR="008E39C1" w:rsidRPr="007A3223" w:rsidRDefault="008E39C1" w:rsidP="008E39C1">
      <w:pPr>
        <w:widowControl w:val="0"/>
        <w:autoSpaceDE w:val="0"/>
        <w:autoSpaceDN w:val="0"/>
        <w:adjustRightInd w:val="0"/>
        <w:spacing w:after="0"/>
        <w:rPr>
          <w:sz w:val="20"/>
          <w:szCs w:val="20"/>
        </w:rPr>
      </w:pPr>
      <w:r w:rsidRPr="007A3223">
        <w:rPr>
          <w:sz w:val="20"/>
          <w:szCs w:val="20"/>
        </w:rPr>
        <w:t>*Agents in bold characters are suggested as optimal choices to avoid or minimize potential drug interactions with cediranib through CYP450.</w:t>
      </w:r>
    </w:p>
    <w:p w14:paraId="365DF7A7" w14:textId="77777777" w:rsidR="00A40E55" w:rsidRPr="007A3223" w:rsidRDefault="00A40E55" w:rsidP="008E39C1">
      <w:pPr>
        <w:widowControl w:val="0"/>
        <w:autoSpaceDE w:val="0"/>
        <w:autoSpaceDN w:val="0"/>
        <w:adjustRightInd w:val="0"/>
        <w:spacing w:after="0"/>
        <w:rPr>
          <w:sz w:val="20"/>
          <w:szCs w:val="20"/>
        </w:rPr>
      </w:pPr>
    </w:p>
    <w:p w14:paraId="4DF29ECE" w14:textId="77777777" w:rsidR="00A40E55" w:rsidRPr="007A3223" w:rsidRDefault="00A40E55" w:rsidP="008E39C1">
      <w:pPr>
        <w:widowControl w:val="0"/>
        <w:autoSpaceDE w:val="0"/>
        <w:autoSpaceDN w:val="0"/>
        <w:adjustRightInd w:val="0"/>
        <w:spacing w:after="0"/>
        <w:rPr>
          <w:sz w:val="20"/>
          <w:szCs w:val="20"/>
        </w:rPr>
      </w:pPr>
    </w:p>
    <w:p w14:paraId="6FC31635" w14:textId="77777777" w:rsidR="00832A97" w:rsidRPr="007A3223" w:rsidRDefault="00832A97" w:rsidP="00EA69AB"/>
    <w:p w14:paraId="2A37D323" w14:textId="77777777" w:rsidR="00A9139C" w:rsidRPr="007A3223" w:rsidRDefault="00A9139C" w:rsidP="00A00EE9"/>
    <w:p w14:paraId="3AAB9E23" w14:textId="77777777" w:rsidR="00A9139C" w:rsidRPr="007A3223" w:rsidRDefault="00A9139C" w:rsidP="00A00EE9"/>
    <w:p w14:paraId="64DE75EF" w14:textId="77777777" w:rsidR="00A9139C" w:rsidRPr="007A3223" w:rsidRDefault="00A17942" w:rsidP="00A00EE9">
      <w:r w:rsidRPr="007A3223">
        <w:br w:type="page"/>
      </w:r>
    </w:p>
    <w:p w14:paraId="455F4E21" w14:textId="406A260C" w:rsidR="00A40E55" w:rsidRPr="007A3223" w:rsidRDefault="00684A9B" w:rsidP="00D94614">
      <w:pPr>
        <w:pStyle w:val="Heading2"/>
      </w:pPr>
      <w:bookmarkStart w:id="592" w:name="_Ref408930860"/>
      <w:bookmarkStart w:id="593" w:name="_Ref3299321"/>
      <w:bookmarkStart w:id="594" w:name="_Toc82444430"/>
      <w:r w:rsidRPr="007A3223">
        <w:lastRenderedPageBreak/>
        <w:t xml:space="preserve">Appendix </w:t>
      </w:r>
      <w:bookmarkEnd w:id="592"/>
      <w:r w:rsidR="00043472" w:rsidRPr="00F33908">
        <w:fldChar w:fldCharType="begin"/>
      </w:r>
      <w:r w:rsidR="00043472" w:rsidRPr="007A3223">
        <w:instrText xml:space="preserve"> SEQ Appendix \* ALPHABETIC </w:instrText>
      </w:r>
      <w:r w:rsidR="00043472" w:rsidRPr="00F33908">
        <w:fldChar w:fldCharType="separate"/>
      </w:r>
      <w:r w:rsidR="00E47ACA">
        <w:rPr>
          <w:noProof/>
        </w:rPr>
        <w:t>G</w:t>
      </w:r>
      <w:r w:rsidR="00043472" w:rsidRPr="00F33908">
        <w:fldChar w:fldCharType="end"/>
      </w:r>
      <w:bookmarkEnd w:id="593"/>
      <w:r w:rsidR="001315B8">
        <w:rPr>
          <w:lang w:val="en-US"/>
        </w:rPr>
        <w:t>:</w:t>
      </w:r>
      <w:r w:rsidR="00832A97" w:rsidRPr="007A3223">
        <w:t xml:space="preserve"> </w:t>
      </w:r>
      <w:r w:rsidRPr="00F33908">
        <w:rPr>
          <w:rFonts w:hint="eastAsia"/>
        </w:rPr>
        <w:t>Lee</w:t>
      </w:r>
      <w:r w:rsidRPr="007A3223">
        <w:t xml:space="preserve"> Laboratory Standard Operating Procedure-Tissue Core Collection</w:t>
      </w:r>
      <w:bookmarkEnd w:id="594"/>
    </w:p>
    <w:p w14:paraId="74452EF0" w14:textId="77777777" w:rsidR="00A40E55" w:rsidRPr="007A3223" w:rsidRDefault="00A40E55" w:rsidP="00A40E55">
      <w:pPr>
        <w:widowControl w:val="0"/>
        <w:autoSpaceDE w:val="0"/>
        <w:autoSpaceDN w:val="0"/>
        <w:adjustRightInd w:val="0"/>
        <w:spacing w:after="0"/>
        <w:rPr>
          <w:b/>
          <w:szCs w:val="24"/>
        </w:rPr>
      </w:pPr>
      <w:r w:rsidRPr="007A3223">
        <w:rPr>
          <w:b/>
          <w:szCs w:val="24"/>
        </w:rPr>
        <w:t>Needle Biopsy–Cryopreservation in OCT</w:t>
      </w:r>
    </w:p>
    <w:p w14:paraId="1D269D0F" w14:textId="77777777" w:rsidR="00A40E55" w:rsidRPr="007A3223" w:rsidRDefault="00A40E55" w:rsidP="00A40E55">
      <w:pPr>
        <w:widowControl w:val="0"/>
        <w:autoSpaceDE w:val="0"/>
        <w:autoSpaceDN w:val="0"/>
        <w:adjustRightInd w:val="0"/>
        <w:spacing w:after="0"/>
        <w:rPr>
          <w:szCs w:val="24"/>
        </w:rPr>
      </w:pPr>
    </w:p>
    <w:p w14:paraId="6D640344" w14:textId="77777777" w:rsidR="00A40E55" w:rsidRPr="007A3223" w:rsidRDefault="00A40E55" w:rsidP="00A40E55">
      <w:pPr>
        <w:widowControl w:val="0"/>
        <w:autoSpaceDE w:val="0"/>
        <w:autoSpaceDN w:val="0"/>
        <w:adjustRightInd w:val="0"/>
        <w:spacing w:after="0"/>
        <w:rPr>
          <w:b/>
          <w:szCs w:val="24"/>
        </w:rPr>
      </w:pPr>
      <w:r w:rsidRPr="007A3223">
        <w:rPr>
          <w:b/>
          <w:szCs w:val="24"/>
        </w:rPr>
        <w:t>Principle:</w:t>
      </w:r>
    </w:p>
    <w:p w14:paraId="30DE3819" w14:textId="77777777" w:rsidR="00A40E55" w:rsidRPr="007A3223" w:rsidRDefault="00A40E55" w:rsidP="00A40E55">
      <w:pPr>
        <w:widowControl w:val="0"/>
        <w:autoSpaceDE w:val="0"/>
        <w:autoSpaceDN w:val="0"/>
        <w:adjustRightInd w:val="0"/>
        <w:spacing w:after="0"/>
        <w:rPr>
          <w:szCs w:val="24"/>
        </w:rPr>
      </w:pPr>
      <w:r w:rsidRPr="007A3223">
        <w:rPr>
          <w:szCs w:val="24"/>
        </w:rPr>
        <w:t>Core needle biopsies are used to sample tissue from a specific, defined location. These biopsies</w:t>
      </w:r>
    </w:p>
    <w:p w14:paraId="581ADC3D" w14:textId="77777777" w:rsidR="00A40E55" w:rsidRPr="007A3223" w:rsidRDefault="00A40E55" w:rsidP="00A40E55">
      <w:pPr>
        <w:widowControl w:val="0"/>
        <w:autoSpaceDE w:val="0"/>
        <w:autoSpaceDN w:val="0"/>
        <w:adjustRightInd w:val="0"/>
        <w:spacing w:after="0"/>
        <w:rPr>
          <w:szCs w:val="24"/>
        </w:rPr>
      </w:pPr>
      <w:r w:rsidRPr="007A3223">
        <w:rPr>
          <w:szCs w:val="24"/>
        </w:rPr>
        <w:t>may consist of normal, pre-malignant and malignant tissue due to the multi-level tissue sample</w:t>
      </w:r>
    </w:p>
    <w:p w14:paraId="1980031A" w14:textId="77777777" w:rsidR="00A40E55" w:rsidRPr="007A3223" w:rsidRDefault="00A40E55" w:rsidP="00A40E55">
      <w:pPr>
        <w:widowControl w:val="0"/>
        <w:autoSpaceDE w:val="0"/>
        <w:autoSpaceDN w:val="0"/>
        <w:adjustRightInd w:val="0"/>
        <w:spacing w:after="0"/>
        <w:rPr>
          <w:szCs w:val="24"/>
        </w:rPr>
      </w:pPr>
      <w:r w:rsidRPr="007A3223">
        <w:rPr>
          <w:szCs w:val="24"/>
        </w:rPr>
        <w:t>that is obtained. This type of sample is ideal for studying the micro-tumor environment.</w:t>
      </w:r>
    </w:p>
    <w:p w14:paraId="5F03C859" w14:textId="77777777" w:rsidR="00A40E55" w:rsidRPr="007A3223" w:rsidRDefault="00A40E55" w:rsidP="00A40E55">
      <w:pPr>
        <w:widowControl w:val="0"/>
        <w:autoSpaceDE w:val="0"/>
        <w:autoSpaceDN w:val="0"/>
        <w:adjustRightInd w:val="0"/>
        <w:spacing w:after="0"/>
        <w:rPr>
          <w:szCs w:val="24"/>
        </w:rPr>
      </w:pPr>
      <w:r w:rsidRPr="007A3223">
        <w:rPr>
          <w:szCs w:val="24"/>
        </w:rPr>
        <w:t>Rapid freezing of the sample is required to prevent degradation of the proteins or RNA. Optimal</w:t>
      </w:r>
    </w:p>
    <w:p w14:paraId="2F29D83F" w14:textId="77777777" w:rsidR="00A40E55" w:rsidRPr="007A3223" w:rsidRDefault="00A40E55" w:rsidP="00A40E55">
      <w:pPr>
        <w:widowControl w:val="0"/>
        <w:autoSpaceDE w:val="0"/>
        <w:autoSpaceDN w:val="0"/>
        <w:adjustRightInd w:val="0"/>
        <w:spacing w:after="0"/>
        <w:rPr>
          <w:szCs w:val="24"/>
        </w:rPr>
      </w:pPr>
      <w:r w:rsidRPr="007A3223">
        <w:rPr>
          <w:szCs w:val="24"/>
        </w:rPr>
        <w:t>Cutting Temperature (OCT) compound is an alcohol polymer that is liquid at room temperature</w:t>
      </w:r>
    </w:p>
    <w:p w14:paraId="7359C186" w14:textId="77777777" w:rsidR="00A40E55" w:rsidRPr="007A3223" w:rsidRDefault="00A40E55" w:rsidP="00A40E55">
      <w:pPr>
        <w:widowControl w:val="0"/>
        <w:autoSpaceDE w:val="0"/>
        <w:autoSpaceDN w:val="0"/>
        <w:adjustRightInd w:val="0"/>
        <w:spacing w:after="0"/>
        <w:rPr>
          <w:szCs w:val="24"/>
        </w:rPr>
      </w:pPr>
      <w:r w:rsidRPr="007A3223">
        <w:rPr>
          <w:szCs w:val="24"/>
        </w:rPr>
        <w:t>and a solid at–20 degrees C. This polymer is used to cryo-protect the tissue and provide a medium for cryo-sectioning.</w:t>
      </w:r>
    </w:p>
    <w:p w14:paraId="55622D4F" w14:textId="77777777" w:rsidR="00A40E55" w:rsidRPr="007A3223" w:rsidRDefault="00A40E55" w:rsidP="00A40E55">
      <w:pPr>
        <w:widowControl w:val="0"/>
        <w:autoSpaceDE w:val="0"/>
        <w:autoSpaceDN w:val="0"/>
        <w:adjustRightInd w:val="0"/>
        <w:spacing w:after="0"/>
        <w:rPr>
          <w:szCs w:val="24"/>
        </w:rPr>
      </w:pPr>
    </w:p>
    <w:p w14:paraId="327124D0" w14:textId="77777777" w:rsidR="00A40E55" w:rsidRPr="007A3223" w:rsidRDefault="00A40E55" w:rsidP="00A40E55">
      <w:pPr>
        <w:widowControl w:val="0"/>
        <w:autoSpaceDE w:val="0"/>
        <w:autoSpaceDN w:val="0"/>
        <w:adjustRightInd w:val="0"/>
        <w:spacing w:after="0"/>
        <w:rPr>
          <w:b/>
          <w:szCs w:val="24"/>
        </w:rPr>
      </w:pPr>
      <w:r w:rsidRPr="007A3223">
        <w:rPr>
          <w:b/>
          <w:szCs w:val="24"/>
        </w:rPr>
        <w:t>Materials:</w:t>
      </w:r>
    </w:p>
    <w:p w14:paraId="399E15BB" w14:textId="77777777" w:rsidR="00A40E55" w:rsidRPr="007A3223" w:rsidRDefault="00A40E55" w:rsidP="00A40E55">
      <w:pPr>
        <w:widowControl w:val="0"/>
        <w:autoSpaceDE w:val="0"/>
        <w:autoSpaceDN w:val="0"/>
        <w:adjustRightInd w:val="0"/>
        <w:spacing w:after="0"/>
        <w:rPr>
          <w:szCs w:val="24"/>
        </w:rPr>
      </w:pPr>
      <w:r w:rsidRPr="007A3223">
        <w:rPr>
          <w:szCs w:val="24"/>
        </w:rPr>
        <w:t>Cryomolds (Sakura Finetek Ca.t # 4728)</w:t>
      </w:r>
    </w:p>
    <w:p w14:paraId="00B47C6E" w14:textId="77777777" w:rsidR="00A40E55" w:rsidRPr="007A3223" w:rsidRDefault="00A40E55" w:rsidP="00A40E55">
      <w:pPr>
        <w:widowControl w:val="0"/>
        <w:autoSpaceDE w:val="0"/>
        <w:autoSpaceDN w:val="0"/>
        <w:adjustRightInd w:val="0"/>
        <w:spacing w:after="0"/>
        <w:rPr>
          <w:szCs w:val="24"/>
        </w:rPr>
      </w:pPr>
      <w:r w:rsidRPr="007A3223">
        <w:rPr>
          <w:szCs w:val="24"/>
        </w:rPr>
        <w:t>OCT (Sakura Finetek Cat. # 4583)</w:t>
      </w:r>
    </w:p>
    <w:p w14:paraId="2716451B" w14:textId="77777777" w:rsidR="00A40E55" w:rsidRPr="007A3223" w:rsidRDefault="00A40E55" w:rsidP="00A40E55">
      <w:pPr>
        <w:widowControl w:val="0"/>
        <w:autoSpaceDE w:val="0"/>
        <w:autoSpaceDN w:val="0"/>
        <w:adjustRightInd w:val="0"/>
        <w:spacing w:after="0"/>
        <w:rPr>
          <w:szCs w:val="24"/>
        </w:rPr>
      </w:pPr>
      <w:r w:rsidRPr="007A3223">
        <w:rPr>
          <w:szCs w:val="24"/>
        </w:rPr>
        <w:t>Dry ice</w:t>
      </w:r>
    </w:p>
    <w:p w14:paraId="1C65D8AE" w14:textId="77777777" w:rsidR="00A40E55" w:rsidRPr="007A3223" w:rsidRDefault="00A40E55" w:rsidP="00A40E55">
      <w:pPr>
        <w:widowControl w:val="0"/>
        <w:autoSpaceDE w:val="0"/>
        <w:autoSpaceDN w:val="0"/>
        <w:adjustRightInd w:val="0"/>
        <w:spacing w:after="0"/>
        <w:rPr>
          <w:szCs w:val="24"/>
        </w:rPr>
      </w:pPr>
      <w:r w:rsidRPr="007A3223">
        <w:rPr>
          <w:szCs w:val="24"/>
        </w:rPr>
        <w:t>Ultra cold freezer (-700 to -800C)</w:t>
      </w:r>
    </w:p>
    <w:p w14:paraId="0A364F36" w14:textId="77777777" w:rsidR="00A40E55" w:rsidRPr="007A3223" w:rsidRDefault="00A40E55" w:rsidP="00A40E55">
      <w:pPr>
        <w:widowControl w:val="0"/>
        <w:autoSpaceDE w:val="0"/>
        <w:autoSpaceDN w:val="0"/>
        <w:adjustRightInd w:val="0"/>
        <w:spacing w:after="0"/>
        <w:rPr>
          <w:szCs w:val="24"/>
        </w:rPr>
      </w:pPr>
      <w:r w:rsidRPr="007A3223">
        <w:rPr>
          <w:szCs w:val="24"/>
        </w:rPr>
        <w:t>Needle: 16 or 18 gauge</w:t>
      </w:r>
    </w:p>
    <w:p w14:paraId="60898B17" w14:textId="77777777" w:rsidR="00A40E55" w:rsidRPr="007A3223" w:rsidRDefault="00A40E55" w:rsidP="00A40E55">
      <w:pPr>
        <w:widowControl w:val="0"/>
        <w:autoSpaceDE w:val="0"/>
        <w:autoSpaceDN w:val="0"/>
        <w:adjustRightInd w:val="0"/>
        <w:spacing w:after="0"/>
        <w:rPr>
          <w:szCs w:val="24"/>
        </w:rPr>
      </w:pPr>
      <w:r w:rsidRPr="007A3223">
        <w:rPr>
          <w:szCs w:val="24"/>
        </w:rPr>
        <w:t>Permanent marker</w:t>
      </w:r>
    </w:p>
    <w:p w14:paraId="17A9E9F5" w14:textId="77777777" w:rsidR="00A40E55" w:rsidRPr="007A3223" w:rsidRDefault="00A40E55" w:rsidP="00A40E55">
      <w:pPr>
        <w:widowControl w:val="0"/>
        <w:autoSpaceDE w:val="0"/>
        <w:autoSpaceDN w:val="0"/>
        <w:adjustRightInd w:val="0"/>
        <w:spacing w:after="0"/>
        <w:rPr>
          <w:szCs w:val="24"/>
        </w:rPr>
      </w:pPr>
      <w:r w:rsidRPr="007A3223">
        <w:rPr>
          <w:szCs w:val="24"/>
        </w:rPr>
        <w:t>Sterile forceps</w:t>
      </w:r>
    </w:p>
    <w:p w14:paraId="6C8109B5" w14:textId="77777777" w:rsidR="00A40E55" w:rsidRPr="007A3223" w:rsidRDefault="00A40E55" w:rsidP="00A40E55">
      <w:pPr>
        <w:widowControl w:val="0"/>
        <w:autoSpaceDE w:val="0"/>
        <w:autoSpaceDN w:val="0"/>
        <w:adjustRightInd w:val="0"/>
        <w:spacing w:after="0"/>
        <w:rPr>
          <w:szCs w:val="24"/>
        </w:rPr>
      </w:pPr>
      <w:r w:rsidRPr="007A3223">
        <w:rPr>
          <w:szCs w:val="24"/>
        </w:rPr>
        <w:t>Sterile Glass slides</w:t>
      </w:r>
    </w:p>
    <w:p w14:paraId="2D5E5D51" w14:textId="77777777" w:rsidR="00A40E55" w:rsidRPr="007A3223" w:rsidRDefault="00A40E55" w:rsidP="00A40E55">
      <w:pPr>
        <w:widowControl w:val="0"/>
        <w:autoSpaceDE w:val="0"/>
        <w:autoSpaceDN w:val="0"/>
        <w:adjustRightInd w:val="0"/>
        <w:spacing w:after="0"/>
        <w:rPr>
          <w:szCs w:val="24"/>
        </w:rPr>
      </w:pPr>
      <w:r w:rsidRPr="007A3223">
        <w:rPr>
          <w:szCs w:val="24"/>
        </w:rPr>
        <w:t>Aluminum foil or 50ml Falcon tubes</w:t>
      </w:r>
    </w:p>
    <w:p w14:paraId="182EA9F2" w14:textId="77777777" w:rsidR="00A40E55" w:rsidRPr="007A3223" w:rsidRDefault="00A40E55" w:rsidP="00A40E55">
      <w:pPr>
        <w:widowControl w:val="0"/>
        <w:autoSpaceDE w:val="0"/>
        <w:autoSpaceDN w:val="0"/>
        <w:adjustRightInd w:val="0"/>
        <w:spacing w:after="0"/>
        <w:rPr>
          <w:szCs w:val="24"/>
        </w:rPr>
      </w:pPr>
    </w:p>
    <w:p w14:paraId="513A6142" w14:textId="77777777" w:rsidR="00A40E55" w:rsidRPr="007A3223" w:rsidRDefault="00A40E55" w:rsidP="00A40E55">
      <w:pPr>
        <w:widowControl w:val="0"/>
        <w:autoSpaceDE w:val="0"/>
        <w:autoSpaceDN w:val="0"/>
        <w:adjustRightInd w:val="0"/>
        <w:spacing w:after="0"/>
        <w:rPr>
          <w:b/>
          <w:szCs w:val="24"/>
        </w:rPr>
      </w:pPr>
      <w:r w:rsidRPr="007A3223">
        <w:rPr>
          <w:b/>
          <w:szCs w:val="24"/>
        </w:rPr>
        <w:t>Procedure:</w:t>
      </w:r>
    </w:p>
    <w:p w14:paraId="47B21198" w14:textId="77777777" w:rsidR="00A40E55" w:rsidRPr="007A3223" w:rsidRDefault="00A40E55" w:rsidP="00A40E55">
      <w:pPr>
        <w:widowControl w:val="0"/>
        <w:autoSpaceDE w:val="0"/>
        <w:autoSpaceDN w:val="0"/>
        <w:adjustRightInd w:val="0"/>
        <w:spacing w:after="0"/>
        <w:rPr>
          <w:szCs w:val="24"/>
        </w:rPr>
      </w:pPr>
      <w:r w:rsidRPr="007A3223">
        <w:rPr>
          <w:szCs w:val="24"/>
        </w:rPr>
        <w:t>1. Prepare all supplies prior to the biopsy procedure to avoid delay once the specimen has been</w:t>
      </w:r>
    </w:p>
    <w:p w14:paraId="1559CE49" w14:textId="77777777" w:rsidR="00A40E55" w:rsidRPr="007A3223" w:rsidRDefault="00A40E55" w:rsidP="00A40E55">
      <w:pPr>
        <w:widowControl w:val="0"/>
        <w:autoSpaceDE w:val="0"/>
        <w:autoSpaceDN w:val="0"/>
        <w:adjustRightInd w:val="0"/>
        <w:spacing w:after="0"/>
        <w:rPr>
          <w:szCs w:val="24"/>
        </w:rPr>
      </w:pPr>
      <w:r w:rsidRPr="007A3223">
        <w:rPr>
          <w:szCs w:val="24"/>
        </w:rPr>
        <w:t>obtained.</w:t>
      </w:r>
    </w:p>
    <w:p w14:paraId="314B86BC" w14:textId="77777777" w:rsidR="00A40E55" w:rsidRPr="007A3223" w:rsidRDefault="00A40E55" w:rsidP="00A40E55">
      <w:pPr>
        <w:widowControl w:val="0"/>
        <w:autoSpaceDE w:val="0"/>
        <w:autoSpaceDN w:val="0"/>
        <w:adjustRightInd w:val="0"/>
        <w:spacing w:after="0"/>
        <w:rPr>
          <w:szCs w:val="24"/>
        </w:rPr>
      </w:pPr>
      <w:r w:rsidRPr="007A3223">
        <w:rPr>
          <w:szCs w:val="24"/>
        </w:rPr>
        <w:t>2. Label the handle and the front surface of the cryo mold with the sample or patient’s identifying information.</w:t>
      </w:r>
    </w:p>
    <w:p w14:paraId="397CA753" w14:textId="77777777" w:rsidR="00A40E55" w:rsidRPr="007A3223" w:rsidRDefault="00A40E55" w:rsidP="00A40E55">
      <w:pPr>
        <w:widowControl w:val="0"/>
        <w:autoSpaceDE w:val="0"/>
        <w:autoSpaceDN w:val="0"/>
        <w:adjustRightInd w:val="0"/>
        <w:spacing w:after="0"/>
        <w:rPr>
          <w:szCs w:val="24"/>
        </w:rPr>
      </w:pPr>
      <w:r w:rsidRPr="007A3223">
        <w:rPr>
          <w:szCs w:val="24"/>
        </w:rPr>
        <w:t>3. Perform core needle biopsy.</w:t>
      </w:r>
    </w:p>
    <w:p w14:paraId="7E2BEA7F" w14:textId="77777777" w:rsidR="00A40E55" w:rsidRPr="007A3223" w:rsidRDefault="00A40E55" w:rsidP="00A40E55">
      <w:pPr>
        <w:widowControl w:val="0"/>
        <w:autoSpaceDE w:val="0"/>
        <w:autoSpaceDN w:val="0"/>
        <w:adjustRightInd w:val="0"/>
        <w:spacing w:after="0"/>
        <w:rPr>
          <w:szCs w:val="24"/>
        </w:rPr>
      </w:pPr>
      <w:r w:rsidRPr="007A3223">
        <w:rPr>
          <w:szCs w:val="24"/>
        </w:rPr>
        <w:t>4. Pick the core from the biopsy needle onto a sterile glass slide.</w:t>
      </w:r>
    </w:p>
    <w:p w14:paraId="75D0180C" w14:textId="77777777" w:rsidR="00A40E55" w:rsidRPr="007A3223" w:rsidRDefault="00A40E55" w:rsidP="00A40E55">
      <w:pPr>
        <w:widowControl w:val="0"/>
        <w:autoSpaceDE w:val="0"/>
        <w:autoSpaceDN w:val="0"/>
        <w:adjustRightInd w:val="0"/>
        <w:spacing w:after="0"/>
        <w:rPr>
          <w:szCs w:val="24"/>
        </w:rPr>
      </w:pPr>
      <w:r w:rsidRPr="007A3223">
        <w:rPr>
          <w:szCs w:val="24"/>
        </w:rPr>
        <w:t>5. Fill cryomold about 1/3 full with OCT. Place the cryomold in dry ice to partially freeze the</w:t>
      </w:r>
    </w:p>
    <w:p w14:paraId="4B3785C3" w14:textId="77777777" w:rsidR="00A40E55" w:rsidRPr="007A3223" w:rsidRDefault="00A40E55" w:rsidP="00A40E55">
      <w:pPr>
        <w:widowControl w:val="0"/>
        <w:autoSpaceDE w:val="0"/>
        <w:autoSpaceDN w:val="0"/>
        <w:adjustRightInd w:val="0"/>
        <w:spacing w:after="0"/>
        <w:rPr>
          <w:szCs w:val="24"/>
        </w:rPr>
      </w:pPr>
      <w:r w:rsidRPr="007A3223">
        <w:rPr>
          <w:szCs w:val="24"/>
        </w:rPr>
        <w:t>OCT. The OCT should be jelly-like, not completely frozen.</w:t>
      </w:r>
    </w:p>
    <w:p w14:paraId="2C1357FE" w14:textId="77777777" w:rsidR="00A40E55" w:rsidRPr="007A3223" w:rsidRDefault="00A40E55" w:rsidP="00A40E55">
      <w:pPr>
        <w:widowControl w:val="0"/>
        <w:autoSpaceDE w:val="0"/>
        <w:autoSpaceDN w:val="0"/>
        <w:adjustRightInd w:val="0"/>
        <w:spacing w:after="0"/>
        <w:rPr>
          <w:szCs w:val="24"/>
        </w:rPr>
      </w:pPr>
      <w:r w:rsidRPr="007A3223">
        <w:rPr>
          <w:szCs w:val="24"/>
        </w:rPr>
        <w:lastRenderedPageBreak/>
        <w:t>6. Carefully lift the core biopsy by both ends with sterile forceps.</w:t>
      </w:r>
    </w:p>
    <w:p w14:paraId="7D23700E" w14:textId="77777777" w:rsidR="00A40E55" w:rsidRPr="007A3223" w:rsidRDefault="00A40E55" w:rsidP="00A40E55">
      <w:pPr>
        <w:widowControl w:val="0"/>
        <w:autoSpaceDE w:val="0"/>
        <w:autoSpaceDN w:val="0"/>
        <w:adjustRightInd w:val="0"/>
        <w:spacing w:after="0"/>
        <w:rPr>
          <w:szCs w:val="24"/>
        </w:rPr>
      </w:pPr>
      <w:r w:rsidRPr="007A3223">
        <w:rPr>
          <w:szCs w:val="24"/>
        </w:rPr>
        <w:t>Do not stretch the biopsy or it will break.</w:t>
      </w:r>
    </w:p>
    <w:p w14:paraId="538EBF8C" w14:textId="77777777" w:rsidR="00A40E55" w:rsidRPr="007A3223" w:rsidRDefault="00A40E55" w:rsidP="00A40E55">
      <w:pPr>
        <w:widowControl w:val="0"/>
        <w:autoSpaceDE w:val="0"/>
        <w:autoSpaceDN w:val="0"/>
        <w:adjustRightInd w:val="0"/>
        <w:spacing w:after="0"/>
        <w:rPr>
          <w:szCs w:val="24"/>
        </w:rPr>
      </w:pPr>
      <w:r w:rsidRPr="007A3223">
        <w:rPr>
          <w:szCs w:val="24"/>
        </w:rPr>
        <w:t>7. Lay the biopsy as straight as possible in the OCT. Once the sample touches the OCT, you</w:t>
      </w:r>
    </w:p>
    <w:p w14:paraId="26573E72" w14:textId="77777777" w:rsidR="00A40E55" w:rsidRPr="007A3223" w:rsidRDefault="00A40E55" w:rsidP="00A40E55">
      <w:pPr>
        <w:widowControl w:val="0"/>
        <w:autoSpaceDE w:val="0"/>
        <w:autoSpaceDN w:val="0"/>
        <w:adjustRightInd w:val="0"/>
        <w:spacing w:after="0"/>
        <w:rPr>
          <w:szCs w:val="24"/>
        </w:rPr>
      </w:pPr>
      <w:r w:rsidRPr="007A3223">
        <w:rPr>
          <w:szCs w:val="24"/>
        </w:rPr>
        <w:t>cannot reposition it or the sample will break apart.</w:t>
      </w:r>
    </w:p>
    <w:p w14:paraId="7C03540E" w14:textId="77777777" w:rsidR="00A40E55" w:rsidRPr="007A3223" w:rsidRDefault="00A40E55" w:rsidP="00A40E55">
      <w:pPr>
        <w:widowControl w:val="0"/>
        <w:autoSpaceDE w:val="0"/>
        <w:autoSpaceDN w:val="0"/>
        <w:adjustRightInd w:val="0"/>
        <w:spacing w:after="0"/>
        <w:rPr>
          <w:szCs w:val="24"/>
        </w:rPr>
      </w:pPr>
      <w:r w:rsidRPr="007A3223">
        <w:rPr>
          <w:szCs w:val="24"/>
        </w:rPr>
        <w:t>8. Quickly add OCT on top of the biopsy, completely covering the sample.</w:t>
      </w:r>
    </w:p>
    <w:p w14:paraId="26BCA994" w14:textId="77777777" w:rsidR="00A40E55" w:rsidRPr="007A3223" w:rsidRDefault="00A40E55" w:rsidP="00A40E55">
      <w:pPr>
        <w:widowControl w:val="0"/>
        <w:autoSpaceDE w:val="0"/>
        <w:autoSpaceDN w:val="0"/>
        <w:adjustRightInd w:val="0"/>
        <w:spacing w:after="0"/>
        <w:rPr>
          <w:szCs w:val="24"/>
        </w:rPr>
      </w:pPr>
      <w:r w:rsidRPr="007A3223">
        <w:rPr>
          <w:szCs w:val="24"/>
        </w:rPr>
        <w:t>9. Ensure the sample is level and freeze immediately in dry ice.</w:t>
      </w:r>
    </w:p>
    <w:p w14:paraId="2EC25C6C" w14:textId="77777777" w:rsidR="00A40E55" w:rsidRPr="007A3223" w:rsidRDefault="00A40E55" w:rsidP="00A40E55">
      <w:pPr>
        <w:widowControl w:val="0"/>
        <w:autoSpaceDE w:val="0"/>
        <w:autoSpaceDN w:val="0"/>
        <w:adjustRightInd w:val="0"/>
        <w:spacing w:after="0"/>
        <w:rPr>
          <w:szCs w:val="24"/>
        </w:rPr>
      </w:pPr>
      <w:r w:rsidRPr="007A3223">
        <w:rPr>
          <w:szCs w:val="24"/>
        </w:rPr>
        <w:t>10. Store wrapped in aluminum foil or in a 50ml Falcon tube at 70 degrees C.</w:t>
      </w:r>
    </w:p>
    <w:p w14:paraId="716063EA" w14:textId="77777777" w:rsidR="00A40E55" w:rsidRPr="007A3223" w:rsidRDefault="00A40E55" w:rsidP="00A40E55">
      <w:pPr>
        <w:widowControl w:val="0"/>
        <w:autoSpaceDE w:val="0"/>
        <w:autoSpaceDN w:val="0"/>
        <w:adjustRightInd w:val="0"/>
        <w:spacing w:after="0"/>
        <w:rPr>
          <w:szCs w:val="24"/>
        </w:rPr>
      </w:pPr>
    </w:p>
    <w:p w14:paraId="19E5E931" w14:textId="77777777" w:rsidR="00A40E55" w:rsidRPr="007A3223" w:rsidRDefault="00A40E55" w:rsidP="00A40E55">
      <w:pPr>
        <w:widowControl w:val="0"/>
        <w:autoSpaceDE w:val="0"/>
        <w:autoSpaceDN w:val="0"/>
        <w:adjustRightInd w:val="0"/>
        <w:spacing w:after="0"/>
        <w:rPr>
          <w:szCs w:val="24"/>
        </w:rPr>
      </w:pPr>
      <w:r w:rsidRPr="007A3223">
        <w:rPr>
          <w:szCs w:val="24"/>
        </w:rPr>
        <w:t>Note: Do not lay the biopsy on frozen OCT and cover it with liquid OCT. The OCT will not fuse and will split into two sections when cutting the frozen tissue sections.</w:t>
      </w:r>
    </w:p>
    <w:p w14:paraId="242FC6E8" w14:textId="77777777" w:rsidR="00A40E55" w:rsidRPr="007A3223" w:rsidRDefault="00A40E55" w:rsidP="00A40E55">
      <w:pPr>
        <w:widowControl w:val="0"/>
        <w:autoSpaceDE w:val="0"/>
        <w:autoSpaceDN w:val="0"/>
        <w:adjustRightInd w:val="0"/>
        <w:spacing w:after="0"/>
        <w:rPr>
          <w:szCs w:val="24"/>
        </w:rPr>
      </w:pPr>
    </w:p>
    <w:p w14:paraId="57EE7E68" w14:textId="77777777" w:rsidR="00A40E55" w:rsidRPr="007A3223" w:rsidRDefault="00A40E55" w:rsidP="00A40E55">
      <w:pPr>
        <w:widowControl w:val="0"/>
        <w:autoSpaceDE w:val="0"/>
        <w:autoSpaceDN w:val="0"/>
        <w:adjustRightInd w:val="0"/>
        <w:spacing w:after="0"/>
        <w:rPr>
          <w:b/>
          <w:szCs w:val="24"/>
        </w:rPr>
      </w:pPr>
      <w:r w:rsidRPr="007A3223">
        <w:rPr>
          <w:b/>
          <w:szCs w:val="24"/>
        </w:rPr>
        <w:t>Frozen Section Slides</w:t>
      </w:r>
      <w:r w:rsidR="00814AB8" w:rsidRPr="007A3223">
        <w:rPr>
          <w:b/>
          <w:szCs w:val="24"/>
        </w:rPr>
        <w:t>:</w:t>
      </w:r>
    </w:p>
    <w:p w14:paraId="73744A99" w14:textId="77777777" w:rsidR="00A40E55" w:rsidRPr="007A3223" w:rsidRDefault="00A40E55" w:rsidP="00A40E55">
      <w:pPr>
        <w:widowControl w:val="0"/>
        <w:autoSpaceDE w:val="0"/>
        <w:autoSpaceDN w:val="0"/>
        <w:adjustRightInd w:val="0"/>
        <w:spacing w:after="0"/>
        <w:rPr>
          <w:szCs w:val="24"/>
        </w:rPr>
      </w:pPr>
      <w:r w:rsidRPr="007A3223">
        <w:rPr>
          <w:szCs w:val="24"/>
        </w:rPr>
        <w:t>1. Frozen sections for proteomic analysis should be cut at 5</w:t>
      </w:r>
      <w:r w:rsidR="00814AB8" w:rsidRPr="007A3223">
        <w:rPr>
          <w:szCs w:val="24"/>
        </w:rPr>
        <w:t>-</w:t>
      </w:r>
      <w:r w:rsidRPr="007A3223">
        <w:rPr>
          <w:szCs w:val="24"/>
        </w:rPr>
        <w:t>8um on plain, uncoated glass</w:t>
      </w:r>
    </w:p>
    <w:p w14:paraId="4F5EC239" w14:textId="77777777" w:rsidR="00A40E55" w:rsidRPr="007A3223" w:rsidRDefault="00A40E55" w:rsidP="00A40E55">
      <w:pPr>
        <w:widowControl w:val="0"/>
        <w:autoSpaceDE w:val="0"/>
        <w:autoSpaceDN w:val="0"/>
        <w:adjustRightInd w:val="0"/>
        <w:spacing w:after="0"/>
        <w:rPr>
          <w:szCs w:val="24"/>
        </w:rPr>
      </w:pPr>
      <w:r w:rsidRPr="007A3223">
        <w:rPr>
          <w:szCs w:val="24"/>
        </w:rPr>
        <w:t>microscope slides.</w:t>
      </w:r>
    </w:p>
    <w:p w14:paraId="014DDB41" w14:textId="77777777" w:rsidR="00A40E55" w:rsidRPr="007A3223" w:rsidRDefault="00A40E55" w:rsidP="00A40E55">
      <w:pPr>
        <w:widowControl w:val="0"/>
        <w:autoSpaceDE w:val="0"/>
        <w:autoSpaceDN w:val="0"/>
        <w:adjustRightInd w:val="0"/>
        <w:spacing w:after="0"/>
        <w:rPr>
          <w:szCs w:val="24"/>
        </w:rPr>
      </w:pPr>
      <w:r w:rsidRPr="007A3223">
        <w:rPr>
          <w:szCs w:val="24"/>
        </w:rPr>
        <w:t>2. The tissue section should be placed as close as possible to the center of the slide. Do not place</w:t>
      </w:r>
    </w:p>
    <w:p w14:paraId="22E0F839" w14:textId="77777777" w:rsidR="00A40E55" w:rsidRPr="007A3223" w:rsidRDefault="00A40E55" w:rsidP="00A40E55">
      <w:pPr>
        <w:widowControl w:val="0"/>
        <w:autoSpaceDE w:val="0"/>
        <w:autoSpaceDN w:val="0"/>
        <w:adjustRightInd w:val="0"/>
        <w:spacing w:after="0"/>
        <w:rPr>
          <w:szCs w:val="24"/>
        </w:rPr>
      </w:pPr>
      <w:r w:rsidRPr="007A3223">
        <w:rPr>
          <w:szCs w:val="24"/>
        </w:rPr>
        <w:t>the frozen section at the end of the slide.</w:t>
      </w:r>
    </w:p>
    <w:p w14:paraId="2B9F719C" w14:textId="77777777" w:rsidR="00A40E55" w:rsidRPr="007A3223" w:rsidRDefault="00A40E55" w:rsidP="00A40E55">
      <w:pPr>
        <w:widowControl w:val="0"/>
        <w:autoSpaceDE w:val="0"/>
        <w:autoSpaceDN w:val="0"/>
        <w:adjustRightInd w:val="0"/>
        <w:spacing w:after="0"/>
        <w:rPr>
          <w:szCs w:val="24"/>
        </w:rPr>
      </w:pPr>
      <w:r w:rsidRPr="007A3223">
        <w:rPr>
          <w:szCs w:val="24"/>
        </w:rPr>
        <w:t>3. Two tissue sections from the same biopsy may be placed</w:t>
      </w:r>
      <w:r w:rsidR="00814AB8" w:rsidRPr="007A3223">
        <w:rPr>
          <w:szCs w:val="24"/>
        </w:rPr>
        <w:t xml:space="preserve"> on the same glass slide if spa</w:t>
      </w:r>
      <w:r w:rsidRPr="007A3223">
        <w:rPr>
          <w:szCs w:val="24"/>
        </w:rPr>
        <w:t>ce</w:t>
      </w:r>
    </w:p>
    <w:p w14:paraId="1ED636EB" w14:textId="77777777" w:rsidR="00A40E55" w:rsidRPr="007A3223" w:rsidRDefault="00A40E55" w:rsidP="00A40E55">
      <w:pPr>
        <w:widowControl w:val="0"/>
        <w:autoSpaceDE w:val="0"/>
        <w:autoSpaceDN w:val="0"/>
        <w:adjustRightInd w:val="0"/>
        <w:spacing w:after="0"/>
        <w:rPr>
          <w:szCs w:val="24"/>
        </w:rPr>
      </w:pPr>
      <w:r w:rsidRPr="007A3223">
        <w:rPr>
          <w:szCs w:val="24"/>
        </w:rPr>
        <w:t>permits.</w:t>
      </w:r>
    </w:p>
    <w:p w14:paraId="1B058AE9" w14:textId="77777777" w:rsidR="00A40E55" w:rsidRPr="007A3223" w:rsidRDefault="00A40E55" w:rsidP="00A40E55">
      <w:pPr>
        <w:widowControl w:val="0"/>
        <w:autoSpaceDE w:val="0"/>
        <w:autoSpaceDN w:val="0"/>
        <w:adjustRightInd w:val="0"/>
        <w:spacing w:after="0"/>
        <w:rPr>
          <w:szCs w:val="24"/>
        </w:rPr>
      </w:pPr>
      <w:r w:rsidRPr="007A3223">
        <w:rPr>
          <w:szCs w:val="24"/>
        </w:rPr>
        <w:t>4. Do not allow the tissue section to air on the slide. Freeze immediately on dry ice or at–</w:t>
      </w:r>
    </w:p>
    <w:p w14:paraId="3EAECAF3" w14:textId="77777777" w:rsidR="00A40E55" w:rsidRPr="007A3223" w:rsidRDefault="00A40E55" w:rsidP="00A40E55">
      <w:pPr>
        <w:widowControl w:val="0"/>
        <w:autoSpaceDE w:val="0"/>
        <w:autoSpaceDN w:val="0"/>
        <w:adjustRightInd w:val="0"/>
        <w:spacing w:after="0"/>
        <w:rPr>
          <w:szCs w:val="24"/>
        </w:rPr>
      </w:pPr>
      <w:r w:rsidRPr="007A3223">
        <w:rPr>
          <w:szCs w:val="24"/>
        </w:rPr>
        <w:t>80</w:t>
      </w:r>
      <w:r w:rsidR="00814AB8" w:rsidRPr="007A3223">
        <w:rPr>
          <w:szCs w:val="24"/>
        </w:rPr>
        <w:t xml:space="preserve"> degrees </w:t>
      </w:r>
      <w:r w:rsidRPr="007A3223">
        <w:rPr>
          <w:szCs w:val="24"/>
        </w:rPr>
        <w:t>C</w:t>
      </w:r>
      <w:r w:rsidR="008C39E3" w:rsidRPr="007A3223">
        <w:rPr>
          <w:szCs w:val="24"/>
        </w:rPr>
        <w:t>.</w:t>
      </w:r>
    </w:p>
    <w:p w14:paraId="52AC943F" w14:textId="77777777" w:rsidR="008C39E3" w:rsidRPr="007A3223" w:rsidRDefault="008C39E3" w:rsidP="00A40E55">
      <w:pPr>
        <w:widowControl w:val="0"/>
        <w:autoSpaceDE w:val="0"/>
        <w:autoSpaceDN w:val="0"/>
        <w:adjustRightInd w:val="0"/>
        <w:spacing w:after="0"/>
        <w:rPr>
          <w:szCs w:val="24"/>
        </w:rPr>
      </w:pPr>
    </w:p>
    <w:p w14:paraId="41C00D74" w14:textId="77777777" w:rsidR="008C39E3" w:rsidRPr="007A3223" w:rsidRDefault="008C39E3" w:rsidP="00A40E55">
      <w:pPr>
        <w:widowControl w:val="0"/>
        <w:autoSpaceDE w:val="0"/>
        <w:autoSpaceDN w:val="0"/>
        <w:adjustRightInd w:val="0"/>
        <w:spacing w:after="0"/>
        <w:rPr>
          <w:szCs w:val="24"/>
        </w:rPr>
      </w:pPr>
    </w:p>
    <w:p w14:paraId="7FD0E970" w14:textId="02F250EB" w:rsidR="00CF4992" w:rsidRPr="007A3223" w:rsidRDefault="00F5321D" w:rsidP="00D94614">
      <w:pPr>
        <w:pStyle w:val="Heading2"/>
      </w:pPr>
      <w:r w:rsidRPr="007A3223">
        <w:br w:type="page"/>
      </w:r>
      <w:bookmarkStart w:id="595" w:name="H"/>
      <w:bookmarkStart w:id="596" w:name="_Toc82444431"/>
      <w:r w:rsidR="00AC270B" w:rsidRPr="007A3223">
        <w:lastRenderedPageBreak/>
        <w:t xml:space="preserve">APPENDIX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H</w:t>
      </w:r>
      <w:r w:rsidR="00F82420" w:rsidRPr="00F33908">
        <w:rPr>
          <w:noProof/>
        </w:rPr>
        <w:fldChar w:fldCharType="end"/>
      </w:r>
      <w:bookmarkEnd w:id="595"/>
      <w:r w:rsidR="001315B8">
        <w:rPr>
          <w:lang w:val="en-US"/>
        </w:rPr>
        <w:t>:</w:t>
      </w:r>
      <w:r w:rsidR="00AC270B" w:rsidRPr="007A3223">
        <w:t xml:space="preserve"> </w:t>
      </w:r>
      <w:r w:rsidR="00DA6E73" w:rsidRPr="00F33908">
        <w:t xml:space="preserve">SOP </w:t>
      </w:r>
      <w:r w:rsidR="00DA6E73" w:rsidRPr="007A3223">
        <w:rPr>
          <w:rFonts w:asciiTheme="minorHAnsi" w:hAnsiTheme="minorHAnsi"/>
        </w:rPr>
        <w:t>FOR</w:t>
      </w:r>
      <w:r w:rsidR="00CF4992" w:rsidRPr="007A3223">
        <w:t xml:space="preserve"> preserving a needle biopsy tissue in formalin for paraffin embedding</w:t>
      </w:r>
      <w:bookmarkEnd w:id="596"/>
    </w:p>
    <w:p w14:paraId="0C9866C6" w14:textId="77777777" w:rsidR="00B0542F" w:rsidRPr="007A3223" w:rsidRDefault="00B0542F" w:rsidP="00A10AAE">
      <w:pPr>
        <w:spacing w:after="0"/>
      </w:pPr>
    </w:p>
    <w:p w14:paraId="4DAB81C9" w14:textId="77777777" w:rsidR="00CF4992" w:rsidRPr="007A3223" w:rsidRDefault="00CF4992" w:rsidP="00FB66BA">
      <w:pPr>
        <w:numPr>
          <w:ilvl w:val="0"/>
          <w:numId w:val="76"/>
        </w:numPr>
        <w:spacing w:after="0"/>
        <w:ind w:left="0"/>
        <w:rPr>
          <w:rFonts w:cs="Calibri"/>
          <w:szCs w:val="24"/>
        </w:rPr>
      </w:pPr>
      <w:r w:rsidRPr="007A3223">
        <w:rPr>
          <w:rFonts w:cs="Calibri"/>
          <w:szCs w:val="24"/>
        </w:rPr>
        <w:t>Prepare two or three Eppendorf tubes which contain 1 ml of 4% formalin and leave tubes at room temperature.</w:t>
      </w:r>
    </w:p>
    <w:p w14:paraId="479EDD47" w14:textId="77777777" w:rsidR="00B0542F" w:rsidRPr="007A3223" w:rsidRDefault="00B0542F" w:rsidP="00A10AAE">
      <w:pPr>
        <w:spacing w:after="0"/>
        <w:rPr>
          <w:rFonts w:cs="Calibri"/>
          <w:szCs w:val="24"/>
        </w:rPr>
      </w:pPr>
    </w:p>
    <w:p w14:paraId="349BBDCB" w14:textId="77777777" w:rsidR="00CF4992" w:rsidRPr="007A3223" w:rsidRDefault="00CF4992" w:rsidP="00FB66BA">
      <w:pPr>
        <w:numPr>
          <w:ilvl w:val="0"/>
          <w:numId w:val="76"/>
        </w:numPr>
        <w:spacing w:after="0"/>
        <w:ind w:left="0"/>
        <w:rPr>
          <w:rFonts w:cs="Calibri"/>
          <w:szCs w:val="24"/>
        </w:rPr>
      </w:pPr>
      <w:r w:rsidRPr="007A3223">
        <w:rPr>
          <w:rFonts w:cs="Calibri"/>
          <w:szCs w:val="24"/>
        </w:rPr>
        <w:t>Quickly make your way to Interventional Radiology (IR) on the 1</w:t>
      </w:r>
      <w:r w:rsidRPr="007A3223">
        <w:rPr>
          <w:rFonts w:cs="Calibri"/>
          <w:szCs w:val="24"/>
          <w:vertAlign w:val="superscript"/>
        </w:rPr>
        <w:t>st</w:t>
      </w:r>
      <w:r w:rsidRPr="007A3223">
        <w:rPr>
          <w:rFonts w:cs="Calibri"/>
          <w:szCs w:val="24"/>
        </w:rPr>
        <w:t xml:space="preserve"> floor.</w:t>
      </w:r>
    </w:p>
    <w:p w14:paraId="55CCD5C8" w14:textId="77777777" w:rsidR="00CF4992" w:rsidRPr="007A3223" w:rsidRDefault="00CF4992" w:rsidP="00A10AAE">
      <w:pPr>
        <w:pStyle w:val="ListParagraph"/>
        <w:ind w:left="0"/>
      </w:pPr>
      <w:r w:rsidRPr="007A3223">
        <w:t>Ask one of the techs or nurses where your patient is and prepare to receive the sample.</w:t>
      </w:r>
    </w:p>
    <w:p w14:paraId="2E324CF9" w14:textId="77777777" w:rsidR="00B0542F" w:rsidRPr="007A3223" w:rsidRDefault="00B0542F" w:rsidP="00A10AAE">
      <w:pPr>
        <w:pStyle w:val="ListParagraph"/>
        <w:ind w:left="0"/>
      </w:pPr>
    </w:p>
    <w:p w14:paraId="5ABFB4D6" w14:textId="77777777" w:rsidR="00CF4992" w:rsidRPr="007A3223" w:rsidRDefault="00CF4992" w:rsidP="00FB66BA">
      <w:pPr>
        <w:pStyle w:val="ListParagraph"/>
        <w:numPr>
          <w:ilvl w:val="0"/>
          <w:numId w:val="76"/>
        </w:numPr>
        <w:ind w:left="0"/>
      </w:pPr>
      <w:r w:rsidRPr="007A3223">
        <w:t>Lay a paper towel next to your bucket.</w:t>
      </w:r>
    </w:p>
    <w:p w14:paraId="0789616B" w14:textId="77777777" w:rsidR="00B0542F" w:rsidRPr="007A3223" w:rsidRDefault="00B0542F" w:rsidP="00A10AAE">
      <w:pPr>
        <w:pStyle w:val="ListParagraph"/>
        <w:ind w:left="0"/>
      </w:pPr>
    </w:p>
    <w:p w14:paraId="3C6AFA06" w14:textId="77777777" w:rsidR="00CF4992" w:rsidRPr="007A3223" w:rsidRDefault="00CF4992" w:rsidP="00FB66BA">
      <w:pPr>
        <w:pStyle w:val="ListParagraph"/>
        <w:numPr>
          <w:ilvl w:val="0"/>
          <w:numId w:val="76"/>
        </w:numPr>
        <w:ind w:left="0"/>
      </w:pPr>
      <w:r w:rsidRPr="007A3223">
        <w:t>Take out the forceps and rinse/dry them thoroughly before placing them on the paper towel.</w:t>
      </w:r>
    </w:p>
    <w:p w14:paraId="6F067BD6" w14:textId="77777777" w:rsidR="00B0542F" w:rsidRPr="007A3223" w:rsidRDefault="00B0542F" w:rsidP="00A10AAE">
      <w:pPr>
        <w:pStyle w:val="ListParagraph"/>
        <w:ind w:left="0"/>
      </w:pPr>
    </w:p>
    <w:p w14:paraId="66C9C1C4" w14:textId="77777777" w:rsidR="00CF4992" w:rsidRPr="007A3223" w:rsidRDefault="00CF4992" w:rsidP="00FB66BA">
      <w:pPr>
        <w:pStyle w:val="ListParagraph"/>
        <w:numPr>
          <w:ilvl w:val="0"/>
          <w:numId w:val="76"/>
        </w:numPr>
        <w:ind w:left="0"/>
      </w:pPr>
      <w:r w:rsidRPr="007A3223">
        <w:t>Put on a mask, hair net and gloves.</w:t>
      </w:r>
    </w:p>
    <w:p w14:paraId="651B7450" w14:textId="77777777" w:rsidR="00B0542F" w:rsidRPr="007A3223" w:rsidRDefault="00B0542F" w:rsidP="00A10AAE">
      <w:pPr>
        <w:pStyle w:val="ListParagraph"/>
        <w:ind w:left="0"/>
      </w:pPr>
    </w:p>
    <w:p w14:paraId="694A016B" w14:textId="77777777" w:rsidR="00CF4992" w:rsidRPr="007A3223" w:rsidRDefault="00CF4992" w:rsidP="00FB66BA">
      <w:pPr>
        <w:pStyle w:val="ListParagraph"/>
        <w:numPr>
          <w:ilvl w:val="0"/>
          <w:numId w:val="76"/>
        </w:numPr>
        <w:ind w:left="0"/>
      </w:pPr>
      <w:r w:rsidRPr="007A3223">
        <w:t xml:space="preserve">When the radiologist is ready, take the slide with the sample on it while being </w:t>
      </w:r>
      <w:r w:rsidRPr="007A3223">
        <w:rPr>
          <w:b/>
        </w:rPr>
        <w:t>CAREFUL NOT TO TOUCH THE DOCTOR’S GLOVE.</w:t>
      </w:r>
    </w:p>
    <w:p w14:paraId="57255656" w14:textId="77777777" w:rsidR="00CF4992" w:rsidRPr="007A3223" w:rsidRDefault="00CF4992" w:rsidP="00B0542F">
      <w:pPr>
        <w:pStyle w:val="ListParagraph"/>
        <w:ind w:left="0"/>
        <w:rPr>
          <w:rFonts w:ascii="Calibri" w:hAnsi="Calibri" w:cs="Calibri"/>
        </w:rPr>
      </w:pPr>
    </w:p>
    <w:p w14:paraId="4E6E13BB" w14:textId="77777777" w:rsidR="00CF4992" w:rsidRPr="007A3223" w:rsidRDefault="00CF4992" w:rsidP="00FB66BA">
      <w:pPr>
        <w:pStyle w:val="ListParagraph"/>
        <w:numPr>
          <w:ilvl w:val="0"/>
          <w:numId w:val="76"/>
        </w:numPr>
        <w:ind w:left="0"/>
      </w:pPr>
      <w:r w:rsidRPr="007A3223">
        <w:t xml:space="preserve">Use the forceps to gently pickup and place the sample in the Eppendorf tube. </w:t>
      </w:r>
    </w:p>
    <w:p w14:paraId="6FF7DBC0" w14:textId="77777777" w:rsidR="00CF4992" w:rsidRPr="007A3223" w:rsidRDefault="00CF4992" w:rsidP="00A10AAE">
      <w:pPr>
        <w:pStyle w:val="ListParagraph"/>
        <w:ind w:left="0"/>
      </w:pPr>
    </w:p>
    <w:p w14:paraId="12B64765" w14:textId="77777777" w:rsidR="00CF4992" w:rsidRPr="007A3223" w:rsidRDefault="00CF4992" w:rsidP="00FB66BA">
      <w:pPr>
        <w:pStyle w:val="ListParagraph"/>
        <w:numPr>
          <w:ilvl w:val="0"/>
          <w:numId w:val="76"/>
        </w:numPr>
        <w:ind w:left="0"/>
      </w:pPr>
      <w:r w:rsidRPr="007A3223">
        <w:t>Leave the Eppendorf tube at room temperature overnight.</w:t>
      </w:r>
    </w:p>
    <w:p w14:paraId="75DD9DDE" w14:textId="77777777" w:rsidR="00CF4992" w:rsidRPr="007A3223" w:rsidRDefault="00CF4992" w:rsidP="00A10AAE">
      <w:pPr>
        <w:pStyle w:val="ListParagraph"/>
        <w:ind w:left="0"/>
      </w:pPr>
    </w:p>
    <w:p w14:paraId="51FE45FC" w14:textId="77777777" w:rsidR="00CF4992" w:rsidRPr="007A3223" w:rsidRDefault="00CF4992" w:rsidP="00FB66BA">
      <w:pPr>
        <w:pStyle w:val="ListParagraph"/>
        <w:numPr>
          <w:ilvl w:val="0"/>
          <w:numId w:val="76"/>
        </w:numPr>
        <w:ind w:left="0"/>
      </w:pPr>
      <w:r w:rsidRPr="007A3223">
        <w:t xml:space="preserve">Next day carefully remove 4% formalin from the Eppendorf tube and replace 1 ml of 70% ethanol. Leave the tube at room temperature. </w:t>
      </w:r>
    </w:p>
    <w:p w14:paraId="22CFA399" w14:textId="77777777" w:rsidR="00CF4992" w:rsidRPr="007A3223" w:rsidRDefault="00CF4992" w:rsidP="00A10AAE">
      <w:pPr>
        <w:pStyle w:val="ListParagraph"/>
        <w:ind w:left="0"/>
        <w:rPr>
          <w:rFonts w:ascii="Calibri" w:hAnsi="Calibri" w:cs="Calibri"/>
        </w:rPr>
      </w:pPr>
    </w:p>
    <w:p w14:paraId="12C3F043" w14:textId="77777777" w:rsidR="00CF4992" w:rsidRPr="007A3223" w:rsidRDefault="00CF4992" w:rsidP="00FB66BA">
      <w:pPr>
        <w:pStyle w:val="ListParagraph"/>
        <w:numPr>
          <w:ilvl w:val="0"/>
          <w:numId w:val="76"/>
        </w:numPr>
        <w:ind w:left="0"/>
      </w:pPr>
      <w:r w:rsidRPr="007A3223">
        <w:t>Call AmericanHistolab (Tel: 301-330-1200) to pick up the sample.</w:t>
      </w:r>
    </w:p>
    <w:p w14:paraId="01E4FF5A" w14:textId="77777777" w:rsidR="00CF4992" w:rsidRPr="007A3223" w:rsidRDefault="00CF4992" w:rsidP="00A10AAE">
      <w:pPr>
        <w:pStyle w:val="ListParagraph"/>
        <w:ind w:left="0"/>
      </w:pPr>
    </w:p>
    <w:p w14:paraId="4924DE56" w14:textId="77777777" w:rsidR="00CF4992" w:rsidRPr="007A3223" w:rsidRDefault="00CF4992" w:rsidP="00FB66BA">
      <w:pPr>
        <w:pStyle w:val="ListParagraph"/>
        <w:numPr>
          <w:ilvl w:val="0"/>
          <w:numId w:val="76"/>
        </w:numPr>
        <w:ind w:left="0"/>
      </w:pPr>
      <w:r w:rsidRPr="007A3223">
        <w:t>Cost for paraffin embedding and H&amp;E staining: $7.95/block. Catalogue Number: 1001</w:t>
      </w:r>
    </w:p>
    <w:p w14:paraId="26725D64" w14:textId="77777777" w:rsidR="00CF4992" w:rsidRPr="007A3223" w:rsidRDefault="00CF4992" w:rsidP="00A10AAE">
      <w:pPr>
        <w:pStyle w:val="ListParagraph"/>
        <w:ind w:left="0"/>
      </w:pPr>
    </w:p>
    <w:p w14:paraId="0C758F23" w14:textId="77777777" w:rsidR="00CF4992" w:rsidRPr="007A3223" w:rsidRDefault="00CF4992" w:rsidP="00FB66BA">
      <w:pPr>
        <w:pStyle w:val="ListParagraph"/>
        <w:numPr>
          <w:ilvl w:val="0"/>
          <w:numId w:val="76"/>
        </w:numPr>
        <w:ind w:left="0"/>
      </w:pPr>
      <w:r w:rsidRPr="007A3223">
        <w:t>The sample labelling with a random code and barcoding should be same as OTC preserved samples collected at the same day</w:t>
      </w:r>
      <w:r w:rsidR="00B0542F" w:rsidRPr="007A3223">
        <w:t xml:space="preserve"> (Appendix G)</w:t>
      </w:r>
      <w:r w:rsidRPr="007A3223">
        <w:t>.</w:t>
      </w:r>
    </w:p>
    <w:p w14:paraId="1500E1F9" w14:textId="77777777" w:rsidR="00CF4992" w:rsidRPr="007A3223" w:rsidRDefault="00CF4992" w:rsidP="00A10AAE">
      <w:pPr>
        <w:spacing w:after="0"/>
      </w:pPr>
    </w:p>
    <w:p w14:paraId="5DE9C008" w14:textId="77777777" w:rsidR="00012945" w:rsidRPr="007A3223" w:rsidRDefault="00012945" w:rsidP="00A10AAE">
      <w:pPr>
        <w:spacing w:after="0"/>
        <w:rPr>
          <w:lang w:eastAsia="x-none"/>
        </w:rPr>
      </w:pPr>
    </w:p>
    <w:p w14:paraId="6B78E40C" w14:textId="77777777" w:rsidR="00012945" w:rsidRPr="007A3223" w:rsidRDefault="00012945" w:rsidP="00A10AAE">
      <w:pPr>
        <w:spacing w:after="0"/>
        <w:rPr>
          <w:lang w:eastAsia="x-none"/>
        </w:rPr>
      </w:pPr>
    </w:p>
    <w:p w14:paraId="17D184D7" w14:textId="77777777" w:rsidR="00012945" w:rsidRPr="007A3223" w:rsidRDefault="00012945" w:rsidP="00A10AAE">
      <w:pPr>
        <w:spacing w:after="0"/>
        <w:rPr>
          <w:lang w:eastAsia="x-none"/>
        </w:rPr>
      </w:pPr>
    </w:p>
    <w:p w14:paraId="5BE1F5E9" w14:textId="77777777" w:rsidR="00A10AAE" w:rsidRPr="007A3223" w:rsidRDefault="00A10AAE" w:rsidP="00A10AAE">
      <w:pPr>
        <w:spacing w:after="0"/>
        <w:rPr>
          <w:lang w:eastAsia="x-none"/>
        </w:rPr>
      </w:pPr>
    </w:p>
    <w:p w14:paraId="06A3C244" w14:textId="77777777" w:rsidR="00012945" w:rsidRPr="007A3223" w:rsidRDefault="00012945" w:rsidP="00B0542F">
      <w:pPr>
        <w:rPr>
          <w:lang w:eastAsia="x-none"/>
        </w:rPr>
      </w:pPr>
    </w:p>
    <w:p w14:paraId="53605D47" w14:textId="77777777" w:rsidR="00012945" w:rsidRPr="007A3223" w:rsidRDefault="00012945" w:rsidP="00735D01">
      <w:pPr>
        <w:rPr>
          <w:lang w:eastAsia="x-none"/>
        </w:rPr>
      </w:pPr>
    </w:p>
    <w:p w14:paraId="32E75DF0" w14:textId="77777777" w:rsidR="00A323DA" w:rsidRPr="007A3223" w:rsidRDefault="00A323DA">
      <w:pPr>
        <w:spacing w:after="0"/>
        <w:rPr>
          <w:lang w:eastAsia="x-none"/>
        </w:rPr>
      </w:pPr>
      <w:r w:rsidRPr="007A3223">
        <w:rPr>
          <w:lang w:eastAsia="x-none"/>
        </w:rPr>
        <w:br w:type="page"/>
      </w:r>
    </w:p>
    <w:p w14:paraId="710B7E4D" w14:textId="77777777" w:rsidR="00012945" w:rsidRPr="007A3223" w:rsidRDefault="00012945" w:rsidP="00735D01">
      <w:pPr>
        <w:rPr>
          <w:lang w:eastAsia="x-none"/>
        </w:rPr>
      </w:pPr>
    </w:p>
    <w:p w14:paraId="60F94010" w14:textId="0E2718C9" w:rsidR="008C39E3" w:rsidRPr="007A3223" w:rsidRDefault="00012945" w:rsidP="00D94614">
      <w:pPr>
        <w:pStyle w:val="Heading2"/>
      </w:pPr>
      <w:bookmarkStart w:id="597" w:name="_Toc82444432"/>
      <w:r w:rsidRPr="007A3223">
        <w:t>APPENDIX</w:t>
      </w:r>
      <w:r w:rsidR="00043472" w:rsidRPr="007A3223">
        <w:rPr>
          <w:lang w:val="en-US"/>
        </w:rPr>
        <w:t xml:space="preserve">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I</w:t>
      </w:r>
      <w:r w:rsidR="00F82420" w:rsidRPr="00F33908">
        <w:rPr>
          <w:noProof/>
        </w:rPr>
        <w:fldChar w:fldCharType="end"/>
      </w:r>
      <w:r w:rsidR="00405669" w:rsidRPr="007A3223">
        <w:rPr>
          <w:lang w:val="en-US"/>
        </w:rPr>
        <w:t>:</w:t>
      </w:r>
      <w:r w:rsidRPr="00F33908">
        <w:t xml:space="preserve"> </w:t>
      </w:r>
      <w:r w:rsidR="00AC270B" w:rsidRPr="007A3223">
        <w:t>METHOD FOR PREPARING PBMC SAMPLES FROM BLOOD FOR PHARMACODYNAMIC (PD) STUDIES</w:t>
      </w:r>
      <w:bookmarkEnd w:id="597"/>
      <w:r w:rsidR="00AC270B" w:rsidRPr="007A3223">
        <w:t xml:space="preserve"> </w:t>
      </w:r>
    </w:p>
    <w:p w14:paraId="551B9BD3" w14:textId="77777777" w:rsidR="008C39E3" w:rsidRPr="007A3223" w:rsidRDefault="008C39E3" w:rsidP="008C39E3">
      <w:pPr>
        <w:widowControl w:val="0"/>
        <w:autoSpaceDE w:val="0"/>
        <w:autoSpaceDN w:val="0"/>
        <w:adjustRightInd w:val="0"/>
        <w:spacing w:after="0"/>
        <w:rPr>
          <w:szCs w:val="24"/>
        </w:rPr>
      </w:pPr>
    </w:p>
    <w:p w14:paraId="1F35CAB7" w14:textId="77777777" w:rsidR="008C39E3" w:rsidRPr="007A3223" w:rsidRDefault="008C39E3" w:rsidP="008C39E3">
      <w:pPr>
        <w:widowControl w:val="0"/>
        <w:autoSpaceDE w:val="0"/>
        <w:autoSpaceDN w:val="0"/>
        <w:adjustRightInd w:val="0"/>
        <w:spacing w:after="0"/>
        <w:rPr>
          <w:szCs w:val="24"/>
        </w:rPr>
      </w:pPr>
      <w:r w:rsidRPr="007A3223">
        <w:rPr>
          <w:szCs w:val="24"/>
        </w:rPr>
        <w:t>Using a BD Vacutainer CPT, draw the blood sample. Assure that the anticoagulant being used</w:t>
      </w:r>
    </w:p>
    <w:p w14:paraId="6DAE98E2" w14:textId="77777777" w:rsidR="008C39E3" w:rsidRPr="007A3223" w:rsidRDefault="008C39E3" w:rsidP="008C39E3">
      <w:pPr>
        <w:widowControl w:val="0"/>
        <w:autoSpaceDE w:val="0"/>
        <w:autoSpaceDN w:val="0"/>
        <w:adjustRightInd w:val="0"/>
        <w:spacing w:after="0"/>
        <w:rPr>
          <w:szCs w:val="24"/>
        </w:rPr>
      </w:pPr>
      <w:r w:rsidRPr="007A3223">
        <w:rPr>
          <w:szCs w:val="24"/>
        </w:rPr>
        <w:t>(sodium citrate or sodium heparin) is correct for the intended use of the specimen and that the</w:t>
      </w:r>
    </w:p>
    <w:p w14:paraId="5E2BFE1A" w14:textId="77777777" w:rsidR="008C39E3" w:rsidRPr="007A3223" w:rsidRDefault="008C39E3" w:rsidP="008C39E3">
      <w:pPr>
        <w:widowControl w:val="0"/>
        <w:autoSpaceDE w:val="0"/>
        <w:autoSpaceDN w:val="0"/>
        <w:adjustRightInd w:val="0"/>
        <w:spacing w:after="0"/>
        <w:rPr>
          <w:szCs w:val="24"/>
        </w:rPr>
      </w:pPr>
      <w:r w:rsidRPr="007A3223">
        <w:rPr>
          <w:szCs w:val="24"/>
        </w:rPr>
        <w:t>tube size is correct for the blood draw volume required by the protocol.</w:t>
      </w:r>
    </w:p>
    <w:p w14:paraId="58C009C7" w14:textId="77777777" w:rsidR="008C39E3" w:rsidRPr="007A3223" w:rsidRDefault="008C39E3" w:rsidP="008C39E3">
      <w:pPr>
        <w:widowControl w:val="0"/>
        <w:autoSpaceDE w:val="0"/>
        <w:autoSpaceDN w:val="0"/>
        <w:adjustRightInd w:val="0"/>
        <w:spacing w:after="0"/>
        <w:rPr>
          <w:szCs w:val="24"/>
        </w:rPr>
      </w:pPr>
    </w:p>
    <w:p w14:paraId="5A440B6E" w14:textId="77777777" w:rsidR="008C39E3" w:rsidRPr="007A3223" w:rsidRDefault="008C39E3" w:rsidP="008C39E3">
      <w:pPr>
        <w:widowControl w:val="0"/>
        <w:autoSpaceDE w:val="0"/>
        <w:autoSpaceDN w:val="0"/>
        <w:adjustRightInd w:val="0"/>
        <w:spacing w:after="0"/>
        <w:rPr>
          <w:szCs w:val="24"/>
        </w:rPr>
      </w:pPr>
      <w:r w:rsidRPr="007A3223">
        <w:rPr>
          <w:szCs w:val="24"/>
        </w:rPr>
        <w:t>Mix the sample by inverting the tube for 5-8 times and centrifuge the sample at 1500 g for</w:t>
      </w:r>
    </w:p>
    <w:p w14:paraId="7F7769A0" w14:textId="77777777" w:rsidR="008C39E3" w:rsidRPr="007A3223" w:rsidRDefault="008C39E3" w:rsidP="008C39E3">
      <w:pPr>
        <w:widowControl w:val="0"/>
        <w:autoSpaceDE w:val="0"/>
        <w:autoSpaceDN w:val="0"/>
        <w:adjustRightInd w:val="0"/>
        <w:spacing w:after="0"/>
        <w:rPr>
          <w:szCs w:val="24"/>
        </w:rPr>
      </w:pPr>
      <w:r w:rsidRPr="007A3223">
        <w:rPr>
          <w:szCs w:val="24"/>
        </w:rPr>
        <w:t>30min at 18-25°C, without break.</w:t>
      </w:r>
    </w:p>
    <w:p w14:paraId="231C2A32" w14:textId="77777777" w:rsidR="008C39E3" w:rsidRPr="007A3223" w:rsidRDefault="008C39E3" w:rsidP="008C39E3">
      <w:pPr>
        <w:widowControl w:val="0"/>
        <w:autoSpaceDE w:val="0"/>
        <w:autoSpaceDN w:val="0"/>
        <w:adjustRightInd w:val="0"/>
        <w:spacing w:after="0"/>
        <w:rPr>
          <w:szCs w:val="24"/>
        </w:rPr>
      </w:pPr>
    </w:p>
    <w:p w14:paraId="0A8B7870" w14:textId="77777777" w:rsidR="008C39E3" w:rsidRPr="007A3223" w:rsidRDefault="008C39E3" w:rsidP="008C39E3">
      <w:pPr>
        <w:widowControl w:val="0"/>
        <w:autoSpaceDE w:val="0"/>
        <w:autoSpaceDN w:val="0"/>
        <w:adjustRightInd w:val="0"/>
        <w:spacing w:after="0"/>
        <w:rPr>
          <w:szCs w:val="24"/>
        </w:rPr>
      </w:pPr>
      <w:r w:rsidRPr="007A3223">
        <w:rPr>
          <w:szCs w:val="24"/>
        </w:rPr>
        <w:t>After centrifuge, remove two thirds of plasma and transfer whitish PBMC layer into the labeled</w:t>
      </w:r>
    </w:p>
    <w:p w14:paraId="239823FA" w14:textId="77777777" w:rsidR="008C39E3" w:rsidRPr="007A3223" w:rsidRDefault="008C39E3" w:rsidP="008C39E3">
      <w:pPr>
        <w:widowControl w:val="0"/>
        <w:autoSpaceDE w:val="0"/>
        <w:autoSpaceDN w:val="0"/>
        <w:adjustRightInd w:val="0"/>
        <w:spacing w:after="0"/>
        <w:rPr>
          <w:szCs w:val="24"/>
        </w:rPr>
      </w:pPr>
      <w:r w:rsidRPr="007A3223">
        <w:rPr>
          <w:szCs w:val="24"/>
        </w:rPr>
        <w:t>15-ml conical tube using a 3-ml Falcon transfer pipet.</w:t>
      </w:r>
    </w:p>
    <w:p w14:paraId="1EA8E5A5" w14:textId="77777777" w:rsidR="008C39E3" w:rsidRPr="007A3223" w:rsidRDefault="008C39E3" w:rsidP="008C39E3">
      <w:pPr>
        <w:widowControl w:val="0"/>
        <w:autoSpaceDE w:val="0"/>
        <w:autoSpaceDN w:val="0"/>
        <w:adjustRightInd w:val="0"/>
        <w:spacing w:after="0"/>
        <w:rPr>
          <w:szCs w:val="24"/>
        </w:rPr>
      </w:pPr>
    </w:p>
    <w:p w14:paraId="507EAAC8" w14:textId="77777777" w:rsidR="008C39E3" w:rsidRPr="007A3223" w:rsidRDefault="008C39E3" w:rsidP="008C39E3">
      <w:pPr>
        <w:widowControl w:val="0"/>
        <w:autoSpaceDE w:val="0"/>
        <w:autoSpaceDN w:val="0"/>
        <w:adjustRightInd w:val="0"/>
        <w:spacing w:after="0"/>
        <w:rPr>
          <w:szCs w:val="24"/>
        </w:rPr>
      </w:pPr>
      <w:r w:rsidRPr="007A3223">
        <w:rPr>
          <w:szCs w:val="24"/>
        </w:rPr>
        <w:t>Discard the Vacutainer CPT tube in biohazard waste container.</w:t>
      </w:r>
    </w:p>
    <w:p w14:paraId="266A8B35" w14:textId="77777777" w:rsidR="008C39E3" w:rsidRPr="007A3223" w:rsidRDefault="008C39E3" w:rsidP="008C39E3">
      <w:pPr>
        <w:widowControl w:val="0"/>
        <w:autoSpaceDE w:val="0"/>
        <w:autoSpaceDN w:val="0"/>
        <w:adjustRightInd w:val="0"/>
        <w:spacing w:after="0"/>
        <w:rPr>
          <w:szCs w:val="24"/>
        </w:rPr>
      </w:pPr>
    </w:p>
    <w:p w14:paraId="606B2DD8" w14:textId="77777777" w:rsidR="008C39E3" w:rsidRPr="007A3223" w:rsidRDefault="008C39E3" w:rsidP="008C39E3">
      <w:pPr>
        <w:widowControl w:val="0"/>
        <w:autoSpaceDE w:val="0"/>
        <w:autoSpaceDN w:val="0"/>
        <w:adjustRightInd w:val="0"/>
        <w:spacing w:after="0"/>
        <w:rPr>
          <w:szCs w:val="24"/>
        </w:rPr>
      </w:pPr>
      <w:r w:rsidRPr="007A3223">
        <w:rPr>
          <w:szCs w:val="24"/>
        </w:rPr>
        <w:t>Add Plasma-Lyte A USP to the 15-ml tube to bring total volume to 14 ml, cap and mix by gentle</w:t>
      </w:r>
    </w:p>
    <w:p w14:paraId="0ACA9D26" w14:textId="77777777" w:rsidR="008C39E3" w:rsidRPr="007A3223" w:rsidRDefault="008C39E3" w:rsidP="008C39E3">
      <w:pPr>
        <w:widowControl w:val="0"/>
        <w:autoSpaceDE w:val="0"/>
        <w:autoSpaceDN w:val="0"/>
        <w:adjustRightInd w:val="0"/>
        <w:spacing w:after="0"/>
        <w:rPr>
          <w:szCs w:val="24"/>
        </w:rPr>
      </w:pPr>
      <w:r w:rsidRPr="007A3223">
        <w:rPr>
          <w:szCs w:val="24"/>
        </w:rPr>
        <w:t>inversion 5-8 times.</w:t>
      </w:r>
    </w:p>
    <w:p w14:paraId="19FB80F1" w14:textId="77777777" w:rsidR="008C39E3" w:rsidRPr="007A3223" w:rsidRDefault="008C39E3" w:rsidP="008C39E3">
      <w:pPr>
        <w:widowControl w:val="0"/>
        <w:autoSpaceDE w:val="0"/>
        <w:autoSpaceDN w:val="0"/>
        <w:adjustRightInd w:val="0"/>
        <w:spacing w:after="0"/>
        <w:rPr>
          <w:szCs w:val="24"/>
        </w:rPr>
      </w:pPr>
    </w:p>
    <w:p w14:paraId="608E51A0" w14:textId="77777777" w:rsidR="008C39E3" w:rsidRPr="007A3223" w:rsidRDefault="008C39E3" w:rsidP="008C39E3">
      <w:pPr>
        <w:widowControl w:val="0"/>
        <w:autoSpaceDE w:val="0"/>
        <w:autoSpaceDN w:val="0"/>
        <w:adjustRightInd w:val="0"/>
        <w:spacing w:after="0"/>
        <w:rPr>
          <w:szCs w:val="24"/>
        </w:rPr>
      </w:pPr>
      <w:r w:rsidRPr="007A3223">
        <w:rPr>
          <w:szCs w:val="24"/>
        </w:rPr>
        <w:t>Centrifuge the sample at 430 g for 10 min at 18-25°C, without break.</w:t>
      </w:r>
    </w:p>
    <w:p w14:paraId="4EDE4A2E" w14:textId="77777777" w:rsidR="008C39E3" w:rsidRPr="007A3223" w:rsidRDefault="008C39E3" w:rsidP="008C39E3">
      <w:pPr>
        <w:widowControl w:val="0"/>
        <w:autoSpaceDE w:val="0"/>
        <w:autoSpaceDN w:val="0"/>
        <w:adjustRightInd w:val="0"/>
        <w:spacing w:after="0"/>
        <w:rPr>
          <w:szCs w:val="24"/>
        </w:rPr>
      </w:pPr>
    </w:p>
    <w:p w14:paraId="40D0A57F" w14:textId="77777777" w:rsidR="008C39E3" w:rsidRPr="007A3223" w:rsidRDefault="008C39E3" w:rsidP="008C39E3">
      <w:pPr>
        <w:widowControl w:val="0"/>
        <w:autoSpaceDE w:val="0"/>
        <w:autoSpaceDN w:val="0"/>
        <w:adjustRightInd w:val="0"/>
        <w:spacing w:after="0"/>
        <w:rPr>
          <w:szCs w:val="24"/>
        </w:rPr>
      </w:pPr>
      <w:r w:rsidRPr="007A3223">
        <w:rPr>
          <w:szCs w:val="24"/>
        </w:rPr>
        <w:t>Using a new transfer pipet, aspirate as much supernatant as possible without disturbing the cell</w:t>
      </w:r>
    </w:p>
    <w:p w14:paraId="1F69CA5C" w14:textId="77777777" w:rsidR="008C39E3" w:rsidRPr="007A3223" w:rsidRDefault="008C39E3" w:rsidP="008C39E3">
      <w:pPr>
        <w:widowControl w:val="0"/>
        <w:autoSpaceDE w:val="0"/>
        <w:autoSpaceDN w:val="0"/>
        <w:adjustRightInd w:val="0"/>
        <w:spacing w:after="0"/>
        <w:rPr>
          <w:szCs w:val="24"/>
        </w:rPr>
      </w:pPr>
      <w:r w:rsidRPr="007A3223">
        <w:rPr>
          <w:szCs w:val="24"/>
        </w:rPr>
        <w:t>pellet and discard the supernatant into biohazardous liquid waste.</w:t>
      </w:r>
    </w:p>
    <w:p w14:paraId="3885015E" w14:textId="77777777" w:rsidR="008C39E3" w:rsidRPr="007A3223" w:rsidRDefault="008C39E3" w:rsidP="008C39E3">
      <w:pPr>
        <w:widowControl w:val="0"/>
        <w:autoSpaceDE w:val="0"/>
        <w:autoSpaceDN w:val="0"/>
        <w:adjustRightInd w:val="0"/>
        <w:spacing w:after="0"/>
        <w:rPr>
          <w:szCs w:val="24"/>
        </w:rPr>
      </w:pPr>
    </w:p>
    <w:p w14:paraId="619233BC" w14:textId="77777777" w:rsidR="008C39E3" w:rsidRPr="007A3223" w:rsidRDefault="008C39E3" w:rsidP="008C39E3">
      <w:pPr>
        <w:widowControl w:val="0"/>
        <w:autoSpaceDE w:val="0"/>
        <w:autoSpaceDN w:val="0"/>
        <w:adjustRightInd w:val="0"/>
        <w:spacing w:after="0"/>
        <w:rPr>
          <w:szCs w:val="24"/>
        </w:rPr>
      </w:pPr>
      <w:r w:rsidRPr="007A3223">
        <w:rPr>
          <w:szCs w:val="24"/>
        </w:rPr>
        <w:t>Re-suspend the cell pellet in 2 ml of Plasma-Lyte A USP by gently flicking the bottom of the</w:t>
      </w:r>
    </w:p>
    <w:p w14:paraId="40D7A32A" w14:textId="77777777" w:rsidR="008C39E3" w:rsidRPr="007A3223" w:rsidRDefault="008C39E3" w:rsidP="008C39E3">
      <w:pPr>
        <w:widowControl w:val="0"/>
        <w:autoSpaceDE w:val="0"/>
        <w:autoSpaceDN w:val="0"/>
        <w:adjustRightInd w:val="0"/>
        <w:spacing w:after="0"/>
        <w:rPr>
          <w:szCs w:val="24"/>
        </w:rPr>
      </w:pPr>
      <w:r w:rsidRPr="007A3223">
        <w:rPr>
          <w:szCs w:val="24"/>
        </w:rPr>
        <w:t>tube with the index finger and then gently pipet up and down a few times.</w:t>
      </w:r>
    </w:p>
    <w:p w14:paraId="2B9B635E" w14:textId="77777777" w:rsidR="008C39E3" w:rsidRPr="007A3223" w:rsidRDefault="008C39E3" w:rsidP="008C39E3">
      <w:pPr>
        <w:widowControl w:val="0"/>
        <w:autoSpaceDE w:val="0"/>
        <w:autoSpaceDN w:val="0"/>
        <w:adjustRightInd w:val="0"/>
        <w:spacing w:after="0"/>
        <w:rPr>
          <w:szCs w:val="24"/>
        </w:rPr>
      </w:pPr>
    </w:p>
    <w:p w14:paraId="033FD037" w14:textId="77777777" w:rsidR="008C39E3" w:rsidRPr="007A3223" w:rsidRDefault="008C39E3" w:rsidP="008C39E3">
      <w:pPr>
        <w:widowControl w:val="0"/>
        <w:autoSpaceDE w:val="0"/>
        <w:autoSpaceDN w:val="0"/>
        <w:adjustRightInd w:val="0"/>
        <w:spacing w:after="0"/>
        <w:rPr>
          <w:szCs w:val="24"/>
        </w:rPr>
      </w:pPr>
      <w:r w:rsidRPr="007A3223">
        <w:rPr>
          <w:szCs w:val="24"/>
        </w:rPr>
        <w:t>Immediately after resuspending the cell pellet, transfer 10 ul of sample into a cell count to count</w:t>
      </w:r>
    </w:p>
    <w:p w14:paraId="422370E6" w14:textId="77777777" w:rsidR="008C39E3" w:rsidRPr="007A3223" w:rsidRDefault="008C39E3" w:rsidP="008C39E3">
      <w:pPr>
        <w:widowControl w:val="0"/>
        <w:autoSpaceDE w:val="0"/>
        <w:autoSpaceDN w:val="0"/>
        <w:adjustRightInd w:val="0"/>
        <w:spacing w:after="0"/>
        <w:rPr>
          <w:szCs w:val="24"/>
        </w:rPr>
      </w:pPr>
      <w:r w:rsidRPr="007A3223">
        <w:rPr>
          <w:szCs w:val="24"/>
        </w:rPr>
        <w:t>the number of cells.</w:t>
      </w:r>
    </w:p>
    <w:p w14:paraId="64AEF3C2" w14:textId="77777777" w:rsidR="008C39E3" w:rsidRPr="007A3223" w:rsidRDefault="008C39E3" w:rsidP="008C39E3">
      <w:pPr>
        <w:widowControl w:val="0"/>
        <w:autoSpaceDE w:val="0"/>
        <w:autoSpaceDN w:val="0"/>
        <w:adjustRightInd w:val="0"/>
        <w:spacing w:after="0"/>
        <w:rPr>
          <w:szCs w:val="24"/>
        </w:rPr>
      </w:pPr>
    </w:p>
    <w:p w14:paraId="26CA3FE8" w14:textId="77777777" w:rsidR="008C39E3" w:rsidRPr="007A3223" w:rsidRDefault="008C39E3" w:rsidP="008C39E3">
      <w:pPr>
        <w:widowControl w:val="0"/>
        <w:autoSpaceDE w:val="0"/>
        <w:autoSpaceDN w:val="0"/>
        <w:adjustRightInd w:val="0"/>
        <w:spacing w:after="0"/>
        <w:rPr>
          <w:szCs w:val="24"/>
        </w:rPr>
      </w:pPr>
      <w:r w:rsidRPr="007A3223">
        <w:rPr>
          <w:szCs w:val="24"/>
        </w:rPr>
        <w:t>The calculated volume required to make a suspension of 3 x 10</w:t>
      </w:r>
      <w:r w:rsidRPr="007A3223">
        <w:rPr>
          <w:szCs w:val="24"/>
          <w:vertAlign w:val="superscript"/>
        </w:rPr>
        <w:t>6</w:t>
      </w:r>
      <w:r w:rsidRPr="007A3223">
        <w:rPr>
          <w:szCs w:val="24"/>
        </w:rPr>
        <w:t xml:space="preserve"> cells/ml.</w:t>
      </w:r>
    </w:p>
    <w:p w14:paraId="3802665F" w14:textId="77777777" w:rsidR="008C39E3" w:rsidRPr="007A3223" w:rsidRDefault="008C39E3" w:rsidP="008C39E3">
      <w:pPr>
        <w:widowControl w:val="0"/>
        <w:autoSpaceDE w:val="0"/>
        <w:autoSpaceDN w:val="0"/>
        <w:adjustRightInd w:val="0"/>
        <w:spacing w:after="0"/>
        <w:rPr>
          <w:szCs w:val="24"/>
        </w:rPr>
      </w:pPr>
    </w:p>
    <w:p w14:paraId="4F1E221A" w14:textId="77777777" w:rsidR="008C39E3" w:rsidRPr="007A3223" w:rsidRDefault="008C39E3" w:rsidP="008C39E3">
      <w:pPr>
        <w:widowControl w:val="0"/>
        <w:autoSpaceDE w:val="0"/>
        <w:autoSpaceDN w:val="0"/>
        <w:adjustRightInd w:val="0"/>
        <w:spacing w:after="0"/>
        <w:rPr>
          <w:szCs w:val="24"/>
        </w:rPr>
      </w:pPr>
      <w:r w:rsidRPr="007A3223">
        <w:rPr>
          <w:szCs w:val="24"/>
        </w:rPr>
        <w:lastRenderedPageBreak/>
        <w:t>Transfer 1 mL aliquots of the PBMC cell suspension into individual 1.5-ml cryovials.</w:t>
      </w:r>
    </w:p>
    <w:p w14:paraId="520F263F" w14:textId="77777777" w:rsidR="008C39E3" w:rsidRPr="007A3223" w:rsidRDefault="008C39E3" w:rsidP="008C39E3">
      <w:pPr>
        <w:widowControl w:val="0"/>
        <w:autoSpaceDE w:val="0"/>
        <w:autoSpaceDN w:val="0"/>
        <w:adjustRightInd w:val="0"/>
        <w:spacing w:after="0"/>
        <w:rPr>
          <w:szCs w:val="24"/>
        </w:rPr>
      </w:pPr>
    </w:p>
    <w:p w14:paraId="2A3B20D2" w14:textId="77777777" w:rsidR="008C39E3" w:rsidRPr="007A3223" w:rsidRDefault="008C39E3" w:rsidP="008C39E3">
      <w:pPr>
        <w:widowControl w:val="0"/>
        <w:autoSpaceDE w:val="0"/>
        <w:autoSpaceDN w:val="0"/>
        <w:adjustRightInd w:val="0"/>
        <w:spacing w:after="0"/>
        <w:rPr>
          <w:szCs w:val="24"/>
        </w:rPr>
      </w:pPr>
      <w:r w:rsidRPr="007A3223">
        <w:rPr>
          <w:szCs w:val="24"/>
        </w:rPr>
        <w:t>Centrifuge the cryovials in Eppendorf centrifuge at 10000 rpm for 10 minutes at 4-10°C.</w:t>
      </w:r>
    </w:p>
    <w:p w14:paraId="3966DB47" w14:textId="77777777" w:rsidR="008C39E3" w:rsidRPr="007A3223" w:rsidRDefault="008C39E3" w:rsidP="008C39E3">
      <w:pPr>
        <w:widowControl w:val="0"/>
        <w:autoSpaceDE w:val="0"/>
        <w:autoSpaceDN w:val="0"/>
        <w:adjustRightInd w:val="0"/>
        <w:spacing w:after="0"/>
        <w:rPr>
          <w:szCs w:val="24"/>
        </w:rPr>
      </w:pPr>
    </w:p>
    <w:p w14:paraId="39F6F51B" w14:textId="77777777" w:rsidR="008C39E3" w:rsidRPr="007A3223" w:rsidRDefault="008C39E3" w:rsidP="008C39E3">
      <w:pPr>
        <w:widowControl w:val="0"/>
        <w:autoSpaceDE w:val="0"/>
        <w:autoSpaceDN w:val="0"/>
        <w:adjustRightInd w:val="0"/>
        <w:spacing w:after="0"/>
        <w:rPr>
          <w:szCs w:val="24"/>
        </w:rPr>
      </w:pPr>
      <w:r w:rsidRPr="007A3223">
        <w:rPr>
          <w:szCs w:val="24"/>
        </w:rPr>
        <w:t>Remove and discard as much supernatant as possible without disturbing the cell pellet.</w:t>
      </w:r>
    </w:p>
    <w:p w14:paraId="5225DD22" w14:textId="77777777" w:rsidR="008C39E3" w:rsidRPr="007A3223" w:rsidRDefault="008C39E3" w:rsidP="008C39E3">
      <w:pPr>
        <w:widowControl w:val="0"/>
        <w:autoSpaceDE w:val="0"/>
        <w:autoSpaceDN w:val="0"/>
        <w:adjustRightInd w:val="0"/>
        <w:spacing w:after="0"/>
        <w:rPr>
          <w:szCs w:val="24"/>
        </w:rPr>
      </w:pPr>
    </w:p>
    <w:p w14:paraId="11A13067" w14:textId="77777777" w:rsidR="008C39E3" w:rsidRPr="007A3223" w:rsidRDefault="008C39E3" w:rsidP="008C39E3">
      <w:pPr>
        <w:widowControl w:val="0"/>
        <w:autoSpaceDE w:val="0"/>
        <w:autoSpaceDN w:val="0"/>
        <w:adjustRightInd w:val="0"/>
        <w:spacing w:after="0"/>
        <w:rPr>
          <w:szCs w:val="24"/>
        </w:rPr>
      </w:pPr>
      <w:r w:rsidRPr="007A3223">
        <w:rPr>
          <w:szCs w:val="24"/>
        </w:rPr>
        <w:t>For viable cells storage, the cell pellet should be suspended in FBS with 10% DMSO at this stage</w:t>
      </w:r>
    </w:p>
    <w:p w14:paraId="6FCAAB18" w14:textId="77777777" w:rsidR="008C39E3" w:rsidRPr="007A3223" w:rsidRDefault="008C39E3" w:rsidP="008C39E3">
      <w:pPr>
        <w:widowControl w:val="0"/>
        <w:autoSpaceDE w:val="0"/>
        <w:autoSpaceDN w:val="0"/>
        <w:adjustRightInd w:val="0"/>
        <w:spacing w:after="0"/>
        <w:rPr>
          <w:szCs w:val="24"/>
        </w:rPr>
      </w:pPr>
      <w:r w:rsidRPr="007A3223">
        <w:rPr>
          <w:szCs w:val="24"/>
        </w:rPr>
        <w:t>and then stored at -80°C</w:t>
      </w:r>
      <w:r w:rsidR="000C25E8" w:rsidRPr="007A3223">
        <w:rPr>
          <w:szCs w:val="24"/>
        </w:rPr>
        <w:t xml:space="preserve"> until use</w:t>
      </w:r>
      <w:r w:rsidRPr="007A3223">
        <w:rPr>
          <w:szCs w:val="24"/>
        </w:rPr>
        <w:t>.</w:t>
      </w:r>
    </w:p>
    <w:p w14:paraId="4D12A317" w14:textId="77777777" w:rsidR="008C39E3" w:rsidRPr="007A3223" w:rsidRDefault="008C39E3" w:rsidP="008C39E3">
      <w:pPr>
        <w:widowControl w:val="0"/>
        <w:autoSpaceDE w:val="0"/>
        <w:autoSpaceDN w:val="0"/>
        <w:adjustRightInd w:val="0"/>
        <w:spacing w:after="0"/>
        <w:rPr>
          <w:szCs w:val="24"/>
        </w:rPr>
      </w:pPr>
    </w:p>
    <w:p w14:paraId="5F078E6F" w14:textId="77777777" w:rsidR="004B583A" w:rsidRPr="007A3223" w:rsidRDefault="004B583A" w:rsidP="004B583A">
      <w:pPr>
        <w:rPr>
          <w:b/>
          <w:sz w:val="28"/>
          <w:szCs w:val="28"/>
        </w:rPr>
      </w:pPr>
    </w:p>
    <w:p w14:paraId="3FF01370" w14:textId="77777777" w:rsidR="004B583A" w:rsidRPr="007A3223" w:rsidRDefault="004B583A" w:rsidP="004B583A">
      <w:pPr>
        <w:rPr>
          <w:b/>
          <w:sz w:val="28"/>
          <w:szCs w:val="28"/>
        </w:rPr>
      </w:pPr>
    </w:p>
    <w:p w14:paraId="782684BA" w14:textId="77777777" w:rsidR="004B583A" w:rsidRPr="007A3223" w:rsidRDefault="004B583A" w:rsidP="004B583A">
      <w:pPr>
        <w:rPr>
          <w:b/>
          <w:sz w:val="28"/>
          <w:szCs w:val="28"/>
        </w:rPr>
      </w:pPr>
    </w:p>
    <w:p w14:paraId="006DC2D4" w14:textId="77777777" w:rsidR="001315B8" w:rsidRDefault="001315B8">
      <w:pPr>
        <w:spacing w:before="0" w:after="0"/>
        <w:rPr>
          <w:b/>
          <w:bCs/>
          <w:smallCaps/>
          <w:szCs w:val="24"/>
          <w:lang w:val="x-none" w:eastAsia="x-none"/>
        </w:rPr>
      </w:pPr>
      <w:bookmarkStart w:id="598" w:name="_Ref493692751"/>
      <w:r>
        <w:br w:type="page"/>
      </w:r>
    </w:p>
    <w:p w14:paraId="78BED9FD" w14:textId="7241B272" w:rsidR="004B583A" w:rsidRPr="00F33908" w:rsidRDefault="00AC270B" w:rsidP="00D94614">
      <w:pPr>
        <w:pStyle w:val="Heading2"/>
      </w:pPr>
      <w:bookmarkStart w:id="599" w:name="_Toc82444433"/>
      <w:r w:rsidRPr="007A3223">
        <w:lastRenderedPageBreak/>
        <w:t>APPENDIX</w:t>
      </w:r>
      <w:r w:rsidR="005771C4" w:rsidRPr="007A3223">
        <w:t xml:space="preserve"> </w:t>
      </w:r>
      <w:r w:rsidR="00F82420" w:rsidRPr="00F33908">
        <w:rPr>
          <w:noProof/>
        </w:rPr>
        <w:fldChar w:fldCharType="begin"/>
      </w:r>
      <w:r w:rsidR="00F82420" w:rsidRPr="007A3223">
        <w:rPr>
          <w:noProof/>
        </w:rPr>
        <w:instrText xml:space="preserve"> SEQ Appendix \* ALPHABETIC </w:instrText>
      </w:r>
      <w:r w:rsidR="00F82420" w:rsidRPr="00F33908">
        <w:rPr>
          <w:noProof/>
        </w:rPr>
        <w:fldChar w:fldCharType="separate"/>
      </w:r>
      <w:r w:rsidR="00E47ACA">
        <w:rPr>
          <w:noProof/>
        </w:rPr>
        <w:t>J</w:t>
      </w:r>
      <w:r w:rsidR="00F82420" w:rsidRPr="00F33908">
        <w:rPr>
          <w:noProof/>
        </w:rPr>
        <w:fldChar w:fldCharType="end"/>
      </w:r>
      <w:r w:rsidRPr="007A3223">
        <w:t xml:space="preserve">: </w:t>
      </w:r>
      <w:r w:rsidR="00C35EF5">
        <w:rPr>
          <w:lang w:val="en-US"/>
        </w:rPr>
        <w:t>Durvalumab</w:t>
      </w:r>
      <w:r w:rsidRPr="007A3223">
        <w:t xml:space="preserve"> DOSE CALCULATIONS</w:t>
      </w:r>
      <w:bookmarkEnd w:id="598"/>
      <w:bookmarkEnd w:id="599"/>
      <w:r w:rsidRPr="007A3223">
        <w:t xml:space="preserve"> </w:t>
      </w:r>
    </w:p>
    <w:p w14:paraId="4CBDBA04" w14:textId="4210400B" w:rsidR="004B583A" w:rsidRPr="007A3223" w:rsidRDefault="00C35EF5" w:rsidP="004B583A">
      <w:pPr>
        <w:rPr>
          <w:b/>
        </w:rPr>
      </w:pPr>
      <w:r>
        <w:rPr>
          <w:b/>
        </w:rPr>
        <w:t>Durvalumab</w:t>
      </w:r>
      <w:r w:rsidR="004B583A" w:rsidRPr="007A3223">
        <w:rPr>
          <w:b/>
        </w:rPr>
        <w:t xml:space="preserve"> Dosing</w:t>
      </w:r>
    </w:p>
    <w:p w14:paraId="25961614" w14:textId="0475BFEA" w:rsidR="004B583A" w:rsidRPr="007A3223" w:rsidRDefault="004B583A" w:rsidP="004B583A">
      <w:pPr>
        <w:pStyle w:val="Paragraph"/>
      </w:pPr>
      <w:r w:rsidRPr="007A3223">
        <w:t xml:space="preserve">The </w:t>
      </w:r>
      <w:r w:rsidR="00C35EF5">
        <w:t>Durvalumab</w:t>
      </w:r>
      <w:r w:rsidRPr="007A3223">
        <w:t xml:space="preserve"> dosing should be done depending on subject weight:</w:t>
      </w:r>
    </w:p>
    <w:p w14:paraId="09D9C2F4" w14:textId="77777777" w:rsidR="004B583A" w:rsidRPr="007A3223" w:rsidRDefault="004B583A" w:rsidP="004B583A">
      <w:pPr>
        <w:pStyle w:val="Paragraph"/>
      </w:pPr>
      <w:r w:rsidRPr="007A3223">
        <w:t>1. Cohort dose: X mg/kg</w:t>
      </w:r>
    </w:p>
    <w:p w14:paraId="0218BB46" w14:textId="77777777" w:rsidR="004B583A" w:rsidRPr="007A3223" w:rsidRDefault="004B583A" w:rsidP="004B583A">
      <w:pPr>
        <w:pStyle w:val="Paragraph"/>
      </w:pPr>
      <w:r w:rsidRPr="007A3223">
        <w:t>2. Subject weight: Y kg</w:t>
      </w:r>
    </w:p>
    <w:p w14:paraId="09D51B7D" w14:textId="77777777" w:rsidR="004B583A" w:rsidRPr="007A3223" w:rsidRDefault="004B583A" w:rsidP="004B583A">
      <w:pPr>
        <w:pStyle w:val="Paragraph"/>
      </w:pPr>
      <w:r w:rsidRPr="007A3223">
        <w:t xml:space="preserve">3. Dose for subject: XY mg = X (mg/kg) </w:t>
      </w:r>
      <w:r w:rsidRPr="007A3223">
        <w:rPr>
          <w:rFonts w:hint="eastAsia"/>
        </w:rPr>
        <w:t>×</w:t>
      </w:r>
      <w:r w:rsidRPr="007A3223">
        <w:t xml:space="preserve"> Y (kg)</w:t>
      </w:r>
    </w:p>
    <w:p w14:paraId="4F8C4096" w14:textId="77777777" w:rsidR="004B583A" w:rsidRPr="007A3223" w:rsidRDefault="004B583A" w:rsidP="004B583A">
      <w:pPr>
        <w:pStyle w:val="Paragraph"/>
      </w:pPr>
      <w:r w:rsidRPr="007A3223">
        <w:t xml:space="preserve">4. Dose to be added into infusion bag: </w:t>
      </w:r>
    </w:p>
    <w:p w14:paraId="52969179" w14:textId="77777777" w:rsidR="004B583A" w:rsidRPr="007A3223" w:rsidRDefault="004B583A" w:rsidP="004B583A">
      <w:pPr>
        <w:pStyle w:val="Paragraph"/>
      </w:pPr>
      <w:r w:rsidRPr="007A3223">
        <w:t xml:space="preserve">Dose (mL) = XY mg / 50 (mg/mL) </w:t>
      </w:r>
    </w:p>
    <w:p w14:paraId="7557BB73" w14:textId="34502649" w:rsidR="004B583A" w:rsidRPr="007A3223" w:rsidRDefault="004B583A" w:rsidP="004B583A">
      <w:pPr>
        <w:pStyle w:val="Paragraph"/>
      </w:pPr>
      <w:r w:rsidRPr="007A3223">
        <w:t xml:space="preserve">where 50 mg/mL is </w:t>
      </w:r>
      <w:r w:rsidR="00C35EF5">
        <w:t>Durvalumab</w:t>
      </w:r>
      <w:r w:rsidRPr="007A3223">
        <w:t xml:space="preserve"> nominal concentration </w:t>
      </w:r>
    </w:p>
    <w:p w14:paraId="41BF2B94" w14:textId="01D993CB" w:rsidR="004B583A" w:rsidRPr="007A3223" w:rsidRDefault="004B583A" w:rsidP="004B583A">
      <w:pPr>
        <w:pStyle w:val="Paragraph"/>
      </w:pPr>
      <w:r w:rsidRPr="007A3223">
        <w:t xml:space="preserve">The corresponding volume of </w:t>
      </w:r>
      <w:r w:rsidR="00C35EF5">
        <w:t>Durvalumab</w:t>
      </w:r>
      <w:r w:rsidRPr="007A3223">
        <w:t xml:space="preserve"> should be rounded to the nearest tenth mL (0.1 mL). Dose adjustments for each cycle only needed for greater than 10% change in weight.</w:t>
      </w:r>
    </w:p>
    <w:p w14:paraId="5DF7AFE5" w14:textId="77777777" w:rsidR="004B583A" w:rsidRPr="007A3223" w:rsidRDefault="004B583A" w:rsidP="004B583A">
      <w:pPr>
        <w:rPr>
          <w:szCs w:val="24"/>
        </w:rPr>
      </w:pPr>
      <w:r w:rsidRPr="007A3223">
        <w:rPr>
          <w:szCs w:val="24"/>
        </w:rPr>
        <w:t>5. The theoretical number of vials required for dose preparation is the next greatest whole number of vials from the following formula:</w:t>
      </w:r>
    </w:p>
    <w:p w14:paraId="0223C9F3" w14:textId="77777777" w:rsidR="004B583A" w:rsidRPr="007A3223" w:rsidRDefault="004B583A" w:rsidP="004B583A">
      <w:pPr>
        <w:rPr>
          <w:szCs w:val="24"/>
        </w:rPr>
      </w:pPr>
      <w:r w:rsidRPr="007A3223">
        <w:rPr>
          <w:szCs w:val="24"/>
        </w:rPr>
        <w:t>Number of vials = Dose (mL) / 10 (mL/vial)</w:t>
      </w:r>
    </w:p>
    <w:p w14:paraId="32071604" w14:textId="77777777" w:rsidR="004B583A" w:rsidRPr="007A3223" w:rsidRDefault="004B583A" w:rsidP="004B583A">
      <w:pPr>
        <w:pStyle w:val="Paragraph"/>
        <w:rPr>
          <w:b/>
        </w:rPr>
      </w:pPr>
      <w:r w:rsidRPr="007A3223">
        <w:rPr>
          <w:b/>
        </w:rPr>
        <w:t xml:space="preserve">Example: </w:t>
      </w:r>
    </w:p>
    <w:p w14:paraId="54E46DC6" w14:textId="77777777" w:rsidR="004B583A" w:rsidRPr="007A3223" w:rsidRDefault="004B583A" w:rsidP="004B583A">
      <w:pPr>
        <w:pStyle w:val="Paragraph"/>
      </w:pPr>
      <w:r w:rsidRPr="007A3223">
        <w:t>1. Cohort dose: 10 mg/kg</w:t>
      </w:r>
    </w:p>
    <w:p w14:paraId="5A5418FF" w14:textId="77777777" w:rsidR="004B583A" w:rsidRPr="007A3223" w:rsidRDefault="004B583A" w:rsidP="004B583A">
      <w:pPr>
        <w:pStyle w:val="Paragraph"/>
      </w:pPr>
      <w:r w:rsidRPr="007A3223">
        <w:t>2. Subject weight: 80 kg</w:t>
      </w:r>
    </w:p>
    <w:p w14:paraId="674FE732" w14:textId="77777777" w:rsidR="004B583A" w:rsidRPr="007A3223" w:rsidRDefault="004B583A" w:rsidP="004B583A">
      <w:pPr>
        <w:pStyle w:val="Paragraph"/>
      </w:pPr>
      <w:r w:rsidRPr="007A3223">
        <w:t xml:space="preserve">3. Dose for subject: 800 mg = 10 (mg/kg) </w:t>
      </w:r>
      <w:r w:rsidRPr="007A3223">
        <w:rPr>
          <w:rFonts w:hint="eastAsia"/>
        </w:rPr>
        <w:t>×</w:t>
      </w:r>
      <w:r w:rsidRPr="007A3223">
        <w:t xml:space="preserve"> 80 (kg)</w:t>
      </w:r>
    </w:p>
    <w:p w14:paraId="7F654CF7" w14:textId="77777777" w:rsidR="004B583A" w:rsidRPr="007A3223" w:rsidRDefault="004B583A" w:rsidP="004B583A">
      <w:pPr>
        <w:pStyle w:val="Paragraph"/>
      </w:pPr>
      <w:r w:rsidRPr="007A3223">
        <w:t xml:space="preserve">4. Dose to be added into infusion bag: </w:t>
      </w:r>
    </w:p>
    <w:p w14:paraId="6C469DD5" w14:textId="77777777" w:rsidR="004B583A" w:rsidRPr="007A3223" w:rsidRDefault="004B583A" w:rsidP="004B583A">
      <w:pPr>
        <w:pStyle w:val="Paragraph"/>
      </w:pPr>
      <w:r w:rsidRPr="007A3223">
        <w:t>Dose (mL) = 800 mg / 50 (mg/mL) = 16.0 mL</w:t>
      </w:r>
    </w:p>
    <w:p w14:paraId="6C21E931" w14:textId="77777777" w:rsidR="004B583A" w:rsidRPr="007A3223" w:rsidRDefault="004B583A" w:rsidP="004B583A">
      <w:pPr>
        <w:pStyle w:val="Paragraph"/>
      </w:pPr>
      <w:r w:rsidRPr="007A3223">
        <w:t xml:space="preserve">5. The theoretical number of vials required for dose preparation: </w:t>
      </w:r>
    </w:p>
    <w:p w14:paraId="6BFBDD88" w14:textId="77777777" w:rsidR="004B583A" w:rsidRPr="00115727" w:rsidRDefault="004B583A" w:rsidP="004B583A">
      <w:pPr>
        <w:pStyle w:val="Paragraph"/>
      </w:pPr>
      <w:r w:rsidRPr="007A3223">
        <w:t>Number of vials = 16.0 (mL) / 10 (mL/vial) = 2 vials</w:t>
      </w:r>
    </w:p>
    <w:p w14:paraId="386E976D" w14:textId="77777777" w:rsidR="004B583A" w:rsidRPr="00115727" w:rsidRDefault="004B583A" w:rsidP="004B583A">
      <w:pPr>
        <w:widowControl w:val="0"/>
        <w:autoSpaceDE w:val="0"/>
        <w:autoSpaceDN w:val="0"/>
        <w:adjustRightInd w:val="0"/>
        <w:spacing w:after="0"/>
        <w:rPr>
          <w:szCs w:val="24"/>
        </w:rPr>
      </w:pPr>
    </w:p>
    <w:p w14:paraId="05B41588" w14:textId="57D2C162" w:rsidR="00A323DA" w:rsidRDefault="00A323DA" w:rsidP="004B583A">
      <w:pPr>
        <w:widowControl w:val="0"/>
        <w:autoSpaceDE w:val="0"/>
        <w:autoSpaceDN w:val="0"/>
        <w:adjustRightInd w:val="0"/>
        <w:spacing w:after="0"/>
        <w:rPr>
          <w:szCs w:val="24"/>
        </w:rPr>
      </w:pPr>
    </w:p>
    <w:p w14:paraId="4555D194" w14:textId="12C40F78" w:rsidR="00E56CB2" w:rsidRPr="00E56CB2" w:rsidRDefault="00E56CB2" w:rsidP="00E56CB2">
      <w:pPr>
        <w:pStyle w:val="Heading2"/>
      </w:pPr>
      <w:bookmarkStart w:id="600" w:name="_Toc82444434"/>
      <w:r>
        <w:lastRenderedPageBreak/>
        <w:t xml:space="preserve">APPENDIX K: </w:t>
      </w:r>
      <w:r w:rsidRPr="00E56CB2">
        <w:t xml:space="preserve"> </w:t>
      </w:r>
      <w:bookmarkStart w:id="601" w:name="_Hlk38892906"/>
      <w:bookmarkStart w:id="602" w:name="_Toc476665365"/>
      <w:bookmarkStart w:id="603" w:name="_Toc465956343"/>
      <w:bookmarkStart w:id="604" w:name="_Ref465959659"/>
      <w:bookmarkStart w:id="605" w:name="_Toc69379028"/>
      <w:r w:rsidRPr="00E56CB2">
        <w:t xml:space="preserve">Dosing Modification and Toxicity Management Guidelines (TMG) for Immune-Mediated, Infusion-Related, and Non-Immune–Mediated Reactions (Durvalumab Monotherapy or in Combination with other Products) </w:t>
      </w:r>
      <w:r w:rsidR="008C1BD3">
        <w:rPr>
          <w:lang w:val="en-US"/>
        </w:rPr>
        <w:t xml:space="preserve">Version </w:t>
      </w:r>
      <w:r w:rsidRPr="00E56CB2">
        <w:t>14 October 2020 (CTCAE v5.0</w:t>
      </w:r>
      <w:bookmarkEnd w:id="601"/>
      <w:r w:rsidRPr="00E56CB2">
        <w:t>)</w:t>
      </w:r>
      <w:bookmarkEnd w:id="602"/>
      <w:bookmarkEnd w:id="603"/>
      <w:bookmarkEnd w:id="604"/>
      <w:bookmarkEnd w:id="605"/>
      <w:bookmarkEnd w:id="600"/>
    </w:p>
    <w:p w14:paraId="4B51C443" w14:textId="76C3BBBE" w:rsidR="00E56CB2" w:rsidRDefault="00E56CB2" w:rsidP="00D27063"/>
    <w:tbl>
      <w:tblPr>
        <w:tblStyle w:val="TableGrid2"/>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731"/>
      </w:tblGrid>
      <w:tr w:rsidR="00AA4D91" w:rsidRPr="00AA4D91" w14:paraId="42D6AFF9" w14:textId="77777777" w:rsidTr="00AA4D91">
        <w:trPr>
          <w:tblHeader/>
        </w:trPr>
        <w:tc>
          <w:tcPr>
            <w:tcW w:w="9350" w:type="dxa"/>
            <w:gridSpan w:val="2"/>
          </w:tcPr>
          <w:p w14:paraId="5634CE2E" w14:textId="77777777" w:rsidR="00AA4D91" w:rsidRPr="00AA4D91" w:rsidRDefault="00AA4D91" w:rsidP="00AA4D91">
            <w:pPr>
              <w:widowControl w:val="0"/>
              <w:spacing w:before="60" w:after="60"/>
              <w:rPr>
                <w:color w:val="000000"/>
              </w:rPr>
            </w:pPr>
            <w:r w:rsidRPr="00AA4D91">
              <w:rPr>
                <w:b/>
                <w:color w:val="000000"/>
              </w:rPr>
              <w:lastRenderedPageBreak/>
              <w:t>General Considerations</w:t>
            </w:r>
            <w:r w:rsidRPr="00AA4D91">
              <w:rPr>
                <w:b/>
                <w:bCs/>
                <w:color w:val="000000"/>
              </w:rPr>
              <w:t xml:space="preserve"> </w:t>
            </w:r>
            <w:bookmarkStart w:id="606" w:name="_Hlk22139559"/>
            <w:r w:rsidRPr="00AA4D91">
              <w:rPr>
                <w:b/>
                <w:bCs/>
                <w:color w:val="000000"/>
              </w:rPr>
              <w:t>regarding Immune-Mediated Reactions</w:t>
            </w:r>
            <w:bookmarkEnd w:id="606"/>
          </w:p>
        </w:tc>
      </w:tr>
      <w:tr w:rsidR="00AA4D91" w:rsidRPr="00AA4D91" w14:paraId="0BBDF492" w14:textId="77777777" w:rsidTr="00AA4D91">
        <w:trPr>
          <w:tblHeader/>
        </w:trPr>
        <w:tc>
          <w:tcPr>
            <w:tcW w:w="4619" w:type="dxa"/>
          </w:tcPr>
          <w:p w14:paraId="4129C790" w14:textId="77777777" w:rsidR="00AA4D91" w:rsidRPr="00AA4D91" w:rsidRDefault="00AA4D91" w:rsidP="00AA4D91">
            <w:pPr>
              <w:widowControl w:val="0"/>
              <w:spacing w:before="60" w:after="60"/>
              <w:rPr>
                <w:color w:val="000000"/>
                <w:sz w:val="18"/>
              </w:rPr>
            </w:pPr>
            <w:r w:rsidRPr="00AA4D91">
              <w:rPr>
                <w:b/>
                <w:color w:val="000000"/>
                <w:sz w:val="18"/>
              </w:rPr>
              <w:t>Dose Modifications</w:t>
            </w:r>
          </w:p>
        </w:tc>
        <w:tc>
          <w:tcPr>
            <w:tcW w:w="4731" w:type="dxa"/>
          </w:tcPr>
          <w:p w14:paraId="7AD9AC8F" w14:textId="77777777" w:rsidR="00AA4D91" w:rsidRPr="00AA4D91" w:rsidRDefault="00AA4D91" w:rsidP="00AA4D91">
            <w:pPr>
              <w:widowControl w:val="0"/>
              <w:spacing w:before="60" w:after="60"/>
              <w:rPr>
                <w:color w:val="000000"/>
                <w:sz w:val="18"/>
              </w:rPr>
            </w:pPr>
            <w:r w:rsidRPr="00AA4D91">
              <w:rPr>
                <w:b/>
                <w:color w:val="000000"/>
                <w:sz w:val="18"/>
              </w:rPr>
              <w:t>Toxicity Management</w:t>
            </w:r>
          </w:p>
        </w:tc>
      </w:tr>
      <w:tr w:rsidR="00AA4D91" w:rsidRPr="00AA4D91" w14:paraId="18C4E0AA" w14:textId="77777777" w:rsidTr="00AA4D91">
        <w:tc>
          <w:tcPr>
            <w:tcW w:w="4619" w:type="dxa"/>
          </w:tcPr>
          <w:p w14:paraId="115C3A04" w14:textId="77777777" w:rsidR="00AA4D91" w:rsidRPr="00AA4D91" w:rsidRDefault="00AA4D91" w:rsidP="00AA4D91">
            <w:pPr>
              <w:widowControl w:val="0"/>
              <w:spacing w:after="20"/>
              <w:rPr>
                <w:color w:val="000000"/>
                <w:sz w:val="18"/>
              </w:rPr>
            </w:pPr>
            <w:r w:rsidRPr="00AA4D91">
              <w:rPr>
                <w:color w:val="000000"/>
                <w:sz w:val="18"/>
              </w:rPr>
              <w:t>Drug administration modifications of study drug/study regimen will be made to manage potential immune-related AEs based on severity of treatment-emergent toxicities graded per NCI CTCAE v5.0.</w:t>
            </w:r>
          </w:p>
          <w:p w14:paraId="1A2A6F0B" w14:textId="77777777" w:rsidR="00AA4D91" w:rsidRPr="00AA4D91" w:rsidRDefault="00AA4D91" w:rsidP="00AA4D91">
            <w:pPr>
              <w:widowControl w:val="0"/>
              <w:spacing w:after="20"/>
              <w:rPr>
                <w:color w:val="000000"/>
                <w:sz w:val="18"/>
              </w:rPr>
            </w:pPr>
            <w:r w:rsidRPr="00AA4D91">
              <w:rPr>
                <w:color w:val="000000"/>
                <w:sz w:val="18"/>
              </w:rPr>
              <w:t>In addition to the criteria for permanent discontinuation of study drug/study regimen based on CTC grade/severity (table below), permanently discontinue study drug/study regimen for the following conditions:</w:t>
            </w:r>
          </w:p>
          <w:p w14:paraId="68F2A653" w14:textId="77777777" w:rsidR="00AA4D91" w:rsidRPr="00AA4D91" w:rsidRDefault="00AA4D91" w:rsidP="00AA4D91">
            <w:pPr>
              <w:widowControl w:val="0"/>
              <w:numPr>
                <w:ilvl w:val="0"/>
                <w:numId w:val="82"/>
              </w:numPr>
              <w:spacing w:before="0" w:after="20"/>
              <w:rPr>
                <w:color w:val="000000"/>
                <w:sz w:val="18"/>
              </w:rPr>
            </w:pPr>
            <w:r w:rsidRPr="00AA4D91">
              <w:rPr>
                <w:color w:val="000000"/>
                <w:sz w:val="18"/>
              </w:rPr>
              <w:t xml:space="preserve">Inability to reduce corticosteroid to a dose of ≤10 mg of prednisone per day (or equivalent) </w:t>
            </w:r>
            <w:r w:rsidRPr="00AA4D91">
              <w:rPr>
                <w:b/>
                <w:color w:val="000000"/>
                <w:sz w:val="18"/>
              </w:rPr>
              <w:t>within 12 weeks</w:t>
            </w:r>
            <w:r w:rsidRPr="00AA4D91">
              <w:rPr>
                <w:color w:val="000000"/>
                <w:sz w:val="18"/>
              </w:rPr>
              <w:t xml:space="preserve"> </w:t>
            </w:r>
            <w:r w:rsidRPr="00AA4D91">
              <w:rPr>
                <w:color w:val="000000"/>
                <w:sz w:val="18"/>
                <w:szCs w:val="18"/>
              </w:rPr>
              <w:t>of the start of the immune-mediated adverse event (imAE)</w:t>
            </w:r>
          </w:p>
          <w:p w14:paraId="3FE3BA3C" w14:textId="77777777" w:rsidR="00AA4D91" w:rsidRPr="00AA4D91" w:rsidRDefault="00AA4D91" w:rsidP="00AA4D91">
            <w:pPr>
              <w:widowControl w:val="0"/>
              <w:numPr>
                <w:ilvl w:val="0"/>
                <w:numId w:val="82"/>
              </w:numPr>
              <w:spacing w:before="0" w:after="20"/>
              <w:rPr>
                <w:color w:val="000000"/>
                <w:sz w:val="18"/>
              </w:rPr>
            </w:pPr>
            <w:bookmarkStart w:id="607" w:name="_Hlk22140189"/>
            <w:bookmarkStart w:id="608" w:name="_Hlk22139534"/>
            <w:r w:rsidRPr="00AA4D91">
              <w:rPr>
                <w:color w:val="000000"/>
                <w:sz w:val="18"/>
                <w:szCs w:val="18"/>
              </w:rPr>
              <w:t>Grade 3 recurrence</w:t>
            </w:r>
            <w:r w:rsidRPr="00AA4D91">
              <w:rPr>
                <w:color w:val="000000"/>
                <w:sz w:val="18"/>
              </w:rPr>
              <w:t xml:space="preserve"> of a previously experienced treatment-related </w:t>
            </w:r>
            <w:r w:rsidRPr="00AA4D91">
              <w:rPr>
                <w:color w:val="000000"/>
                <w:sz w:val="18"/>
                <w:szCs w:val="18"/>
              </w:rPr>
              <w:t>imAE</w:t>
            </w:r>
            <w:r w:rsidRPr="00AA4D91">
              <w:rPr>
                <w:color w:val="000000"/>
                <w:sz w:val="18"/>
              </w:rPr>
              <w:t xml:space="preserve"> following resumption of dosing</w:t>
            </w:r>
            <w:bookmarkEnd w:id="607"/>
          </w:p>
          <w:bookmarkEnd w:id="608"/>
          <w:p w14:paraId="1E6C61D9" w14:textId="77777777" w:rsidR="00AA4D91" w:rsidRPr="00AA4D91" w:rsidRDefault="00AA4D91" w:rsidP="00AA4D91">
            <w:pPr>
              <w:widowControl w:val="0"/>
              <w:tabs>
                <w:tab w:val="left" w:pos="1080"/>
              </w:tabs>
              <w:spacing w:after="20"/>
              <w:rPr>
                <w:color w:val="000000"/>
                <w:sz w:val="18"/>
              </w:rPr>
            </w:pPr>
            <w:r w:rsidRPr="00AA4D91">
              <w:rPr>
                <w:b/>
                <w:color w:val="000000"/>
                <w:sz w:val="18"/>
              </w:rPr>
              <w:t>Grade 1</w:t>
            </w:r>
            <w:r w:rsidRPr="00AA4D91">
              <w:rPr>
                <w:color w:val="000000"/>
                <w:sz w:val="18"/>
              </w:rPr>
              <w:tab/>
              <w:t>No dose modification</w:t>
            </w:r>
          </w:p>
          <w:p w14:paraId="3EF27156" w14:textId="77777777" w:rsidR="00AA4D91" w:rsidRPr="00AA4D91" w:rsidRDefault="00AA4D91" w:rsidP="00AA4D91">
            <w:pPr>
              <w:widowControl w:val="0"/>
              <w:tabs>
                <w:tab w:val="left" w:pos="1080"/>
              </w:tabs>
              <w:spacing w:after="20"/>
              <w:ind w:left="1080" w:hanging="1080"/>
              <w:rPr>
                <w:color w:val="000000"/>
                <w:sz w:val="18"/>
              </w:rPr>
            </w:pPr>
            <w:r w:rsidRPr="00AA4D91">
              <w:rPr>
                <w:b/>
                <w:color w:val="000000"/>
                <w:sz w:val="18"/>
              </w:rPr>
              <w:t>Grade 2</w:t>
            </w:r>
            <w:r w:rsidRPr="00AA4D91">
              <w:rPr>
                <w:color w:val="000000"/>
                <w:sz w:val="18"/>
              </w:rPr>
              <w:tab/>
              <w:t xml:space="preserve">Hold study drug/study regimen dose until Grade 2 resolution </w:t>
            </w:r>
            <w:r w:rsidRPr="00AA4D91">
              <w:rPr>
                <w:color w:val="000000"/>
                <w:sz w:val="18"/>
                <w:szCs w:val="18"/>
              </w:rPr>
              <w:t>toGrade</w:t>
            </w:r>
            <w:r w:rsidRPr="00AA4D91">
              <w:rPr>
                <w:color w:val="000000"/>
                <w:sz w:val="18"/>
              </w:rPr>
              <w:t xml:space="preserve"> ≤1.</w:t>
            </w:r>
          </w:p>
          <w:p w14:paraId="75F2D039" w14:textId="77777777" w:rsidR="00AA4D91" w:rsidRPr="00AA4D91" w:rsidRDefault="00AA4D91" w:rsidP="00AA4D91">
            <w:pPr>
              <w:widowControl w:val="0"/>
              <w:spacing w:after="20"/>
              <w:ind w:left="1080"/>
              <w:rPr>
                <w:color w:val="000000"/>
                <w:sz w:val="18"/>
              </w:rPr>
            </w:pPr>
            <w:r w:rsidRPr="00AA4D91">
              <w:rPr>
                <w:color w:val="000000"/>
                <w:sz w:val="18"/>
              </w:rPr>
              <w:t>If toxicity worsens, then treat as Grade 3 or Grade 4.</w:t>
            </w:r>
          </w:p>
          <w:p w14:paraId="7F2B0EB1" w14:textId="77777777" w:rsidR="00AA4D91" w:rsidRPr="00AA4D91" w:rsidRDefault="00AA4D91" w:rsidP="00AA4D91">
            <w:pPr>
              <w:widowControl w:val="0"/>
              <w:spacing w:after="20"/>
              <w:ind w:left="1080"/>
              <w:rPr>
                <w:color w:val="000000"/>
                <w:sz w:val="18"/>
              </w:rPr>
            </w:pPr>
            <w:r w:rsidRPr="00AA4D91">
              <w:rPr>
                <w:color w:val="000000"/>
                <w:sz w:val="18"/>
              </w:rPr>
              <w:t>Study drug/study regimen can be resumed once event stabilizes to Grade ≤1 after completion of steroid taper.</w:t>
            </w:r>
          </w:p>
          <w:p w14:paraId="31DFA366" w14:textId="77777777" w:rsidR="00AA4D91" w:rsidRPr="00AA4D91" w:rsidRDefault="00AA4D91" w:rsidP="00AA4D91">
            <w:pPr>
              <w:widowControl w:val="0"/>
              <w:spacing w:after="20"/>
              <w:ind w:left="1080"/>
              <w:rPr>
                <w:color w:val="000000"/>
                <w:sz w:val="18"/>
              </w:rPr>
            </w:pPr>
            <w:r w:rsidRPr="00AA4D91">
              <w:rPr>
                <w:color w:val="000000"/>
                <w:sz w:val="18"/>
              </w:rPr>
              <w:t>Patients with endocrinopathies who may require prolonged or continued steroid replacement can be retreated with study drug/study regimen on the following conditions:</w:t>
            </w:r>
          </w:p>
          <w:p w14:paraId="6B8C46B6" w14:textId="77777777" w:rsidR="00AA4D91" w:rsidRPr="00AA4D91" w:rsidRDefault="00AA4D91" w:rsidP="00AA4D91">
            <w:pPr>
              <w:widowControl w:val="0"/>
              <w:numPr>
                <w:ilvl w:val="0"/>
                <w:numId w:val="83"/>
              </w:numPr>
              <w:spacing w:before="0" w:after="20"/>
              <w:ind w:left="1440"/>
              <w:rPr>
                <w:color w:val="000000"/>
                <w:sz w:val="18"/>
              </w:rPr>
            </w:pPr>
            <w:r w:rsidRPr="00AA4D91">
              <w:rPr>
                <w:color w:val="000000"/>
                <w:sz w:val="18"/>
              </w:rPr>
              <w:t>The event stabilizes and is controlled.</w:t>
            </w:r>
          </w:p>
          <w:p w14:paraId="7F8198F8" w14:textId="77777777" w:rsidR="00AA4D91" w:rsidRPr="00AA4D91" w:rsidRDefault="00AA4D91" w:rsidP="00AA4D91">
            <w:pPr>
              <w:widowControl w:val="0"/>
              <w:numPr>
                <w:ilvl w:val="0"/>
                <w:numId w:val="83"/>
              </w:numPr>
              <w:spacing w:before="0" w:after="20"/>
              <w:ind w:left="1440"/>
              <w:rPr>
                <w:color w:val="000000"/>
                <w:sz w:val="18"/>
              </w:rPr>
            </w:pPr>
            <w:r w:rsidRPr="00AA4D91">
              <w:rPr>
                <w:color w:val="000000"/>
                <w:sz w:val="18"/>
              </w:rPr>
              <w:t>The patient is clinically stable as per Investigator or treating physician’s clinical judgement.</w:t>
            </w:r>
          </w:p>
          <w:p w14:paraId="29D64ED1" w14:textId="77777777" w:rsidR="00AA4D91" w:rsidRPr="00AA4D91" w:rsidRDefault="00AA4D91" w:rsidP="00AA4D91">
            <w:pPr>
              <w:widowControl w:val="0"/>
              <w:numPr>
                <w:ilvl w:val="0"/>
                <w:numId w:val="83"/>
              </w:numPr>
              <w:spacing w:before="0" w:after="20"/>
              <w:ind w:left="1440"/>
              <w:rPr>
                <w:color w:val="000000"/>
                <w:sz w:val="18"/>
              </w:rPr>
            </w:pPr>
            <w:r w:rsidRPr="00AA4D91">
              <w:rPr>
                <w:color w:val="000000"/>
                <w:sz w:val="18"/>
              </w:rPr>
              <w:t>Doses of prednisone are at ≤10 mg/day or equivalent.</w:t>
            </w:r>
          </w:p>
          <w:p w14:paraId="1D9A70FC" w14:textId="77777777" w:rsidR="00AA4D91" w:rsidRPr="00AA4D91" w:rsidRDefault="00AA4D91" w:rsidP="00AA4D91">
            <w:pPr>
              <w:widowControl w:val="0"/>
              <w:tabs>
                <w:tab w:val="left" w:pos="1080"/>
              </w:tabs>
              <w:spacing w:after="20"/>
              <w:ind w:left="1080" w:hanging="1080"/>
              <w:rPr>
                <w:color w:val="000000"/>
                <w:sz w:val="18"/>
              </w:rPr>
            </w:pPr>
            <w:r w:rsidRPr="00AA4D91">
              <w:rPr>
                <w:b/>
                <w:color w:val="000000"/>
                <w:sz w:val="18"/>
              </w:rPr>
              <w:t>Grade 3</w:t>
            </w:r>
            <w:r w:rsidRPr="00AA4D91">
              <w:rPr>
                <w:color w:val="000000"/>
                <w:sz w:val="18"/>
              </w:rPr>
              <w:tab/>
              <w:t>Depending on the individual toxicity, study drug/study regimen may be permanently discontinued. Please refer to guidelines below.</w:t>
            </w:r>
          </w:p>
          <w:p w14:paraId="48ED2AD8" w14:textId="77777777" w:rsidR="00AA4D91" w:rsidRPr="00AA4D91" w:rsidRDefault="00AA4D91" w:rsidP="00AA4D91">
            <w:pPr>
              <w:widowControl w:val="0"/>
              <w:tabs>
                <w:tab w:val="left" w:pos="1080"/>
              </w:tabs>
              <w:spacing w:after="20"/>
              <w:rPr>
                <w:color w:val="000000"/>
                <w:sz w:val="18"/>
              </w:rPr>
            </w:pPr>
            <w:r w:rsidRPr="00AA4D91">
              <w:rPr>
                <w:b/>
                <w:color w:val="000000"/>
                <w:sz w:val="18"/>
              </w:rPr>
              <w:lastRenderedPageBreak/>
              <w:t>Grade 4</w:t>
            </w:r>
            <w:r w:rsidRPr="00AA4D91">
              <w:rPr>
                <w:color w:val="000000"/>
                <w:sz w:val="18"/>
              </w:rPr>
              <w:tab/>
              <w:t>Permanently discontinue study drug/study regimen.</w:t>
            </w:r>
          </w:p>
          <w:p w14:paraId="4D917C41" w14:textId="77777777" w:rsidR="00AA4D91" w:rsidRPr="00AA4D91" w:rsidRDefault="00AA4D91" w:rsidP="00AA4D91">
            <w:pPr>
              <w:widowControl w:val="0"/>
              <w:tabs>
                <w:tab w:val="left" w:pos="1080"/>
              </w:tabs>
              <w:spacing w:after="20"/>
              <w:rPr>
                <w:color w:val="000000"/>
                <w:sz w:val="18"/>
              </w:rPr>
            </w:pPr>
            <w:r w:rsidRPr="00AA4D91">
              <w:rPr>
                <w:color w:val="000000"/>
                <w:sz w:val="18"/>
              </w:rPr>
              <w:t>Note: For asymptomatic amylase or lipase levels of &gt;2X ULN, hold study drug/study regimen, and if complete work up shows no evidence of pancreatitis, study drug/study regimen may be continued or resumed.</w:t>
            </w:r>
          </w:p>
          <w:p w14:paraId="6158B702" w14:textId="77777777" w:rsidR="00AA4D91" w:rsidRPr="00AA4D91" w:rsidRDefault="00AA4D91" w:rsidP="00AA4D91">
            <w:pPr>
              <w:widowControl w:val="0"/>
              <w:tabs>
                <w:tab w:val="left" w:pos="1080"/>
              </w:tabs>
              <w:spacing w:after="20"/>
              <w:rPr>
                <w:color w:val="000000"/>
                <w:sz w:val="18"/>
              </w:rPr>
            </w:pPr>
            <w:r w:rsidRPr="00AA4D91">
              <w:rPr>
                <w:color w:val="000000"/>
                <w:sz w:val="18"/>
              </w:rPr>
              <w:t>Note: Study drug/study regimen should be permanently discontinued in Grade 3 events with high likelihood for morbidity and/or mortality – e.g., myocarditis, or other similar events even if they are not currently noted in the guidelines. Similarly, consider whether study drug/study regimen should be permanently discontinued in Grade 2 events with high likelihood for morbidity and/or mortality – e.g., myocarditis, or other similar events even if they are not currently noted in the guidelines – when they do not rapidly improve to Grade &lt;1 upon treatment with systemic steroids and following full taper</w:t>
            </w:r>
          </w:p>
          <w:p w14:paraId="2371A90F" w14:textId="77777777" w:rsidR="00AA4D91" w:rsidRPr="00AA4D91" w:rsidRDefault="00AA4D91" w:rsidP="00AA4D91">
            <w:pPr>
              <w:widowControl w:val="0"/>
              <w:tabs>
                <w:tab w:val="left" w:pos="1080"/>
              </w:tabs>
              <w:spacing w:after="20"/>
              <w:rPr>
                <w:color w:val="000000"/>
                <w:sz w:val="18"/>
              </w:rPr>
            </w:pPr>
            <w:r w:rsidRPr="00AA4D91">
              <w:rPr>
                <w:color w:val="000000"/>
                <w:sz w:val="18"/>
              </w:rPr>
              <w:t xml:space="preserve">Note: There are some exceptions to permanent discontinuation of study drug for Grade 4 events (i.e., hyperthyroidism, hypothyroidism, Type 1 diabetes mellitus). </w:t>
            </w:r>
          </w:p>
          <w:p w14:paraId="5A6F7C6A" w14:textId="77777777" w:rsidR="00AA4D91" w:rsidRPr="00AA4D91" w:rsidRDefault="00AA4D91" w:rsidP="00AA4D91">
            <w:pPr>
              <w:widowControl w:val="0"/>
              <w:tabs>
                <w:tab w:val="left" w:pos="1080"/>
              </w:tabs>
              <w:spacing w:after="20"/>
              <w:rPr>
                <w:color w:val="000000"/>
                <w:sz w:val="18"/>
              </w:rPr>
            </w:pPr>
          </w:p>
        </w:tc>
        <w:tc>
          <w:tcPr>
            <w:tcW w:w="4731" w:type="dxa"/>
          </w:tcPr>
          <w:p w14:paraId="0204D1CB" w14:textId="77777777" w:rsidR="00AA4D91" w:rsidRPr="00AA4D91" w:rsidRDefault="00AA4D91" w:rsidP="00AA4D91">
            <w:pPr>
              <w:widowControl w:val="0"/>
              <w:spacing w:after="20"/>
              <w:rPr>
                <w:color w:val="000000"/>
                <w:sz w:val="18"/>
              </w:rPr>
            </w:pPr>
            <w:r w:rsidRPr="00AA4D91">
              <w:rPr>
                <w:color w:val="000000"/>
                <w:sz w:val="18"/>
              </w:rPr>
              <w:lastRenderedPageBreak/>
              <w:t>It is recommended that management of immune-mediated adverse events (imAEs) follows the guidelines presented in this table:</w:t>
            </w:r>
          </w:p>
          <w:p w14:paraId="0DF0FFB6"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It is possible that events with an inflammatory or immune mediated mechanism could occur in nearly all organs, some of them not noted specifically in these guidelines.</w:t>
            </w:r>
          </w:p>
          <w:p w14:paraId="718EADFA"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Whether specific immune-mediated events (and/or laboratory indicators of such events) are noted in these guidelines or not, patients should be thoroughly evaluated to rule out any alternative etiology (e.g., disease progression, concomitant medications, and infections) to a possible immune-mediated event. In the absence of a clear alternative etiology, all such events should be managed as if they were immune related. General recommendations follow.</w:t>
            </w:r>
          </w:p>
          <w:p w14:paraId="09B53DE5"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 xml:space="preserve">Symptomatic and topical therapy should be considered for low-grade (Grade 1 or 2, unless otherwise specified) events. </w:t>
            </w:r>
          </w:p>
          <w:p w14:paraId="0914273A"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For persistent (&gt;3 to 5 days) low-grade (Grade 2) or severe (Grade ≥3) events, promptly start prednisone 1 to 2 mg/kg/day PO or IV equivalent.</w:t>
            </w:r>
          </w:p>
          <w:p w14:paraId="653195EA"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Some events with high likelihood for morbidity and/or mortality – e.g., myocarditis, or other similar events even if they are not currently noted in the guidelines – should progress rapidly to high dose IV corticosteroids (methylprednisolone at 2 to 4 mg/kg/day) even if the event is Grade 2, and if clinical suspicion is high and/or there has been clinical confirmation. Consider, as necessary, discussing with the study physician, and promptly pursue specialist consultation.</w:t>
            </w:r>
          </w:p>
          <w:p w14:paraId="3A51148A"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If symptoms recur or worsen during corticosteroid tapering (28 days of taper), increase the corticosteroid dose (prednisone dose [e.g., up to 2 to 4 mg/kg/day PO or IV equivalent]) until stabilization or improvement of symptoms, then resume corticosteroid tapering at a slower rate (&gt;28 days of taper).</w:t>
            </w:r>
          </w:p>
          <w:p w14:paraId="538DC680"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lastRenderedPageBreak/>
              <w:t>More potent immunosuppressives such as TNF inhibitors (e.g., infliximab</w:t>
            </w:r>
            <w:r w:rsidRPr="00AA4D91">
              <w:rPr>
                <w:color w:val="000000"/>
                <w:sz w:val="18"/>
                <w:szCs w:val="18"/>
              </w:rPr>
              <w:t xml:space="preserve">; </w:t>
            </w:r>
            <w:r w:rsidRPr="00AA4D91">
              <w:rPr>
                <w:color w:val="000000"/>
                <w:sz w:val="18"/>
              </w:rPr>
              <w:t>also refer to the individual sections of the imAEs for specific type of immunosuppressive) should be considered for events not responding to systemic steroids. Progression to use of more potent immunosuppressives should proceed more rapidly in events with high likelihood for morbidity and/or mortality – e.g., myocarditis, or other similar events even if they are not currently noted in the guidelines – when these events are not responding to systemic steroids.</w:t>
            </w:r>
          </w:p>
          <w:p w14:paraId="01050A93"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 xml:space="preserve">With long-term steroid and other immunosuppressive use, consider need for </w:t>
            </w:r>
            <w:r w:rsidRPr="00AA4D91">
              <w:rPr>
                <w:i/>
                <w:color w:val="000000"/>
                <w:sz w:val="18"/>
              </w:rPr>
              <w:t>Pneumocystis jirovecii</w:t>
            </w:r>
            <w:r w:rsidRPr="00AA4D91">
              <w:rPr>
                <w:color w:val="000000"/>
                <w:sz w:val="18"/>
              </w:rPr>
              <w:t xml:space="preserve"> pneumonia (PJP, formerly known as </w:t>
            </w:r>
            <w:r w:rsidRPr="00AA4D91">
              <w:rPr>
                <w:i/>
                <w:color w:val="000000"/>
                <w:sz w:val="18"/>
              </w:rPr>
              <w:t>Pneumocystis carinii</w:t>
            </w:r>
            <w:r w:rsidRPr="00AA4D91">
              <w:rPr>
                <w:color w:val="000000"/>
                <w:sz w:val="18"/>
              </w:rPr>
              <w:t xml:space="preserve"> pneumonia) prophylaxis, gastrointestinal protection, and glucose monitoring.</w:t>
            </w:r>
          </w:p>
          <w:p w14:paraId="3973565C" w14:textId="77777777" w:rsidR="00AA4D91" w:rsidRPr="00AA4D91" w:rsidRDefault="00AA4D91" w:rsidP="00AA4D91">
            <w:pPr>
              <w:widowControl w:val="0"/>
              <w:numPr>
                <w:ilvl w:val="0"/>
                <w:numId w:val="84"/>
              </w:numPr>
              <w:spacing w:before="0" w:after="20"/>
              <w:rPr>
                <w:color w:val="000000"/>
                <w:sz w:val="18"/>
              </w:rPr>
            </w:pPr>
            <w:r w:rsidRPr="00AA4D91">
              <w:rPr>
                <w:color w:val="000000"/>
                <w:sz w:val="18"/>
              </w:rPr>
              <w:t xml:space="preserve">Discontinuation of study drug/study regimen is not mandated for </w:t>
            </w:r>
            <w:r w:rsidRPr="00AA4D91">
              <w:rPr>
                <w:color w:val="000000"/>
                <w:sz w:val="18"/>
                <w:szCs w:val="18"/>
              </w:rPr>
              <w:br/>
            </w:r>
            <w:r w:rsidRPr="00AA4D91">
              <w:rPr>
                <w:color w:val="000000"/>
                <w:sz w:val="18"/>
              </w:rPr>
              <w:t xml:space="preserve">Grade 3/Grade 4 inflammatory reactions attributed to local </w:t>
            </w:r>
            <w:r w:rsidRPr="00AA4D91">
              <w:rPr>
                <w:color w:val="000000"/>
                <w:sz w:val="18"/>
                <w:szCs w:val="18"/>
              </w:rPr>
              <w:t>tumor</w:t>
            </w:r>
            <w:r w:rsidRPr="00AA4D91">
              <w:rPr>
                <w:color w:val="000000"/>
                <w:sz w:val="18"/>
              </w:rPr>
              <w:t xml:space="preserve"> response (e.g., inflammatory reaction at sites of metastatic disease and lymph nodes). Continuation of study drug/study regimen in this situation should be based upon a benefit-risk analysis for that patient.</w:t>
            </w:r>
          </w:p>
        </w:tc>
      </w:tr>
    </w:tbl>
    <w:p w14:paraId="6ABA6A56" w14:textId="77777777" w:rsidR="00AA4D91" w:rsidRPr="00AA4D91" w:rsidRDefault="00AA4D91" w:rsidP="00AA4D91">
      <w:pPr>
        <w:tabs>
          <w:tab w:val="left" w:pos="432"/>
        </w:tabs>
        <w:spacing w:after="20"/>
        <w:ind w:left="432" w:hanging="432"/>
        <w:rPr>
          <w:rFonts w:eastAsia="Calibri"/>
          <w:sz w:val="18"/>
        </w:rPr>
      </w:pPr>
      <w:r w:rsidRPr="00AA4D91">
        <w:rPr>
          <w:rFonts w:eastAsia="Calibri"/>
          <w:sz w:val="18"/>
        </w:rPr>
        <w:lastRenderedPageBreak/>
        <w:t>AE Adverse event; CTC Common Toxicity Criteria; CTCAE Common Terminology Criteria for Adverse Events; imAE immune-mediated adverse event; IV intravenous; NCI National Cancer Institute; PO By mouth.</w:t>
      </w:r>
    </w:p>
    <w:tbl>
      <w:tblPr>
        <w:tblStyle w:val="TableGrid2"/>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564"/>
        <w:gridCol w:w="2316"/>
        <w:gridCol w:w="3390"/>
      </w:tblGrid>
      <w:tr w:rsidR="00E21E1A" w:rsidRPr="00E21E1A" w14:paraId="4A355ADB" w14:textId="77777777" w:rsidTr="00CF7A38">
        <w:trPr>
          <w:tblHeader/>
        </w:trPr>
        <w:tc>
          <w:tcPr>
            <w:tcW w:w="12917" w:type="dxa"/>
            <w:gridSpan w:val="4"/>
          </w:tcPr>
          <w:p w14:paraId="38A9191E" w14:textId="77777777" w:rsidR="00E21E1A" w:rsidRPr="00E21E1A" w:rsidRDefault="00E21E1A" w:rsidP="00E21E1A">
            <w:pPr>
              <w:keepNext/>
              <w:pageBreakBefore/>
              <w:tabs>
                <w:tab w:val="left" w:pos="1800"/>
              </w:tabs>
              <w:spacing w:before="60" w:after="60"/>
              <w:ind w:left="1800" w:hanging="1800"/>
            </w:pPr>
            <w:r w:rsidRPr="00E21E1A">
              <w:rPr>
                <w:b/>
              </w:rPr>
              <w:lastRenderedPageBreak/>
              <w:t>Specific Immune-Mediated Reactions</w:t>
            </w:r>
          </w:p>
        </w:tc>
      </w:tr>
      <w:tr w:rsidR="00E21E1A" w:rsidRPr="00E21E1A" w14:paraId="0A7BE673" w14:textId="77777777" w:rsidTr="00CF7A38">
        <w:trPr>
          <w:tblHeader/>
        </w:trPr>
        <w:tc>
          <w:tcPr>
            <w:tcW w:w="2138" w:type="dxa"/>
          </w:tcPr>
          <w:p w14:paraId="7BEB5DEB" w14:textId="77777777" w:rsidR="00E21E1A" w:rsidRPr="00E21E1A" w:rsidRDefault="00E21E1A" w:rsidP="00E21E1A">
            <w:pPr>
              <w:keepNext/>
              <w:spacing w:before="60" w:after="60"/>
              <w:rPr>
                <w:sz w:val="18"/>
              </w:rPr>
            </w:pPr>
            <w:r w:rsidRPr="00E21E1A">
              <w:rPr>
                <w:b/>
                <w:sz w:val="18"/>
              </w:rPr>
              <w:t>Adverse Events</w:t>
            </w:r>
          </w:p>
        </w:tc>
        <w:tc>
          <w:tcPr>
            <w:tcW w:w="1954" w:type="dxa"/>
          </w:tcPr>
          <w:p w14:paraId="0F7F02D3" w14:textId="77777777" w:rsidR="00E21E1A" w:rsidRPr="00E21E1A" w:rsidRDefault="00E21E1A" w:rsidP="00E21E1A">
            <w:pPr>
              <w:keepNext/>
              <w:spacing w:before="60" w:after="60"/>
              <w:rPr>
                <w:sz w:val="18"/>
              </w:rPr>
            </w:pPr>
            <w:r w:rsidRPr="00E21E1A">
              <w:rPr>
                <w:b/>
                <w:sz w:val="18"/>
              </w:rPr>
              <w:t>Severity Grade of the Event (NCI CTCAE version 5.0)</w:t>
            </w:r>
          </w:p>
        </w:tc>
        <w:tc>
          <w:tcPr>
            <w:tcW w:w="3287" w:type="dxa"/>
          </w:tcPr>
          <w:p w14:paraId="169C1546" w14:textId="77777777" w:rsidR="00E21E1A" w:rsidRPr="00E21E1A" w:rsidRDefault="00E21E1A" w:rsidP="00E21E1A">
            <w:pPr>
              <w:keepNext/>
              <w:spacing w:before="60" w:after="60"/>
              <w:rPr>
                <w:sz w:val="18"/>
              </w:rPr>
            </w:pPr>
            <w:r w:rsidRPr="00E21E1A">
              <w:rPr>
                <w:b/>
                <w:sz w:val="18"/>
              </w:rPr>
              <w:t>Dose Modifications</w:t>
            </w:r>
          </w:p>
        </w:tc>
        <w:tc>
          <w:tcPr>
            <w:tcW w:w="5538" w:type="dxa"/>
          </w:tcPr>
          <w:p w14:paraId="7CE8CFE1" w14:textId="77777777" w:rsidR="00E21E1A" w:rsidRPr="00E21E1A" w:rsidRDefault="00E21E1A" w:rsidP="00E21E1A">
            <w:pPr>
              <w:keepNext/>
              <w:spacing w:before="60" w:after="60"/>
              <w:rPr>
                <w:sz w:val="18"/>
              </w:rPr>
            </w:pPr>
            <w:r w:rsidRPr="00E21E1A">
              <w:rPr>
                <w:b/>
                <w:sz w:val="18"/>
              </w:rPr>
              <w:t>Toxicity Management</w:t>
            </w:r>
          </w:p>
        </w:tc>
      </w:tr>
      <w:tr w:rsidR="00E21E1A" w:rsidRPr="00E21E1A" w14:paraId="0DD4C600" w14:textId="77777777" w:rsidTr="00CF7A38">
        <w:tc>
          <w:tcPr>
            <w:tcW w:w="2138" w:type="dxa"/>
            <w:vMerge w:val="restart"/>
          </w:tcPr>
          <w:p w14:paraId="4E44790E" w14:textId="77777777" w:rsidR="00E21E1A" w:rsidRPr="00E21E1A" w:rsidRDefault="00E21E1A" w:rsidP="00E21E1A">
            <w:pPr>
              <w:spacing w:before="60" w:after="60"/>
              <w:rPr>
                <w:b/>
                <w:sz w:val="18"/>
              </w:rPr>
            </w:pPr>
            <w:r w:rsidRPr="00E21E1A">
              <w:rPr>
                <w:b/>
                <w:sz w:val="18"/>
              </w:rPr>
              <w:t>Pneumonitis/Interstitial Lung Disease (ILD)</w:t>
            </w:r>
          </w:p>
        </w:tc>
        <w:tc>
          <w:tcPr>
            <w:tcW w:w="1954" w:type="dxa"/>
          </w:tcPr>
          <w:p w14:paraId="33E4FF87" w14:textId="77777777" w:rsidR="00E21E1A" w:rsidRPr="00E21E1A" w:rsidRDefault="00E21E1A" w:rsidP="00E21E1A">
            <w:pPr>
              <w:spacing w:before="60" w:after="60"/>
              <w:rPr>
                <w:b/>
                <w:sz w:val="18"/>
              </w:rPr>
            </w:pPr>
            <w:r w:rsidRPr="00E21E1A">
              <w:rPr>
                <w:b/>
                <w:sz w:val="18"/>
              </w:rPr>
              <w:t>Any Grade</w:t>
            </w:r>
          </w:p>
        </w:tc>
        <w:tc>
          <w:tcPr>
            <w:tcW w:w="3287" w:type="dxa"/>
          </w:tcPr>
          <w:p w14:paraId="732BB807" w14:textId="77777777" w:rsidR="00E21E1A" w:rsidRPr="00E21E1A" w:rsidRDefault="00E21E1A" w:rsidP="00E21E1A">
            <w:pPr>
              <w:spacing w:before="60" w:after="60"/>
              <w:rPr>
                <w:b/>
                <w:sz w:val="18"/>
              </w:rPr>
            </w:pPr>
            <w:r w:rsidRPr="00E21E1A">
              <w:rPr>
                <w:b/>
                <w:sz w:val="18"/>
              </w:rPr>
              <w:t>General Guidance</w:t>
            </w:r>
          </w:p>
        </w:tc>
        <w:tc>
          <w:tcPr>
            <w:tcW w:w="5538" w:type="dxa"/>
          </w:tcPr>
          <w:p w14:paraId="6F3FEA83" w14:textId="77777777" w:rsidR="00E21E1A" w:rsidRPr="00E21E1A" w:rsidRDefault="00E21E1A" w:rsidP="00E21E1A">
            <w:pPr>
              <w:spacing w:before="60" w:after="60"/>
              <w:rPr>
                <w:b/>
                <w:sz w:val="18"/>
              </w:rPr>
            </w:pPr>
            <w:r w:rsidRPr="00E21E1A">
              <w:rPr>
                <w:b/>
                <w:sz w:val="18"/>
              </w:rPr>
              <w:t>For Any Grade:</w:t>
            </w:r>
          </w:p>
          <w:p w14:paraId="02149B1B" w14:textId="77777777" w:rsidR="00E21E1A" w:rsidRPr="00E21E1A" w:rsidRDefault="00E21E1A" w:rsidP="00E21E1A">
            <w:pPr>
              <w:numPr>
                <w:ilvl w:val="0"/>
                <w:numId w:val="95"/>
              </w:numPr>
              <w:spacing w:before="60" w:after="60"/>
              <w:rPr>
                <w:sz w:val="18"/>
              </w:rPr>
            </w:pPr>
            <w:r w:rsidRPr="00E21E1A">
              <w:rPr>
                <w:sz w:val="18"/>
              </w:rPr>
              <w:t>Monitor patients for signs and symptoms of pneumonitis or ILD (new onset or worsening shortness of breath or cough). Patients should be evaluated with imaging and pulmonary function tests, including other diagnostic procedures as described below.</w:t>
            </w:r>
          </w:p>
          <w:p w14:paraId="6B8F037E" w14:textId="77777777" w:rsidR="00E21E1A" w:rsidRPr="00E21E1A" w:rsidRDefault="00E21E1A" w:rsidP="00E21E1A">
            <w:pPr>
              <w:numPr>
                <w:ilvl w:val="0"/>
                <w:numId w:val="95"/>
              </w:numPr>
              <w:spacing w:before="60" w:after="60"/>
              <w:rPr>
                <w:sz w:val="18"/>
              </w:rPr>
            </w:pPr>
            <w:r w:rsidRPr="00E21E1A">
              <w:rPr>
                <w:sz w:val="18"/>
              </w:rPr>
              <w:t>Suspected pneumonitis should be confirmed with radiographic imaging and other infectious and disease-related aetiologies excluded, and managed as described below</w:t>
            </w:r>
          </w:p>
          <w:p w14:paraId="6885EAD1" w14:textId="77777777" w:rsidR="00E21E1A" w:rsidRPr="00E21E1A" w:rsidRDefault="00E21E1A" w:rsidP="00E21E1A">
            <w:pPr>
              <w:numPr>
                <w:ilvl w:val="0"/>
                <w:numId w:val="95"/>
              </w:numPr>
              <w:spacing w:before="60" w:after="60"/>
              <w:rPr>
                <w:sz w:val="18"/>
              </w:rPr>
            </w:pPr>
            <w:r w:rsidRPr="00E21E1A">
              <w:rPr>
                <w:sz w:val="18"/>
              </w:rPr>
              <w:t>Initial work-up may include clinical evaluation, monitoring of oxygenation via pulse oximetry (resting and exertion), laboratory work-up, and high- resolution CT scan.</w:t>
            </w:r>
          </w:p>
          <w:p w14:paraId="748E3003" w14:textId="77777777" w:rsidR="00E21E1A" w:rsidRPr="00E21E1A" w:rsidRDefault="00E21E1A" w:rsidP="00E21E1A">
            <w:pPr>
              <w:numPr>
                <w:ilvl w:val="0"/>
                <w:numId w:val="95"/>
              </w:numPr>
              <w:spacing w:before="60" w:after="60"/>
              <w:rPr>
                <w:sz w:val="18"/>
              </w:rPr>
            </w:pPr>
            <w:r w:rsidRPr="00E21E1A">
              <w:rPr>
                <w:sz w:val="18"/>
              </w:rPr>
              <w:t>Consider Pulmonary and Infectious Disease Consults</w:t>
            </w:r>
          </w:p>
        </w:tc>
      </w:tr>
      <w:tr w:rsidR="00E21E1A" w:rsidRPr="00E21E1A" w14:paraId="2B88BAE2" w14:textId="77777777" w:rsidTr="00CF7A38">
        <w:tc>
          <w:tcPr>
            <w:tcW w:w="2138" w:type="dxa"/>
            <w:vMerge/>
          </w:tcPr>
          <w:p w14:paraId="36BC987C" w14:textId="77777777" w:rsidR="00E21E1A" w:rsidRPr="00E21E1A" w:rsidRDefault="00E21E1A" w:rsidP="00E21E1A">
            <w:pPr>
              <w:spacing w:before="60" w:after="60"/>
              <w:rPr>
                <w:sz w:val="18"/>
              </w:rPr>
            </w:pPr>
          </w:p>
        </w:tc>
        <w:tc>
          <w:tcPr>
            <w:tcW w:w="1954" w:type="dxa"/>
          </w:tcPr>
          <w:p w14:paraId="7C32A682" w14:textId="77777777" w:rsidR="00E21E1A" w:rsidRPr="00E21E1A" w:rsidRDefault="00E21E1A" w:rsidP="00E21E1A">
            <w:pPr>
              <w:spacing w:before="60" w:after="60"/>
              <w:rPr>
                <w:b/>
                <w:sz w:val="18"/>
              </w:rPr>
            </w:pPr>
            <w:r w:rsidRPr="00E21E1A">
              <w:rPr>
                <w:b/>
                <w:sz w:val="18"/>
              </w:rPr>
              <w:t>Grade 1</w:t>
            </w:r>
          </w:p>
          <w:p w14:paraId="3E2AC4C9" w14:textId="77777777" w:rsidR="00E21E1A" w:rsidRPr="00E21E1A" w:rsidRDefault="00E21E1A" w:rsidP="00E21E1A">
            <w:pPr>
              <w:spacing w:before="60" w:after="60"/>
              <w:rPr>
                <w:sz w:val="18"/>
              </w:rPr>
            </w:pPr>
            <w:r w:rsidRPr="00E21E1A">
              <w:rPr>
                <w:sz w:val="18"/>
              </w:rPr>
              <w:t>(asymptomatic, clinical or diagnostic observations only; intervention not indicated)</w:t>
            </w:r>
          </w:p>
        </w:tc>
        <w:tc>
          <w:tcPr>
            <w:tcW w:w="3287" w:type="dxa"/>
          </w:tcPr>
          <w:p w14:paraId="09CC1ABB" w14:textId="77777777" w:rsidR="00E21E1A" w:rsidRPr="00E21E1A" w:rsidRDefault="00E21E1A" w:rsidP="00E21E1A">
            <w:pPr>
              <w:spacing w:before="60" w:after="60"/>
              <w:rPr>
                <w:sz w:val="18"/>
              </w:rPr>
            </w:pPr>
            <w:r w:rsidRPr="00E21E1A">
              <w:rPr>
                <w:sz w:val="18"/>
              </w:rPr>
              <w:t>No dose modifications required. However, consider holding study drug/study regimen dose as clinically appropriate and during diagnostic work-up for other etiologies.</w:t>
            </w:r>
          </w:p>
        </w:tc>
        <w:tc>
          <w:tcPr>
            <w:tcW w:w="5538" w:type="dxa"/>
          </w:tcPr>
          <w:p w14:paraId="762A24E3" w14:textId="77777777" w:rsidR="00E21E1A" w:rsidRPr="00E21E1A" w:rsidRDefault="00E21E1A" w:rsidP="00E21E1A">
            <w:pPr>
              <w:spacing w:before="60" w:after="60"/>
              <w:rPr>
                <w:b/>
                <w:sz w:val="18"/>
              </w:rPr>
            </w:pPr>
            <w:r w:rsidRPr="00E21E1A">
              <w:rPr>
                <w:b/>
                <w:sz w:val="18"/>
              </w:rPr>
              <w:t>For Grade 1 (radiographic changes only):</w:t>
            </w:r>
          </w:p>
          <w:p w14:paraId="49D61811" w14:textId="77777777" w:rsidR="00E21E1A" w:rsidRPr="00E21E1A" w:rsidRDefault="00E21E1A" w:rsidP="00E21E1A">
            <w:pPr>
              <w:numPr>
                <w:ilvl w:val="0"/>
                <w:numId w:val="85"/>
              </w:numPr>
              <w:spacing w:before="60" w:after="60"/>
              <w:rPr>
                <w:sz w:val="18"/>
              </w:rPr>
            </w:pPr>
            <w:r w:rsidRPr="00E21E1A">
              <w:rPr>
                <w:sz w:val="18"/>
              </w:rPr>
              <w:t>Monitor and closely follow up in 2 to 4 days for clinical symptoms, pulse oximetry (resting and exertion), and laboratory work-up and then as clinically indicated.</w:t>
            </w:r>
          </w:p>
          <w:p w14:paraId="35662AE7" w14:textId="77777777" w:rsidR="00E21E1A" w:rsidRPr="00E21E1A" w:rsidRDefault="00E21E1A" w:rsidP="00E21E1A">
            <w:pPr>
              <w:numPr>
                <w:ilvl w:val="0"/>
                <w:numId w:val="85"/>
              </w:numPr>
              <w:spacing w:before="60" w:after="60"/>
              <w:rPr>
                <w:sz w:val="18"/>
              </w:rPr>
            </w:pPr>
            <w:r w:rsidRPr="00E21E1A">
              <w:rPr>
                <w:sz w:val="18"/>
              </w:rPr>
              <w:t xml:space="preserve">Consider Pulmonary and Infectious </w:t>
            </w:r>
            <w:r w:rsidRPr="00E21E1A">
              <w:rPr>
                <w:sz w:val="18"/>
                <w:szCs w:val="18"/>
              </w:rPr>
              <w:t>Disease consults.</w:t>
            </w:r>
          </w:p>
        </w:tc>
      </w:tr>
      <w:tr w:rsidR="00E21E1A" w:rsidRPr="00E21E1A" w14:paraId="4C82781E" w14:textId="77777777" w:rsidTr="00CF7A38">
        <w:tc>
          <w:tcPr>
            <w:tcW w:w="2138" w:type="dxa"/>
            <w:vMerge/>
          </w:tcPr>
          <w:p w14:paraId="37763736" w14:textId="77777777" w:rsidR="00E21E1A" w:rsidRPr="00E21E1A" w:rsidRDefault="00E21E1A" w:rsidP="00E21E1A">
            <w:pPr>
              <w:spacing w:before="60" w:after="60"/>
              <w:rPr>
                <w:sz w:val="18"/>
              </w:rPr>
            </w:pPr>
          </w:p>
        </w:tc>
        <w:tc>
          <w:tcPr>
            <w:tcW w:w="1954" w:type="dxa"/>
          </w:tcPr>
          <w:p w14:paraId="4D30D48E" w14:textId="77777777" w:rsidR="00E21E1A" w:rsidRPr="00E21E1A" w:rsidRDefault="00E21E1A" w:rsidP="00E21E1A">
            <w:pPr>
              <w:spacing w:before="60" w:after="60"/>
              <w:rPr>
                <w:b/>
                <w:sz w:val="18"/>
              </w:rPr>
            </w:pPr>
            <w:r w:rsidRPr="00E21E1A">
              <w:rPr>
                <w:b/>
                <w:sz w:val="18"/>
              </w:rPr>
              <w:t>Grade 2</w:t>
            </w:r>
          </w:p>
          <w:p w14:paraId="65571F6E" w14:textId="77777777" w:rsidR="00E21E1A" w:rsidRPr="00E21E1A" w:rsidRDefault="00E21E1A" w:rsidP="00E21E1A">
            <w:pPr>
              <w:spacing w:before="60" w:after="60"/>
              <w:rPr>
                <w:sz w:val="18"/>
              </w:rPr>
            </w:pPr>
            <w:r w:rsidRPr="00E21E1A">
              <w:rPr>
                <w:sz w:val="18"/>
              </w:rPr>
              <w:t xml:space="preserve">(symptomatic; medical intervention indicated; limiting </w:t>
            </w:r>
            <w:r w:rsidRPr="00E21E1A">
              <w:rPr>
                <w:sz w:val="18"/>
              </w:rPr>
              <w:lastRenderedPageBreak/>
              <w:t>instrumental ADL)</w:t>
            </w:r>
          </w:p>
        </w:tc>
        <w:tc>
          <w:tcPr>
            <w:tcW w:w="3287" w:type="dxa"/>
          </w:tcPr>
          <w:p w14:paraId="5A5DA29D" w14:textId="77777777" w:rsidR="00E21E1A" w:rsidRPr="00E21E1A" w:rsidRDefault="00E21E1A" w:rsidP="00E21E1A">
            <w:pPr>
              <w:spacing w:before="60" w:after="60"/>
              <w:rPr>
                <w:sz w:val="18"/>
              </w:rPr>
            </w:pPr>
            <w:r w:rsidRPr="00E21E1A">
              <w:rPr>
                <w:sz w:val="18"/>
              </w:rPr>
              <w:lastRenderedPageBreak/>
              <w:t>Hold study drug/study regimen dose until Grade 2 resolution to Grade ≤1.</w:t>
            </w:r>
          </w:p>
          <w:p w14:paraId="55345134" w14:textId="77777777" w:rsidR="00E21E1A" w:rsidRPr="00E21E1A" w:rsidRDefault="00E21E1A" w:rsidP="00E21E1A">
            <w:pPr>
              <w:numPr>
                <w:ilvl w:val="0"/>
                <w:numId w:val="86"/>
              </w:numPr>
              <w:spacing w:before="60" w:after="60"/>
              <w:ind w:left="342" w:hanging="342"/>
              <w:rPr>
                <w:sz w:val="18"/>
              </w:rPr>
            </w:pPr>
            <w:r w:rsidRPr="00E21E1A">
              <w:rPr>
                <w:sz w:val="18"/>
              </w:rPr>
              <w:t>If toxicity worsens, then treat as Grade 3 or Grade 4.</w:t>
            </w:r>
          </w:p>
          <w:p w14:paraId="531C0E82" w14:textId="77777777" w:rsidR="00E21E1A" w:rsidRPr="00E21E1A" w:rsidRDefault="00E21E1A" w:rsidP="00E21E1A">
            <w:pPr>
              <w:numPr>
                <w:ilvl w:val="0"/>
                <w:numId w:val="86"/>
              </w:numPr>
              <w:spacing w:before="60" w:after="60"/>
              <w:ind w:left="342" w:hanging="342"/>
              <w:rPr>
                <w:sz w:val="18"/>
              </w:rPr>
            </w:pPr>
            <w:r w:rsidRPr="00E21E1A">
              <w:rPr>
                <w:sz w:val="18"/>
              </w:rPr>
              <w:lastRenderedPageBreak/>
              <w:t>If toxicity improves to Grade ≤1, then the decision to reinitiate study drug/study regimen will be based upon treating physician’s clinical judgment and after completion of steroid taper.</w:t>
            </w:r>
          </w:p>
        </w:tc>
        <w:tc>
          <w:tcPr>
            <w:tcW w:w="5538" w:type="dxa"/>
          </w:tcPr>
          <w:p w14:paraId="76656A2A" w14:textId="77777777" w:rsidR="00E21E1A" w:rsidRPr="00E21E1A" w:rsidRDefault="00E21E1A" w:rsidP="00E21E1A">
            <w:pPr>
              <w:spacing w:before="60" w:after="60"/>
              <w:rPr>
                <w:b/>
                <w:sz w:val="18"/>
              </w:rPr>
            </w:pPr>
            <w:r w:rsidRPr="00E21E1A">
              <w:rPr>
                <w:b/>
                <w:sz w:val="18"/>
              </w:rPr>
              <w:lastRenderedPageBreak/>
              <w:t>For Grade 2 (mild to moderate new symptoms):</w:t>
            </w:r>
          </w:p>
          <w:p w14:paraId="2BA6BE67" w14:textId="77777777" w:rsidR="00E21E1A" w:rsidRPr="00E21E1A" w:rsidRDefault="00E21E1A" w:rsidP="00E21E1A">
            <w:pPr>
              <w:numPr>
                <w:ilvl w:val="0"/>
                <w:numId w:val="87"/>
              </w:numPr>
              <w:spacing w:before="60" w:after="60"/>
              <w:rPr>
                <w:sz w:val="18"/>
              </w:rPr>
            </w:pPr>
            <w:r w:rsidRPr="00E21E1A">
              <w:rPr>
                <w:sz w:val="18"/>
              </w:rPr>
              <w:t>Monitor symptoms daily and consider hospitalization.</w:t>
            </w:r>
          </w:p>
          <w:p w14:paraId="36E333AF" w14:textId="77777777" w:rsidR="00E21E1A" w:rsidRPr="00E21E1A" w:rsidRDefault="00E21E1A" w:rsidP="00E21E1A">
            <w:pPr>
              <w:numPr>
                <w:ilvl w:val="0"/>
                <w:numId w:val="87"/>
              </w:numPr>
              <w:spacing w:before="60" w:after="60"/>
              <w:rPr>
                <w:sz w:val="18"/>
              </w:rPr>
            </w:pPr>
            <w:r w:rsidRPr="00E21E1A">
              <w:rPr>
                <w:sz w:val="18"/>
              </w:rPr>
              <w:lastRenderedPageBreak/>
              <w:t>Promptly start systemic steroids (e.g., prednisone 1 to 2 mg/kg/day PO or IV equivalent).</w:t>
            </w:r>
          </w:p>
          <w:p w14:paraId="4542983E" w14:textId="77777777" w:rsidR="00E21E1A" w:rsidRPr="00E21E1A" w:rsidRDefault="00E21E1A" w:rsidP="00E21E1A">
            <w:pPr>
              <w:numPr>
                <w:ilvl w:val="0"/>
                <w:numId w:val="87"/>
              </w:numPr>
              <w:spacing w:before="60" w:after="60"/>
              <w:rPr>
                <w:sz w:val="18"/>
              </w:rPr>
            </w:pPr>
            <w:r w:rsidRPr="00E21E1A">
              <w:rPr>
                <w:sz w:val="18"/>
              </w:rPr>
              <w:t xml:space="preserve">Reimage as clinically indicated, </w:t>
            </w:r>
            <w:r w:rsidRPr="00E21E1A">
              <w:t xml:space="preserve"> </w:t>
            </w:r>
            <w:r w:rsidRPr="00E21E1A">
              <w:rPr>
                <w:sz w:val="18"/>
              </w:rPr>
              <w:t>consider Chest CT with contrast and repeat in 3-4 weeks.</w:t>
            </w:r>
          </w:p>
          <w:p w14:paraId="26D749EF" w14:textId="77777777" w:rsidR="00E21E1A" w:rsidRPr="00E21E1A" w:rsidRDefault="00E21E1A" w:rsidP="00E21E1A">
            <w:pPr>
              <w:numPr>
                <w:ilvl w:val="0"/>
                <w:numId w:val="87"/>
              </w:numPr>
              <w:spacing w:before="60" w:after="60"/>
              <w:rPr>
                <w:sz w:val="18"/>
              </w:rPr>
            </w:pPr>
            <w:r w:rsidRPr="00E21E1A">
              <w:rPr>
                <w:sz w:val="18"/>
              </w:rPr>
              <w:t>If no improvement within 2 to 3 days, additional workup should be considered and prompt treatment with IV methylprednisolone 2 to 4 mg/kg/day started</w:t>
            </w:r>
          </w:p>
          <w:p w14:paraId="2C3C0D46" w14:textId="77777777" w:rsidR="00E21E1A" w:rsidRPr="00E21E1A" w:rsidRDefault="00E21E1A" w:rsidP="00E21E1A">
            <w:pPr>
              <w:numPr>
                <w:ilvl w:val="0"/>
                <w:numId w:val="87"/>
              </w:numPr>
              <w:spacing w:before="60" w:after="60"/>
              <w:rPr>
                <w:sz w:val="18"/>
              </w:rPr>
            </w:pPr>
            <w:r w:rsidRPr="00E21E1A">
              <w:rPr>
                <w:sz w:val="18"/>
              </w:rPr>
              <w:t xml:space="preserve">If still no improvement within 2 to 3 days despite IV methylprednisolone at 2 to 4 mg/kg/day, promptly start immunosuppressive therapy such as TNF inhibitors (e.g., infliximab at 5 mg/kg IV once, may be </w:t>
            </w:r>
            <w:r w:rsidRPr="00E21E1A">
              <w:t xml:space="preserve"> </w:t>
            </w:r>
            <w:r w:rsidRPr="00E21E1A">
              <w:rPr>
                <w:sz w:val="18"/>
              </w:rPr>
              <w:t>repeated at 2 and 6 weeks after initial dose at the discretion of the treating provider</w:t>
            </w:r>
            <w:r w:rsidRPr="00E21E1A" w:rsidDel="002F4726">
              <w:rPr>
                <w:sz w:val="18"/>
              </w:rPr>
              <w:t xml:space="preserve"> </w:t>
            </w:r>
            <w:r w:rsidRPr="00E21E1A">
              <w:rPr>
                <w:sz w:val="18"/>
              </w:rPr>
              <w:t>). Caution: It is important to rule out sepsis and refer to infliximab label for general guidance before using infliximab.</w:t>
            </w:r>
          </w:p>
          <w:p w14:paraId="16D5F9CB" w14:textId="77777777" w:rsidR="00E21E1A" w:rsidRPr="00E21E1A" w:rsidRDefault="00E21E1A" w:rsidP="00E21E1A">
            <w:pPr>
              <w:numPr>
                <w:ilvl w:val="0"/>
                <w:numId w:val="89"/>
              </w:numPr>
              <w:spacing w:before="60" w:after="60"/>
              <w:rPr>
                <w:sz w:val="18"/>
              </w:rPr>
            </w:pPr>
            <w:r w:rsidRPr="00E21E1A">
              <w:rPr>
                <w:sz w:val="18"/>
              </w:rPr>
              <w:t>Once the patient is improving, gradually taper steroids over ≥28 days and consider prophylactic antibiotics, antifungals, or anti-PJP treatment (refer to current NCCN guidelines for treatment of cancer-related infections</w:t>
            </w:r>
            <w:r w:rsidRPr="00E21E1A">
              <w:rPr>
                <w:sz w:val="18"/>
                <w:szCs w:val="18"/>
              </w:rPr>
              <w:t>)</w:t>
            </w:r>
            <w:r w:rsidRPr="00E21E1A">
              <w:rPr>
                <w:sz w:val="18"/>
                <w:vertAlign w:val="superscript"/>
              </w:rPr>
              <w:t>a</w:t>
            </w:r>
          </w:p>
          <w:p w14:paraId="29DC9F8A" w14:textId="77777777" w:rsidR="00E21E1A" w:rsidRPr="00E21E1A" w:rsidRDefault="00E21E1A" w:rsidP="00E21E1A">
            <w:pPr>
              <w:numPr>
                <w:ilvl w:val="0"/>
                <w:numId w:val="87"/>
              </w:numPr>
              <w:spacing w:before="60" w:after="60"/>
              <w:rPr>
                <w:sz w:val="18"/>
              </w:rPr>
            </w:pPr>
            <w:r w:rsidRPr="00E21E1A">
              <w:rPr>
                <w:sz w:val="18"/>
              </w:rPr>
              <w:t xml:space="preserve">Consider </w:t>
            </w:r>
            <w:r w:rsidRPr="00E21E1A">
              <w:rPr>
                <w:sz w:val="18"/>
                <w:szCs w:val="18"/>
              </w:rPr>
              <w:t>Pulmonary</w:t>
            </w:r>
            <w:r w:rsidRPr="00E21E1A">
              <w:rPr>
                <w:sz w:val="18"/>
              </w:rPr>
              <w:t xml:space="preserve"> and </w:t>
            </w:r>
            <w:r w:rsidRPr="00E21E1A">
              <w:rPr>
                <w:sz w:val="18"/>
                <w:szCs w:val="18"/>
              </w:rPr>
              <w:t>Infectious Disease consults</w:t>
            </w:r>
            <w:r w:rsidRPr="00E21E1A">
              <w:rPr>
                <w:sz w:val="18"/>
              </w:rPr>
              <w:t>.</w:t>
            </w:r>
          </w:p>
          <w:p w14:paraId="0FE12CDB" w14:textId="77777777" w:rsidR="00E21E1A" w:rsidRPr="00E21E1A" w:rsidRDefault="00E21E1A" w:rsidP="00E21E1A">
            <w:pPr>
              <w:numPr>
                <w:ilvl w:val="0"/>
                <w:numId w:val="87"/>
              </w:numPr>
              <w:spacing w:before="60" w:after="60"/>
              <w:rPr>
                <w:sz w:val="18"/>
              </w:rPr>
            </w:pPr>
            <w:r w:rsidRPr="00E21E1A">
              <w:rPr>
                <w:sz w:val="18"/>
              </w:rPr>
              <w:t>Consider, as necessary, discussing with study physician.</w:t>
            </w:r>
          </w:p>
        </w:tc>
      </w:tr>
      <w:tr w:rsidR="00E21E1A" w:rsidRPr="00E21E1A" w14:paraId="1DD08EAD" w14:textId="77777777" w:rsidTr="00CF7A38">
        <w:tc>
          <w:tcPr>
            <w:tcW w:w="2138" w:type="dxa"/>
            <w:vMerge/>
          </w:tcPr>
          <w:p w14:paraId="4446F755" w14:textId="77777777" w:rsidR="00E21E1A" w:rsidRPr="00E21E1A" w:rsidRDefault="00E21E1A" w:rsidP="00E21E1A">
            <w:pPr>
              <w:spacing w:before="60" w:after="60"/>
              <w:rPr>
                <w:sz w:val="18"/>
              </w:rPr>
            </w:pPr>
          </w:p>
        </w:tc>
        <w:tc>
          <w:tcPr>
            <w:tcW w:w="1954" w:type="dxa"/>
          </w:tcPr>
          <w:p w14:paraId="718B48F3" w14:textId="77777777" w:rsidR="00E21E1A" w:rsidRPr="00E21E1A" w:rsidRDefault="00E21E1A" w:rsidP="00E21E1A">
            <w:pPr>
              <w:spacing w:before="60" w:after="60"/>
              <w:rPr>
                <w:b/>
                <w:sz w:val="18"/>
              </w:rPr>
            </w:pPr>
            <w:r w:rsidRPr="00E21E1A">
              <w:rPr>
                <w:b/>
                <w:sz w:val="18"/>
              </w:rPr>
              <w:t>Grade 3 or 4</w:t>
            </w:r>
          </w:p>
          <w:p w14:paraId="077A80A7" w14:textId="77777777" w:rsidR="00E21E1A" w:rsidRPr="00E21E1A" w:rsidRDefault="00E21E1A" w:rsidP="00E21E1A">
            <w:pPr>
              <w:spacing w:before="60" w:after="60"/>
              <w:rPr>
                <w:sz w:val="18"/>
              </w:rPr>
            </w:pPr>
            <w:r w:rsidRPr="00E21E1A">
              <w:rPr>
                <w:sz w:val="18"/>
              </w:rPr>
              <w:t xml:space="preserve">(Grade 3: severe symptoms; limiting self-care </w:t>
            </w:r>
            <w:r w:rsidRPr="00E21E1A">
              <w:rPr>
                <w:sz w:val="18"/>
              </w:rPr>
              <w:lastRenderedPageBreak/>
              <w:t>ADL; oxygen indicated)</w:t>
            </w:r>
          </w:p>
          <w:p w14:paraId="01A62937" w14:textId="77777777" w:rsidR="00E21E1A" w:rsidRPr="00E21E1A" w:rsidRDefault="00E21E1A" w:rsidP="00E21E1A">
            <w:pPr>
              <w:spacing w:before="60" w:after="60"/>
              <w:rPr>
                <w:sz w:val="18"/>
              </w:rPr>
            </w:pPr>
          </w:p>
          <w:p w14:paraId="5E87CC57" w14:textId="77777777" w:rsidR="00E21E1A" w:rsidRPr="00E21E1A" w:rsidRDefault="00E21E1A" w:rsidP="00E21E1A">
            <w:pPr>
              <w:spacing w:before="60" w:after="60"/>
              <w:rPr>
                <w:sz w:val="18"/>
              </w:rPr>
            </w:pPr>
            <w:r w:rsidRPr="00E21E1A">
              <w:rPr>
                <w:sz w:val="18"/>
              </w:rPr>
              <w:t>(Grade 4: life-threatening respiratory compromise; urgent intervention indicated [e.g., tracheostomy or intubation])</w:t>
            </w:r>
          </w:p>
        </w:tc>
        <w:tc>
          <w:tcPr>
            <w:tcW w:w="3287" w:type="dxa"/>
          </w:tcPr>
          <w:p w14:paraId="1AB709A3" w14:textId="77777777" w:rsidR="00E21E1A" w:rsidRPr="00E21E1A" w:rsidRDefault="00E21E1A" w:rsidP="00E21E1A">
            <w:pPr>
              <w:spacing w:before="60" w:after="60"/>
              <w:rPr>
                <w:sz w:val="18"/>
              </w:rPr>
            </w:pPr>
            <w:r w:rsidRPr="00E21E1A">
              <w:rPr>
                <w:sz w:val="18"/>
              </w:rPr>
              <w:lastRenderedPageBreak/>
              <w:t>Permanently discontinue study drug/study regimen.</w:t>
            </w:r>
          </w:p>
        </w:tc>
        <w:tc>
          <w:tcPr>
            <w:tcW w:w="5538" w:type="dxa"/>
          </w:tcPr>
          <w:p w14:paraId="7AF983F5" w14:textId="77777777" w:rsidR="00E21E1A" w:rsidRPr="00E21E1A" w:rsidRDefault="00E21E1A" w:rsidP="00E21E1A">
            <w:pPr>
              <w:spacing w:before="60" w:after="60"/>
              <w:rPr>
                <w:b/>
                <w:sz w:val="18"/>
              </w:rPr>
            </w:pPr>
            <w:r w:rsidRPr="00E21E1A">
              <w:rPr>
                <w:b/>
                <w:sz w:val="18"/>
              </w:rPr>
              <w:t>For Grade 3 or 4 (severe or new symptoms, new/worsening hypoxia, life-threatening):</w:t>
            </w:r>
          </w:p>
          <w:p w14:paraId="514854B9" w14:textId="77777777" w:rsidR="00E21E1A" w:rsidRPr="00E21E1A" w:rsidRDefault="00E21E1A" w:rsidP="00E21E1A">
            <w:pPr>
              <w:numPr>
                <w:ilvl w:val="0"/>
                <w:numId w:val="88"/>
              </w:numPr>
              <w:spacing w:before="60" w:after="60"/>
              <w:rPr>
                <w:sz w:val="18"/>
              </w:rPr>
            </w:pPr>
            <w:r w:rsidRPr="00E21E1A">
              <w:rPr>
                <w:sz w:val="18"/>
              </w:rPr>
              <w:lastRenderedPageBreak/>
              <w:t>Promptly initiate empiric IV methylprednisolone 1 to 4 mg/kg/day or equivalent.</w:t>
            </w:r>
          </w:p>
          <w:p w14:paraId="5EE72DD3" w14:textId="77777777" w:rsidR="00E21E1A" w:rsidRPr="00E21E1A" w:rsidRDefault="00E21E1A" w:rsidP="00E21E1A">
            <w:pPr>
              <w:numPr>
                <w:ilvl w:val="0"/>
                <w:numId w:val="88"/>
              </w:numPr>
              <w:spacing w:before="60" w:after="60"/>
              <w:rPr>
                <w:sz w:val="18"/>
              </w:rPr>
            </w:pPr>
            <w:r w:rsidRPr="00E21E1A">
              <w:rPr>
                <w:sz w:val="18"/>
              </w:rPr>
              <w:t xml:space="preserve">Obtain Pulmonary and Infectious </w:t>
            </w:r>
            <w:r w:rsidRPr="00E21E1A">
              <w:rPr>
                <w:sz w:val="18"/>
                <w:szCs w:val="18"/>
              </w:rPr>
              <w:t>Disease consults</w:t>
            </w:r>
            <w:r w:rsidRPr="00E21E1A">
              <w:rPr>
                <w:sz w:val="18"/>
              </w:rPr>
              <w:t>; consider, as necessary, discussing with study physician.</w:t>
            </w:r>
          </w:p>
          <w:p w14:paraId="65D5D1B7" w14:textId="77777777" w:rsidR="00E21E1A" w:rsidRPr="00E21E1A" w:rsidRDefault="00E21E1A" w:rsidP="00E21E1A">
            <w:pPr>
              <w:numPr>
                <w:ilvl w:val="0"/>
                <w:numId w:val="88"/>
              </w:numPr>
              <w:spacing w:before="60" w:after="60"/>
              <w:rPr>
                <w:sz w:val="18"/>
              </w:rPr>
            </w:pPr>
            <w:r w:rsidRPr="00E21E1A">
              <w:rPr>
                <w:sz w:val="18"/>
              </w:rPr>
              <w:t>Hospitalize the patient.</w:t>
            </w:r>
          </w:p>
          <w:p w14:paraId="56DB400E" w14:textId="77777777" w:rsidR="00E21E1A" w:rsidRPr="00E21E1A" w:rsidRDefault="00E21E1A" w:rsidP="00E21E1A">
            <w:pPr>
              <w:numPr>
                <w:ilvl w:val="0"/>
                <w:numId w:val="88"/>
              </w:numPr>
              <w:spacing w:before="60" w:after="60"/>
              <w:rPr>
                <w:sz w:val="18"/>
              </w:rPr>
            </w:pPr>
            <w:r w:rsidRPr="00E21E1A">
              <w:rPr>
                <w:sz w:val="18"/>
              </w:rPr>
              <w:t>Supportive care (e.g., oxygen).</w:t>
            </w:r>
          </w:p>
          <w:p w14:paraId="34354C7A" w14:textId="77777777" w:rsidR="00E21E1A" w:rsidRPr="00E21E1A" w:rsidRDefault="00E21E1A" w:rsidP="00E21E1A">
            <w:pPr>
              <w:numPr>
                <w:ilvl w:val="0"/>
                <w:numId w:val="88"/>
              </w:numPr>
              <w:spacing w:before="60" w:after="60"/>
              <w:rPr>
                <w:sz w:val="18"/>
              </w:rPr>
            </w:pPr>
            <w:r w:rsidRPr="00E21E1A">
              <w:rPr>
                <w:sz w:val="18"/>
              </w:rPr>
              <w:t xml:space="preserve">If no improvement within 2 to 3 days, additional workup should be considered and prompt treatment with additional immunosuppressive therapy such as TNF inhibitors (e.g., infliximab at 5 mg/kg IV, </w:t>
            </w:r>
            <w:r w:rsidRPr="00E21E1A">
              <w:t xml:space="preserve"> </w:t>
            </w:r>
            <w:r w:rsidRPr="00E21E1A">
              <w:rPr>
                <w:sz w:val="18"/>
              </w:rPr>
              <w:t>may be repeated at 2 and 6 weeks after initial dose at the discretion of the treating provider ) . Caution: rule out sepsis and refer to infliximab label for general guidance before using infliximab.</w:t>
            </w:r>
          </w:p>
          <w:p w14:paraId="7BC3B3AB" w14:textId="77777777" w:rsidR="00E21E1A" w:rsidRPr="00E21E1A" w:rsidRDefault="00E21E1A" w:rsidP="00E21E1A">
            <w:pPr>
              <w:numPr>
                <w:ilvl w:val="0"/>
                <w:numId w:val="88"/>
              </w:numPr>
              <w:spacing w:before="60" w:after="60"/>
              <w:rPr>
                <w:sz w:val="18"/>
              </w:rPr>
            </w:pPr>
            <w:r w:rsidRPr="00E21E1A">
              <w:rPr>
                <w:sz w:val="18"/>
              </w:rPr>
              <w:t>Once the patient is improving, gradually taper steroids over ≥28 days and consider prophylactic antibiotics, antifungals, and, in particular, anti-PJP treatment (refer to current NCCN guidelines for treatment of cancer-related infections</w:t>
            </w:r>
            <w:r w:rsidRPr="00E21E1A">
              <w:rPr>
                <w:sz w:val="18"/>
                <w:szCs w:val="18"/>
              </w:rPr>
              <w:t>).</w:t>
            </w:r>
            <w:r w:rsidRPr="00E21E1A">
              <w:rPr>
                <w:sz w:val="18"/>
                <w:szCs w:val="18"/>
                <w:vertAlign w:val="superscript"/>
              </w:rPr>
              <w:t>a</w:t>
            </w:r>
          </w:p>
        </w:tc>
      </w:tr>
      <w:tr w:rsidR="00E21E1A" w:rsidRPr="00E21E1A" w14:paraId="1C9C4A01" w14:textId="77777777" w:rsidTr="00CF7A38">
        <w:tc>
          <w:tcPr>
            <w:tcW w:w="2138" w:type="dxa"/>
            <w:vMerge w:val="restart"/>
          </w:tcPr>
          <w:p w14:paraId="64FE3785" w14:textId="77777777" w:rsidR="00E21E1A" w:rsidRPr="00E21E1A" w:rsidRDefault="00E21E1A" w:rsidP="00E21E1A">
            <w:pPr>
              <w:spacing w:before="60" w:after="60"/>
              <w:rPr>
                <w:b/>
                <w:bCs/>
                <w:sz w:val="18"/>
                <w:szCs w:val="18"/>
              </w:rPr>
            </w:pPr>
            <w:r w:rsidRPr="00E21E1A">
              <w:rPr>
                <w:b/>
                <w:sz w:val="18"/>
              </w:rPr>
              <w:lastRenderedPageBreak/>
              <w:t>Diarrhea/Colitis</w:t>
            </w:r>
          </w:p>
          <w:p w14:paraId="07A4DDC2" w14:textId="77777777" w:rsidR="00E21E1A" w:rsidRPr="00E21E1A" w:rsidRDefault="00E21E1A" w:rsidP="00E21E1A">
            <w:pPr>
              <w:spacing w:before="60" w:after="60"/>
              <w:rPr>
                <w:b/>
                <w:sz w:val="18"/>
              </w:rPr>
            </w:pPr>
            <w:r w:rsidRPr="00E21E1A">
              <w:rPr>
                <w:rFonts w:eastAsia="TimesNewRoman"/>
                <w:b/>
                <w:sz w:val="18"/>
                <w:szCs w:val="18"/>
              </w:rPr>
              <w:t>Large intestine perforation/Intestine p</w:t>
            </w:r>
            <w:r w:rsidRPr="00E21E1A">
              <w:rPr>
                <w:b/>
                <w:bCs/>
                <w:sz w:val="18"/>
                <w:szCs w:val="18"/>
              </w:rPr>
              <w:t>erforation</w:t>
            </w:r>
          </w:p>
        </w:tc>
        <w:tc>
          <w:tcPr>
            <w:tcW w:w="1954" w:type="dxa"/>
          </w:tcPr>
          <w:p w14:paraId="5ADC194B" w14:textId="77777777" w:rsidR="00E21E1A" w:rsidRPr="00E21E1A" w:rsidRDefault="00E21E1A" w:rsidP="00E21E1A">
            <w:pPr>
              <w:spacing w:before="60" w:after="60"/>
              <w:rPr>
                <w:b/>
                <w:sz w:val="18"/>
              </w:rPr>
            </w:pPr>
            <w:r w:rsidRPr="00E21E1A">
              <w:rPr>
                <w:b/>
                <w:sz w:val="18"/>
              </w:rPr>
              <w:t>Any Grade</w:t>
            </w:r>
          </w:p>
        </w:tc>
        <w:tc>
          <w:tcPr>
            <w:tcW w:w="3287" w:type="dxa"/>
          </w:tcPr>
          <w:p w14:paraId="48C32677" w14:textId="77777777" w:rsidR="00E21E1A" w:rsidRPr="00E21E1A" w:rsidRDefault="00E21E1A" w:rsidP="00E21E1A">
            <w:pPr>
              <w:spacing w:before="60" w:after="60"/>
              <w:rPr>
                <w:b/>
                <w:sz w:val="18"/>
              </w:rPr>
            </w:pPr>
            <w:r w:rsidRPr="00E21E1A">
              <w:rPr>
                <w:b/>
                <w:sz w:val="18"/>
              </w:rPr>
              <w:t>General Guidance</w:t>
            </w:r>
          </w:p>
          <w:p w14:paraId="01A7835E" w14:textId="77777777" w:rsidR="00E21E1A" w:rsidRPr="00E21E1A" w:rsidRDefault="00E21E1A" w:rsidP="00E21E1A">
            <w:pPr>
              <w:spacing w:before="60" w:after="60"/>
              <w:rPr>
                <w:b/>
                <w:sz w:val="18"/>
              </w:rPr>
            </w:pPr>
          </w:p>
        </w:tc>
        <w:tc>
          <w:tcPr>
            <w:tcW w:w="5538" w:type="dxa"/>
          </w:tcPr>
          <w:p w14:paraId="1267625A" w14:textId="77777777" w:rsidR="00E21E1A" w:rsidRPr="00E21E1A" w:rsidRDefault="00E21E1A" w:rsidP="00E21E1A">
            <w:pPr>
              <w:spacing w:before="60" w:after="60"/>
              <w:rPr>
                <w:b/>
                <w:sz w:val="18"/>
              </w:rPr>
            </w:pPr>
            <w:r w:rsidRPr="00E21E1A">
              <w:rPr>
                <w:b/>
                <w:sz w:val="18"/>
              </w:rPr>
              <w:t xml:space="preserve">                                                 For Any Grade:</w:t>
            </w:r>
          </w:p>
          <w:p w14:paraId="2334C8D3" w14:textId="77777777" w:rsidR="00E21E1A" w:rsidRPr="00E21E1A" w:rsidRDefault="00E21E1A" w:rsidP="00E21E1A">
            <w:pPr>
              <w:numPr>
                <w:ilvl w:val="0"/>
                <w:numId w:val="90"/>
              </w:numPr>
              <w:spacing w:before="60" w:after="60"/>
              <w:rPr>
                <w:sz w:val="18"/>
              </w:rPr>
            </w:pPr>
            <w:r w:rsidRPr="00E21E1A">
              <w:rPr>
                <w:sz w:val="18"/>
              </w:rPr>
              <w:t xml:space="preserve">Monitor for symptoms that may be related to diarrhea/enterocolitis (abdominal pain, cramping, or changes in bowel habits such as increased frequency over baseline or blood in stool) or related to bowel perforation </w:t>
            </w:r>
            <w:r w:rsidRPr="00E21E1A">
              <w:rPr>
                <w:sz w:val="18"/>
              </w:rPr>
              <w:lastRenderedPageBreak/>
              <w:t>(such as sepsis, peritoneal signs, and ileus).</w:t>
            </w:r>
          </w:p>
          <w:p w14:paraId="3B09197C" w14:textId="77777777" w:rsidR="00E21E1A" w:rsidRPr="00E21E1A" w:rsidRDefault="00E21E1A" w:rsidP="00E21E1A">
            <w:pPr>
              <w:numPr>
                <w:ilvl w:val="0"/>
                <w:numId w:val="96"/>
              </w:numPr>
              <w:autoSpaceDE w:val="0"/>
              <w:autoSpaceDN w:val="0"/>
              <w:adjustRightInd w:val="0"/>
              <w:spacing w:before="0" w:after="0"/>
              <w:rPr>
                <w:rFonts w:eastAsia="TimesNewRoman"/>
                <w:sz w:val="18"/>
                <w:szCs w:val="18"/>
              </w:rPr>
            </w:pPr>
            <w:r w:rsidRPr="00E21E1A">
              <w:rPr>
                <w:rFonts w:eastAsia="TimesNewRoman"/>
                <w:sz w:val="18"/>
                <w:szCs w:val="18"/>
              </w:rPr>
              <w:t xml:space="preserve">When symptoms or evaluation indicate a perforation is suspected, consult a surgeon experienced in abdominal surgery immediately without any delay. </w:t>
            </w:r>
          </w:p>
          <w:p w14:paraId="67238F89" w14:textId="77777777" w:rsidR="00E21E1A" w:rsidRPr="00E21E1A" w:rsidRDefault="00E21E1A" w:rsidP="00E21E1A">
            <w:pPr>
              <w:numPr>
                <w:ilvl w:val="0"/>
                <w:numId w:val="96"/>
              </w:numPr>
              <w:spacing w:before="0" w:after="0"/>
              <w:contextualSpacing/>
              <w:rPr>
                <w:rFonts w:eastAsia="TimesNewRoman"/>
                <w:sz w:val="18"/>
                <w:szCs w:val="18"/>
              </w:rPr>
            </w:pPr>
            <w:r w:rsidRPr="00E21E1A">
              <w:rPr>
                <w:rFonts w:eastAsia="TimesNewRoman"/>
                <w:sz w:val="18"/>
                <w:szCs w:val="18"/>
              </w:rPr>
              <w:t>PERMANENTLY DISCONTINUE STUDY DRUG FOR ANY GRADE OF INTESTINAL  PERFORATION</w:t>
            </w:r>
          </w:p>
          <w:p w14:paraId="5A466910" w14:textId="77777777" w:rsidR="00E21E1A" w:rsidRPr="00E21E1A" w:rsidRDefault="00E21E1A" w:rsidP="00E21E1A">
            <w:pPr>
              <w:numPr>
                <w:ilvl w:val="0"/>
                <w:numId w:val="90"/>
              </w:numPr>
              <w:spacing w:before="60" w:after="60"/>
              <w:rPr>
                <w:sz w:val="18"/>
              </w:rPr>
            </w:pPr>
            <w:r w:rsidRPr="00E21E1A">
              <w:rPr>
                <w:sz w:val="18"/>
              </w:rPr>
              <w:t>Patients should be thoroughly evaluated to rule out any alternative etiology (e.g., disease progression, other medications, or infections), including testing for clostridium difficile toxin, etc.</w:t>
            </w:r>
          </w:p>
          <w:p w14:paraId="5A397309" w14:textId="77777777" w:rsidR="00E21E1A" w:rsidRPr="00E21E1A" w:rsidRDefault="00E21E1A" w:rsidP="00E21E1A">
            <w:pPr>
              <w:numPr>
                <w:ilvl w:val="0"/>
                <w:numId w:val="90"/>
              </w:numPr>
              <w:spacing w:before="60" w:after="60"/>
              <w:rPr>
                <w:sz w:val="18"/>
              </w:rPr>
            </w:pPr>
            <w:r w:rsidRPr="00E21E1A">
              <w:rPr>
                <w:sz w:val="18"/>
              </w:rPr>
              <w:t>Steroids should be considered in the absence of clear alternative etiology, even for low-grade events, in order to prevent potential progression to higher grade event</w:t>
            </w:r>
            <w:r w:rsidRPr="00E21E1A">
              <w:rPr>
                <w:sz w:val="18"/>
                <w:szCs w:val="18"/>
              </w:rPr>
              <w:t xml:space="preserve">, including perforation. </w:t>
            </w:r>
          </w:p>
          <w:p w14:paraId="68FF1382" w14:textId="77777777" w:rsidR="00E21E1A" w:rsidRPr="00E21E1A" w:rsidRDefault="00E21E1A" w:rsidP="00E21E1A">
            <w:pPr>
              <w:numPr>
                <w:ilvl w:val="0"/>
                <w:numId w:val="90"/>
              </w:numPr>
              <w:spacing w:before="60" w:after="60"/>
              <w:rPr>
                <w:sz w:val="18"/>
              </w:rPr>
            </w:pPr>
            <w:r w:rsidRPr="00E21E1A">
              <w:rPr>
                <w:sz w:val="18"/>
              </w:rPr>
              <w:t>Use analgesics carefully; they can mask symptoms of perforation and peritonitis.</w:t>
            </w:r>
          </w:p>
        </w:tc>
      </w:tr>
      <w:tr w:rsidR="00E21E1A" w:rsidRPr="00E21E1A" w14:paraId="623F5167" w14:textId="77777777" w:rsidTr="00CF7A38">
        <w:tc>
          <w:tcPr>
            <w:tcW w:w="2138" w:type="dxa"/>
            <w:vMerge/>
          </w:tcPr>
          <w:p w14:paraId="32CFD1CB" w14:textId="77777777" w:rsidR="00E21E1A" w:rsidRPr="00E21E1A" w:rsidRDefault="00E21E1A" w:rsidP="00E21E1A">
            <w:pPr>
              <w:spacing w:before="60" w:after="60"/>
              <w:rPr>
                <w:sz w:val="18"/>
              </w:rPr>
            </w:pPr>
          </w:p>
        </w:tc>
        <w:tc>
          <w:tcPr>
            <w:tcW w:w="1954" w:type="dxa"/>
          </w:tcPr>
          <w:p w14:paraId="69B032E2" w14:textId="77777777" w:rsidR="00E21E1A" w:rsidRPr="00E21E1A" w:rsidRDefault="00E21E1A" w:rsidP="00E21E1A">
            <w:pPr>
              <w:spacing w:before="60" w:after="60"/>
              <w:rPr>
                <w:b/>
                <w:sz w:val="18"/>
              </w:rPr>
            </w:pPr>
            <w:r w:rsidRPr="00E21E1A">
              <w:rPr>
                <w:b/>
                <w:sz w:val="18"/>
              </w:rPr>
              <w:t>Grade 1</w:t>
            </w:r>
          </w:p>
          <w:p w14:paraId="279CF5A6" w14:textId="77777777" w:rsidR="00E21E1A" w:rsidRPr="00E21E1A" w:rsidRDefault="00E21E1A" w:rsidP="00E21E1A">
            <w:pPr>
              <w:spacing w:before="60" w:afterLines="60" w:after="144"/>
              <w:rPr>
                <w:sz w:val="18"/>
              </w:rPr>
            </w:pPr>
            <w:r w:rsidRPr="00E21E1A">
              <w:rPr>
                <w:sz w:val="18"/>
              </w:rPr>
              <w:t>(Diarrhea: stool frequency of &lt;4 over baseline per day)</w:t>
            </w:r>
            <w:r w:rsidRPr="00E21E1A">
              <w:rPr>
                <w:sz w:val="18"/>
              </w:rPr>
              <w:br/>
              <w:t>(Colitis: asymptomatic; clinical or diagnostic observations only; intervention not indicated)</w:t>
            </w:r>
          </w:p>
        </w:tc>
        <w:tc>
          <w:tcPr>
            <w:tcW w:w="3287" w:type="dxa"/>
          </w:tcPr>
          <w:p w14:paraId="4B88AA36" w14:textId="77777777" w:rsidR="00E21E1A" w:rsidRPr="00E21E1A" w:rsidRDefault="00E21E1A" w:rsidP="00E21E1A">
            <w:pPr>
              <w:spacing w:before="60" w:after="60"/>
              <w:rPr>
                <w:sz w:val="18"/>
              </w:rPr>
            </w:pPr>
            <w:r w:rsidRPr="00E21E1A">
              <w:rPr>
                <w:sz w:val="18"/>
              </w:rPr>
              <w:t>No dose modifications.</w:t>
            </w:r>
          </w:p>
        </w:tc>
        <w:tc>
          <w:tcPr>
            <w:tcW w:w="5538" w:type="dxa"/>
          </w:tcPr>
          <w:p w14:paraId="54F6A957" w14:textId="77777777" w:rsidR="00E21E1A" w:rsidRPr="00E21E1A" w:rsidRDefault="00E21E1A" w:rsidP="00E21E1A">
            <w:pPr>
              <w:spacing w:before="60" w:after="60"/>
              <w:rPr>
                <w:b/>
                <w:sz w:val="18"/>
              </w:rPr>
            </w:pPr>
            <w:r w:rsidRPr="00E21E1A">
              <w:rPr>
                <w:b/>
                <w:sz w:val="18"/>
              </w:rPr>
              <w:t>For Grade 1:</w:t>
            </w:r>
          </w:p>
          <w:p w14:paraId="15CB52A3" w14:textId="77777777" w:rsidR="00E21E1A" w:rsidRPr="00E21E1A" w:rsidRDefault="00E21E1A" w:rsidP="00E21E1A">
            <w:pPr>
              <w:numPr>
                <w:ilvl w:val="0"/>
                <w:numId w:val="91"/>
              </w:numPr>
              <w:spacing w:before="60" w:after="60"/>
              <w:rPr>
                <w:sz w:val="18"/>
              </w:rPr>
            </w:pPr>
            <w:r w:rsidRPr="00E21E1A">
              <w:rPr>
                <w:sz w:val="18"/>
              </w:rPr>
              <w:t>Monitor closely for worsening symptoms.</w:t>
            </w:r>
          </w:p>
          <w:p w14:paraId="342DFD80" w14:textId="77777777" w:rsidR="00E21E1A" w:rsidRPr="00E21E1A" w:rsidRDefault="00E21E1A" w:rsidP="00E21E1A">
            <w:pPr>
              <w:numPr>
                <w:ilvl w:val="0"/>
                <w:numId w:val="91"/>
              </w:numPr>
              <w:spacing w:before="60" w:after="60"/>
              <w:rPr>
                <w:sz w:val="18"/>
              </w:rPr>
            </w:pPr>
            <w:r w:rsidRPr="00E21E1A">
              <w:rPr>
                <w:sz w:val="18"/>
              </w:rPr>
              <w:t>Consider symptomatic treatment, including hydration, electrolyte replacement, dietary changes (e.g., American Dietetic Association colitis diet), loperamide</w:t>
            </w:r>
            <w:r w:rsidRPr="00E21E1A">
              <w:t xml:space="preserve"> </w:t>
            </w:r>
            <w:r w:rsidRPr="00E21E1A">
              <w:rPr>
                <w:sz w:val="18"/>
              </w:rPr>
              <w:t>and</w:t>
            </w:r>
            <w:r w:rsidRPr="00E21E1A">
              <w:t xml:space="preserve"> </w:t>
            </w:r>
            <w:r w:rsidRPr="00E21E1A">
              <w:rPr>
                <w:sz w:val="18"/>
              </w:rPr>
              <w:t xml:space="preserve">other supportive care measures. </w:t>
            </w:r>
          </w:p>
          <w:p w14:paraId="6362D983" w14:textId="77777777" w:rsidR="00E21E1A" w:rsidRPr="00E21E1A" w:rsidRDefault="00E21E1A" w:rsidP="00E21E1A">
            <w:pPr>
              <w:numPr>
                <w:ilvl w:val="0"/>
                <w:numId w:val="91"/>
              </w:numPr>
              <w:spacing w:before="60" w:after="60"/>
              <w:rPr>
                <w:sz w:val="18"/>
              </w:rPr>
            </w:pPr>
            <w:r w:rsidRPr="00E21E1A">
              <w:rPr>
                <w:sz w:val="18"/>
              </w:rPr>
              <w:t xml:space="preserve">If symptoms persist consider checking lactoferrin; if positive treat as Grade 2 </w:t>
            </w:r>
            <w:r w:rsidRPr="00E21E1A">
              <w:rPr>
                <w:sz w:val="18"/>
              </w:rPr>
              <w:lastRenderedPageBreak/>
              <w:t>below.  If negative and no infection, continue Grade 1 management</w:t>
            </w:r>
            <w:r w:rsidRPr="00E21E1A" w:rsidDel="003761F8">
              <w:rPr>
                <w:sz w:val="18"/>
              </w:rPr>
              <w:t xml:space="preserve"> </w:t>
            </w:r>
            <w:r w:rsidRPr="00E21E1A">
              <w:rPr>
                <w:sz w:val="18"/>
              </w:rPr>
              <w:t>.</w:t>
            </w:r>
          </w:p>
        </w:tc>
      </w:tr>
      <w:tr w:rsidR="00E21E1A" w:rsidRPr="00E21E1A" w14:paraId="02F31D64" w14:textId="77777777" w:rsidTr="00CF7A38">
        <w:tc>
          <w:tcPr>
            <w:tcW w:w="2138" w:type="dxa"/>
            <w:vMerge/>
          </w:tcPr>
          <w:p w14:paraId="3222BBF4" w14:textId="77777777" w:rsidR="00E21E1A" w:rsidRPr="00E21E1A" w:rsidRDefault="00E21E1A" w:rsidP="00E21E1A">
            <w:pPr>
              <w:spacing w:before="60" w:after="60"/>
              <w:rPr>
                <w:sz w:val="18"/>
              </w:rPr>
            </w:pPr>
          </w:p>
        </w:tc>
        <w:tc>
          <w:tcPr>
            <w:tcW w:w="1954" w:type="dxa"/>
          </w:tcPr>
          <w:p w14:paraId="799149D1" w14:textId="77777777" w:rsidR="00E21E1A" w:rsidRPr="00E21E1A" w:rsidRDefault="00E21E1A" w:rsidP="00E21E1A">
            <w:pPr>
              <w:spacing w:before="60" w:after="60"/>
              <w:rPr>
                <w:b/>
                <w:sz w:val="18"/>
              </w:rPr>
            </w:pPr>
            <w:r w:rsidRPr="00E21E1A">
              <w:rPr>
                <w:b/>
                <w:sz w:val="18"/>
              </w:rPr>
              <w:t>Grade 2</w:t>
            </w:r>
          </w:p>
          <w:p w14:paraId="55C9D062" w14:textId="77777777" w:rsidR="00E21E1A" w:rsidRPr="00E21E1A" w:rsidRDefault="00E21E1A" w:rsidP="00E21E1A">
            <w:pPr>
              <w:spacing w:before="60" w:after="60"/>
              <w:rPr>
                <w:sz w:val="18"/>
                <w:szCs w:val="18"/>
              </w:rPr>
            </w:pPr>
            <w:r w:rsidRPr="00E21E1A">
              <w:rPr>
                <w:sz w:val="18"/>
              </w:rPr>
              <w:t>(Diarrhea: stool frequency of 4 to 6 over baseline per day;</w:t>
            </w:r>
            <w:r w:rsidRPr="00E21E1A">
              <w:t xml:space="preserve"> </w:t>
            </w:r>
            <w:r w:rsidRPr="00E21E1A">
              <w:rPr>
                <w:sz w:val="18"/>
              </w:rPr>
              <w:t xml:space="preserve">limiting instrumental ADL) </w:t>
            </w:r>
            <w:r w:rsidRPr="00E21E1A">
              <w:rPr>
                <w:sz w:val="18"/>
                <w:szCs w:val="18"/>
              </w:rPr>
              <w:br/>
            </w:r>
            <w:r w:rsidRPr="00E21E1A">
              <w:rPr>
                <w:sz w:val="18"/>
              </w:rPr>
              <w:t>(Colitis: abdominal pain; mucus or blood in stool)</w:t>
            </w:r>
          </w:p>
          <w:p w14:paraId="3A4C2A60" w14:textId="77777777" w:rsidR="00E21E1A" w:rsidRPr="00E21E1A" w:rsidRDefault="00E21E1A" w:rsidP="00E21E1A">
            <w:pPr>
              <w:spacing w:before="60" w:after="60"/>
              <w:rPr>
                <w:sz w:val="18"/>
              </w:rPr>
            </w:pPr>
            <w:r w:rsidRPr="00E21E1A">
              <w:rPr>
                <w:sz w:val="18"/>
                <w:szCs w:val="18"/>
              </w:rPr>
              <w:t>(</w:t>
            </w:r>
            <w:r w:rsidRPr="00E21E1A">
              <w:rPr>
                <w:rFonts w:eastAsia="TimesNewRoman"/>
                <w:sz w:val="18"/>
                <w:szCs w:val="18"/>
              </w:rPr>
              <w:t>Perforation</w:t>
            </w:r>
            <w:r w:rsidRPr="00E21E1A">
              <w:rPr>
                <w:sz w:val="18"/>
                <w:szCs w:val="18"/>
              </w:rPr>
              <w:t>: invasive intervention not indicated)</w:t>
            </w:r>
          </w:p>
        </w:tc>
        <w:tc>
          <w:tcPr>
            <w:tcW w:w="3287" w:type="dxa"/>
          </w:tcPr>
          <w:p w14:paraId="1702787F" w14:textId="77777777" w:rsidR="00E21E1A" w:rsidRPr="00E21E1A" w:rsidRDefault="00E21E1A" w:rsidP="00E21E1A">
            <w:pPr>
              <w:spacing w:before="60" w:after="60"/>
              <w:rPr>
                <w:sz w:val="18"/>
              </w:rPr>
            </w:pPr>
            <w:r w:rsidRPr="00E21E1A">
              <w:rPr>
                <w:sz w:val="18"/>
              </w:rPr>
              <w:t>Hold study drug/study regimen until resolution to Grade ≤1</w:t>
            </w:r>
          </w:p>
          <w:p w14:paraId="54D56EE3" w14:textId="77777777" w:rsidR="00E21E1A" w:rsidRPr="00E21E1A" w:rsidRDefault="00E21E1A" w:rsidP="00E21E1A">
            <w:pPr>
              <w:numPr>
                <w:ilvl w:val="0"/>
                <w:numId w:val="92"/>
              </w:numPr>
              <w:spacing w:before="60" w:after="60"/>
              <w:ind w:left="342"/>
              <w:rPr>
                <w:sz w:val="18"/>
              </w:rPr>
            </w:pPr>
            <w:r w:rsidRPr="00E21E1A">
              <w:rPr>
                <w:sz w:val="18"/>
              </w:rPr>
              <w:t>If toxicity worsens, then treat as Grade 3 or Grade 4.</w:t>
            </w:r>
          </w:p>
          <w:p w14:paraId="1B0BD0A3" w14:textId="77777777" w:rsidR="00E21E1A" w:rsidRPr="00E21E1A" w:rsidRDefault="00E21E1A" w:rsidP="00E21E1A">
            <w:pPr>
              <w:numPr>
                <w:ilvl w:val="0"/>
                <w:numId w:val="92"/>
              </w:numPr>
              <w:spacing w:before="60" w:after="60"/>
              <w:ind w:left="342"/>
              <w:rPr>
                <w:sz w:val="18"/>
              </w:rPr>
            </w:pPr>
            <w:r w:rsidRPr="00E21E1A">
              <w:rPr>
                <w:sz w:val="18"/>
              </w:rPr>
              <w:t>If toxicity improves to Grade ≤1, then study drug/study regimen can be resumed after completion of steroid taper.</w:t>
            </w:r>
          </w:p>
        </w:tc>
        <w:tc>
          <w:tcPr>
            <w:tcW w:w="5538" w:type="dxa"/>
          </w:tcPr>
          <w:p w14:paraId="2F4FAC59" w14:textId="77777777" w:rsidR="00E21E1A" w:rsidRPr="00E21E1A" w:rsidRDefault="00E21E1A" w:rsidP="00E21E1A">
            <w:pPr>
              <w:spacing w:before="60" w:after="60"/>
              <w:rPr>
                <w:b/>
                <w:sz w:val="18"/>
              </w:rPr>
            </w:pPr>
            <w:r w:rsidRPr="00E21E1A">
              <w:rPr>
                <w:b/>
                <w:sz w:val="18"/>
              </w:rPr>
              <w:t>For Grade 2:</w:t>
            </w:r>
          </w:p>
          <w:p w14:paraId="1E938F7A" w14:textId="77777777" w:rsidR="00E21E1A" w:rsidRPr="00E21E1A" w:rsidRDefault="00E21E1A" w:rsidP="00E21E1A">
            <w:pPr>
              <w:numPr>
                <w:ilvl w:val="0"/>
                <w:numId w:val="93"/>
              </w:numPr>
              <w:spacing w:before="60" w:after="60"/>
              <w:rPr>
                <w:sz w:val="18"/>
              </w:rPr>
            </w:pPr>
            <w:r w:rsidRPr="00E21E1A">
              <w:rPr>
                <w:sz w:val="18"/>
              </w:rPr>
              <w:t>Consider symptomatic treatment, including hydration, electrolyte replacement, dietary changes (e.g., American Dietetic Association colitis diet), and loperamide and/or budesonide.</w:t>
            </w:r>
          </w:p>
          <w:p w14:paraId="1DF3F731" w14:textId="77777777" w:rsidR="00E21E1A" w:rsidRPr="00E21E1A" w:rsidRDefault="00E21E1A" w:rsidP="00E21E1A">
            <w:pPr>
              <w:numPr>
                <w:ilvl w:val="0"/>
                <w:numId w:val="93"/>
              </w:numPr>
              <w:spacing w:before="60" w:after="60"/>
              <w:rPr>
                <w:sz w:val="18"/>
              </w:rPr>
            </w:pPr>
            <w:r w:rsidRPr="00E21E1A">
              <w:rPr>
                <w:sz w:val="18"/>
              </w:rPr>
              <w:t>Promptly start prednisone 1 to 2 mg/kg/day PO or IV equivalent.</w:t>
            </w:r>
          </w:p>
          <w:p w14:paraId="335ECB4C" w14:textId="77777777" w:rsidR="00E21E1A" w:rsidRPr="00E21E1A" w:rsidRDefault="00E21E1A" w:rsidP="00E21E1A">
            <w:pPr>
              <w:numPr>
                <w:ilvl w:val="0"/>
                <w:numId w:val="93"/>
              </w:numPr>
              <w:spacing w:before="60" w:after="60"/>
              <w:rPr>
                <w:sz w:val="18"/>
              </w:rPr>
            </w:pPr>
            <w:r w:rsidRPr="00E21E1A">
              <w:rPr>
                <w:sz w:val="18"/>
              </w:rPr>
              <w:t>If event is not responsive within 2 to 3 days or worsens despite prednisone at 1 to 2 mg/kg/day PO or IV equivalent, GI consult should be obtained for consideration of further workup, such as imaging and/or colonoscopy, to confirm colitis and rule out perforation, and prompt treatment with IV methylprednisolone 2 to 4 mg/kg/day started.</w:t>
            </w:r>
          </w:p>
          <w:p w14:paraId="56A9FACD" w14:textId="77777777" w:rsidR="00E21E1A" w:rsidRPr="00E21E1A" w:rsidRDefault="00E21E1A" w:rsidP="00E21E1A">
            <w:pPr>
              <w:numPr>
                <w:ilvl w:val="0"/>
                <w:numId w:val="93"/>
              </w:numPr>
              <w:spacing w:before="60" w:after="60"/>
              <w:rPr>
                <w:sz w:val="18"/>
              </w:rPr>
            </w:pPr>
            <w:r w:rsidRPr="00E21E1A">
              <w:rPr>
                <w:sz w:val="18"/>
              </w:rPr>
              <w:t xml:space="preserve">If still no improvement within 2 to 3 days despite 1 to 2 mg/kg IV methylprednisolone, promptly start immunosuppressives such as infliximab at 5 mg/kg </w:t>
            </w:r>
            <w:r w:rsidRPr="00E21E1A">
              <w:t xml:space="preserve"> </w:t>
            </w:r>
            <w:r w:rsidRPr="00E21E1A">
              <w:rPr>
                <w:sz w:val="18"/>
              </w:rPr>
              <w:t>IV, may be repeated at 2 and 6 weeks after initial dose at the discretion of the treating provider</w:t>
            </w:r>
            <w:r w:rsidRPr="00E21E1A" w:rsidDel="003761F8">
              <w:rPr>
                <w:sz w:val="18"/>
              </w:rPr>
              <w:t xml:space="preserve"> </w:t>
            </w:r>
            <w:r w:rsidRPr="00E21E1A">
              <w:rPr>
                <w:sz w:val="18"/>
              </w:rPr>
              <w:t xml:space="preserve">. </w:t>
            </w:r>
            <w:r w:rsidRPr="00E21E1A">
              <w:rPr>
                <w:b/>
                <w:sz w:val="18"/>
              </w:rPr>
              <w:t>Caution:</w:t>
            </w:r>
            <w:r w:rsidRPr="00E21E1A">
              <w:rPr>
                <w:sz w:val="18"/>
              </w:rPr>
              <w:t xml:space="preserve"> it is important to rule out bowel perforation and refer to infliximab label for general guidance before using infliximab.</w:t>
            </w:r>
          </w:p>
          <w:p w14:paraId="52075C4B" w14:textId="77777777" w:rsidR="00E21E1A" w:rsidRPr="00E21E1A" w:rsidRDefault="00E21E1A" w:rsidP="00E21E1A">
            <w:pPr>
              <w:numPr>
                <w:ilvl w:val="0"/>
                <w:numId w:val="93"/>
              </w:numPr>
              <w:spacing w:before="60" w:after="60"/>
              <w:rPr>
                <w:sz w:val="18"/>
              </w:rPr>
            </w:pPr>
            <w:r w:rsidRPr="00E21E1A">
              <w:rPr>
                <w:sz w:val="18"/>
              </w:rPr>
              <w:t>Consider, as necessary, discussing with study physician if no resolution to Grade ≤1 in 3 to 4 days.</w:t>
            </w:r>
          </w:p>
          <w:p w14:paraId="7F6C9092" w14:textId="77777777" w:rsidR="00E21E1A" w:rsidRPr="00E21E1A" w:rsidRDefault="00E21E1A" w:rsidP="00E21E1A">
            <w:pPr>
              <w:numPr>
                <w:ilvl w:val="0"/>
                <w:numId w:val="93"/>
              </w:numPr>
              <w:spacing w:before="60" w:after="60"/>
              <w:rPr>
                <w:sz w:val="18"/>
              </w:rPr>
            </w:pPr>
            <w:r w:rsidRPr="00E21E1A">
              <w:rPr>
                <w:sz w:val="18"/>
              </w:rPr>
              <w:t xml:space="preserve">Once the patient is improving, gradually taper steroids over ≥28 days </w:t>
            </w:r>
            <w:r w:rsidRPr="00E21E1A">
              <w:rPr>
                <w:sz w:val="18"/>
              </w:rPr>
              <w:lastRenderedPageBreak/>
              <w:t>and consider prophylactic antibiotics, antifungals, and anti-PJP treatment (refer to current NCCN guidelines for treatment of cancer-related infections</w:t>
            </w:r>
            <w:r w:rsidRPr="00E21E1A">
              <w:rPr>
                <w:sz w:val="18"/>
                <w:szCs w:val="18"/>
              </w:rPr>
              <w:t>).</w:t>
            </w:r>
            <w:r w:rsidRPr="00E21E1A">
              <w:rPr>
                <w:sz w:val="18"/>
                <w:szCs w:val="18"/>
                <w:vertAlign w:val="superscript"/>
              </w:rPr>
              <w:t>a</w:t>
            </w:r>
          </w:p>
        </w:tc>
      </w:tr>
      <w:tr w:rsidR="00E21E1A" w:rsidRPr="00E21E1A" w14:paraId="1153CA24" w14:textId="77777777" w:rsidTr="00CF7A38">
        <w:tc>
          <w:tcPr>
            <w:tcW w:w="2138" w:type="dxa"/>
            <w:vMerge/>
          </w:tcPr>
          <w:p w14:paraId="43BB2B9E" w14:textId="77777777" w:rsidR="00E21E1A" w:rsidRPr="00E21E1A" w:rsidRDefault="00E21E1A" w:rsidP="00E21E1A">
            <w:pPr>
              <w:spacing w:before="60" w:after="60"/>
              <w:rPr>
                <w:sz w:val="18"/>
              </w:rPr>
            </w:pPr>
          </w:p>
        </w:tc>
        <w:tc>
          <w:tcPr>
            <w:tcW w:w="1954" w:type="dxa"/>
          </w:tcPr>
          <w:p w14:paraId="7E851F45" w14:textId="77777777" w:rsidR="00E21E1A" w:rsidRPr="00E21E1A" w:rsidRDefault="00E21E1A" w:rsidP="00E21E1A">
            <w:pPr>
              <w:spacing w:before="60" w:after="60"/>
              <w:rPr>
                <w:b/>
                <w:sz w:val="18"/>
              </w:rPr>
            </w:pPr>
            <w:r w:rsidRPr="00E21E1A">
              <w:rPr>
                <w:b/>
                <w:sz w:val="18"/>
              </w:rPr>
              <w:t>Grade 3 or 4</w:t>
            </w:r>
          </w:p>
          <w:p w14:paraId="540D86DD" w14:textId="77777777" w:rsidR="00E21E1A" w:rsidRPr="00E21E1A" w:rsidRDefault="00E21E1A" w:rsidP="00E21E1A">
            <w:pPr>
              <w:spacing w:before="60" w:after="60"/>
              <w:rPr>
                <w:sz w:val="18"/>
              </w:rPr>
            </w:pPr>
            <w:r w:rsidRPr="00E21E1A">
              <w:rPr>
                <w:sz w:val="18"/>
              </w:rPr>
              <w:t xml:space="preserve">(Grade 3 </w:t>
            </w:r>
            <w:r w:rsidRPr="00E21E1A">
              <w:rPr>
                <w:sz w:val="18"/>
                <w:szCs w:val="18"/>
              </w:rPr>
              <w:t>Diarrhea</w:t>
            </w:r>
            <w:r w:rsidRPr="00E21E1A">
              <w:rPr>
                <w:sz w:val="18"/>
              </w:rPr>
              <w:t>: stool frequency of ≥7 over baseline per day;</w:t>
            </w:r>
            <w:r w:rsidRPr="00E21E1A">
              <w:t xml:space="preserve"> </w:t>
            </w:r>
            <w:r w:rsidRPr="00E21E1A">
              <w:rPr>
                <w:sz w:val="18"/>
              </w:rPr>
              <w:t>limiting self care ADL;</w:t>
            </w:r>
            <w:r w:rsidRPr="00E21E1A">
              <w:rPr>
                <w:sz w:val="18"/>
              </w:rPr>
              <w:br/>
              <w:t xml:space="preserve">Grade 4 </w:t>
            </w:r>
            <w:r w:rsidRPr="00E21E1A">
              <w:rPr>
                <w:sz w:val="18"/>
                <w:szCs w:val="18"/>
              </w:rPr>
              <w:t>Diarrhea</w:t>
            </w:r>
            <w:r w:rsidRPr="00E21E1A">
              <w:rPr>
                <w:sz w:val="18"/>
              </w:rPr>
              <w:t>: life threatening consequences)</w:t>
            </w:r>
            <w:r w:rsidRPr="00E21E1A">
              <w:rPr>
                <w:sz w:val="18"/>
              </w:rPr>
              <w:br/>
              <w:t xml:space="preserve">(Grade 3 </w:t>
            </w:r>
            <w:r w:rsidRPr="00E21E1A">
              <w:rPr>
                <w:sz w:val="18"/>
                <w:szCs w:val="18"/>
              </w:rPr>
              <w:t>Colitis</w:t>
            </w:r>
            <w:r w:rsidRPr="00E21E1A">
              <w:rPr>
                <w:sz w:val="18"/>
              </w:rPr>
              <w:t>: severe abdominal pain, fever; ileus; peritoneal signs;</w:t>
            </w:r>
            <w:r w:rsidRPr="00E21E1A">
              <w:rPr>
                <w:sz w:val="18"/>
              </w:rPr>
              <w:br/>
              <w:t xml:space="preserve">Grade 4 </w:t>
            </w:r>
            <w:r w:rsidRPr="00E21E1A">
              <w:rPr>
                <w:sz w:val="18"/>
                <w:szCs w:val="18"/>
              </w:rPr>
              <w:t>Colitis</w:t>
            </w:r>
            <w:r w:rsidRPr="00E21E1A">
              <w:rPr>
                <w:sz w:val="18"/>
              </w:rPr>
              <w:t>: life-threatening consequences, urgent intervention indicated)</w:t>
            </w:r>
          </w:p>
          <w:p w14:paraId="25FB9C3C" w14:textId="77777777" w:rsidR="00E21E1A" w:rsidRPr="00E21E1A" w:rsidRDefault="00E21E1A" w:rsidP="00E21E1A">
            <w:pPr>
              <w:spacing w:before="60" w:after="60"/>
              <w:rPr>
                <w:rFonts w:ascii="Calibri" w:hAnsi="Calibri"/>
                <w:sz w:val="18"/>
                <w:szCs w:val="18"/>
              </w:rPr>
            </w:pPr>
            <w:r w:rsidRPr="00E21E1A">
              <w:rPr>
                <w:sz w:val="18"/>
                <w:szCs w:val="18"/>
              </w:rPr>
              <w:t xml:space="preserve">(Grade 3 Perforation: invasive intervention indicated; </w:t>
            </w:r>
            <w:r w:rsidRPr="00E21E1A">
              <w:rPr>
                <w:sz w:val="18"/>
                <w:szCs w:val="18"/>
              </w:rPr>
              <w:br/>
              <w:t>Grade 4 Perforation:</w:t>
            </w:r>
            <w:r w:rsidRPr="00E21E1A">
              <w:t xml:space="preserve"> </w:t>
            </w:r>
            <w:r w:rsidRPr="00E21E1A">
              <w:rPr>
                <w:sz w:val="18"/>
                <w:szCs w:val="18"/>
              </w:rPr>
              <w:t>life-threatening consequences; urgent intervention indicated)</w:t>
            </w:r>
          </w:p>
          <w:p w14:paraId="40A57C5E" w14:textId="77777777" w:rsidR="00E21E1A" w:rsidRPr="00E21E1A" w:rsidRDefault="00E21E1A" w:rsidP="00E21E1A">
            <w:pPr>
              <w:spacing w:before="60" w:after="60"/>
              <w:rPr>
                <w:sz w:val="18"/>
              </w:rPr>
            </w:pPr>
          </w:p>
        </w:tc>
        <w:tc>
          <w:tcPr>
            <w:tcW w:w="3287" w:type="dxa"/>
          </w:tcPr>
          <w:p w14:paraId="27A1026F" w14:textId="77777777" w:rsidR="00E21E1A" w:rsidRPr="00E21E1A" w:rsidRDefault="00E21E1A" w:rsidP="00E21E1A">
            <w:pPr>
              <w:spacing w:before="60" w:after="60"/>
              <w:rPr>
                <w:sz w:val="18"/>
              </w:rPr>
            </w:pPr>
            <w:r w:rsidRPr="00E21E1A">
              <w:rPr>
                <w:b/>
                <w:sz w:val="18"/>
              </w:rPr>
              <w:lastRenderedPageBreak/>
              <w:t>Grade 3</w:t>
            </w:r>
            <w:r w:rsidRPr="00E21E1A">
              <w:rPr>
                <w:b/>
                <w:sz w:val="18"/>
              </w:rPr>
              <w:br/>
            </w:r>
            <w:r w:rsidRPr="00E21E1A">
              <w:rPr>
                <w:sz w:val="18"/>
              </w:rPr>
              <w:t xml:space="preserve">- </w:t>
            </w:r>
            <w:r w:rsidRPr="00E21E1A">
              <w:t xml:space="preserve"> </w:t>
            </w:r>
            <w:r w:rsidRPr="00E21E1A">
              <w:rPr>
                <w:sz w:val="18"/>
              </w:rPr>
              <w:t>For patients treated with PD-1 or PDL-1 inhibitors, hold study drug/study regimen until resolution to Grade ≤1; study drug/study regimen can be resumed after completion of steroid taper. Permanently discontinue study drug/study regimen for Grade 3 if toxicity does not improve to Grade ≤1 within 14 days.</w:t>
            </w:r>
          </w:p>
          <w:p w14:paraId="66E71F75" w14:textId="77777777" w:rsidR="00E21E1A" w:rsidRPr="00E21E1A" w:rsidRDefault="00E21E1A" w:rsidP="00E21E1A">
            <w:pPr>
              <w:spacing w:before="60" w:after="60"/>
              <w:rPr>
                <w:b/>
                <w:sz w:val="18"/>
              </w:rPr>
            </w:pPr>
            <w:r w:rsidRPr="00E21E1A">
              <w:rPr>
                <w:sz w:val="18"/>
              </w:rPr>
              <w:t>- Permanently discontinue study drug for 1) Grade 3 colitis in patients treated with CTLA-4 inhibitors or 2) Any grade large intestine perforation/Intestinal perforation in any patient treated with ICI.</w:t>
            </w:r>
          </w:p>
          <w:p w14:paraId="4BAEC21D" w14:textId="77777777" w:rsidR="00E21E1A" w:rsidRPr="00E21E1A" w:rsidRDefault="00E21E1A" w:rsidP="00E21E1A">
            <w:pPr>
              <w:spacing w:before="60" w:after="60"/>
              <w:rPr>
                <w:b/>
                <w:sz w:val="18"/>
              </w:rPr>
            </w:pPr>
          </w:p>
          <w:p w14:paraId="0A59C0FC" w14:textId="77777777" w:rsidR="00E21E1A" w:rsidRPr="00E21E1A" w:rsidRDefault="00E21E1A" w:rsidP="00E21E1A">
            <w:pPr>
              <w:spacing w:before="60" w:after="60"/>
              <w:rPr>
                <w:b/>
                <w:sz w:val="18"/>
              </w:rPr>
            </w:pPr>
            <w:r w:rsidRPr="00E21E1A">
              <w:rPr>
                <w:b/>
                <w:sz w:val="18"/>
              </w:rPr>
              <w:t>Grade 4</w:t>
            </w:r>
            <w:r w:rsidRPr="00E21E1A">
              <w:rPr>
                <w:b/>
                <w:sz w:val="18"/>
              </w:rPr>
              <w:br/>
            </w:r>
            <w:r w:rsidRPr="00E21E1A">
              <w:rPr>
                <w:sz w:val="18"/>
              </w:rPr>
              <w:t xml:space="preserve">Permanently discontinue </w:t>
            </w:r>
            <w:r w:rsidRPr="00E21E1A">
              <w:rPr>
                <w:sz w:val="18"/>
              </w:rPr>
              <w:br/>
              <w:t xml:space="preserve">study drug/study regimen. </w:t>
            </w:r>
          </w:p>
        </w:tc>
        <w:tc>
          <w:tcPr>
            <w:tcW w:w="5538" w:type="dxa"/>
          </w:tcPr>
          <w:p w14:paraId="304D2CFC" w14:textId="77777777" w:rsidR="00E21E1A" w:rsidRPr="00E21E1A" w:rsidRDefault="00E21E1A" w:rsidP="00E21E1A">
            <w:pPr>
              <w:spacing w:before="60" w:after="60"/>
              <w:rPr>
                <w:b/>
                <w:sz w:val="18"/>
              </w:rPr>
            </w:pPr>
            <w:r w:rsidRPr="00E21E1A">
              <w:rPr>
                <w:b/>
                <w:sz w:val="18"/>
              </w:rPr>
              <w:t>For Grade 3 or 4:</w:t>
            </w:r>
          </w:p>
          <w:p w14:paraId="1BC3842F" w14:textId="77777777" w:rsidR="00E21E1A" w:rsidRPr="00E21E1A" w:rsidRDefault="00E21E1A" w:rsidP="00E21E1A">
            <w:pPr>
              <w:numPr>
                <w:ilvl w:val="0"/>
                <w:numId w:val="94"/>
              </w:numPr>
              <w:spacing w:before="60" w:after="60"/>
              <w:rPr>
                <w:sz w:val="18"/>
              </w:rPr>
            </w:pPr>
            <w:r w:rsidRPr="00E21E1A">
              <w:rPr>
                <w:sz w:val="18"/>
              </w:rPr>
              <w:t>Promptly initiate empiric IV methylprednisolone 1 to 2 mg/kg/day or equivalent.</w:t>
            </w:r>
          </w:p>
          <w:p w14:paraId="36B2C13D" w14:textId="77777777" w:rsidR="00E21E1A" w:rsidRPr="00E21E1A" w:rsidRDefault="00E21E1A" w:rsidP="00E21E1A">
            <w:pPr>
              <w:numPr>
                <w:ilvl w:val="0"/>
                <w:numId w:val="94"/>
              </w:numPr>
              <w:spacing w:before="60" w:after="60"/>
              <w:rPr>
                <w:sz w:val="18"/>
              </w:rPr>
            </w:pPr>
            <w:r w:rsidRPr="00E21E1A">
              <w:rPr>
                <w:sz w:val="18"/>
              </w:rPr>
              <w:t>Monitor stool frequency and volume and maintain hydration.</w:t>
            </w:r>
          </w:p>
          <w:p w14:paraId="02AC038D" w14:textId="77777777" w:rsidR="00E21E1A" w:rsidRPr="00E21E1A" w:rsidRDefault="00E21E1A" w:rsidP="00E21E1A">
            <w:pPr>
              <w:numPr>
                <w:ilvl w:val="0"/>
                <w:numId w:val="94"/>
              </w:numPr>
              <w:spacing w:before="60" w:after="60"/>
              <w:rPr>
                <w:sz w:val="18"/>
              </w:rPr>
            </w:pPr>
            <w:r w:rsidRPr="00E21E1A">
              <w:rPr>
                <w:sz w:val="18"/>
              </w:rPr>
              <w:t>Urgent GI consult and imaging and/or colonoscopy as appropriate.</w:t>
            </w:r>
          </w:p>
          <w:p w14:paraId="1C10E927" w14:textId="77777777" w:rsidR="00E21E1A" w:rsidRPr="00E21E1A" w:rsidRDefault="00E21E1A" w:rsidP="00E21E1A">
            <w:pPr>
              <w:numPr>
                <w:ilvl w:val="0"/>
                <w:numId w:val="94"/>
              </w:numPr>
              <w:spacing w:before="60" w:after="60"/>
              <w:rPr>
                <w:sz w:val="18"/>
              </w:rPr>
            </w:pPr>
            <w:r w:rsidRPr="00E21E1A">
              <w:rPr>
                <w:sz w:val="18"/>
              </w:rPr>
              <w:t>If still no improvement within 2 days,</w:t>
            </w:r>
            <w:r w:rsidRPr="00E21E1A">
              <w:t xml:space="preserve"> </w:t>
            </w:r>
            <w:r w:rsidRPr="00E21E1A">
              <w:rPr>
                <w:sz w:val="18"/>
              </w:rPr>
              <w:t xml:space="preserve">continue steroids  and promptly add further immunosuppressant agents (e.g., infliximab at 5 mg/kg IV, may be repeated at 2 and 6 weeks after initial dose at the discretion of the treating provider)). </w:t>
            </w:r>
            <w:r w:rsidRPr="00E21E1A">
              <w:rPr>
                <w:b/>
                <w:sz w:val="18"/>
              </w:rPr>
              <w:t>Caution</w:t>
            </w:r>
            <w:r w:rsidRPr="00E21E1A">
              <w:rPr>
                <w:sz w:val="18"/>
              </w:rPr>
              <w:t>: Ensure GI consult to rule out bowel perforation and refer to infliximab label for general guidance before using infliximab.</w:t>
            </w:r>
            <w:r w:rsidRPr="00E21E1A">
              <w:rPr>
                <w:sz w:val="18"/>
                <w:szCs w:val="18"/>
              </w:rPr>
              <w:t xml:space="preserve"> </w:t>
            </w:r>
            <w:bookmarkStart w:id="609" w:name="_Hlk20326905"/>
            <w:r w:rsidRPr="00E21E1A">
              <w:rPr>
                <w:rFonts w:eastAsia="TimesNewRoman"/>
                <w:sz w:val="18"/>
                <w:szCs w:val="18"/>
              </w:rPr>
              <w:t>If perforation is suspected, consult a surgeon experienced in abdominal surgery immediately without any delay .</w:t>
            </w:r>
            <w:bookmarkEnd w:id="609"/>
          </w:p>
          <w:p w14:paraId="4FCD4819" w14:textId="77777777" w:rsidR="00E21E1A" w:rsidRPr="00E21E1A" w:rsidRDefault="00E21E1A" w:rsidP="00E21E1A">
            <w:pPr>
              <w:numPr>
                <w:ilvl w:val="0"/>
                <w:numId w:val="94"/>
              </w:numPr>
              <w:spacing w:before="60" w:after="60"/>
              <w:rPr>
                <w:sz w:val="18"/>
              </w:rPr>
            </w:pPr>
            <w:r w:rsidRPr="00E21E1A">
              <w:rPr>
                <w:sz w:val="18"/>
              </w:rPr>
              <w:t>Once the patient is improving, gradually taper steroids over ≥28 days and consider prophylactic antibiotics, antifungals, and anti-PJP treatment (refer to current NCCN guidelines for treatment of cancer-related infections</w:t>
            </w:r>
            <w:r w:rsidRPr="00E21E1A">
              <w:rPr>
                <w:sz w:val="18"/>
                <w:szCs w:val="18"/>
              </w:rPr>
              <w:t>).</w:t>
            </w:r>
            <w:r w:rsidRPr="00E21E1A">
              <w:rPr>
                <w:sz w:val="18"/>
                <w:szCs w:val="18"/>
                <w:vertAlign w:val="superscript"/>
              </w:rPr>
              <w:t>a</w:t>
            </w:r>
          </w:p>
        </w:tc>
      </w:tr>
    </w:tbl>
    <w:p w14:paraId="4E065D6F" w14:textId="2C1C7E32" w:rsidR="00E56CB2" w:rsidRDefault="00E56CB2" w:rsidP="00E56CB2">
      <w:pPr>
        <w:rPr>
          <w:lang w:val="x-none" w:eastAsia="x-none"/>
        </w:rPr>
      </w:pPr>
    </w:p>
    <w:tbl>
      <w:tblPr>
        <w:tblStyle w:val="TableGrid2"/>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507"/>
        <w:gridCol w:w="2055"/>
        <w:gridCol w:w="3694"/>
      </w:tblGrid>
      <w:tr w:rsidR="00CE7080" w:rsidRPr="00CE7080" w14:paraId="7E296AB0" w14:textId="77777777" w:rsidTr="00CF7A38">
        <w:tc>
          <w:tcPr>
            <w:tcW w:w="2138" w:type="dxa"/>
            <w:vMerge w:val="restart"/>
          </w:tcPr>
          <w:p w14:paraId="6A5A7F25" w14:textId="77777777" w:rsidR="00CE7080" w:rsidRPr="00CE7080" w:rsidRDefault="00CE7080" w:rsidP="00CE7080">
            <w:pPr>
              <w:spacing w:before="60" w:after="60"/>
              <w:rPr>
                <w:b/>
                <w:bCs/>
                <w:sz w:val="18"/>
                <w:szCs w:val="18"/>
              </w:rPr>
            </w:pPr>
            <w:r w:rsidRPr="00CE7080">
              <w:rPr>
                <w:b/>
                <w:bCs/>
                <w:sz w:val="18"/>
                <w:szCs w:val="18"/>
              </w:rPr>
              <w:t xml:space="preserve">Hepatitis </w:t>
            </w:r>
            <w:r w:rsidRPr="00CE7080">
              <w:rPr>
                <w:b/>
                <w:sz w:val="18"/>
                <w:szCs w:val="18"/>
              </w:rPr>
              <w:br/>
            </w:r>
            <w:r w:rsidRPr="00CE7080">
              <w:rPr>
                <w:b/>
                <w:bCs/>
                <w:sz w:val="18"/>
                <w:szCs w:val="18"/>
              </w:rPr>
              <w:t>(elevated LFTs)</w:t>
            </w:r>
          </w:p>
          <w:p w14:paraId="2CCC9851" w14:textId="77777777" w:rsidR="00CE7080" w:rsidRPr="00CE7080" w:rsidRDefault="00CE7080" w:rsidP="00CE7080">
            <w:pPr>
              <w:spacing w:before="60" w:after="60"/>
              <w:rPr>
                <w:sz w:val="18"/>
                <w:szCs w:val="18"/>
              </w:rPr>
            </w:pPr>
            <w:r w:rsidRPr="00CE7080">
              <w:rPr>
                <w:b/>
                <w:noProof/>
                <w:sz w:val="18"/>
                <w:szCs w:val="18"/>
              </w:rPr>
              <mc:AlternateContent>
                <mc:Choice Requires="wps">
                  <w:drawing>
                    <wp:anchor distT="45720" distB="45720" distL="114300" distR="114300" simplePos="0" relativeHeight="251697152" behindDoc="0" locked="0" layoutInCell="1" allowOverlap="1" wp14:anchorId="127F5621" wp14:editId="3A17F0F4">
                      <wp:simplePos x="0" y="0"/>
                      <wp:positionH relativeFrom="column">
                        <wp:posOffset>15240</wp:posOffset>
                      </wp:positionH>
                      <wp:positionV relativeFrom="paragraph">
                        <wp:posOffset>686435</wp:posOffset>
                      </wp:positionV>
                      <wp:extent cx="1170305" cy="1775460"/>
                      <wp:effectExtent l="0" t="0" r="1079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775460"/>
                              </a:xfrm>
                              <a:prstGeom prst="rect">
                                <a:avLst/>
                              </a:prstGeom>
                              <a:solidFill>
                                <a:srgbClr val="FF0000"/>
                              </a:solidFill>
                              <a:ln w="9525">
                                <a:solidFill>
                                  <a:srgbClr val="000000"/>
                                </a:solidFill>
                                <a:miter lim="800000"/>
                                <a:headEnd/>
                                <a:tailEnd/>
                              </a:ln>
                            </wps:spPr>
                            <wps:txbx>
                              <w:txbxContent>
                                <w:p w14:paraId="6755EFD4" w14:textId="77777777" w:rsidR="0045176A" w:rsidRDefault="0045176A" w:rsidP="00CE7080">
                                  <w:r w:rsidRPr="004F756A">
                                    <w:rPr>
                                      <w:b/>
                                      <w:sz w:val="18"/>
                                      <w:szCs w:val="18"/>
                                    </w:rPr>
                                    <w:t>PLEASE SEE shaded area immediately below</w:t>
                                  </w:r>
                                  <w:r>
                                    <w:rPr>
                                      <w:b/>
                                      <w:sz w:val="18"/>
                                      <w:szCs w:val="18"/>
                                    </w:rPr>
                                    <w:t xml:space="preserve"> this section to find</w:t>
                                  </w:r>
                                  <w:r w:rsidRPr="004F756A">
                                    <w:rPr>
                                      <w:b/>
                                      <w:sz w:val="18"/>
                                      <w:szCs w:val="18"/>
                                    </w:rPr>
                                    <w:t xml:space="preserve"> </w:t>
                                  </w:r>
                                  <w:r>
                                    <w:rPr>
                                      <w:b/>
                                      <w:sz w:val="18"/>
                                      <w:szCs w:val="18"/>
                                    </w:rPr>
                                    <w:t>guidance</w:t>
                                  </w:r>
                                  <w:r w:rsidRPr="004F756A">
                                    <w:rPr>
                                      <w:b/>
                                      <w:sz w:val="18"/>
                                      <w:szCs w:val="18"/>
                                    </w:rPr>
                                    <w:t xml:space="preserve"> </w:t>
                                  </w:r>
                                  <w:r>
                                    <w:rPr>
                                      <w:b/>
                                      <w:sz w:val="18"/>
                                      <w:szCs w:val="18"/>
                                    </w:rPr>
                                    <w:t>for</w:t>
                                  </w:r>
                                  <w:r w:rsidRPr="004F756A">
                                    <w:rPr>
                                      <w:b/>
                                      <w:sz w:val="18"/>
                                      <w:szCs w:val="18"/>
                                    </w:rPr>
                                    <w:t xml:space="preserve"> management of</w:t>
                                  </w:r>
                                  <w:r>
                                    <w:rPr>
                                      <w:b/>
                                      <w:sz w:val="18"/>
                                      <w:szCs w:val="18"/>
                                    </w:rPr>
                                    <w:t xml:space="preserve"> “Hepatitis (elevated LFTS)” in</w:t>
                                  </w:r>
                                  <w:r w:rsidRPr="004F756A">
                                    <w:rPr>
                                      <w:b/>
                                      <w:sz w:val="18"/>
                                      <w:szCs w:val="18"/>
                                    </w:rPr>
                                    <w:t xml:space="preserve"> HCC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F5621" id="Text Box 2" o:spid="_x0000_s1039" type="#_x0000_t202" style="position:absolute;left:0;text-align:left;margin-left:1.2pt;margin-top:54.05pt;width:92.15pt;height:139.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" fillcolor="red">
                      <v:textbox>
                        <w:txbxContent>
                          <w:p w14:paraId="6755EFD4" w14:textId="77777777" w:rsidR="0045176A" w:rsidRDefault="0045176A" w:rsidP="00CE7080">
                            <w:r w:rsidRPr="004F756A">
                              <w:rPr>
                                <w:b/>
                                <w:sz w:val="18"/>
                                <w:szCs w:val="18"/>
                              </w:rPr>
                              <w:t>PLEASE SEE shaded area immediately below</w:t>
                            </w:r>
                            <w:r>
                              <w:rPr>
                                <w:b/>
                                <w:sz w:val="18"/>
                                <w:szCs w:val="18"/>
                              </w:rPr>
                              <w:t xml:space="preserve"> this section to find</w:t>
                            </w:r>
                            <w:r w:rsidRPr="004F756A">
                              <w:rPr>
                                <w:b/>
                                <w:sz w:val="18"/>
                                <w:szCs w:val="18"/>
                              </w:rPr>
                              <w:t xml:space="preserve"> </w:t>
                            </w:r>
                            <w:r>
                              <w:rPr>
                                <w:b/>
                                <w:sz w:val="18"/>
                                <w:szCs w:val="18"/>
                              </w:rPr>
                              <w:t>guidance</w:t>
                            </w:r>
                            <w:r w:rsidRPr="004F756A">
                              <w:rPr>
                                <w:b/>
                                <w:sz w:val="18"/>
                                <w:szCs w:val="18"/>
                              </w:rPr>
                              <w:t xml:space="preserve"> </w:t>
                            </w:r>
                            <w:r>
                              <w:rPr>
                                <w:b/>
                                <w:sz w:val="18"/>
                                <w:szCs w:val="18"/>
                              </w:rPr>
                              <w:t>for</w:t>
                            </w:r>
                            <w:r w:rsidRPr="004F756A">
                              <w:rPr>
                                <w:b/>
                                <w:sz w:val="18"/>
                                <w:szCs w:val="18"/>
                              </w:rPr>
                              <w:t xml:space="preserve"> management of</w:t>
                            </w:r>
                            <w:r>
                              <w:rPr>
                                <w:b/>
                                <w:sz w:val="18"/>
                                <w:szCs w:val="18"/>
                              </w:rPr>
                              <w:t xml:space="preserve"> “Hepatitis (elevated LFTS)” in</w:t>
                            </w:r>
                            <w:r w:rsidRPr="004F756A">
                              <w:rPr>
                                <w:b/>
                                <w:sz w:val="18"/>
                                <w:szCs w:val="18"/>
                              </w:rPr>
                              <w:t xml:space="preserve"> HCC patients</w:t>
                            </w:r>
                          </w:p>
                        </w:txbxContent>
                      </v:textbox>
                      <w10:wrap type="square"/>
                    </v:shape>
                  </w:pict>
                </mc:Fallback>
              </mc:AlternateContent>
            </w:r>
            <w:r w:rsidRPr="00CE7080">
              <w:rPr>
                <w:sz w:val="18"/>
                <w:szCs w:val="18"/>
              </w:rPr>
              <w:t>Infliximab should not be used for management of immune-related hepatitis.</w:t>
            </w:r>
          </w:p>
        </w:tc>
        <w:tc>
          <w:tcPr>
            <w:tcW w:w="1954" w:type="dxa"/>
          </w:tcPr>
          <w:p w14:paraId="3FFC2827" w14:textId="77777777" w:rsidR="00CE7080" w:rsidRPr="00CE7080" w:rsidRDefault="00CE7080" w:rsidP="00CE7080">
            <w:pPr>
              <w:spacing w:before="60" w:after="60"/>
              <w:rPr>
                <w:b/>
                <w:bCs/>
                <w:sz w:val="18"/>
                <w:szCs w:val="18"/>
              </w:rPr>
            </w:pPr>
            <w:r w:rsidRPr="00CE7080">
              <w:rPr>
                <w:b/>
                <w:bCs/>
                <w:sz w:val="18"/>
                <w:szCs w:val="18"/>
              </w:rPr>
              <w:t>Any Grade</w:t>
            </w:r>
          </w:p>
          <w:p w14:paraId="479D3A02" w14:textId="77777777" w:rsidR="00CE7080" w:rsidRPr="00CE7080" w:rsidRDefault="00CE7080" w:rsidP="00CE7080">
            <w:pPr>
              <w:spacing w:before="60" w:after="60"/>
              <w:rPr>
                <w:b/>
                <w:bCs/>
                <w:sz w:val="18"/>
                <w:szCs w:val="18"/>
              </w:rPr>
            </w:pPr>
          </w:p>
        </w:tc>
        <w:tc>
          <w:tcPr>
            <w:tcW w:w="3287" w:type="dxa"/>
          </w:tcPr>
          <w:p w14:paraId="75C73065" w14:textId="77777777" w:rsidR="00CE7080" w:rsidRPr="00CE7080" w:rsidRDefault="00CE7080" w:rsidP="00CE7080">
            <w:pPr>
              <w:spacing w:before="60" w:after="60"/>
              <w:rPr>
                <w:b/>
                <w:bCs/>
                <w:sz w:val="18"/>
                <w:szCs w:val="18"/>
              </w:rPr>
            </w:pPr>
            <w:r w:rsidRPr="00CE7080">
              <w:rPr>
                <w:b/>
                <w:bCs/>
                <w:sz w:val="18"/>
                <w:szCs w:val="18"/>
              </w:rPr>
              <w:t>General Guidance</w:t>
            </w:r>
          </w:p>
        </w:tc>
        <w:tc>
          <w:tcPr>
            <w:tcW w:w="5538" w:type="dxa"/>
          </w:tcPr>
          <w:p w14:paraId="75989271" w14:textId="77777777" w:rsidR="00CE7080" w:rsidRPr="00CE7080" w:rsidRDefault="00CE7080" w:rsidP="00CE7080">
            <w:pPr>
              <w:spacing w:before="60" w:after="60"/>
              <w:rPr>
                <w:b/>
                <w:bCs/>
                <w:sz w:val="18"/>
                <w:szCs w:val="18"/>
              </w:rPr>
            </w:pPr>
            <w:r w:rsidRPr="00CE7080">
              <w:rPr>
                <w:b/>
                <w:bCs/>
                <w:sz w:val="18"/>
                <w:szCs w:val="18"/>
              </w:rPr>
              <w:t>For Any Grade</w:t>
            </w:r>
          </w:p>
          <w:p w14:paraId="7936EDB6" w14:textId="77777777" w:rsidR="00CE7080" w:rsidRPr="00CE7080" w:rsidRDefault="00CE7080" w:rsidP="00CE7080">
            <w:pPr>
              <w:numPr>
                <w:ilvl w:val="0"/>
                <w:numId w:val="97"/>
              </w:numPr>
              <w:spacing w:before="60" w:after="60"/>
              <w:rPr>
                <w:sz w:val="18"/>
                <w:szCs w:val="18"/>
              </w:rPr>
            </w:pPr>
            <w:r w:rsidRPr="00CE7080">
              <w:rPr>
                <w:sz w:val="18"/>
                <w:szCs w:val="18"/>
              </w:rPr>
              <w:t>Monitor and evaluate liver function test: AST, ALT, ALP, and TB.</w:t>
            </w:r>
          </w:p>
          <w:p w14:paraId="4B4A5847" w14:textId="77777777" w:rsidR="00CE7080" w:rsidRPr="00CE7080" w:rsidRDefault="00CE7080" w:rsidP="00CE7080">
            <w:pPr>
              <w:numPr>
                <w:ilvl w:val="0"/>
                <w:numId w:val="97"/>
              </w:numPr>
              <w:spacing w:before="60" w:after="60"/>
              <w:rPr>
                <w:sz w:val="18"/>
                <w:szCs w:val="18"/>
              </w:rPr>
            </w:pPr>
            <w:r w:rsidRPr="00CE7080">
              <w:rPr>
                <w:sz w:val="18"/>
                <w:szCs w:val="18"/>
              </w:rPr>
              <w:t>Evaluate for alternative etiologies (e.g., viral hepatitis, disease progression, concomitant medications).</w:t>
            </w:r>
          </w:p>
        </w:tc>
      </w:tr>
      <w:tr w:rsidR="00CE7080" w:rsidRPr="00CE7080" w14:paraId="30C78E84" w14:textId="77777777" w:rsidTr="00CF7A38">
        <w:tc>
          <w:tcPr>
            <w:tcW w:w="2138" w:type="dxa"/>
            <w:vMerge/>
          </w:tcPr>
          <w:p w14:paraId="15EEEC68" w14:textId="77777777" w:rsidR="00CE7080" w:rsidRPr="00CE7080" w:rsidRDefault="00CE7080" w:rsidP="00CE7080">
            <w:pPr>
              <w:spacing w:before="60" w:after="60"/>
              <w:rPr>
                <w:sz w:val="18"/>
                <w:szCs w:val="18"/>
              </w:rPr>
            </w:pPr>
          </w:p>
        </w:tc>
        <w:tc>
          <w:tcPr>
            <w:tcW w:w="1954" w:type="dxa"/>
          </w:tcPr>
          <w:p w14:paraId="09F01F09" w14:textId="77777777" w:rsidR="00CE7080" w:rsidRPr="00CE7080" w:rsidRDefault="00CE7080" w:rsidP="00CE7080">
            <w:pPr>
              <w:spacing w:before="60" w:after="60"/>
              <w:rPr>
                <w:b/>
                <w:sz w:val="18"/>
                <w:szCs w:val="18"/>
              </w:rPr>
            </w:pPr>
            <w:r w:rsidRPr="00CE7080">
              <w:rPr>
                <w:b/>
                <w:bCs/>
                <w:sz w:val="18"/>
                <w:szCs w:val="18"/>
              </w:rPr>
              <w:t>Grade 1</w:t>
            </w:r>
            <w:r w:rsidRPr="00CE7080">
              <w:rPr>
                <w:b/>
                <w:bCs/>
                <w:sz w:val="18"/>
                <w:szCs w:val="18"/>
              </w:rPr>
              <w:br/>
            </w:r>
            <w:r w:rsidRPr="00CE7080">
              <w:rPr>
                <w:b/>
                <w:sz w:val="18"/>
                <w:szCs w:val="18"/>
              </w:rPr>
              <w:t>(</w:t>
            </w:r>
            <w:r w:rsidRPr="00CE7080">
              <w:rPr>
                <w:sz w:val="18"/>
                <w:szCs w:val="18"/>
              </w:rPr>
              <w:t>AST or ALT &gt;ULN and ≤3.0×ULN if baseline normal, 1.5-3.0×baseline if baseline abnormal; and/or TB &gt;ULN and ≤1.5×ULN if baseline normal, &gt;1.0-1.5×baseline if baseline abnormal)</w:t>
            </w:r>
          </w:p>
        </w:tc>
        <w:tc>
          <w:tcPr>
            <w:tcW w:w="3287" w:type="dxa"/>
          </w:tcPr>
          <w:p w14:paraId="5BE35A29" w14:textId="77777777" w:rsidR="00CE7080" w:rsidRPr="00CE7080" w:rsidRDefault="00CE7080" w:rsidP="00CE7080">
            <w:pPr>
              <w:numPr>
                <w:ilvl w:val="0"/>
                <w:numId w:val="132"/>
              </w:numPr>
              <w:spacing w:before="60" w:after="60"/>
              <w:ind w:left="302"/>
              <w:rPr>
                <w:sz w:val="18"/>
                <w:szCs w:val="18"/>
              </w:rPr>
            </w:pPr>
            <w:r w:rsidRPr="00CE7080">
              <w:rPr>
                <w:sz w:val="18"/>
                <w:szCs w:val="18"/>
              </w:rPr>
              <w:t>No dose modifications.</w:t>
            </w:r>
          </w:p>
          <w:p w14:paraId="3C06B215" w14:textId="77777777" w:rsidR="00CE7080" w:rsidRPr="00CE7080" w:rsidRDefault="00CE7080" w:rsidP="00CE7080">
            <w:pPr>
              <w:numPr>
                <w:ilvl w:val="0"/>
                <w:numId w:val="98"/>
              </w:numPr>
              <w:spacing w:before="60" w:after="60"/>
              <w:ind w:left="302"/>
              <w:rPr>
                <w:sz w:val="18"/>
                <w:szCs w:val="18"/>
              </w:rPr>
            </w:pPr>
            <w:r w:rsidRPr="00CE7080">
              <w:rPr>
                <w:sz w:val="18"/>
                <w:szCs w:val="18"/>
              </w:rPr>
              <w:t xml:space="preserve">If it worsens, then treat as Grade 2. </w:t>
            </w:r>
          </w:p>
        </w:tc>
        <w:tc>
          <w:tcPr>
            <w:tcW w:w="5538" w:type="dxa"/>
          </w:tcPr>
          <w:p w14:paraId="67EAABA4" w14:textId="77777777" w:rsidR="00CE7080" w:rsidRPr="00CE7080" w:rsidRDefault="00CE7080" w:rsidP="00CE7080">
            <w:pPr>
              <w:numPr>
                <w:ilvl w:val="0"/>
                <w:numId w:val="99"/>
              </w:numPr>
              <w:spacing w:before="60" w:after="60"/>
              <w:rPr>
                <w:sz w:val="18"/>
                <w:szCs w:val="18"/>
              </w:rPr>
            </w:pPr>
            <w:r w:rsidRPr="00CE7080">
              <w:rPr>
                <w:sz w:val="18"/>
                <w:szCs w:val="18"/>
              </w:rPr>
              <w:t>Continue LFT monitoring per protocol.</w:t>
            </w:r>
          </w:p>
        </w:tc>
      </w:tr>
      <w:tr w:rsidR="00CE7080" w:rsidRPr="00CE7080" w14:paraId="69C92B8B" w14:textId="77777777" w:rsidTr="00CF7A38">
        <w:tc>
          <w:tcPr>
            <w:tcW w:w="2138" w:type="dxa"/>
            <w:vMerge/>
          </w:tcPr>
          <w:p w14:paraId="72B332EB" w14:textId="77777777" w:rsidR="00CE7080" w:rsidRPr="00CE7080" w:rsidRDefault="00CE7080" w:rsidP="00CE7080">
            <w:pPr>
              <w:spacing w:before="60" w:after="60"/>
              <w:rPr>
                <w:sz w:val="18"/>
                <w:szCs w:val="18"/>
              </w:rPr>
            </w:pPr>
          </w:p>
        </w:tc>
        <w:tc>
          <w:tcPr>
            <w:tcW w:w="1954" w:type="dxa"/>
          </w:tcPr>
          <w:p w14:paraId="5FB560D3" w14:textId="77777777" w:rsidR="00CE7080" w:rsidRPr="00CE7080" w:rsidRDefault="00CE7080" w:rsidP="00CE7080">
            <w:pPr>
              <w:spacing w:before="60" w:after="60"/>
              <w:rPr>
                <w:b/>
                <w:bCs/>
                <w:sz w:val="18"/>
                <w:szCs w:val="18"/>
              </w:rPr>
            </w:pPr>
            <w:r w:rsidRPr="00CE7080">
              <w:rPr>
                <w:b/>
                <w:bCs/>
                <w:sz w:val="18"/>
                <w:szCs w:val="18"/>
              </w:rPr>
              <w:t>Grade 2</w:t>
            </w:r>
            <w:r w:rsidRPr="00CE7080" w:rsidDel="00EF62F5">
              <w:rPr>
                <w:b/>
                <w:bCs/>
                <w:sz w:val="18"/>
                <w:szCs w:val="18"/>
              </w:rPr>
              <w:t xml:space="preserve"> </w:t>
            </w:r>
          </w:p>
          <w:p w14:paraId="4C505771" w14:textId="77777777" w:rsidR="00CE7080" w:rsidRPr="00CE7080" w:rsidRDefault="00CE7080" w:rsidP="00CE7080">
            <w:pPr>
              <w:spacing w:before="60" w:after="60"/>
              <w:rPr>
                <w:sz w:val="18"/>
                <w:szCs w:val="18"/>
              </w:rPr>
            </w:pPr>
            <w:r w:rsidRPr="00CE7080">
              <w:rPr>
                <w:sz w:val="18"/>
                <w:szCs w:val="18"/>
              </w:rPr>
              <w:t xml:space="preserve">(AST or </w:t>
            </w:r>
            <w:r w:rsidRPr="00CE7080">
              <w:rPr>
                <w:sz w:val="18"/>
                <w:szCs w:val="18"/>
              </w:rPr>
              <w:br/>
              <w:t xml:space="preserve">ALT &gt;3.0×ULN and ≤5.0×ULN if baseline normal, &gt;3-5×baseline if baseline abnormal; and/or </w:t>
            </w:r>
            <w:r w:rsidRPr="00CE7080">
              <w:rPr>
                <w:sz w:val="18"/>
                <w:szCs w:val="18"/>
              </w:rPr>
              <w:br/>
              <w:t xml:space="preserve">TB &gt;1.5×ULN and ≤3.0×ULN if baseline normal, &gt;1.5- 3.0×baseline if </w:t>
            </w:r>
            <w:r w:rsidRPr="00CE7080">
              <w:rPr>
                <w:sz w:val="18"/>
                <w:szCs w:val="18"/>
              </w:rPr>
              <w:lastRenderedPageBreak/>
              <w:t>baseline abnormal)</w:t>
            </w:r>
          </w:p>
        </w:tc>
        <w:tc>
          <w:tcPr>
            <w:tcW w:w="3287" w:type="dxa"/>
          </w:tcPr>
          <w:p w14:paraId="41376D42" w14:textId="77777777" w:rsidR="00CE7080" w:rsidRPr="00CE7080" w:rsidRDefault="00CE7080" w:rsidP="00CE7080">
            <w:pPr>
              <w:numPr>
                <w:ilvl w:val="0"/>
                <w:numId w:val="100"/>
              </w:numPr>
              <w:spacing w:before="60" w:after="60"/>
              <w:ind w:left="318" w:hanging="318"/>
              <w:rPr>
                <w:sz w:val="18"/>
                <w:szCs w:val="18"/>
              </w:rPr>
            </w:pPr>
            <w:r w:rsidRPr="00CE7080">
              <w:rPr>
                <w:sz w:val="18"/>
                <w:szCs w:val="18"/>
              </w:rPr>
              <w:lastRenderedPageBreak/>
              <w:t xml:space="preserve">Permanently discontinue study drug/study regimen for any case meeting Hy’s law criteria (AST and/or ALT &gt;3 × ULN + bilirubin &gt;2 × ULN without initial findings of cholestasis (i.e., elevated alkaline P04) and in the </w:t>
            </w:r>
            <w:r w:rsidRPr="00CE7080">
              <w:rPr>
                <w:sz w:val="18"/>
                <w:szCs w:val="18"/>
              </w:rPr>
              <w:lastRenderedPageBreak/>
              <w:t>absence of any alternative cause.</w:t>
            </w:r>
          </w:p>
        </w:tc>
        <w:tc>
          <w:tcPr>
            <w:tcW w:w="5538" w:type="dxa"/>
          </w:tcPr>
          <w:p w14:paraId="06674357" w14:textId="77777777" w:rsidR="00CE7080" w:rsidRPr="00CE7080" w:rsidRDefault="00CE7080" w:rsidP="00CE7080">
            <w:pPr>
              <w:spacing w:before="60" w:after="60"/>
              <w:ind w:left="2236"/>
              <w:rPr>
                <w:sz w:val="18"/>
                <w:szCs w:val="18"/>
              </w:rPr>
            </w:pPr>
            <w:r w:rsidRPr="00CE7080">
              <w:rPr>
                <w:b/>
                <w:bCs/>
                <w:sz w:val="18"/>
                <w:szCs w:val="18"/>
              </w:rPr>
              <w:lastRenderedPageBreak/>
              <w:t>For Grade 2:</w:t>
            </w:r>
          </w:p>
          <w:p w14:paraId="428F0339" w14:textId="77777777" w:rsidR="00CE7080" w:rsidRPr="00CE7080" w:rsidRDefault="00CE7080" w:rsidP="00CE7080">
            <w:pPr>
              <w:numPr>
                <w:ilvl w:val="0"/>
                <w:numId w:val="101"/>
              </w:numPr>
              <w:spacing w:before="60" w:after="60"/>
              <w:rPr>
                <w:sz w:val="18"/>
                <w:szCs w:val="18"/>
              </w:rPr>
            </w:pPr>
            <w:r w:rsidRPr="00CE7080">
              <w:rPr>
                <w:sz w:val="18"/>
                <w:szCs w:val="18"/>
              </w:rPr>
              <w:t>Regular and frequent checking of LFTs (e.g., every 1 to 2 days) until elevations of these are improving or resolved.</w:t>
            </w:r>
          </w:p>
          <w:p w14:paraId="037B7867" w14:textId="77777777" w:rsidR="00CE7080" w:rsidRPr="00CE7080" w:rsidRDefault="00CE7080" w:rsidP="00CE7080">
            <w:pPr>
              <w:numPr>
                <w:ilvl w:val="0"/>
                <w:numId w:val="101"/>
              </w:numPr>
              <w:spacing w:before="60" w:after="60"/>
              <w:rPr>
                <w:sz w:val="18"/>
                <w:szCs w:val="18"/>
              </w:rPr>
            </w:pPr>
            <w:r w:rsidRPr="00CE7080">
              <w:rPr>
                <w:sz w:val="18"/>
                <w:szCs w:val="18"/>
              </w:rPr>
              <w:t>If no resolution to ≤Grade 1 in 1 to 2 days, consider, as necessary, discussing with study physician.</w:t>
            </w:r>
          </w:p>
          <w:p w14:paraId="32C6C0F7" w14:textId="77777777" w:rsidR="00CE7080" w:rsidRPr="00CE7080" w:rsidRDefault="00CE7080" w:rsidP="00CE7080">
            <w:pPr>
              <w:numPr>
                <w:ilvl w:val="0"/>
                <w:numId w:val="101"/>
              </w:numPr>
              <w:spacing w:before="60" w:after="60"/>
              <w:rPr>
                <w:sz w:val="18"/>
                <w:szCs w:val="18"/>
              </w:rPr>
            </w:pPr>
            <w:r w:rsidRPr="00CE7080">
              <w:rPr>
                <w:sz w:val="18"/>
                <w:szCs w:val="18"/>
              </w:rPr>
              <w:t>If event is persistent (&gt;2 to 3 days) or worsens, promptly start prednisone 1 to 2 mg/kg/day PO or IV equivalent.</w:t>
            </w:r>
          </w:p>
          <w:p w14:paraId="0DE58A64" w14:textId="77777777" w:rsidR="00CE7080" w:rsidRPr="00CE7080" w:rsidRDefault="00CE7080" w:rsidP="00CE7080">
            <w:pPr>
              <w:numPr>
                <w:ilvl w:val="0"/>
                <w:numId w:val="101"/>
              </w:numPr>
              <w:spacing w:before="60" w:after="60"/>
              <w:rPr>
                <w:sz w:val="18"/>
                <w:szCs w:val="18"/>
              </w:rPr>
            </w:pPr>
            <w:r w:rsidRPr="00CE7080">
              <w:rPr>
                <w:sz w:val="18"/>
                <w:szCs w:val="18"/>
              </w:rPr>
              <w:t xml:space="preserve">If still no improvement within 3 to 5 days despite 1 to 2 mg/kg/day of prednisone PO </w:t>
            </w:r>
            <w:r w:rsidRPr="00CE7080">
              <w:rPr>
                <w:sz w:val="18"/>
                <w:szCs w:val="18"/>
              </w:rPr>
              <w:lastRenderedPageBreak/>
              <w:t>or IV equivalent, consider additional work up and start prompt treatment with IV methylprednisolone 2 to 4 mg/kg/day.</w:t>
            </w:r>
          </w:p>
          <w:p w14:paraId="39FADCD2" w14:textId="77777777" w:rsidR="00CE7080" w:rsidRPr="00CE7080" w:rsidRDefault="00CE7080" w:rsidP="00CE7080">
            <w:pPr>
              <w:numPr>
                <w:ilvl w:val="0"/>
                <w:numId w:val="101"/>
              </w:numPr>
              <w:spacing w:before="60" w:after="60"/>
              <w:rPr>
                <w:sz w:val="18"/>
                <w:szCs w:val="18"/>
              </w:rPr>
            </w:pPr>
            <w:r w:rsidRPr="00CE7080">
              <w:rPr>
                <w:sz w:val="18"/>
                <w:szCs w:val="18"/>
              </w:rPr>
              <w:t>If still no improvement within 3 to 5 days despite 2 to 4 mg/kg/day of IV methylprednisolone, promptly start immunosuppressives (i.e., mycophenolate mofetil).</w:t>
            </w:r>
            <w:r w:rsidRPr="00CE7080">
              <w:rPr>
                <w:sz w:val="18"/>
                <w:szCs w:val="18"/>
                <w:vertAlign w:val="superscript"/>
              </w:rPr>
              <w:t>a</w:t>
            </w:r>
            <w:r w:rsidRPr="00CE7080">
              <w:rPr>
                <w:sz w:val="18"/>
                <w:szCs w:val="18"/>
              </w:rPr>
              <w:t xml:space="preserve"> Discuss with study physician if mycophenolate mofetil is not available. </w:t>
            </w:r>
            <w:r w:rsidRPr="00CE7080">
              <w:rPr>
                <w:b/>
                <w:bCs/>
                <w:sz w:val="18"/>
                <w:szCs w:val="18"/>
              </w:rPr>
              <w:t>Infliximab should NOT be used.</w:t>
            </w:r>
          </w:p>
          <w:p w14:paraId="67F62A7F" w14:textId="77777777" w:rsidR="00CE7080" w:rsidRPr="00CE7080" w:rsidRDefault="00CE7080" w:rsidP="00CE7080">
            <w:pPr>
              <w:numPr>
                <w:ilvl w:val="0"/>
                <w:numId w:val="101"/>
              </w:numPr>
              <w:spacing w:before="60" w:after="60"/>
              <w:rPr>
                <w:sz w:val="18"/>
                <w:szCs w:val="18"/>
              </w:rPr>
            </w:pPr>
            <w:r w:rsidRPr="00CE7080">
              <w:rPr>
                <w:sz w:val="18"/>
                <w:szCs w:val="18"/>
              </w:rPr>
              <w:t>Once the patient is improving, gradually taper steroids over ≥28 days and consider prophylactic antibiotics, antifungals, and anti-PJP treatment (refer to current NCCN guidelines for treatment of cancer-related infections).</w:t>
            </w:r>
            <w:r w:rsidRPr="00CE7080">
              <w:rPr>
                <w:sz w:val="18"/>
                <w:szCs w:val="18"/>
                <w:vertAlign w:val="superscript"/>
              </w:rPr>
              <w:t>a</w:t>
            </w:r>
          </w:p>
        </w:tc>
      </w:tr>
      <w:tr w:rsidR="00CE7080" w:rsidRPr="00CE7080" w14:paraId="6854750A" w14:textId="77777777" w:rsidTr="00CF7A38">
        <w:tc>
          <w:tcPr>
            <w:tcW w:w="2138" w:type="dxa"/>
            <w:vMerge/>
          </w:tcPr>
          <w:p w14:paraId="6598526E" w14:textId="77777777" w:rsidR="00CE7080" w:rsidRPr="00CE7080" w:rsidRDefault="00CE7080" w:rsidP="00CE7080">
            <w:pPr>
              <w:spacing w:before="60" w:after="60"/>
              <w:rPr>
                <w:sz w:val="18"/>
                <w:szCs w:val="18"/>
              </w:rPr>
            </w:pPr>
          </w:p>
        </w:tc>
        <w:tc>
          <w:tcPr>
            <w:tcW w:w="1954" w:type="dxa"/>
          </w:tcPr>
          <w:p w14:paraId="1F9F251F" w14:textId="77777777" w:rsidR="00CE7080" w:rsidRPr="00CE7080" w:rsidRDefault="00CE7080" w:rsidP="00CE7080">
            <w:pPr>
              <w:spacing w:before="60" w:after="60"/>
              <w:rPr>
                <w:b/>
                <w:bCs/>
                <w:sz w:val="18"/>
                <w:szCs w:val="18"/>
              </w:rPr>
            </w:pPr>
            <w:r w:rsidRPr="00CE7080">
              <w:rPr>
                <w:b/>
                <w:bCs/>
                <w:sz w:val="18"/>
                <w:szCs w:val="18"/>
              </w:rPr>
              <w:t>Grade 3</w:t>
            </w:r>
          </w:p>
          <w:p w14:paraId="375FE3F7" w14:textId="77777777" w:rsidR="00CE7080" w:rsidRPr="00CE7080" w:rsidRDefault="00CE7080" w:rsidP="00CE7080">
            <w:pPr>
              <w:spacing w:before="60" w:after="60"/>
              <w:rPr>
                <w:sz w:val="18"/>
                <w:szCs w:val="18"/>
              </w:rPr>
            </w:pPr>
            <w:r w:rsidRPr="00CE7080" w:rsidDel="003A3645">
              <w:rPr>
                <w:bCs/>
                <w:sz w:val="18"/>
                <w:szCs w:val="18"/>
              </w:rPr>
              <w:t xml:space="preserve"> </w:t>
            </w:r>
            <w:r w:rsidRPr="00CE7080">
              <w:rPr>
                <w:bCs/>
                <w:sz w:val="18"/>
                <w:szCs w:val="18"/>
              </w:rPr>
              <w:t>(</w:t>
            </w:r>
            <w:r w:rsidRPr="00CE7080">
              <w:rPr>
                <w:sz w:val="18"/>
                <w:szCs w:val="18"/>
              </w:rPr>
              <w:t xml:space="preserve">AST or </w:t>
            </w:r>
            <w:r w:rsidRPr="00CE7080">
              <w:rPr>
                <w:sz w:val="18"/>
                <w:szCs w:val="18"/>
              </w:rPr>
              <w:br/>
              <w:t xml:space="preserve">ALT &gt;5.0×ULN and ≤20×ULN if baseline normal, &gt;5-20× baseline if baseline abnormal; and/or </w:t>
            </w:r>
            <w:r w:rsidRPr="00CE7080">
              <w:rPr>
                <w:sz w:val="18"/>
                <w:szCs w:val="18"/>
              </w:rPr>
              <w:br/>
              <w:t>TB &gt;3.0×ULN and ≤10.0×ULN if baseline normal, &gt;3.0-10.0× baseline if baseline abnormal)</w:t>
            </w:r>
          </w:p>
          <w:p w14:paraId="74B93C11" w14:textId="77777777" w:rsidR="00CE7080" w:rsidRPr="00CE7080" w:rsidRDefault="00CE7080" w:rsidP="00CE7080">
            <w:pPr>
              <w:spacing w:before="60" w:after="60"/>
              <w:rPr>
                <w:sz w:val="18"/>
                <w:szCs w:val="18"/>
              </w:rPr>
            </w:pPr>
          </w:p>
          <w:p w14:paraId="01424101" w14:textId="77777777" w:rsidR="00CE7080" w:rsidRPr="00CE7080" w:rsidRDefault="00CE7080" w:rsidP="00CE7080">
            <w:pPr>
              <w:spacing w:before="60" w:after="60"/>
              <w:rPr>
                <w:sz w:val="18"/>
                <w:szCs w:val="18"/>
              </w:rPr>
            </w:pPr>
          </w:p>
          <w:p w14:paraId="65C47B55" w14:textId="77777777" w:rsidR="00CE7080" w:rsidRPr="00CE7080" w:rsidRDefault="00CE7080" w:rsidP="00CE7080">
            <w:pPr>
              <w:spacing w:before="60" w:after="60"/>
              <w:rPr>
                <w:b/>
                <w:bCs/>
                <w:sz w:val="18"/>
                <w:szCs w:val="18"/>
              </w:rPr>
            </w:pPr>
            <w:r w:rsidRPr="00CE7080">
              <w:rPr>
                <w:b/>
                <w:bCs/>
                <w:sz w:val="18"/>
                <w:szCs w:val="18"/>
              </w:rPr>
              <w:t>Grade 4</w:t>
            </w:r>
          </w:p>
          <w:p w14:paraId="3DBC6005" w14:textId="77777777" w:rsidR="00CE7080" w:rsidRPr="00CE7080" w:rsidRDefault="00CE7080" w:rsidP="00CE7080">
            <w:pPr>
              <w:spacing w:before="60" w:after="60"/>
              <w:rPr>
                <w:b/>
                <w:sz w:val="18"/>
                <w:szCs w:val="18"/>
              </w:rPr>
            </w:pPr>
            <w:r w:rsidRPr="00CE7080">
              <w:rPr>
                <w:bCs/>
                <w:sz w:val="18"/>
                <w:szCs w:val="18"/>
              </w:rPr>
              <w:t xml:space="preserve">(AST or </w:t>
            </w:r>
            <w:r w:rsidRPr="00CE7080">
              <w:rPr>
                <w:sz w:val="18"/>
                <w:szCs w:val="18"/>
              </w:rPr>
              <w:t xml:space="preserve">ALT &gt;20×ULN if baseline normal, &gt;20×baseline if baseline abnormal; and/or </w:t>
            </w:r>
            <w:r w:rsidRPr="00CE7080">
              <w:rPr>
                <w:sz w:val="18"/>
                <w:szCs w:val="18"/>
              </w:rPr>
              <w:br/>
              <w:t xml:space="preserve">TB &gt;10×ULN if baseline normal, </w:t>
            </w:r>
            <w:r w:rsidRPr="00CE7080">
              <w:rPr>
                <w:sz w:val="18"/>
                <w:szCs w:val="18"/>
              </w:rPr>
              <w:lastRenderedPageBreak/>
              <w:t xml:space="preserve">&gt;10.0×baseline if baseline abnormal) </w:t>
            </w:r>
          </w:p>
        </w:tc>
        <w:tc>
          <w:tcPr>
            <w:tcW w:w="3287" w:type="dxa"/>
          </w:tcPr>
          <w:p w14:paraId="7EBC7395" w14:textId="77777777" w:rsidR="00CE7080" w:rsidRPr="00CE7080" w:rsidRDefault="00CE7080" w:rsidP="00CE7080">
            <w:pPr>
              <w:spacing w:before="60" w:after="60"/>
              <w:rPr>
                <w:sz w:val="18"/>
                <w:szCs w:val="18"/>
              </w:rPr>
            </w:pPr>
            <w:r w:rsidRPr="00CE7080">
              <w:rPr>
                <w:sz w:val="18"/>
                <w:szCs w:val="18"/>
              </w:rPr>
              <w:lastRenderedPageBreak/>
              <w:t>For elevations in transaminases ≤8×ULN, or elevations in TB ≤5×ULN:</w:t>
            </w:r>
          </w:p>
          <w:p w14:paraId="1EAB1E2E"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Hold study drug/study regimen dose until resolution to Grade≤1</w:t>
            </w:r>
          </w:p>
          <w:p w14:paraId="25B198B7"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Resume study drug/study regimen if elevations downgrade to Grade≤1</w:t>
            </w:r>
            <w:r w:rsidRPr="00CE7080" w:rsidDel="003A3645">
              <w:rPr>
                <w:sz w:val="18"/>
                <w:szCs w:val="18"/>
              </w:rPr>
              <w:t xml:space="preserve"> </w:t>
            </w:r>
            <w:r w:rsidRPr="00CE7080">
              <w:rPr>
                <w:sz w:val="18"/>
                <w:szCs w:val="18"/>
              </w:rPr>
              <w:t>within 14 days and after completion of steroid taper.</w:t>
            </w:r>
          </w:p>
          <w:p w14:paraId="293C5B54"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Permanently discontinue study drug/study regimen if the elevations do not downgrade to Grade≤1 within 14 days.</w:t>
            </w:r>
          </w:p>
          <w:p w14:paraId="0B887DDC"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 xml:space="preserve">For elevations in transaminases &gt;8×ULN or elevations in </w:t>
            </w:r>
            <w:r w:rsidRPr="00CE7080">
              <w:rPr>
                <w:sz w:val="18"/>
                <w:szCs w:val="18"/>
              </w:rPr>
              <w:lastRenderedPageBreak/>
              <w:t>bilirubin &gt;5×ULN, permanently discontinue study drug/study regimen.</w:t>
            </w:r>
          </w:p>
          <w:p w14:paraId="0E511A52"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Permanently discontinue study drug/study regimen for any case meeting Hy’s law criteria (AST and/or ALT &gt;3×ULN + bilirubin &gt;2×ULN without initial findings of cholestasis [i.e., elevated alkaline P04] and in the absence of any alternative cause).</w:t>
            </w:r>
          </w:p>
        </w:tc>
        <w:tc>
          <w:tcPr>
            <w:tcW w:w="5538" w:type="dxa"/>
          </w:tcPr>
          <w:p w14:paraId="586B7482" w14:textId="77777777" w:rsidR="00CE7080" w:rsidRPr="00CE7080" w:rsidRDefault="00CE7080" w:rsidP="00CE7080">
            <w:pPr>
              <w:spacing w:before="60" w:after="60"/>
              <w:ind w:left="2056"/>
              <w:rPr>
                <w:sz w:val="18"/>
                <w:szCs w:val="18"/>
              </w:rPr>
            </w:pPr>
            <w:r w:rsidRPr="00CE7080">
              <w:rPr>
                <w:b/>
                <w:bCs/>
                <w:sz w:val="18"/>
                <w:szCs w:val="18"/>
              </w:rPr>
              <w:lastRenderedPageBreak/>
              <w:t>For Grade 3 or 4:</w:t>
            </w:r>
          </w:p>
          <w:p w14:paraId="2D618C53" w14:textId="77777777" w:rsidR="00CE7080" w:rsidRPr="00CE7080" w:rsidRDefault="00CE7080" w:rsidP="00CE7080">
            <w:pPr>
              <w:numPr>
                <w:ilvl w:val="0"/>
                <w:numId w:val="103"/>
              </w:numPr>
              <w:spacing w:before="60" w:after="60"/>
              <w:rPr>
                <w:sz w:val="18"/>
                <w:szCs w:val="18"/>
              </w:rPr>
            </w:pPr>
            <w:r w:rsidRPr="00CE7080">
              <w:rPr>
                <w:sz w:val="18"/>
                <w:szCs w:val="18"/>
              </w:rPr>
              <w:t>Promptly initiate empiric IV methylprednisolone at 1 to 2 mg/kg/day or equivalent.</w:t>
            </w:r>
          </w:p>
          <w:p w14:paraId="1251119D" w14:textId="77777777" w:rsidR="00CE7080" w:rsidRPr="00CE7080" w:rsidRDefault="00CE7080" w:rsidP="00CE7080">
            <w:pPr>
              <w:numPr>
                <w:ilvl w:val="0"/>
                <w:numId w:val="103"/>
              </w:numPr>
              <w:spacing w:before="60" w:after="60"/>
              <w:rPr>
                <w:sz w:val="18"/>
                <w:szCs w:val="18"/>
              </w:rPr>
            </w:pPr>
            <w:r w:rsidRPr="00CE7080">
              <w:rPr>
                <w:sz w:val="18"/>
                <w:szCs w:val="18"/>
              </w:rPr>
              <w:t xml:space="preserve">If still no improvement within 2 to 3 days despite 1 to 2 mg/kg/day methylprednisolone IV or equivalent, promptly start treatment with immunosuppressive therapy (i.e., mycophenolate mofetil 0.5 – 1 g every 12 hours then taper in consultation with hepatology consult). Discuss with study physician if mycophenolate is not available. </w:t>
            </w:r>
            <w:r w:rsidRPr="00CE7080">
              <w:rPr>
                <w:b/>
                <w:bCs/>
                <w:sz w:val="18"/>
                <w:szCs w:val="18"/>
              </w:rPr>
              <w:t>Infliximab should NOT be used.</w:t>
            </w:r>
          </w:p>
          <w:p w14:paraId="4B1D761F" w14:textId="77777777" w:rsidR="00CE7080" w:rsidRPr="00CE7080" w:rsidRDefault="00CE7080" w:rsidP="00CE7080">
            <w:pPr>
              <w:numPr>
                <w:ilvl w:val="0"/>
                <w:numId w:val="103"/>
              </w:numPr>
              <w:spacing w:before="60" w:after="60"/>
              <w:rPr>
                <w:sz w:val="18"/>
                <w:szCs w:val="18"/>
              </w:rPr>
            </w:pPr>
            <w:r w:rsidRPr="00CE7080">
              <w:rPr>
                <w:sz w:val="18"/>
                <w:szCs w:val="18"/>
              </w:rPr>
              <w:t>Request Hepatology consult, and perform abdominal workup and imaging as appropriate.</w:t>
            </w:r>
          </w:p>
          <w:p w14:paraId="4449650B" w14:textId="77777777" w:rsidR="00CE7080" w:rsidRPr="00CE7080" w:rsidRDefault="00CE7080" w:rsidP="00CE7080">
            <w:pPr>
              <w:numPr>
                <w:ilvl w:val="0"/>
                <w:numId w:val="103"/>
              </w:numPr>
              <w:spacing w:before="60" w:after="60"/>
              <w:rPr>
                <w:sz w:val="18"/>
                <w:szCs w:val="18"/>
              </w:rPr>
            </w:pPr>
            <w:r w:rsidRPr="00CE7080">
              <w:rPr>
                <w:sz w:val="18"/>
                <w:szCs w:val="18"/>
              </w:rPr>
              <w:t>Once the patient is improving, gradually taper steroids over ≥28 days and consider prophylactic antibiotics, antifungals, and anti-PJP treatment (refer to current NCCN guidelines for treatment of cancer-related infections).</w:t>
            </w:r>
          </w:p>
          <w:p w14:paraId="4EB63268" w14:textId="77777777" w:rsidR="00CE7080" w:rsidRPr="00CE7080" w:rsidRDefault="00CE7080" w:rsidP="00CE7080">
            <w:pPr>
              <w:spacing w:before="60" w:after="60"/>
              <w:rPr>
                <w:sz w:val="18"/>
                <w:szCs w:val="18"/>
                <w:vertAlign w:val="superscript"/>
              </w:rPr>
            </w:pPr>
          </w:p>
          <w:p w14:paraId="3EB8B0B3" w14:textId="77777777" w:rsidR="00CE7080" w:rsidRPr="00CE7080" w:rsidRDefault="00CE7080" w:rsidP="00CE7080">
            <w:pPr>
              <w:spacing w:before="60" w:after="60"/>
              <w:rPr>
                <w:sz w:val="18"/>
                <w:szCs w:val="18"/>
                <w:vertAlign w:val="superscript"/>
              </w:rPr>
            </w:pPr>
          </w:p>
          <w:p w14:paraId="4E5F929A" w14:textId="77777777" w:rsidR="00CE7080" w:rsidRPr="00CE7080" w:rsidRDefault="00CE7080" w:rsidP="00CE7080">
            <w:pPr>
              <w:spacing w:before="60" w:after="60"/>
              <w:rPr>
                <w:sz w:val="18"/>
                <w:szCs w:val="18"/>
                <w:vertAlign w:val="superscript"/>
              </w:rPr>
            </w:pPr>
          </w:p>
          <w:p w14:paraId="4387F40A" w14:textId="77777777" w:rsidR="00CE7080" w:rsidRPr="00CE7080" w:rsidRDefault="00CE7080" w:rsidP="00CE7080">
            <w:pPr>
              <w:spacing w:before="60" w:after="60"/>
              <w:rPr>
                <w:sz w:val="18"/>
                <w:szCs w:val="18"/>
                <w:vertAlign w:val="superscript"/>
              </w:rPr>
            </w:pPr>
          </w:p>
          <w:p w14:paraId="51A9F228" w14:textId="77777777" w:rsidR="00CE7080" w:rsidRPr="00CE7080" w:rsidRDefault="00CE7080" w:rsidP="00CE7080">
            <w:pPr>
              <w:spacing w:before="60" w:after="60"/>
              <w:rPr>
                <w:sz w:val="18"/>
                <w:szCs w:val="18"/>
                <w:vertAlign w:val="superscript"/>
              </w:rPr>
            </w:pPr>
          </w:p>
          <w:p w14:paraId="7FBBD027" w14:textId="77777777" w:rsidR="00CE7080" w:rsidRPr="00CE7080" w:rsidRDefault="00CE7080" w:rsidP="00CE7080">
            <w:pPr>
              <w:spacing w:before="60" w:after="60"/>
              <w:rPr>
                <w:sz w:val="18"/>
                <w:szCs w:val="18"/>
                <w:vertAlign w:val="superscript"/>
              </w:rPr>
            </w:pPr>
          </w:p>
          <w:p w14:paraId="632D7063" w14:textId="77777777" w:rsidR="00CE7080" w:rsidRPr="00CE7080" w:rsidRDefault="00CE7080" w:rsidP="00CE7080">
            <w:pPr>
              <w:spacing w:before="60" w:after="60"/>
              <w:rPr>
                <w:sz w:val="18"/>
                <w:szCs w:val="18"/>
                <w:vertAlign w:val="superscript"/>
              </w:rPr>
            </w:pPr>
          </w:p>
          <w:p w14:paraId="613D687E" w14:textId="77777777" w:rsidR="00CE7080" w:rsidRPr="00CE7080" w:rsidRDefault="00CE7080" w:rsidP="00CE7080">
            <w:pPr>
              <w:spacing w:before="60" w:after="60"/>
              <w:rPr>
                <w:sz w:val="18"/>
                <w:szCs w:val="18"/>
                <w:vertAlign w:val="superscript"/>
              </w:rPr>
            </w:pPr>
          </w:p>
          <w:p w14:paraId="0BDEA482" w14:textId="77777777" w:rsidR="00CE7080" w:rsidRPr="00CE7080" w:rsidRDefault="00CE7080" w:rsidP="00CE7080">
            <w:pPr>
              <w:spacing w:before="60" w:after="60"/>
              <w:rPr>
                <w:sz w:val="18"/>
                <w:szCs w:val="18"/>
                <w:vertAlign w:val="superscript"/>
              </w:rPr>
            </w:pPr>
          </w:p>
          <w:p w14:paraId="7759D6EE" w14:textId="77777777" w:rsidR="00CE7080" w:rsidRPr="00CE7080" w:rsidRDefault="00CE7080" w:rsidP="00CE7080">
            <w:pPr>
              <w:spacing w:before="60" w:after="60"/>
              <w:rPr>
                <w:sz w:val="18"/>
                <w:szCs w:val="18"/>
                <w:vertAlign w:val="superscript"/>
              </w:rPr>
            </w:pPr>
          </w:p>
          <w:p w14:paraId="4C976225" w14:textId="77777777" w:rsidR="00CE7080" w:rsidRPr="00CE7080" w:rsidRDefault="00CE7080" w:rsidP="00CE7080">
            <w:pPr>
              <w:spacing w:before="60" w:after="60"/>
              <w:rPr>
                <w:sz w:val="18"/>
                <w:szCs w:val="18"/>
                <w:vertAlign w:val="superscript"/>
              </w:rPr>
            </w:pPr>
          </w:p>
          <w:p w14:paraId="669CFEAE" w14:textId="77777777" w:rsidR="00CE7080" w:rsidRPr="00CE7080" w:rsidRDefault="00CE7080" w:rsidP="00CE7080">
            <w:pPr>
              <w:spacing w:before="60" w:after="60"/>
              <w:rPr>
                <w:sz w:val="18"/>
                <w:szCs w:val="18"/>
                <w:vertAlign w:val="superscript"/>
              </w:rPr>
            </w:pPr>
          </w:p>
          <w:p w14:paraId="2FE33FDD" w14:textId="77777777" w:rsidR="00CE7080" w:rsidRPr="00CE7080" w:rsidRDefault="00CE7080" w:rsidP="00CE7080">
            <w:pPr>
              <w:spacing w:before="60" w:after="60"/>
              <w:rPr>
                <w:sz w:val="18"/>
                <w:szCs w:val="18"/>
                <w:vertAlign w:val="superscript"/>
              </w:rPr>
            </w:pPr>
          </w:p>
          <w:p w14:paraId="3C15D548" w14:textId="77777777" w:rsidR="00CE7080" w:rsidRPr="00CE7080" w:rsidRDefault="00CE7080" w:rsidP="00CE7080">
            <w:pPr>
              <w:spacing w:before="60" w:after="60"/>
              <w:rPr>
                <w:sz w:val="18"/>
                <w:szCs w:val="18"/>
                <w:vertAlign w:val="superscript"/>
              </w:rPr>
            </w:pPr>
          </w:p>
          <w:p w14:paraId="2CA3F663" w14:textId="77777777" w:rsidR="00CE7080" w:rsidRPr="00CE7080" w:rsidRDefault="00CE7080" w:rsidP="00CE7080">
            <w:pPr>
              <w:spacing w:before="60" w:after="60"/>
              <w:rPr>
                <w:sz w:val="18"/>
                <w:szCs w:val="18"/>
                <w:vertAlign w:val="superscript"/>
              </w:rPr>
            </w:pPr>
          </w:p>
          <w:p w14:paraId="292FF587" w14:textId="77777777" w:rsidR="00CE7080" w:rsidRPr="00CE7080" w:rsidRDefault="00CE7080" w:rsidP="00CE7080">
            <w:pPr>
              <w:spacing w:before="60" w:after="60"/>
              <w:rPr>
                <w:sz w:val="18"/>
                <w:szCs w:val="18"/>
                <w:vertAlign w:val="superscript"/>
              </w:rPr>
            </w:pPr>
          </w:p>
          <w:p w14:paraId="2FEB1369" w14:textId="77777777" w:rsidR="00CE7080" w:rsidRPr="00CE7080" w:rsidRDefault="00CE7080" w:rsidP="00CE7080">
            <w:pPr>
              <w:spacing w:before="60" w:after="60"/>
              <w:rPr>
                <w:sz w:val="18"/>
                <w:szCs w:val="18"/>
              </w:rPr>
            </w:pPr>
          </w:p>
        </w:tc>
      </w:tr>
    </w:tbl>
    <w:p w14:paraId="0B1AEEEE" w14:textId="77777777" w:rsidR="00CE7080" w:rsidRPr="00CE7080" w:rsidRDefault="00CE7080" w:rsidP="00CE7080">
      <w:pPr>
        <w:rPr>
          <w:rFonts w:eastAsia="Calibri"/>
        </w:rPr>
      </w:pPr>
    </w:p>
    <w:p w14:paraId="234CE253" w14:textId="77777777" w:rsidR="00CE7080" w:rsidRPr="00CE7080" w:rsidRDefault="00CE7080" w:rsidP="00CE7080">
      <w:pPr>
        <w:rPr>
          <w:rFonts w:eastAsia="Calibri"/>
        </w:rPr>
      </w:pPr>
    </w:p>
    <w:tbl>
      <w:tblPr>
        <w:tblStyle w:val="TableGrid2"/>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513"/>
        <w:gridCol w:w="2304"/>
        <w:gridCol w:w="3435"/>
      </w:tblGrid>
      <w:tr w:rsidR="00CE7080" w:rsidRPr="00CE7080" w14:paraId="6971BBB1" w14:textId="77777777" w:rsidTr="00CF7A38">
        <w:tc>
          <w:tcPr>
            <w:tcW w:w="2138" w:type="dxa"/>
            <w:vMerge w:val="restart"/>
            <w:shd w:val="clear" w:color="auto" w:fill="D0CECE"/>
          </w:tcPr>
          <w:p w14:paraId="57935707" w14:textId="77777777" w:rsidR="00CE7080" w:rsidRPr="00CE7080" w:rsidRDefault="00CE7080" w:rsidP="00CE7080">
            <w:pPr>
              <w:spacing w:before="60" w:after="60"/>
              <w:rPr>
                <w:b/>
                <w:bCs/>
                <w:sz w:val="18"/>
                <w:szCs w:val="18"/>
              </w:rPr>
            </w:pPr>
            <w:r w:rsidRPr="00CE7080">
              <w:rPr>
                <w:b/>
                <w:bCs/>
                <w:sz w:val="18"/>
                <w:szCs w:val="18"/>
              </w:rPr>
              <w:t xml:space="preserve">Hepatitis </w:t>
            </w:r>
            <w:r w:rsidRPr="00CE7080">
              <w:rPr>
                <w:b/>
                <w:sz w:val="18"/>
                <w:szCs w:val="18"/>
              </w:rPr>
              <w:br/>
            </w:r>
            <w:r w:rsidRPr="00CE7080">
              <w:rPr>
                <w:b/>
                <w:bCs/>
                <w:sz w:val="18"/>
                <w:szCs w:val="18"/>
              </w:rPr>
              <w:t>(elevated LFTs)</w:t>
            </w:r>
          </w:p>
          <w:p w14:paraId="4A7E8F51" w14:textId="77777777" w:rsidR="00CE7080" w:rsidRPr="00CE7080" w:rsidRDefault="00CE7080" w:rsidP="00CE7080">
            <w:pPr>
              <w:spacing w:before="60" w:after="60"/>
              <w:rPr>
                <w:b/>
                <w:bCs/>
                <w:sz w:val="18"/>
                <w:szCs w:val="18"/>
              </w:rPr>
            </w:pPr>
            <w:r w:rsidRPr="00CE7080">
              <w:rPr>
                <w:b/>
                <w:noProof/>
                <w:sz w:val="18"/>
                <w:szCs w:val="18"/>
              </w:rPr>
              <mc:AlternateContent>
                <mc:Choice Requires="wps">
                  <w:drawing>
                    <wp:anchor distT="45720" distB="45720" distL="114300" distR="114300" simplePos="0" relativeHeight="251698176" behindDoc="0" locked="0" layoutInCell="1" allowOverlap="1" wp14:anchorId="438386A0" wp14:editId="27D074A1">
                      <wp:simplePos x="0" y="0"/>
                      <wp:positionH relativeFrom="column">
                        <wp:posOffset>0</wp:posOffset>
                      </wp:positionH>
                      <wp:positionV relativeFrom="paragraph">
                        <wp:posOffset>636905</wp:posOffset>
                      </wp:positionV>
                      <wp:extent cx="1170305" cy="1203960"/>
                      <wp:effectExtent l="0" t="0" r="1079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03960"/>
                              </a:xfrm>
                              <a:prstGeom prst="rect">
                                <a:avLst/>
                              </a:prstGeom>
                              <a:solidFill>
                                <a:srgbClr val="FF0000"/>
                              </a:solidFill>
                              <a:ln w="9525">
                                <a:solidFill>
                                  <a:srgbClr val="000000"/>
                                </a:solidFill>
                                <a:miter lim="800000"/>
                                <a:headEnd/>
                                <a:tailEnd/>
                              </a:ln>
                            </wps:spPr>
                            <wps:txbx>
                              <w:txbxContent>
                                <w:p w14:paraId="00A87A61" w14:textId="77777777" w:rsidR="0045176A" w:rsidRDefault="0045176A" w:rsidP="00CE7080">
                                  <w:r>
                                    <w:rPr>
                                      <w:b/>
                                      <w:sz w:val="18"/>
                                      <w:szCs w:val="18"/>
                                    </w:rPr>
                                    <w:t>THIS</w:t>
                                  </w:r>
                                  <w:r w:rsidRPr="004F756A">
                                    <w:rPr>
                                      <w:b/>
                                      <w:sz w:val="18"/>
                                      <w:szCs w:val="18"/>
                                    </w:rPr>
                                    <w:t xml:space="preserve"> shaded area </w:t>
                                  </w:r>
                                  <w:r>
                                    <w:rPr>
                                      <w:b/>
                                      <w:sz w:val="18"/>
                                      <w:szCs w:val="18"/>
                                    </w:rPr>
                                    <w:t>is guidance</w:t>
                                  </w:r>
                                  <w:r w:rsidRPr="004F756A">
                                    <w:rPr>
                                      <w:b/>
                                      <w:sz w:val="18"/>
                                      <w:szCs w:val="18"/>
                                    </w:rPr>
                                    <w:t xml:space="preserve"> </w:t>
                                  </w:r>
                                  <w:r w:rsidRPr="00E3237B">
                                    <w:rPr>
                                      <w:b/>
                                      <w:i/>
                                      <w:sz w:val="18"/>
                                      <w:szCs w:val="18"/>
                                    </w:rPr>
                                    <w:t>only</w:t>
                                  </w:r>
                                  <w:r>
                                    <w:rPr>
                                      <w:b/>
                                      <w:sz w:val="18"/>
                                      <w:szCs w:val="18"/>
                                    </w:rPr>
                                    <w:t xml:space="preserve"> for</w:t>
                                  </w:r>
                                  <w:r w:rsidRPr="004F756A">
                                    <w:rPr>
                                      <w:b/>
                                      <w:sz w:val="18"/>
                                      <w:szCs w:val="18"/>
                                    </w:rPr>
                                    <w:t xml:space="preserve"> management of </w:t>
                                  </w:r>
                                  <w:r>
                                    <w:rPr>
                                      <w:b/>
                                      <w:sz w:val="18"/>
                                      <w:szCs w:val="18"/>
                                    </w:rPr>
                                    <w:t xml:space="preserve">“Hepatitis (elevated LFTs)” in </w:t>
                                  </w:r>
                                  <w:r w:rsidRPr="004F756A">
                                    <w:rPr>
                                      <w:b/>
                                      <w:sz w:val="18"/>
                                      <w:szCs w:val="18"/>
                                    </w:rPr>
                                    <w:t>HCC patients</w:t>
                                  </w:r>
                                  <w:r w:rsidRPr="00E3237B">
                                    <w:rPr>
                                      <w:b/>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386A0" id="_x0000_s1040" type="#_x0000_t202" style="position:absolute;left:0;text-align:left;margin-left:0;margin-top:50.15pt;width:92.15pt;height:94.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" fillcolor="red">
                      <v:textbox>
                        <w:txbxContent>
                          <w:p w14:paraId="00A87A61" w14:textId="77777777" w:rsidR="0045176A" w:rsidRDefault="0045176A" w:rsidP="00CE7080">
                            <w:r>
                              <w:rPr>
                                <w:b/>
                                <w:sz w:val="18"/>
                                <w:szCs w:val="18"/>
                              </w:rPr>
                              <w:t>THIS</w:t>
                            </w:r>
                            <w:r w:rsidRPr="004F756A">
                              <w:rPr>
                                <w:b/>
                                <w:sz w:val="18"/>
                                <w:szCs w:val="18"/>
                              </w:rPr>
                              <w:t xml:space="preserve"> shaded area </w:t>
                            </w:r>
                            <w:r>
                              <w:rPr>
                                <w:b/>
                                <w:sz w:val="18"/>
                                <w:szCs w:val="18"/>
                              </w:rPr>
                              <w:t>is guidance</w:t>
                            </w:r>
                            <w:r w:rsidRPr="004F756A">
                              <w:rPr>
                                <w:b/>
                                <w:sz w:val="18"/>
                                <w:szCs w:val="18"/>
                              </w:rPr>
                              <w:t xml:space="preserve"> </w:t>
                            </w:r>
                            <w:r w:rsidRPr="00E3237B">
                              <w:rPr>
                                <w:b/>
                                <w:i/>
                                <w:sz w:val="18"/>
                                <w:szCs w:val="18"/>
                              </w:rPr>
                              <w:t>only</w:t>
                            </w:r>
                            <w:r>
                              <w:rPr>
                                <w:b/>
                                <w:sz w:val="18"/>
                                <w:szCs w:val="18"/>
                              </w:rPr>
                              <w:t xml:space="preserve"> for</w:t>
                            </w:r>
                            <w:r w:rsidRPr="004F756A">
                              <w:rPr>
                                <w:b/>
                                <w:sz w:val="18"/>
                                <w:szCs w:val="18"/>
                              </w:rPr>
                              <w:t xml:space="preserve"> management of </w:t>
                            </w:r>
                            <w:r>
                              <w:rPr>
                                <w:b/>
                                <w:sz w:val="18"/>
                                <w:szCs w:val="18"/>
                              </w:rPr>
                              <w:t xml:space="preserve">“Hepatitis (elevated LFTs)” in </w:t>
                            </w:r>
                            <w:r w:rsidRPr="004F756A">
                              <w:rPr>
                                <w:b/>
                                <w:sz w:val="18"/>
                                <w:szCs w:val="18"/>
                              </w:rPr>
                              <w:t>HCC patients</w:t>
                            </w:r>
                            <w:r w:rsidRPr="00E3237B">
                              <w:rPr>
                                <w:b/>
                                <w:i/>
                                <w:sz w:val="18"/>
                                <w:szCs w:val="18"/>
                              </w:rPr>
                              <w:t xml:space="preserve"> </w:t>
                            </w:r>
                          </w:p>
                        </w:txbxContent>
                      </v:textbox>
                      <w10:wrap type="square"/>
                    </v:shape>
                  </w:pict>
                </mc:Fallback>
              </mc:AlternateContent>
            </w:r>
            <w:r w:rsidRPr="00CE7080">
              <w:rPr>
                <w:sz w:val="18"/>
                <w:szCs w:val="18"/>
              </w:rPr>
              <w:t>Infliximab should not be used for management of immune-related hepatitis.</w:t>
            </w:r>
            <w:r w:rsidRPr="00CE7080">
              <w:rPr>
                <w:b/>
                <w:bCs/>
                <w:noProof/>
                <w:sz w:val="18"/>
                <w:szCs w:val="18"/>
              </w:rPr>
              <w:t xml:space="preserve"> </w:t>
            </w:r>
          </w:p>
          <w:p w14:paraId="744D0637" w14:textId="77777777" w:rsidR="00CE7080" w:rsidRPr="00CE7080" w:rsidRDefault="00CE7080" w:rsidP="00CE7080">
            <w:pPr>
              <w:spacing w:before="60" w:after="60"/>
              <w:rPr>
                <w:sz w:val="18"/>
                <w:szCs w:val="18"/>
              </w:rPr>
            </w:pPr>
            <w:r w:rsidRPr="00CE7080">
              <w:rPr>
                <w:sz w:val="18"/>
                <w:szCs w:val="18"/>
              </w:rPr>
              <w:t xml:space="preserve">See instructions at </w:t>
            </w:r>
            <w:r w:rsidRPr="00CE7080">
              <w:rPr>
                <w:sz w:val="18"/>
                <w:szCs w:val="18"/>
              </w:rPr>
              <w:br/>
              <w:t xml:space="preserve">bottom of shaded area </w:t>
            </w:r>
            <w:r w:rsidRPr="00CE7080">
              <w:rPr>
                <w:sz w:val="18"/>
                <w:szCs w:val="18"/>
              </w:rPr>
              <w:br/>
              <w:t xml:space="preserve">if transaminase rise is </w:t>
            </w:r>
            <w:r w:rsidRPr="00CE7080">
              <w:rPr>
                <w:sz w:val="18"/>
                <w:szCs w:val="18"/>
              </w:rPr>
              <w:br/>
              <w:t xml:space="preserve">not isolated but (at any time) occurs in setting </w:t>
            </w:r>
            <w:r w:rsidRPr="00CE7080">
              <w:rPr>
                <w:sz w:val="18"/>
                <w:szCs w:val="18"/>
              </w:rPr>
              <w:br/>
              <w:t xml:space="preserve">of either </w:t>
            </w:r>
            <w:r w:rsidRPr="00CE7080">
              <w:rPr>
                <w:b/>
                <w:bCs/>
                <w:sz w:val="18"/>
                <w:szCs w:val="18"/>
              </w:rPr>
              <w:t>increasing bilirubin or signs of DILI/liver decompensation</w:t>
            </w:r>
          </w:p>
        </w:tc>
        <w:tc>
          <w:tcPr>
            <w:tcW w:w="1954" w:type="dxa"/>
            <w:shd w:val="clear" w:color="auto" w:fill="D0CECE"/>
          </w:tcPr>
          <w:p w14:paraId="49F46C7B" w14:textId="77777777" w:rsidR="00CE7080" w:rsidRPr="00CE7080" w:rsidRDefault="00CE7080" w:rsidP="00CE7080">
            <w:pPr>
              <w:spacing w:before="60" w:after="60"/>
              <w:rPr>
                <w:b/>
                <w:sz w:val="18"/>
                <w:szCs w:val="18"/>
              </w:rPr>
            </w:pPr>
            <w:r w:rsidRPr="00CE7080">
              <w:rPr>
                <w:b/>
                <w:sz w:val="18"/>
                <w:szCs w:val="18"/>
              </w:rPr>
              <w:t>Any Elevations of AST, ALT, or TB as Described Below</w:t>
            </w:r>
          </w:p>
        </w:tc>
        <w:tc>
          <w:tcPr>
            <w:tcW w:w="3287" w:type="dxa"/>
            <w:shd w:val="clear" w:color="auto" w:fill="D0CECE"/>
          </w:tcPr>
          <w:p w14:paraId="40F2984E" w14:textId="77777777" w:rsidR="00CE7080" w:rsidRPr="00CE7080" w:rsidRDefault="00CE7080" w:rsidP="00CE7080">
            <w:pPr>
              <w:spacing w:before="60" w:after="60"/>
              <w:rPr>
                <w:b/>
                <w:bCs/>
                <w:sz w:val="18"/>
                <w:szCs w:val="18"/>
              </w:rPr>
            </w:pPr>
            <w:r w:rsidRPr="00CE7080">
              <w:rPr>
                <w:b/>
                <w:bCs/>
                <w:sz w:val="18"/>
                <w:szCs w:val="18"/>
              </w:rPr>
              <w:t>General Guidance</w:t>
            </w:r>
          </w:p>
          <w:p w14:paraId="35C9B836" w14:textId="77777777" w:rsidR="00CE7080" w:rsidRPr="00CE7080" w:rsidRDefault="00CE7080" w:rsidP="00CE7080">
            <w:pPr>
              <w:spacing w:before="60" w:after="60"/>
              <w:rPr>
                <w:b/>
                <w:sz w:val="18"/>
                <w:szCs w:val="18"/>
              </w:rPr>
            </w:pPr>
          </w:p>
        </w:tc>
        <w:tc>
          <w:tcPr>
            <w:tcW w:w="5538" w:type="dxa"/>
            <w:shd w:val="clear" w:color="auto" w:fill="D0CECE"/>
          </w:tcPr>
          <w:p w14:paraId="16ACBB39" w14:textId="77777777" w:rsidR="00CE7080" w:rsidRPr="00CE7080" w:rsidRDefault="00CE7080" w:rsidP="00CE7080">
            <w:pPr>
              <w:spacing w:before="60" w:after="60"/>
              <w:rPr>
                <w:b/>
                <w:bCs/>
                <w:sz w:val="18"/>
                <w:szCs w:val="18"/>
              </w:rPr>
            </w:pPr>
            <w:r w:rsidRPr="00CE7080">
              <w:rPr>
                <w:b/>
                <w:bCs/>
                <w:sz w:val="18"/>
                <w:szCs w:val="18"/>
              </w:rPr>
              <w:t>For Any Elevations Described:</w:t>
            </w:r>
          </w:p>
          <w:p w14:paraId="7B9737BF" w14:textId="77777777" w:rsidR="00CE7080" w:rsidRPr="00CE7080" w:rsidRDefault="00CE7080" w:rsidP="00CE7080">
            <w:pPr>
              <w:numPr>
                <w:ilvl w:val="0"/>
                <w:numId w:val="97"/>
              </w:numPr>
              <w:spacing w:before="60" w:after="60"/>
              <w:rPr>
                <w:sz w:val="18"/>
                <w:szCs w:val="18"/>
              </w:rPr>
            </w:pPr>
            <w:r w:rsidRPr="00CE7080">
              <w:rPr>
                <w:sz w:val="18"/>
                <w:szCs w:val="18"/>
              </w:rPr>
              <w:t>Monitor and evaluate liver function test: AST, ALT, ALP, and TB.</w:t>
            </w:r>
          </w:p>
          <w:p w14:paraId="73428382" w14:textId="77777777" w:rsidR="00CE7080" w:rsidRPr="00CE7080" w:rsidRDefault="00CE7080" w:rsidP="00CE7080">
            <w:pPr>
              <w:numPr>
                <w:ilvl w:val="0"/>
                <w:numId w:val="97"/>
              </w:numPr>
              <w:spacing w:before="60" w:after="60"/>
              <w:rPr>
                <w:sz w:val="18"/>
                <w:szCs w:val="18"/>
              </w:rPr>
            </w:pPr>
            <w:r w:rsidRPr="00CE7080">
              <w:rPr>
                <w:sz w:val="18"/>
                <w:szCs w:val="18"/>
              </w:rPr>
              <w:t>Evaluate for alternative etiologies (e.g., viral hepatitis, disease progression, concomitant medications, worsening of liver cirrhosis [e.g., portal vein thrombosis]).</w:t>
            </w:r>
          </w:p>
          <w:p w14:paraId="59BC0C6F" w14:textId="77777777" w:rsidR="00CE7080" w:rsidRPr="00CE7080" w:rsidRDefault="00CE7080" w:rsidP="00CE7080">
            <w:pPr>
              <w:numPr>
                <w:ilvl w:val="0"/>
                <w:numId w:val="97"/>
              </w:numPr>
              <w:spacing w:before="60" w:after="60"/>
              <w:rPr>
                <w:sz w:val="18"/>
                <w:szCs w:val="18"/>
              </w:rPr>
            </w:pPr>
            <w:r w:rsidRPr="00CE7080">
              <w:rPr>
                <w:sz w:val="18"/>
                <w:szCs w:val="18"/>
              </w:rPr>
              <w:t>For HBV+ patients: evaluate quantitative HBV viral load, quantitative HBsAg, or HBeAg</w:t>
            </w:r>
          </w:p>
          <w:p w14:paraId="1E35E20E" w14:textId="77777777" w:rsidR="00CE7080" w:rsidRPr="00CE7080" w:rsidRDefault="00CE7080" w:rsidP="00CE7080">
            <w:pPr>
              <w:numPr>
                <w:ilvl w:val="0"/>
                <w:numId w:val="97"/>
              </w:numPr>
              <w:spacing w:before="60" w:after="60"/>
              <w:rPr>
                <w:sz w:val="18"/>
                <w:szCs w:val="18"/>
              </w:rPr>
            </w:pPr>
            <w:r w:rsidRPr="00CE7080">
              <w:rPr>
                <w:sz w:val="18"/>
                <w:szCs w:val="18"/>
              </w:rPr>
              <w:t>For HCV+ patients: evaluate quantitative HCV viral load</w:t>
            </w:r>
          </w:p>
          <w:p w14:paraId="142E03DD" w14:textId="77777777" w:rsidR="00CE7080" w:rsidRPr="00CE7080" w:rsidRDefault="00CE7080" w:rsidP="00CE7080">
            <w:pPr>
              <w:numPr>
                <w:ilvl w:val="0"/>
                <w:numId w:val="97"/>
              </w:numPr>
              <w:spacing w:before="60" w:after="60"/>
              <w:rPr>
                <w:sz w:val="18"/>
                <w:szCs w:val="18"/>
              </w:rPr>
            </w:pPr>
            <w:r w:rsidRPr="00CE7080">
              <w:rPr>
                <w:sz w:val="18"/>
                <w:szCs w:val="18"/>
              </w:rPr>
              <w:t>Consider consulting hepatologist/Infectious Disease specialist regarding change/implementation in/of antiviral medications for any patient with an elevated HBV viral load &gt;2000 IU/ml</w:t>
            </w:r>
          </w:p>
          <w:p w14:paraId="4456E16B" w14:textId="77777777" w:rsidR="00CE7080" w:rsidRPr="00CE7080" w:rsidRDefault="00CE7080" w:rsidP="00CE7080">
            <w:pPr>
              <w:numPr>
                <w:ilvl w:val="0"/>
                <w:numId w:val="97"/>
              </w:numPr>
              <w:spacing w:before="60" w:after="60"/>
              <w:rPr>
                <w:sz w:val="18"/>
                <w:szCs w:val="18"/>
              </w:rPr>
            </w:pPr>
            <w:r w:rsidRPr="00CE7080">
              <w:rPr>
                <w:sz w:val="18"/>
                <w:szCs w:val="18"/>
              </w:rPr>
              <w:t xml:space="preserve">Consider consulting hepatologist/Infectious Disease </w:t>
            </w:r>
            <w:r w:rsidRPr="00CE7080">
              <w:rPr>
                <w:sz w:val="18"/>
                <w:szCs w:val="18"/>
              </w:rPr>
              <w:lastRenderedPageBreak/>
              <w:t>specialist regarding change/implementation in/of antiviral HCV medications if HCV viral load increased by ≥2-fold</w:t>
            </w:r>
          </w:p>
          <w:p w14:paraId="54129F2F" w14:textId="77777777" w:rsidR="00CE7080" w:rsidRPr="00CE7080" w:rsidRDefault="00CE7080" w:rsidP="00CE7080">
            <w:pPr>
              <w:numPr>
                <w:ilvl w:val="0"/>
                <w:numId w:val="97"/>
              </w:numPr>
              <w:spacing w:before="60" w:after="60"/>
              <w:rPr>
                <w:sz w:val="18"/>
                <w:szCs w:val="18"/>
              </w:rPr>
            </w:pPr>
            <w:r w:rsidRPr="00CE7080">
              <w:rPr>
                <w:sz w:val="18"/>
                <w:szCs w:val="18"/>
              </w:rPr>
              <w:t>For HCV+ with HBcAB+: Evaluate for both HBV and HCV as above</w:t>
            </w:r>
          </w:p>
        </w:tc>
      </w:tr>
      <w:tr w:rsidR="00CE7080" w:rsidRPr="00CE7080" w14:paraId="5884E731" w14:textId="77777777" w:rsidTr="00CF7A38">
        <w:trPr>
          <w:trHeight w:val="3732"/>
        </w:trPr>
        <w:tc>
          <w:tcPr>
            <w:tcW w:w="2138" w:type="dxa"/>
            <w:vMerge/>
            <w:shd w:val="clear" w:color="auto" w:fill="D0CECE"/>
          </w:tcPr>
          <w:p w14:paraId="4B3A6B8A" w14:textId="77777777" w:rsidR="00CE7080" w:rsidRPr="00CE7080" w:rsidRDefault="00CE7080" w:rsidP="00CE7080">
            <w:pPr>
              <w:spacing w:before="60" w:after="60"/>
              <w:rPr>
                <w:sz w:val="18"/>
                <w:szCs w:val="18"/>
              </w:rPr>
            </w:pPr>
          </w:p>
        </w:tc>
        <w:tc>
          <w:tcPr>
            <w:tcW w:w="1954" w:type="dxa"/>
            <w:shd w:val="clear" w:color="auto" w:fill="D0CECE"/>
          </w:tcPr>
          <w:p w14:paraId="1B3C58BD" w14:textId="77777777" w:rsidR="00CE7080" w:rsidRPr="00CE7080" w:rsidRDefault="00CE7080" w:rsidP="00CE7080">
            <w:pPr>
              <w:spacing w:before="60" w:after="60"/>
              <w:rPr>
                <w:b/>
                <w:bCs/>
                <w:sz w:val="18"/>
                <w:szCs w:val="18"/>
              </w:rPr>
            </w:pPr>
            <w:r w:rsidRPr="00CE7080" w:rsidDel="00731974">
              <w:rPr>
                <w:b/>
                <w:bCs/>
                <w:sz w:val="18"/>
                <w:szCs w:val="18"/>
              </w:rPr>
              <w:t xml:space="preserve"> </w:t>
            </w:r>
            <w:r w:rsidRPr="00CE7080">
              <w:rPr>
                <w:b/>
                <w:sz w:val="18"/>
                <w:szCs w:val="18"/>
              </w:rPr>
              <w:t>Isolated AST or ALT &gt;ULN and ≤5.0×ULN, whether normal or elevated at baseline</w:t>
            </w:r>
            <w:r w:rsidRPr="00CE7080">
              <w:rPr>
                <w:sz w:val="18"/>
                <w:szCs w:val="18"/>
              </w:rPr>
              <w:t xml:space="preserve"> </w:t>
            </w:r>
          </w:p>
        </w:tc>
        <w:tc>
          <w:tcPr>
            <w:tcW w:w="3287" w:type="dxa"/>
            <w:shd w:val="clear" w:color="auto" w:fill="D0CECE"/>
          </w:tcPr>
          <w:p w14:paraId="752508B3" w14:textId="77777777" w:rsidR="00CE7080" w:rsidRPr="00CE7080" w:rsidRDefault="00CE7080" w:rsidP="00CE7080">
            <w:pPr>
              <w:numPr>
                <w:ilvl w:val="0"/>
                <w:numId w:val="133"/>
              </w:numPr>
              <w:spacing w:before="60" w:after="60"/>
              <w:ind w:left="300"/>
              <w:rPr>
                <w:sz w:val="18"/>
                <w:szCs w:val="18"/>
              </w:rPr>
            </w:pPr>
            <w:r w:rsidRPr="00CE7080">
              <w:rPr>
                <w:sz w:val="18"/>
                <w:szCs w:val="18"/>
              </w:rPr>
              <w:t>No dose modifications.</w:t>
            </w:r>
          </w:p>
          <w:p w14:paraId="28CBA427" w14:textId="77777777" w:rsidR="00CE7080" w:rsidRPr="00CE7080" w:rsidRDefault="00CE7080" w:rsidP="00CE7080">
            <w:pPr>
              <w:numPr>
                <w:ilvl w:val="0"/>
                <w:numId w:val="133"/>
              </w:numPr>
              <w:spacing w:before="60" w:after="60"/>
              <w:ind w:left="300"/>
              <w:rPr>
                <w:sz w:val="18"/>
                <w:szCs w:val="18"/>
              </w:rPr>
            </w:pPr>
            <w:r w:rsidRPr="00CE7080">
              <w:rPr>
                <w:sz w:val="18"/>
                <w:szCs w:val="18"/>
              </w:rPr>
              <w:t>If ALT/AST elevations represents significant worsening based on investigator assessment, then treat as described for elevations in the row below.</w:t>
            </w:r>
          </w:p>
          <w:p w14:paraId="27654004" w14:textId="77777777" w:rsidR="00CE7080" w:rsidRPr="00CE7080" w:rsidRDefault="00CE7080" w:rsidP="00CE7080">
            <w:pPr>
              <w:numPr>
                <w:ilvl w:val="0"/>
                <w:numId w:val="133"/>
              </w:numPr>
              <w:spacing w:before="60" w:after="60"/>
              <w:ind w:left="300"/>
              <w:rPr>
                <w:b/>
                <w:bCs/>
                <w:sz w:val="18"/>
                <w:szCs w:val="18"/>
              </w:rPr>
            </w:pPr>
            <w:r w:rsidRPr="00CE7080">
              <w:rPr>
                <w:sz w:val="18"/>
                <w:szCs w:val="18"/>
              </w:rPr>
              <w:t xml:space="preserve">For all transaminase elevations, see instructions at bottom of shaded area if transaminase rise is not isolated but (at any time) occurs in setting of either </w:t>
            </w:r>
            <w:r w:rsidRPr="00CE7080">
              <w:rPr>
                <w:b/>
                <w:bCs/>
                <w:sz w:val="18"/>
                <w:szCs w:val="18"/>
              </w:rPr>
              <w:t>increasing bilirubin or signs of DILI/liver decompensation</w:t>
            </w:r>
            <w:r w:rsidRPr="00CE7080">
              <w:rPr>
                <w:b/>
                <w:sz w:val="18"/>
                <w:szCs w:val="18"/>
              </w:rPr>
              <w:br/>
            </w:r>
          </w:p>
        </w:tc>
        <w:tc>
          <w:tcPr>
            <w:tcW w:w="5538" w:type="dxa"/>
            <w:shd w:val="clear" w:color="auto" w:fill="D0CECE"/>
          </w:tcPr>
          <w:p w14:paraId="725596BE" w14:textId="77777777" w:rsidR="00CE7080" w:rsidRPr="00CE7080" w:rsidRDefault="00CE7080" w:rsidP="00CE7080">
            <w:pPr>
              <w:spacing w:before="60" w:after="60"/>
              <w:rPr>
                <w:b/>
                <w:sz w:val="18"/>
                <w:szCs w:val="18"/>
              </w:rPr>
            </w:pPr>
          </w:p>
        </w:tc>
      </w:tr>
      <w:tr w:rsidR="00CE7080" w:rsidRPr="00CE7080" w14:paraId="086BD0AB" w14:textId="77777777" w:rsidTr="00CF7A38">
        <w:trPr>
          <w:trHeight w:val="184"/>
        </w:trPr>
        <w:tc>
          <w:tcPr>
            <w:tcW w:w="2138" w:type="dxa"/>
            <w:vMerge/>
            <w:shd w:val="clear" w:color="auto" w:fill="D0CECE"/>
          </w:tcPr>
          <w:p w14:paraId="7DA6197D" w14:textId="77777777" w:rsidR="00CE7080" w:rsidRPr="00CE7080" w:rsidRDefault="00CE7080" w:rsidP="00CE7080">
            <w:pPr>
              <w:spacing w:before="60" w:after="60"/>
              <w:rPr>
                <w:sz w:val="18"/>
                <w:szCs w:val="18"/>
              </w:rPr>
            </w:pPr>
          </w:p>
        </w:tc>
        <w:tc>
          <w:tcPr>
            <w:tcW w:w="1954" w:type="dxa"/>
            <w:shd w:val="clear" w:color="auto" w:fill="D0CECE"/>
          </w:tcPr>
          <w:p w14:paraId="682CD6AE" w14:textId="77777777" w:rsidR="00CE7080" w:rsidRPr="00CE7080" w:rsidRDefault="00CE7080" w:rsidP="00CE7080">
            <w:pPr>
              <w:spacing w:before="60" w:after="60"/>
              <w:rPr>
                <w:b/>
                <w:sz w:val="18"/>
                <w:szCs w:val="18"/>
              </w:rPr>
            </w:pPr>
            <w:r w:rsidRPr="00CE7080">
              <w:rPr>
                <w:b/>
                <w:sz w:val="18"/>
                <w:szCs w:val="18"/>
              </w:rPr>
              <w:t>Isolated AST or ALT &gt;5.0×ULN and ≤8.0×ULN, if normal at baseline</w:t>
            </w:r>
          </w:p>
          <w:p w14:paraId="1B34BE3C" w14:textId="77777777" w:rsidR="00CE7080" w:rsidRPr="00CE7080" w:rsidRDefault="00CE7080" w:rsidP="00CE7080">
            <w:pPr>
              <w:spacing w:before="60" w:after="60"/>
              <w:rPr>
                <w:b/>
                <w:sz w:val="18"/>
                <w:szCs w:val="18"/>
              </w:rPr>
            </w:pPr>
          </w:p>
          <w:p w14:paraId="5172C249" w14:textId="77777777" w:rsidR="00CE7080" w:rsidRPr="00CE7080" w:rsidDel="00731974" w:rsidRDefault="00CE7080" w:rsidP="00CE7080">
            <w:pPr>
              <w:spacing w:before="60" w:after="60"/>
              <w:rPr>
                <w:b/>
                <w:bCs/>
                <w:sz w:val="18"/>
                <w:szCs w:val="18"/>
              </w:rPr>
            </w:pPr>
            <w:r w:rsidRPr="00CE7080">
              <w:rPr>
                <w:b/>
                <w:sz w:val="18"/>
                <w:szCs w:val="18"/>
              </w:rPr>
              <w:t>Isolated AST or ALT &gt;2.0×baseline and ≤12.5×ULN, if elevated &gt;ULN at baseline</w:t>
            </w:r>
          </w:p>
        </w:tc>
        <w:tc>
          <w:tcPr>
            <w:tcW w:w="3287" w:type="dxa"/>
            <w:shd w:val="clear" w:color="auto" w:fill="D0CECE"/>
          </w:tcPr>
          <w:p w14:paraId="3A945717" w14:textId="77777777" w:rsidR="00CE7080" w:rsidRPr="00CE7080" w:rsidRDefault="00CE7080" w:rsidP="00CE7080">
            <w:pPr>
              <w:numPr>
                <w:ilvl w:val="0"/>
                <w:numId w:val="98"/>
              </w:numPr>
              <w:spacing w:before="60" w:after="60"/>
              <w:ind w:left="300"/>
              <w:rPr>
                <w:sz w:val="18"/>
                <w:szCs w:val="18"/>
              </w:rPr>
            </w:pPr>
            <w:r w:rsidRPr="00CE7080">
              <w:rPr>
                <w:sz w:val="18"/>
                <w:szCs w:val="18"/>
              </w:rPr>
              <w:t>Hold study drug/study regimen dose untilresolution to AST or ALT ≤5.0×ULN.</w:t>
            </w:r>
          </w:p>
          <w:p w14:paraId="67DDEEC3" w14:textId="77777777" w:rsidR="00CE7080" w:rsidRPr="00CE7080" w:rsidRDefault="00CE7080" w:rsidP="00CE7080">
            <w:pPr>
              <w:numPr>
                <w:ilvl w:val="0"/>
                <w:numId w:val="100"/>
              </w:numPr>
              <w:spacing w:before="60" w:after="60"/>
              <w:ind w:left="300"/>
              <w:rPr>
                <w:sz w:val="18"/>
                <w:szCs w:val="18"/>
              </w:rPr>
            </w:pPr>
            <w:r w:rsidRPr="00CE7080">
              <w:rPr>
                <w:sz w:val="18"/>
                <w:szCs w:val="18"/>
              </w:rPr>
              <w:t>If toxicity worsens, then treat as  described for elevations in the rows below.</w:t>
            </w:r>
          </w:p>
          <w:p w14:paraId="481D8DC6" w14:textId="77777777" w:rsidR="00CE7080" w:rsidRPr="00CE7080" w:rsidRDefault="00CE7080" w:rsidP="00CE7080">
            <w:pPr>
              <w:numPr>
                <w:ilvl w:val="0"/>
                <w:numId w:val="100"/>
              </w:numPr>
              <w:spacing w:before="60" w:after="60"/>
              <w:ind w:left="300"/>
              <w:rPr>
                <w:sz w:val="18"/>
                <w:szCs w:val="18"/>
              </w:rPr>
            </w:pPr>
            <w:r w:rsidRPr="00CE7080">
              <w:rPr>
                <w:sz w:val="18"/>
                <w:szCs w:val="18"/>
              </w:rPr>
              <w:t>If toxicity improves to AST or ALT ≤5.0×ULN, resume study drug/study regimen after completion of steroid taper</w:t>
            </w:r>
          </w:p>
        </w:tc>
        <w:tc>
          <w:tcPr>
            <w:tcW w:w="5538" w:type="dxa"/>
            <w:shd w:val="clear" w:color="auto" w:fill="D0CECE"/>
          </w:tcPr>
          <w:p w14:paraId="30D4C417" w14:textId="77777777" w:rsidR="00CE7080" w:rsidRPr="00CE7080" w:rsidRDefault="00CE7080" w:rsidP="00CE7080">
            <w:pPr>
              <w:numPr>
                <w:ilvl w:val="0"/>
                <w:numId w:val="101"/>
              </w:numPr>
              <w:spacing w:before="60" w:after="60"/>
              <w:rPr>
                <w:sz w:val="18"/>
                <w:szCs w:val="18"/>
              </w:rPr>
            </w:pPr>
            <w:r w:rsidRPr="00CE7080">
              <w:rPr>
                <w:sz w:val="18"/>
                <w:szCs w:val="18"/>
              </w:rPr>
              <w:t>Regular and frequent checking of LFTs (e.g., every 1 to 3 days) until elevations of these are improving or resolved.</w:t>
            </w:r>
          </w:p>
          <w:p w14:paraId="6D73740E" w14:textId="77777777" w:rsidR="00CE7080" w:rsidRPr="00CE7080" w:rsidRDefault="00CE7080" w:rsidP="00CE7080">
            <w:pPr>
              <w:numPr>
                <w:ilvl w:val="0"/>
                <w:numId w:val="101"/>
              </w:numPr>
              <w:spacing w:before="60" w:after="60"/>
              <w:rPr>
                <w:sz w:val="18"/>
                <w:szCs w:val="18"/>
              </w:rPr>
            </w:pPr>
            <w:r w:rsidRPr="00CE7080">
              <w:rPr>
                <w:sz w:val="18"/>
                <w:szCs w:val="18"/>
              </w:rPr>
              <w:t>Recommend consult hepatologist; consider abdominal ultrasound, including Doppler assessment of liver perfusion.</w:t>
            </w:r>
          </w:p>
          <w:p w14:paraId="013824CA" w14:textId="77777777" w:rsidR="00CE7080" w:rsidRPr="00CE7080" w:rsidRDefault="00CE7080" w:rsidP="00CE7080">
            <w:pPr>
              <w:numPr>
                <w:ilvl w:val="0"/>
                <w:numId w:val="101"/>
              </w:numPr>
              <w:spacing w:before="60" w:after="60"/>
              <w:rPr>
                <w:sz w:val="18"/>
                <w:szCs w:val="18"/>
              </w:rPr>
            </w:pPr>
            <w:r w:rsidRPr="00CE7080">
              <w:rPr>
                <w:sz w:val="18"/>
                <w:szCs w:val="18"/>
              </w:rPr>
              <w:t>Consider, as necessary, discussing with study physician.</w:t>
            </w:r>
          </w:p>
          <w:p w14:paraId="61E81BD8" w14:textId="77777777" w:rsidR="00CE7080" w:rsidRPr="00CE7080" w:rsidRDefault="00CE7080" w:rsidP="00CE7080">
            <w:pPr>
              <w:numPr>
                <w:ilvl w:val="0"/>
                <w:numId w:val="101"/>
              </w:numPr>
              <w:spacing w:before="60" w:after="60"/>
              <w:rPr>
                <w:sz w:val="18"/>
                <w:szCs w:val="18"/>
              </w:rPr>
            </w:pPr>
            <w:r w:rsidRPr="00CE7080">
              <w:rPr>
                <w:sz w:val="18"/>
                <w:szCs w:val="18"/>
              </w:rPr>
              <w:t>If event is persistent (&gt;2 to 3 days) or worsens, and investigator suspects toxicity to be immune-mediated AE, recommend to start prednisone 1 to 2 mg/kg/day PO or IV equivalent.</w:t>
            </w:r>
          </w:p>
          <w:p w14:paraId="20810BBB" w14:textId="77777777" w:rsidR="00CE7080" w:rsidRPr="00CE7080" w:rsidRDefault="00CE7080" w:rsidP="00CE7080">
            <w:pPr>
              <w:numPr>
                <w:ilvl w:val="0"/>
                <w:numId w:val="101"/>
              </w:numPr>
              <w:spacing w:before="60" w:after="60"/>
              <w:rPr>
                <w:sz w:val="18"/>
                <w:szCs w:val="18"/>
              </w:rPr>
            </w:pPr>
            <w:r w:rsidRPr="00CE7080">
              <w:rPr>
                <w:sz w:val="18"/>
                <w:szCs w:val="18"/>
              </w:rPr>
              <w:t xml:space="preserve">If still no improvement within 2 to 3 days despite 1 to 2 mg/kg/day of </w:t>
            </w:r>
            <w:r w:rsidRPr="00CE7080">
              <w:rPr>
                <w:sz w:val="18"/>
                <w:szCs w:val="18"/>
              </w:rPr>
              <w:lastRenderedPageBreak/>
              <w:t>prednisone PO or IV equivalent, consider additional workup and treatment with IV methylprednisolone 2 to 4 mg/kg/day.</w:t>
            </w:r>
          </w:p>
          <w:p w14:paraId="11ABD735" w14:textId="77777777" w:rsidR="00CE7080" w:rsidRPr="00CE7080" w:rsidRDefault="00CE7080" w:rsidP="00CE7080">
            <w:pPr>
              <w:numPr>
                <w:ilvl w:val="0"/>
                <w:numId w:val="101"/>
              </w:numPr>
              <w:spacing w:before="60" w:after="60"/>
              <w:rPr>
                <w:b/>
                <w:sz w:val="18"/>
                <w:szCs w:val="18"/>
              </w:rPr>
            </w:pPr>
            <w:r w:rsidRPr="00CE7080">
              <w:rPr>
                <w:sz w:val="18"/>
                <w:szCs w:val="18"/>
              </w:rPr>
              <w:t xml:space="preserve">If still no improvement within 2 to 3 days despite 1 to 2 mg/kg/day of IV methylprednisolone, consider additional abdominal workup (including liver biopsy) and imaging (i.e., liver ultrasound), and consider starting immunosuppressives (i.e., mycophenolate mofetil 0.5 – 1 g every 12 hours then taper in consultation with hepatology consult). Discuss with study physician if mycophenolate mofetil is not available. </w:t>
            </w:r>
            <w:r w:rsidRPr="00CE7080">
              <w:rPr>
                <w:b/>
                <w:sz w:val="18"/>
                <w:szCs w:val="18"/>
              </w:rPr>
              <w:t>Infliximab should NOT be used.</w:t>
            </w:r>
          </w:p>
        </w:tc>
      </w:tr>
      <w:tr w:rsidR="00CE7080" w:rsidRPr="00CE7080" w14:paraId="35701EFE" w14:textId="77777777" w:rsidTr="00CF7A38">
        <w:trPr>
          <w:trHeight w:val="240"/>
        </w:trPr>
        <w:tc>
          <w:tcPr>
            <w:tcW w:w="2138" w:type="dxa"/>
            <w:vMerge/>
            <w:shd w:val="clear" w:color="auto" w:fill="D0CECE"/>
          </w:tcPr>
          <w:p w14:paraId="2B30DD61" w14:textId="77777777" w:rsidR="00CE7080" w:rsidRPr="00CE7080" w:rsidRDefault="00CE7080" w:rsidP="00CE7080">
            <w:pPr>
              <w:spacing w:before="60" w:after="60"/>
              <w:rPr>
                <w:sz w:val="18"/>
                <w:szCs w:val="18"/>
              </w:rPr>
            </w:pPr>
          </w:p>
        </w:tc>
        <w:tc>
          <w:tcPr>
            <w:tcW w:w="1954" w:type="dxa"/>
            <w:shd w:val="clear" w:color="auto" w:fill="D0CECE"/>
          </w:tcPr>
          <w:p w14:paraId="0CA9A0FE" w14:textId="77777777" w:rsidR="00CE7080" w:rsidRPr="00CE7080" w:rsidRDefault="00CE7080" w:rsidP="00CE7080">
            <w:pPr>
              <w:spacing w:before="60" w:after="60"/>
              <w:rPr>
                <w:b/>
                <w:sz w:val="18"/>
                <w:szCs w:val="18"/>
              </w:rPr>
            </w:pPr>
            <w:r w:rsidRPr="00CE7080">
              <w:rPr>
                <w:b/>
                <w:sz w:val="18"/>
                <w:szCs w:val="18"/>
              </w:rPr>
              <w:t>Isolated AST or ALT &gt;8.0×ULN and ≤20.0×ULN, if normal at baseline</w:t>
            </w:r>
          </w:p>
          <w:p w14:paraId="6291E013" w14:textId="77777777" w:rsidR="00CE7080" w:rsidRPr="00CE7080" w:rsidDel="00731974" w:rsidRDefault="00CE7080" w:rsidP="00CE7080">
            <w:pPr>
              <w:spacing w:before="60" w:after="60"/>
              <w:rPr>
                <w:b/>
                <w:bCs/>
                <w:sz w:val="18"/>
                <w:szCs w:val="18"/>
              </w:rPr>
            </w:pPr>
            <w:r w:rsidRPr="00CE7080">
              <w:rPr>
                <w:b/>
                <w:sz w:val="18"/>
                <w:szCs w:val="18"/>
              </w:rPr>
              <w:br/>
              <w:t>Isolated AST or ALT &gt;12.5×ULN and ≤20.0×ULN, if  elevated &gt;ULN at baseline</w:t>
            </w:r>
          </w:p>
        </w:tc>
        <w:tc>
          <w:tcPr>
            <w:tcW w:w="3287" w:type="dxa"/>
            <w:shd w:val="clear" w:color="auto" w:fill="D0CECE"/>
          </w:tcPr>
          <w:p w14:paraId="114E34C3"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Hold study drug/study regimen dose until resolution to  AST or ALT ≤5.0×ULN</w:t>
            </w:r>
          </w:p>
          <w:p w14:paraId="004AD9FC"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Resume study drug/study regimen if elevations downgrade to AST or ALT ≤5.0×ULN within 14 days and after completion of steroid taper.</w:t>
            </w:r>
          </w:p>
          <w:p w14:paraId="5299546A"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Permanently discontinue study drug/study regimen if the elevations do not downgrade to AST or ALT ≤5.0×ULN within 14 days</w:t>
            </w:r>
          </w:p>
          <w:p w14:paraId="5F48455E" w14:textId="77777777" w:rsidR="00CE7080" w:rsidRPr="00CE7080" w:rsidRDefault="00CE7080" w:rsidP="00CE7080">
            <w:pPr>
              <w:numPr>
                <w:ilvl w:val="0"/>
                <w:numId w:val="102"/>
              </w:numPr>
              <w:spacing w:before="60" w:after="60"/>
              <w:ind w:left="318" w:hanging="270"/>
              <w:rPr>
                <w:sz w:val="18"/>
                <w:szCs w:val="18"/>
              </w:rPr>
            </w:pPr>
            <w:r w:rsidRPr="00CE7080">
              <w:rPr>
                <w:sz w:val="18"/>
                <w:szCs w:val="18"/>
              </w:rPr>
              <w:t>Permanently discontinue study drug/study regimen for any case meeting Hy’s law criteria, in the absence of any alternative cause.</w:t>
            </w:r>
          </w:p>
        </w:tc>
        <w:tc>
          <w:tcPr>
            <w:tcW w:w="5538" w:type="dxa"/>
            <w:shd w:val="clear" w:color="auto" w:fill="D0CECE"/>
          </w:tcPr>
          <w:p w14:paraId="729A0DB9" w14:textId="77777777" w:rsidR="00CE7080" w:rsidRPr="00CE7080" w:rsidRDefault="00CE7080" w:rsidP="00CE7080">
            <w:pPr>
              <w:numPr>
                <w:ilvl w:val="0"/>
                <w:numId w:val="103"/>
              </w:numPr>
              <w:spacing w:before="60" w:after="60"/>
              <w:rPr>
                <w:sz w:val="18"/>
                <w:szCs w:val="18"/>
              </w:rPr>
            </w:pPr>
            <w:r w:rsidRPr="00CE7080">
              <w:rPr>
                <w:sz w:val="18"/>
                <w:szCs w:val="18"/>
              </w:rPr>
              <w:t>Regular and frequent checking of LFTs (e.g., every 1-2 days) until elevations of these are improving or resolved.</w:t>
            </w:r>
          </w:p>
          <w:p w14:paraId="1B0D6599" w14:textId="77777777" w:rsidR="00CE7080" w:rsidRPr="00CE7080" w:rsidRDefault="00CE7080" w:rsidP="00CE7080">
            <w:pPr>
              <w:numPr>
                <w:ilvl w:val="0"/>
                <w:numId w:val="103"/>
              </w:numPr>
              <w:spacing w:before="60" w:after="60"/>
              <w:rPr>
                <w:sz w:val="18"/>
                <w:szCs w:val="18"/>
              </w:rPr>
            </w:pPr>
            <w:r w:rsidRPr="00CE7080">
              <w:rPr>
                <w:sz w:val="18"/>
                <w:szCs w:val="18"/>
              </w:rPr>
              <w:t>Consult hepatologist (unless investigator is hepatologist); obtain abdominal ultrasound, including Doppler assessment of liver perfusion; and consider liver biopsy.</w:t>
            </w:r>
          </w:p>
          <w:p w14:paraId="6BFF6DEE" w14:textId="77777777" w:rsidR="00CE7080" w:rsidRPr="00CE7080" w:rsidRDefault="00CE7080" w:rsidP="00CE7080">
            <w:pPr>
              <w:numPr>
                <w:ilvl w:val="0"/>
                <w:numId w:val="103"/>
              </w:numPr>
              <w:spacing w:before="60" w:after="60"/>
              <w:rPr>
                <w:sz w:val="18"/>
                <w:szCs w:val="18"/>
              </w:rPr>
            </w:pPr>
            <w:r w:rsidRPr="00CE7080">
              <w:rPr>
                <w:sz w:val="18"/>
                <w:szCs w:val="18"/>
              </w:rPr>
              <w:t>Consider, as necessary, discussing with study physician.</w:t>
            </w:r>
          </w:p>
          <w:p w14:paraId="41292B03" w14:textId="77777777" w:rsidR="00CE7080" w:rsidRPr="00CE7080" w:rsidRDefault="00CE7080" w:rsidP="00CE7080">
            <w:pPr>
              <w:numPr>
                <w:ilvl w:val="0"/>
                <w:numId w:val="103"/>
              </w:numPr>
              <w:spacing w:before="60" w:after="60"/>
              <w:rPr>
                <w:sz w:val="18"/>
                <w:szCs w:val="18"/>
              </w:rPr>
            </w:pPr>
            <w:r w:rsidRPr="00CE7080">
              <w:rPr>
                <w:sz w:val="18"/>
                <w:szCs w:val="18"/>
              </w:rPr>
              <w:t>If investigator suspects toxicity to be immune-mediated, promptly initiate empiric IV methylprednisolone at 1 to 4 mg/kg/day or equivalent.</w:t>
            </w:r>
          </w:p>
          <w:p w14:paraId="6363ED20" w14:textId="77777777" w:rsidR="00CE7080" w:rsidRPr="00CE7080" w:rsidRDefault="00CE7080" w:rsidP="00CE7080">
            <w:pPr>
              <w:numPr>
                <w:ilvl w:val="0"/>
                <w:numId w:val="103"/>
              </w:numPr>
              <w:spacing w:before="60" w:after="60"/>
              <w:rPr>
                <w:sz w:val="18"/>
                <w:szCs w:val="18"/>
              </w:rPr>
            </w:pPr>
            <w:r w:rsidRPr="00CE7080">
              <w:rPr>
                <w:sz w:val="18"/>
                <w:szCs w:val="18"/>
              </w:rPr>
              <w:t xml:space="preserve">If no improvement within 3 to 5 days despite 1 to 4 mg/kg/day methylprednisolone IV or equivalent, obtain liver biopsy (if it has not been done already) and promptly start treatment with immunosuppressive therapy (mycophenolate mofetil). Discuss with study physician if mycophenolate is not available. </w:t>
            </w:r>
            <w:r w:rsidRPr="00CE7080">
              <w:rPr>
                <w:b/>
                <w:sz w:val="18"/>
                <w:szCs w:val="18"/>
              </w:rPr>
              <w:t>Infliximab should NOT be used.</w:t>
            </w:r>
          </w:p>
          <w:p w14:paraId="0B8CD911" w14:textId="77777777" w:rsidR="00CE7080" w:rsidRPr="00CE7080" w:rsidRDefault="00CE7080" w:rsidP="00CE7080">
            <w:pPr>
              <w:numPr>
                <w:ilvl w:val="0"/>
                <w:numId w:val="103"/>
              </w:numPr>
              <w:spacing w:before="60" w:after="60"/>
              <w:rPr>
                <w:b/>
                <w:sz w:val="18"/>
                <w:szCs w:val="18"/>
              </w:rPr>
            </w:pPr>
            <w:r w:rsidRPr="00CE7080">
              <w:rPr>
                <w:sz w:val="18"/>
                <w:szCs w:val="18"/>
              </w:rPr>
              <w:t xml:space="preserve">Once the patient is improving, gradually taper steroids over ≥28 days </w:t>
            </w:r>
            <w:r w:rsidRPr="00CE7080">
              <w:rPr>
                <w:sz w:val="18"/>
                <w:szCs w:val="18"/>
              </w:rPr>
              <w:lastRenderedPageBreak/>
              <w:t>and consider prophylactic antibiotics, antifungals, and anti-PCP treatment (refer to current NCCN guidelines for treatment of cancer-related infections</w:t>
            </w:r>
          </w:p>
        </w:tc>
      </w:tr>
      <w:tr w:rsidR="00CE7080" w:rsidRPr="00CE7080" w14:paraId="1C7F51DF" w14:textId="77777777" w:rsidTr="00CF7A38">
        <w:trPr>
          <w:trHeight w:val="1248"/>
        </w:trPr>
        <w:tc>
          <w:tcPr>
            <w:tcW w:w="2138" w:type="dxa"/>
            <w:vMerge/>
            <w:shd w:val="clear" w:color="auto" w:fill="D0CECE"/>
          </w:tcPr>
          <w:p w14:paraId="2961CA7F" w14:textId="77777777" w:rsidR="00CE7080" w:rsidRPr="00CE7080" w:rsidRDefault="00CE7080" w:rsidP="00CE7080">
            <w:pPr>
              <w:spacing w:before="60" w:after="60"/>
              <w:rPr>
                <w:sz w:val="18"/>
                <w:szCs w:val="18"/>
              </w:rPr>
            </w:pPr>
          </w:p>
        </w:tc>
        <w:tc>
          <w:tcPr>
            <w:tcW w:w="1954" w:type="dxa"/>
            <w:shd w:val="clear" w:color="auto" w:fill="D0CECE"/>
          </w:tcPr>
          <w:p w14:paraId="27A223E9" w14:textId="77777777" w:rsidR="00CE7080" w:rsidRPr="00CE7080" w:rsidDel="00731974" w:rsidRDefault="00CE7080" w:rsidP="00CE7080">
            <w:pPr>
              <w:spacing w:before="60" w:after="60"/>
              <w:rPr>
                <w:b/>
                <w:bCs/>
                <w:sz w:val="18"/>
                <w:szCs w:val="18"/>
              </w:rPr>
            </w:pPr>
            <w:r w:rsidRPr="00CE7080">
              <w:rPr>
                <w:b/>
                <w:sz w:val="18"/>
                <w:szCs w:val="18"/>
              </w:rPr>
              <w:t>Isolated AST or ALT &gt;20×ULN,  whether normal or elevated at baseline</w:t>
            </w:r>
          </w:p>
        </w:tc>
        <w:tc>
          <w:tcPr>
            <w:tcW w:w="3287" w:type="dxa"/>
            <w:shd w:val="clear" w:color="auto" w:fill="D0CECE"/>
          </w:tcPr>
          <w:p w14:paraId="124856D9" w14:textId="77777777" w:rsidR="00CE7080" w:rsidRPr="00CE7080" w:rsidRDefault="00CE7080" w:rsidP="00CE7080">
            <w:pPr>
              <w:spacing w:before="60" w:after="60"/>
              <w:rPr>
                <w:sz w:val="18"/>
                <w:szCs w:val="18"/>
              </w:rPr>
            </w:pPr>
            <w:r w:rsidRPr="00CE7080">
              <w:rPr>
                <w:sz w:val="18"/>
                <w:szCs w:val="18"/>
              </w:rPr>
              <w:t>Permanently discontinue study drug/study regimen</w:t>
            </w:r>
          </w:p>
        </w:tc>
        <w:tc>
          <w:tcPr>
            <w:tcW w:w="5538" w:type="dxa"/>
            <w:shd w:val="clear" w:color="auto" w:fill="D0CECE"/>
          </w:tcPr>
          <w:p w14:paraId="7C3874F5" w14:textId="77777777" w:rsidR="00CE7080" w:rsidRPr="00CE7080" w:rsidRDefault="00CE7080" w:rsidP="00CE7080">
            <w:pPr>
              <w:spacing w:before="60" w:after="60"/>
              <w:rPr>
                <w:b/>
                <w:sz w:val="18"/>
                <w:szCs w:val="18"/>
              </w:rPr>
            </w:pPr>
            <w:r w:rsidRPr="00CE7080">
              <w:rPr>
                <w:b/>
                <w:sz w:val="18"/>
                <w:szCs w:val="18"/>
              </w:rPr>
              <w:t xml:space="preserve">Same as above </w:t>
            </w:r>
            <w:r w:rsidRPr="00CE7080">
              <w:rPr>
                <w:b/>
                <w:sz w:val="18"/>
                <w:szCs w:val="18"/>
              </w:rPr>
              <w:br/>
              <w:t>(except would recommend obtaining liver biopsy early)</w:t>
            </w:r>
          </w:p>
          <w:p w14:paraId="1CEBC8B4" w14:textId="77777777" w:rsidR="00CE7080" w:rsidRPr="00CE7080" w:rsidRDefault="00CE7080" w:rsidP="00CE7080">
            <w:pPr>
              <w:spacing w:before="60" w:after="60"/>
              <w:rPr>
                <w:b/>
                <w:sz w:val="18"/>
                <w:szCs w:val="18"/>
              </w:rPr>
            </w:pPr>
          </w:p>
        </w:tc>
      </w:tr>
      <w:tr w:rsidR="00CE7080" w:rsidRPr="00CE7080" w14:paraId="2D4EABE6" w14:textId="77777777" w:rsidTr="00CF7A38">
        <w:trPr>
          <w:trHeight w:val="180"/>
        </w:trPr>
        <w:tc>
          <w:tcPr>
            <w:tcW w:w="2138" w:type="dxa"/>
            <w:vMerge/>
            <w:shd w:val="clear" w:color="auto" w:fill="D0CECE"/>
          </w:tcPr>
          <w:p w14:paraId="5B749F7E" w14:textId="77777777" w:rsidR="00CE7080" w:rsidRPr="00CE7080" w:rsidRDefault="00CE7080" w:rsidP="00CE7080">
            <w:pPr>
              <w:spacing w:before="60" w:after="60"/>
              <w:rPr>
                <w:sz w:val="18"/>
                <w:szCs w:val="18"/>
              </w:rPr>
            </w:pPr>
          </w:p>
        </w:tc>
        <w:tc>
          <w:tcPr>
            <w:tcW w:w="10779" w:type="dxa"/>
            <w:gridSpan w:val="3"/>
            <w:shd w:val="clear" w:color="auto" w:fill="D0CECE"/>
          </w:tcPr>
          <w:p w14:paraId="2417898E" w14:textId="77777777" w:rsidR="00CE7080" w:rsidRPr="00CE7080" w:rsidRDefault="00CE7080" w:rsidP="00CE7080">
            <w:pPr>
              <w:spacing w:before="60" w:after="60"/>
              <w:rPr>
                <w:b/>
                <w:sz w:val="18"/>
                <w:szCs w:val="18"/>
              </w:rPr>
            </w:pPr>
            <w:r w:rsidRPr="00CE7080">
              <w:rPr>
                <w:b/>
                <w:sz w:val="18"/>
                <w:szCs w:val="18"/>
              </w:rPr>
              <w:t>If transaminase rise is not isolated but (at any time) occurs in setting of either increasing total/direct bilirubin (≥1.5×ULN, if normal at baseline; or 2×baseline, if &gt;ULN at baseline) or signs of DILI/liver decompensation (e.g., fever, elevated INR):</w:t>
            </w:r>
          </w:p>
          <w:p w14:paraId="3604CBD4" w14:textId="77777777" w:rsidR="00CE7080" w:rsidRPr="00CE7080" w:rsidRDefault="00CE7080" w:rsidP="00CE7080">
            <w:pPr>
              <w:spacing w:before="60" w:after="60"/>
              <w:rPr>
                <w:sz w:val="18"/>
                <w:szCs w:val="18"/>
              </w:rPr>
            </w:pPr>
            <w:r w:rsidRPr="00CE7080">
              <w:rPr>
                <w:b/>
                <w:sz w:val="18"/>
                <w:szCs w:val="18"/>
              </w:rPr>
              <w:t>Manage dosing for  each level of transaminase rise as instructed for the next highest level of transaminase riseFor example, manage dosing for second level of transaminase rise (i.e.,  AST or ALT &gt;5.0×ULN and ≤8.0×ULN, if normal at baseline, or AST or ALT &gt;2.0×baseline and ≤12.5×ULN, if elevated &gt;ULN at baseline)</w:t>
            </w:r>
            <w:r w:rsidRPr="00CE7080" w:rsidDel="00C26CE5">
              <w:rPr>
                <w:b/>
                <w:sz w:val="18"/>
                <w:szCs w:val="18"/>
              </w:rPr>
              <w:t xml:space="preserve"> </w:t>
            </w:r>
            <w:r w:rsidRPr="00CE7080">
              <w:rPr>
                <w:b/>
                <w:sz w:val="18"/>
                <w:szCs w:val="18"/>
              </w:rPr>
              <w:t>as instructed for the third level of transaminase rise (i.e., AST or ALT &gt;8.0×ULN and ≤20.0×ULN, if normal at baseline, or AST or ALT &gt;12.5×ULN and ≤20.0×ULN, if  elevated &gt;ULN at baseline)</w:t>
            </w:r>
          </w:p>
          <w:p w14:paraId="710C432D" w14:textId="77777777" w:rsidR="00CE7080" w:rsidRPr="00CE7080" w:rsidRDefault="00CE7080" w:rsidP="00CE7080">
            <w:pPr>
              <w:spacing w:before="60" w:after="60"/>
              <w:rPr>
                <w:b/>
                <w:sz w:val="18"/>
                <w:szCs w:val="18"/>
              </w:rPr>
            </w:pPr>
            <w:r w:rsidRPr="00CE7080">
              <w:rPr>
                <w:b/>
                <w:sz w:val="18"/>
                <w:szCs w:val="18"/>
              </w:rPr>
              <w:t>For the third and fourth levels of transaminase rises, permanently discontinue study drug/study regimen</w:t>
            </w:r>
          </w:p>
          <w:p w14:paraId="7E7A1A44" w14:textId="77777777" w:rsidR="00CE7080" w:rsidRPr="00CE7080" w:rsidRDefault="00CE7080" w:rsidP="00CE7080">
            <w:pPr>
              <w:spacing w:before="60" w:after="60"/>
              <w:rPr>
                <w:b/>
                <w:sz w:val="18"/>
                <w:szCs w:val="18"/>
              </w:rPr>
            </w:pPr>
          </w:p>
        </w:tc>
      </w:tr>
      <w:tr w:rsidR="00CE7080" w:rsidRPr="00CE7080" w14:paraId="0F61845C" w14:textId="77777777" w:rsidTr="00CF7A38">
        <w:tc>
          <w:tcPr>
            <w:tcW w:w="2138" w:type="dxa"/>
          </w:tcPr>
          <w:p w14:paraId="3E256082" w14:textId="77777777" w:rsidR="00CE7080" w:rsidRPr="00CE7080" w:rsidRDefault="00CE7080" w:rsidP="00CE7080">
            <w:pPr>
              <w:spacing w:before="60" w:after="60"/>
              <w:rPr>
                <w:b/>
                <w:bCs/>
                <w:sz w:val="18"/>
                <w:szCs w:val="18"/>
              </w:rPr>
            </w:pPr>
            <w:r w:rsidRPr="00CE7080">
              <w:rPr>
                <w:b/>
                <w:bCs/>
                <w:sz w:val="18"/>
                <w:szCs w:val="18"/>
              </w:rPr>
              <w:t>Nephritis or renal dysfunction</w:t>
            </w:r>
          </w:p>
          <w:p w14:paraId="3AF43FC8" w14:textId="77777777" w:rsidR="00CE7080" w:rsidRPr="00CE7080" w:rsidRDefault="00CE7080" w:rsidP="00CE7080">
            <w:pPr>
              <w:spacing w:before="60" w:after="60"/>
              <w:rPr>
                <w:sz w:val="18"/>
                <w:szCs w:val="18"/>
              </w:rPr>
            </w:pPr>
            <w:r w:rsidRPr="00CE7080">
              <w:rPr>
                <w:sz w:val="18"/>
                <w:szCs w:val="18"/>
              </w:rPr>
              <w:t>(elevated serum creatinine)</w:t>
            </w:r>
          </w:p>
        </w:tc>
        <w:tc>
          <w:tcPr>
            <w:tcW w:w="1954" w:type="dxa"/>
          </w:tcPr>
          <w:p w14:paraId="473FAC5B" w14:textId="77777777" w:rsidR="00CE7080" w:rsidRPr="00CE7080" w:rsidRDefault="00CE7080" w:rsidP="00CE7080">
            <w:pPr>
              <w:spacing w:before="60" w:after="60"/>
              <w:rPr>
                <w:b/>
                <w:bCs/>
                <w:sz w:val="18"/>
                <w:szCs w:val="18"/>
              </w:rPr>
            </w:pPr>
            <w:r w:rsidRPr="00CE7080">
              <w:rPr>
                <w:b/>
                <w:bCs/>
                <w:sz w:val="18"/>
                <w:szCs w:val="18"/>
              </w:rPr>
              <w:t>Any Grade</w:t>
            </w:r>
          </w:p>
        </w:tc>
        <w:tc>
          <w:tcPr>
            <w:tcW w:w="3287" w:type="dxa"/>
          </w:tcPr>
          <w:p w14:paraId="70C3EA95" w14:textId="77777777" w:rsidR="00CE7080" w:rsidRPr="00CE7080" w:rsidRDefault="00CE7080" w:rsidP="00CE7080">
            <w:pPr>
              <w:spacing w:before="60" w:after="60"/>
              <w:rPr>
                <w:b/>
                <w:bCs/>
                <w:sz w:val="18"/>
                <w:szCs w:val="18"/>
              </w:rPr>
            </w:pPr>
            <w:r w:rsidRPr="00CE7080">
              <w:rPr>
                <w:b/>
                <w:bCs/>
                <w:sz w:val="18"/>
                <w:szCs w:val="18"/>
              </w:rPr>
              <w:t>General Guidance</w:t>
            </w:r>
          </w:p>
        </w:tc>
        <w:tc>
          <w:tcPr>
            <w:tcW w:w="5538" w:type="dxa"/>
          </w:tcPr>
          <w:p w14:paraId="270B59EE" w14:textId="77777777" w:rsidR="00CE7080" w:rsidRPr="00CE7080" w:rsidRDefault="00CE7080" w:rsidP="00CE7080">
            <w:pPr>
              <w:spacing w:before="60" w:after="60"/>
              <w:rPr>
                <w:b/>
                <w:bCs/>
                <w:sz w:val="18"/>
                <w:szCs w:val="18"/>
              </w:rPr>
            </w:pPr>
            <w:r w:rsidRPr="00CE7080">
              <w:rPr>
                <w:b/>
                <w:bCs/>
                <w:sz w:val="18"/>
                <w:szCs w:val="18"/>
              </w:rPr>
              <w:t>For Any Grade:</w:t>
            </w:r>
          </w:p>
          <w:p w14:paraId="7985C66A" w14:textId="77777777" w:rsidR="00CE7080" w:rsidRPr="00CE7080" w:rsidRDefault="00CE7080" w:rsidP="00CE7080">
            <w:pPr>
              <w:numPr>
                <w:ilvl w:val="0"/>
                <w:numId w:val="115"/>
              </w:numPr>
              <w:spacing w:before="60" w:after="60"/>
              <w:rPr>
                <w:sz w:val="18"/>
                <w:szCs w:val="18"/>
              </w:rPr>
            </w:pPr>
            <w:r w:rsidRPr="00CE7080">
              <w:rPr>
                <w:sz w:val="18"/>
                <w:szCs w:val="18"/>
              </w:rPr>
              <w:t>Consult with nephrologist.</w:t>
            </w:r>
          </w:p>
          <w:p w14:paraId="1C19D13D" w14:textId="77777777" w:rsidR="00CE7080" w:rsidRPr="00CE7080" w:rsidRDefault="00CE7080" w:rsidP="00CE7080">
            <w:pPr>
              <w:numPr>
                <w:ilvl w:val="0"/>
                <w:numId w:val="104"/>
              </w:numPr>
              <w:spacing w:before="60" w:after="60"/>
              <w:rPr>
                <w:sz w:val="18"/>
                <w:szCs w:val="18"/>
              </w:rPr>
            </w:pPr>
            <w:r w:rsidRPr="00CE7080">
              <w:rPr>
                <w:sz w:val="18"/>
                <w:szCs w:val="18"/>
              </w:rPr>
              <w:t>Monitor for signs and symptoms that may be related to changes in renal function (e.g., routine urinalysis, elevated serum BUN and creatinine, decreased creatinine clearance, electrolyte imbalance, decrease in urine output, or proteinuria,</w:t>
            </w:r>
            <w:r w:rsidRPr="00CE7080">
              <w:t xml:space="preserve"> </w:t>
            </w:r>
            <w:r w:rsidRPr="00CE7080">
              <w:rPr>
                <w:sz w:val="18"/>
                <w:szCs w:val="18"/>
              </w:rPr>
              <w:t>recent IV contrast, medications, fluid status).</w:t>
            </w:r>
          </w:p>
          <w:p w14:paraId="257CC709" w14:textId="77777777" w:rsidR="00CE7080" w:rsidRPr="00CE7080" w:rsidRDefault="00CE7080" w:rsidP="00CE7080">
            <w:pPr>
              <w:numPr>
                <w:ilvl w:val="0"/>
                <w:numId w:val="104"/>
              </w:numPr>
              <w:spacing w:before="60" w:after="60"/>
              <w:rPr>
                <w:sz w:val="18"/>
                <w:szCs w:val="18"/>
              </w:rPr>
            </w:pPr>
            <w:r w:rsidRPr="00CE7080">
              <w:rPr>
                <w:sz w:val="18"/>
                <w:szCs w:val="18"/>
              </w:rPr>
              <w:t>Patients should be thoroughly evaluated to rule out any alternative etiology (e.g., disease progression or infections).</w:t>
            </w:r>
          </w:p>
          <w:p w14:paraId="3EEC6EC0" w14:textId="77777777" w:rsidR="00CE7080" w:rsidRPr="00CE7080" w:rsidRDefault="00CE7080" w:rsidP="00CE7080">
            <w:pPr>
              <w:numPr>
                <w:ilvl w:val="0"/>
                <w:numId w:val="104"/>
              </w:numPr>
              <w:spacing w:before="60" w:after="60"/>
              <w:rPr>
                <w:sz w:val="18"/>
                <w:szCs w:val="18"/>
              </w:rPr>
            </w:pPr>
            <w:r w:rsidRPr="00CE7080">
              <w:rPr>
                <w:sz w:val="18"/>
                <w:szCs w:val="18"/>
              </w:rPr>
              <w:t>Steroids should be considered in the absence of clear alternative etiology even for low-grade events (Grade 2), in order to prevent potential progression to higher grade event.</w:t>
            </w:r>
          </w:p>
        </w:tc>
      </w:tr>
    </w:tbl>
    <w:p w14:paraId="2B1F7146" w14:textId="77777777" w:rsidR="00CE7080" w:rsidRPr="00CE7080" w:rsidRDefault="00CE7080" w:rsidP="00CE7080">
      <w:pPr>
        <w:rPr>
          <w:rFonts w:eastAsia="Calibri"/>
        </w:rPr>
      </w:pPr>
    </w:p>
    <w:tbl>
      <w:tblPr>
        <w:tblStyle w:val="TableGrid2"/>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577"/>
        <w:gridCol w:w="2127"/>
        <w:gridCol w:w="3690"/>
      </w:tblGrid>
      <w:tr w:rsidR="00CE7080" w:rsidRPr="00CE7080" w14:paraId="3E5278C6" w14:textId="77777777" w:rsidTr="00CF7A38">
        <w:tc>
          <w:tcPr>
            <w:tcW w:w="2138" w:type="dxa"/>
            <w:vMerge w:val="restart"/>
          </w:tcPr>
          <w:p w14:paraId="70495894" w14:textId="77777777" w:rsidR="00CE7080" w:rsidRPr="00CE7080" w:rsidRDefault="00CE7080" w:rsidP="00CE7080">
            <w:pPr>
              <w:spacing w:before="60" w:after="60"/>
              <w:rPr>
                <w:sz w:val="18"/>
                <w:szCs w:val="18"/>
              </w:rPr>
            </w:pPr>
          </w:p>
        </w:tc>
        <w:tc>
          <w:tcPr>
            <w:tcW w:w="1954" w:type="dxa"/>
          </w:tcPr>
          <w:p w14:paraId="48D810EA" w14:textId="77777777" w:rsidR="00CE7080" w:rsidRPr="00CE7080" w:rsidRDefault="00CE7080" w:rsidP="00CE7080">
            <w:pPr>
              <w:spacing w:before="60" w:after="60"/>
              <w:rPr>
                <w:b/>
                <w:bCs/>
                <w:sz w:val="18"/>
                <w:szCs w:val="18"/>
              </w:rPr>
            </w:pPr>
            <w:r w:rsidRPr="00CE7080">
              <w:rPr>
                <w:b/>
                <w:bCs/>
                <w:sz w:val="18"/>
                <w:szCs w:val="18"/>
              </w:rPr>
              <w:t>Grade 1</w:t>
            </w:r>
          </w:p>
          <w:p w14:paraId="240DB142" w14:textId="77777777" w:rsidR="00CE7080" w:rsidRPr="00CE7080" w:rsidRDefault="00CE7080" w:rsidP="00CE7080">
            <w:pPr>
              <w:spacing w:before="60" w:after="60"/>
              <w:rPr>
                <w:sz w:val="18"/>
                <w:szCs w:val="18"/>
              </w:rPr>
            </w:pPr>
            <w:r w:rsidRPr="00CE7080">
              <w:rPr>
                <w:sz w:val="18"/>
                <w:szCs w:val="18"/>
              </w:rPr>
              <w:t xml:space="preserve">(serum creatinine </w:t>
            </w:r>
            <w:r w:rsidRPr="00CE7080">
              <w:rPr>
                <w:sz w:val="18"/>
                <w:szCs w:val="18"/>
              </w:rPr>
              <w:br/>
              <w:t>&gt;ULN to 1.5×ULN)</w:t>
            </w:r>
          </w:p>
        </w:tc>
        <w:tc>
          <w:tcPr>
            <w:tcW w:w="3287" w:type="dxa"/>
          </w:tcPr>
          <w:p w14:paraId="3C55F90F" w14:textId="77777777" w:rsidR="00CE7080" w:rsidRPr="00CE7080" w:rsidRDefault="00CE7080" w:rsidP="00CE7080">
            <w:pPr>
              <w:spacing w:before="60" w:after="60"/>
              <w:rPr>
                <w:sz w:val="18"/>
                <w:szCs w:val="18"/>
              </w:rPr>
            </w:pPr>
            <w:r w:rsidRPr="00CE7080">
              <w:rPr>
                <w:sz w:val="18"/>
                <w:szCs w:val="18"/>
              </w:rPr>
              <w:t>No dose modifications.</w:t>
            </w:r>
          </w:p>
        </w:tc>
        <w:tc>
          <w:tcPr>
            <w:tcW w:w="5538" w:type="dxa"/>
          </w:tcPr>
          <w:p w14:paraId="4940843F" w14:textId="77777777" w:rsidR="00CE7080" w:rsidRPr="00CE7080" w:rsidRDefault="00CE7080" w:rsidP="00CE7080">
            <w:pPr>
              <w:spacing w:before="60" w:after="60"/>
              <w:rPr>
                <w:b/>
                <w:bCs/>
                <w:sz w:val="18"/>
                <w:szCs w:val="18"/>
              </w:rPr>
            </w:pPr>
            <w:r w:rsidRPr="00CE7080">
              <w:rPr>
                <w:b/>
                <w:bCs/>
                <w:sz w:val="18"/>
                <w:szCs w:val="18"/>
              </w:rPr>
              <w:t>For Grade 1:</w:t>
            </w:r>
          </w:p>
          <w:p w14:paraId="4B1E4FE2" w14:textId="77777777" w:rsidR="00CE7080" w:rsidRPr="00CE7080" w:rsidRDefault="00CE7080" w:rsidP="00CE7080">
            <w:pPr>
              <w:numPr>
                <w:ilvl w:val="0"/>
                <w:numId w:val="105"/>
              </w:numPr>
              <w:spacing w:before="60" w:after="60"/>
              <w:rPr>
                <w:sz w:val="18"/>
                <w:szCs w:val="18"/>
              </w:rPr>
            </w:pPr>
            <w:r w:rsidRPr="00CE7080">
              <w:rPr>
                <w:sz w:val="18"/>
                <w:szCs w:val="18"/>
              </w:rPr>
              <w:t>Monitor serum creatinine weekly and any accompanying symptoms.</w:t>
            </w:r>
          </w:p>
          <w:p w14:paraId="64EB79A0" w14:textId="77777777" w:rsidR="00CE7080" w:rsidRPr="00CE7080" w:rsidRDefault="00CE7080" w:rsidP="00CE7080">
            <w:pPr>
              <w:numPr>
                <w:ilvl w:val="1"/>
                <w:numId w:val="106"/>
              </w:numPr>
              <w:spacing w:before="60" w:after="60"/>
              <w:rPr>
                <w:sz w:val="18"/>
                <w:szCs w:val="18"/>
              </w:rPr>
            </w:pPr>
            <w:r w:rsidRPr="00CE7080">
              <w:rPr>
                <w:sz w:val="18"/>
                <w:szCs w:val="18"/>
              </w:rPr>
              <w:t>If creatinine returns to baseline, resume its regular monitoring per study protocol.</w:t>
            </w:r>
          </w:p>
          <w:p w14:paraId="38A5D7E0" w14:textId="77777777" w:rsidR="00CE7080" w:rsidRPr="00CE7080" w:rsidRDefault="00CE7080" w:rsidP="00CE7080">
            <w:pPr>
              <w:numPr>
                <w:ilvl w:val="1"/>
                <w:numId w:val="106"/>
              </w:numPr>
              <w:spacing w:before="60" w:after="60"/>
              <w:rPr>
                <w:sz w:val="18"/>
                <w:szCs w:val="18"/>
              </w:rPr>
            </w:pPr>
            <w:r w:rsidRPr="00CE7080">
              <w:rPr>
                <w:sz w:val="18"/>
                <w:szCs w:val="18"/>
              </w:rPr>
              <w:t>If creatinine worsens, depending on the severity, treat as Grade 2, 3, or 4.</w:t>
            </w:r>
          </w:p>
          <w:p w14:paraId="4D5783AA" w14:textId="77777777" w:rsidR="00CE7080" w:rsidRPr="00CE7080" w:rsidRDefault="00CE7080" w:rsidP="00CE7080">
            <w:pPr>
              <w:numPr>
                <w:ilvl w:val="0"/>
                <w:numId w:val="105"/>
              </w:numPr>
              <w:spacing w:before="60" w:after="60"/>
              <w:rPr>
                <w:sz w:val="18"/>
                <w:szCs w:val="18"/>
              </w:rPr>
            </w:pPr>
            <w:r w:rsidRPr="00CE7080">
              <w:rPr>
                <w:sz w:val="18"/>
                <w:szCs w:val="18"/>
              </w:rPr>
              <w:t>Consider symptomatic treatment, including hydration, electrolyte replacement, and diuretics.</w:t>
            </w:r>
          </w:p>
          <w:p w14:paraId="3163020D" w14:textId="77777777" w:rsidR="00CE7080" w:rsidRPr="00CE7080" w:rsidRDefault="00CE7080" w:rsidP="00CE7080">
            <w:pPr>
              <w:numPr>
                <w:ilvl w:val="0"/>
                <w:numId w:val="105"/>
              </w:numPr>
              <w:spacing w:before="60" w:after="60"/>
              <w:rPr>
                <w:sz w:val="18"/>
                <w:szCs w:val="18"/>
              </w:rPr>
            </w:pPr>
            <w:r w:rsidRPr="00CE7080">
              <w:rPr>
                <w:sz w:val="18"/>
                <w:szCs w:val="18"/>
              </w:rPr>
              <w:t xml:space="preserve">If baseline serum creatinine is elevated above normal, and there is a rise to &gt; 1 to 1.5 × baseline, consider following recommendations in this row. </w:t>
            </w:r>
          </w:p>
        </w:tc>
      </w:tr>
      <w:tr w:rsidR="00CE7080" w:rsidRPr="00CE7080" w14:paraId="70C914D2" w14:textId="77777777" w:rsidTr="00CF7A38">
        <w:tc>
          <w:tcPr>
            <w:tcW w:w="2138" w:type="dxa"/>
            <w:vMerge/>
          </w:tcPr>
          <w:p w14:paraId="7CF02BC7" w14:textId="77777777" w:rsidR="00CE7080" w:rsidRPr="00CE7080" w:rsidRDefault="00CE7080" w:rsidP="00CE7080">
            <w:pPr>
              <w:spacing w:before="60" w:after="60"/>
              <w:rPr>
                <w:sz w:val="18"/>
                <w:szCs w:val="18"/>
              </w:rPr>
            </w:pPr>
          </w:p>
        </w:tc>
        <w:tc>
          <w:tcPr>
            <w:tcW w:w="1954" w:type="dxa"/>
          </w:tcPr>
          <w:p w14:paraId="24CC680E" w14:textId="77777777" w:rsidR="00CE7080" w:rsidRPr="00CE7080" w:rsidRDefault="00CE7080" w:rsidP="00CE7080">
            <w:pPr>
              <w:spacing w:before="60" w:after="60"/>
              <w:rPr>
                <w:b/>
                <w:bCs/>
                <w:sz w:val="18"/>
                <w:szCs w:val="18"/>
              </w:rPr>
            </w:pPr>
            <w:r w:rsidRPr="00CE7080">
              <w:rPr>
                <w:b/>
                <w:bCs/>
                <w:sz w:val="18"/>
                <w:szCs w:val="18"/>
              </w:rPr>
              <w:t>Grade 2</w:t>
            </w:r>
          </w:p>
          <w:p w14:paraId="50C0B72E" w14:textId="77777777" w:rsidR="00CE7080" w:rsidRPr="00CE7080" w:rsidRDefault="00CE7080" w:rsidP="00CE7080">
            <w:pPr>
              <w:spacing w:before="60" w:after="60"/>
              <w:rPr>
                <w:b/>
                <w:bCs/>
                <w:sz w:val="18"/>
                <w:szCs w:val="18"/>
              </w:rPr>
            </w:pPr>
            <w:r w:rsidRPr="00CE7080">
              <w:rPr>
                <w:sz w:val="18"/>
                <w:szCs w:val="18"/>
              </w:rPr>
              <w:t>(serum creatinine &gt;1.5 to 3.0×baseline; &gt;1.5 to 3.0×ULN)</w:t>
            </w:r>
          </w:p>
        </w:tc>
        <w:tc>
          <w:tcPr>
            <w:tcW w:w="3287" w:type="dxa"/>
          </w:tcPr>
          <w:p w14:paraId="0C402E3D" w14:textId="77777777" w:rsidR="00CE7080" w:rsidRPr="00CE7080" w:rsidRDefault="00CE7080" w:rsidP="00CE7080">
            <w:pPr>
              <w:spacing w:before="60" w:after="60"/>
              <w:rPr>
                <w:sz w:val="18"/>
                <w:szCs w:val="18"/>
              </w:rPr>
            </w:pPr>
            <w:r w:rsidRPr="00CE7080">
              <w:rPr>
                <w:sz w:val="18"/>
                <w:szCs w:val="18"/>
              </w:rPr>
              <w:t xml:space="preserve">Hold study drug/study regimen until resolution to Grade ≤1 or baseline. </w:t>
            </w:r>
          </w:p>
          <w:p w14:paraId="153A9B6D" w14:textId="77777777" w:rsidR="00CE7080" w:rsidRPr="00CE7080" w:rsidRDefault="00CE7080" w:rsidP="00CE7080">
            <w:pPr>
              <w:numPr>
                <w:ilvl w:val="0"/>
                <w:numId w:val="107"/>
              </w:numPr>
              <w:spacing w:before="60" w:after="60"/>
              <w:ind w:left="318" w:hanging="318"/>
              <w:rPr>
                <w:sz w:val="18"/>
                <w:szCs w:val="18"/>
              </w:rPr>
            </w:pPr>
            <w:r w:rsidRPr="00CE7080">
              <w:rPr>
                <w:sz w:val="18"/>
                <w:szCs w:val="18"/>
              </w:rPr>
              <w:t>If toxicity worsens, then treat as Grade 3 or 4.</w:t>
            </w:r>
          </w:p>
          <w:p w14:paraId="04696018" w14:textId="77777777" w:rsidR="00CE7080" w:rsidRPr="00CE7080" w:rsidRDefault="00CE7080" w:rsidP="00CE7080">
            <w:pPr>
              <w:numPr>
                <w:ilvl w:val="0"/>
                <w:numId w:val="107"/>
              </w:numPr>
              <w:spacing w:before="60" w:after="60"/>
              <w:ind w:left="318" w:hanging="318"/>
              <w:rPr>
                <w:sz w:val="18"/>
                <w:szCs w:val="18"/>
              </w:rPr>
            </w:pPr>
            <w:r w:rsidRPr="00CE7080">
              <w:rPr>
                <w:sz w:val="18"/>
                <w:szCs w:val="18"/>
              </w:rPr>
              <w:t>If toxicity improves to Grade ≤1 or baseline, then resume study drug/study regimen after completion of steroid taper.</w:t>
            </w:r>
          </w:p>
        </w:tc>
        <w:tc>
          <w:tcPr>
            <w:tcW w:w="5538" w:type="dxa"/>
          </w:tcPr>
          <w:p w14:paraId="599834BC" w14:textId="77777777" w:rsidR="00CE7080" w:rsidRPr="00CE7080" w:rsidRDefault="00CE7080" w:rsidP="00CE7080">
            <w:pPr>
              <w:spacing w:before="60" w:after="60"/>
              <w:rPr>
                <w:b/>
                <w:bCs/>
                <w:sz w:val="18"/>
                <w:szCs w:val="18"/>
              </w:rPr>
            </w:pPr>
            <w:r w:rsidRPr="00CE7080">
              <w:rPr>
                <w:b/>
                <w:bCs/>
                <w:sz w:val="18"/>
                <w:szCs w:val="18"/>
              </w:rPr>
              <w:t>For Grade 2:</w:t>
            </w:r>
          </w:p>
          <w:p w14:paraId="3F2BFD18" w14:textId="77777777" w:rsidR="00CE7080" w:rsidRPr="00CE7080" w:rsidRDefault="00CE7080" w:rsidP="00CE7080">
            <w:pPr>
              <w:numPr>
                <w:ilvl w:val="0"/>
                <w:numId w:val="108"/>
              </w:numPr>
              <w:spacing w:before="60" w:after="60"/>
              <w:rPr>
                <w:sz w:val="18"/>
                <w:szCs w:val="18"/>
              </w:rPr>
            </w:pPr>
            <w:r w:rsidRPr="00CE7080">
              <w:rPr>
                <w:sz w:val="18"/>
                <w:szCs w:val="18"/>
              </w:rPr>
              <w:t>Consider symptomatic treatment, including hydration, electrolyte replacement, and diuretics.</w:t>
            </w:r>
          </w:p>
          <w:p w14:paraId="159951AC" w14:textId="77777777" w:rsidR="00CE7080" w:rsidRPr="00CE7080" w:rsidRDefault="00CE7080" w:rsidP="00CE7080">
            <w:pPr>
              <w:numPr>
                <w:ilvl w:val="0"/>
                <w:numId w:val="108"/>
              </w:numPr>
              <w:spacing w:before="60" w:after="60"/>
              <w:rPr>
                <w:sz w:val="18"/>
                <w:szCs w:val="18"/>
              </w:rPr>
            </w:pPr>
            <w:r w:rsidRPr="00CE7080">
              <w:rPr>
                <w:sz w:val="18"/>
                <w:szCs w:val="18"/>
              </w:rPr>
              <w:t>Carefully monitor serum creatinine every 2 to 3 days and as clinically warranted.</w:t>
            </w:r>
          </w:p>
          <w:p w14:paraId="35DEDFB1" w14:textId="77777777" w:rsidR="00CE7080" w:rsidRPr="00CE7080" w:rsidRDefault="00CE7080" w:rsidP="00CE7080">
            <w:pPr>
              <w:numPr>
                <w:ilvl w:val="0"/>
                <w:numId w:val="108"/>
              </w:numPr>
              <w:spacing w:before="60" w:after="60"/>
              <w:rPr>
                <w:sz w:val="18"/>
                <w:szCs w:val="18"/>
              </w:rPr>
            </w:pPr>
            <w:r w:rsidRPr="00CE7080">
              <w:rPr>
                <w:sz w:val="18"/>
                <w:szCs w:val="18"/>
              </w:rPr>
              <w:t>Consult nephrologist and consider renal biopsy if clinically indicated.</w:t>
            </w:r>
          </w:p>
          <w:p w14:paraId="42386995" w14:textId="77777777" w:rsidR="00CE7080" w:rsidRPr="00CE7080" w:rsidRDefault="00CE7080" w:rsidP="00CE7080">
            <w:pPr>
              <w:numPr>
                <w:ilvl w:val="0"/>
                <w:numId w:val="108"/>
              </w:numPr>
              <w:spacing w:before="60" w:after="60"/>
              <w:rPr>
                <w:sz w:val="18"/>
                <w:szCs w:val="18"/>
              </w:rPr>
            </w:pPr>
            <w:r w:rsidRPr="00CE7080">
              <w:rPr>
                <w:sz w:val="18"/>
                <w:szCs w:val="18"/>
              </w:rPr>
              <w:t>If event is persistent beyond 3 to 5 days or worsens, promptly start prednisone 1 to 2 mg/kg/day PO or IV equivalent.</w:t>
            </w:r>
          </w:p>
          <w:p w14:paraId="093762A2" w14:textId="77777777" w:rsidR="00CE7080" w:rsidRPr="00CE7080" w:rsidRDefault="00CE7080" w:rsidP="00CE7080">
            <w:pPr>
              <w:numPr>
                <w:ilvl w:val="0"/>
                <w:numId w:val="108"/>
              </w:numPr>
              <w:spacing w:before="60" w:after="60"/>
              <w:rPr>
                <w:sz w:val="18"/>
                <w:szCs w:val="18"/>
              </w:rPr>
            </w:pPr>
            <w:r w:rsidRPr="00CE7080">
              <w:rPr>
                <w:sz w:val="18"/>
                <w:szCs w:val="18"/>
              </w:rPr>
              <w:t xml:space="preserve">If event is not responsive within 3 to 5 days or worsens despite prednisone at 1 to 2 mg/kg/day PO or IV equivalent, </w:t>
            </w:r>
            <w:r w:rsidRPr="00CE7080">
              <w:t xml:space="preserve"> </w:t>
            </w:r>
            <w:r w:rsidRPr="00CE7080">
              <w:rPr>
                <w:sz w:val="18"/>
                <w:szCs w:val="18"/>
              </w:rPr>
              <w:t>consider additional workup .</w:t>
            </w:r>
          </w:p>
          <w:p w14:paraId="2CCF8ABD" w14:textId="77777777" w:rsidR="00CE7080" w:rsidRPr="00CE7080" w:rsidRDefault="00CE7080" w:rsidP="00CE7080">
            <w:pPr>
              <w:numPr>
                <w:ilvl w:val="0"/>
                <w:numId w:val="108"/>
              </w:numPr>
              <w:spacing w:before="60" w:after="60"/>
              <w:rPr>
                <w:sz w:val="18"/>
                <w:szCs w:val="18"/>
              </w:rPr>
            </w:pPr>
            <w:r w:rsidRPr="00CE7080">
              <w:rPr>
                <w:sz w:val="18"/>
                <w:szCs w:val="18"/>
              </w:rPr>
              <w:t>Once the patient is improving, gradually taper steroids over ≥28 days and consider prophylactic antibiotics, antifungals, and anti-PJP treatment (refer to current NCCN guidelines for treatment of cancer-related infections).</w:t>
            </w:r>
            <w:r w:rsidRPr="00CE7080">
              <w:rPr>
                <w:sz w:val="18"/>
                <w:szCs w:val="18"/>
                <w:vertAlign w:val="superscript"/>
              </w:rPr>
              <w:t>a</w:t>
            </w:r>
          </w:p>
          <w:p w14:paraId="310A3CBE" w14:textId="77777777" w:rsidR="00CE7080" w:rsidRPr="00CE7080" w:rsidRDefault="00CE7080" w:rsidP="00CE7080">
            <w:pPr>
              <w:numPr>
                <w:ilvl w:val="0"/>
                <w:numId w:val="108"/>
              </w:numPr>
              <w:spacing w:before="60" w:after="60"/>
              <w:rPr>
                <w:sz w:val="18"/>
                <w:szCs w:val="18"/>
              </w:rPr>
            </w:pPr>
            <w:r w:rsidRPr="00CE7080">
              <w:rPr>
                <w:sz w:val="18"/>
                <w:szCs w:val="18"/>
              </w:rPr>
              <w:t xml:space="preserve">When event returns to baseline, resume study drug/study regimen and routine </w:t>
            </w:r>
            <w:r w:rsidRPr="00CE7080">
              <w:rPr>
                <w:sz w:val="18"/>
                <w:szCs w:val="18"/>
              </w:rPr>
              <w:lastRenderedPageBreak/>
              <w:t>serum creatinine monitoring per study protocol.</w:t>
            </w:r>
          </w:p>
        </w:tc>
      </w:tr>
      <w:tr w:rsidR="00CE7080" w:rsidRPr="00CE7080" w14:paraId="039ED39D" w14:textId="77777777" w:rsidTr="00CF7A38">
        <w:tc>
          <w:tcPr>
            <w:tcW w:w="2138" w:type="dxa"/>
            <w:vMerge/>
          </w:tcPr>
          <w:p w14:paraId="6D30A749" w14:textId="77777777" w:rsidR="00CE7080" w:rsidRPr="00CE7080" w:rsidRDefault="00CE7080" w:rsidP="00CE7080">
            <w:pPr>
              <w:spacing w:before="60" w:after="60"/>
              <w:rPr>
                <w:sz w:val="18"/>
                <w:szCs w:val="18"/>
              </w:rPr>
            </w:pPr>
          </w:p>
        </w:tc>
        <w:tc>
          <w:tcPr>
            <w:tcW w:w="1954" w:type="dxa"/>
          </w:tcPr>
          <w:p w14:paraId="7E8E840A" w14:textId="77777777" w:rsidR="00CE7080" w:rsidRPr="00CE7080" w:rsidRDefault="00CE7080" w:rsidP="00CE7080">
            <w:pPr>
              <w:spacing w:before="60" w:after="60"/>
              <w:rPr>
                <w:b/>
                <w:bCs/>
                <w:sz w:val="18"/>
                <w:szCs w:val="18"/>
              </w:rPr>
            </w:pPr>
            <w:r w:rsidRPr="00CE7080">
              <w:rPr>
                <w:b/>
                <w:bCs/>
                <w:sz w:val="18"/>
                <w:szCs w:val="18"/>
              </w:rPr>
              <w:t>Grade 3 or 4</w:t>
            </w:r>
          </w:p>
          <w:p w14:paraId="3C6C82D2" w14:textId="77777777" w:rsidR="00CE7080" w:rsidRPr="00CE7080" w:rsidRDefault="00CE7080" w:rsidP="00CE7080">
            <w:pPr>
              <w:spacing w:before="60" w:after="60"/>
              <w:rPr>
                <w:sz w:val="18"/>
                <w:szCs w:val="18"/>
              </w:rPr>
            </w:pPr>
            <w:r w:rsidRPr="00CE7080">
              <w:rPr>
                <w:sz w:val="18"/>
                <w:szCs w:val="18"/>
              </w:rPr>
              <w:t>(Grade 3: serum creatinine &gt;3.0×baseline; &gt;3.0 to 6.0×ULN)</w:t>
            </w:r>
          </w:p>
          <w:p w14:paraId="29E390A0" w14:textId="77777777" w:rsidR="00CE7080" w:rsidRPr="00CE7080" w:rsidRDefault="00CE7080" w:rsidP="00CE7080">
            <w:pPr>
              <w:spacing w:before="60" w:after="60"/>
              <w:rPr>
                <w:sz w:val="18"/>
                <w:szCs w:val="18"/>
              </w:rPr>
            </w:pPr>
          </w:p>
          <w:p w14:paraId="1A3017E7" w14:textId="77777777" w:rsidR="00CE7080" w:rsidRPr="00CE7080" w:rsidRDefault="00CE7080" w:rsidP="00CE7080">
            <w:pPr>
              <w:spacing w:before="60" w:after="60"/>
              <w:rPr>
                <w:b/>
                <w:bCs/>
                <w:sz w:val="18"/>
                <w:szCs w:val="18"/>
              </w:rPr>
            </w:pPr>
            <w:r w:rsidRPr="00CE7080">
              <w:rPr>
                <w:sz w:val="18"/>
                <w:szCs w:val="18"/>
              </w:rPr>
              <w:t>(Grade 4: serum creatinine &gt;6.0×ULN)</w:t>
            </w:r>
          </w:p>
        </w:tc>
        <w:tc>
          <w:tcPr>
            <w:tcW w:w="3287" w:type="dxa"/>
          </w:tcPr>
          <w:p w14:paraId="4211C139" w14:textId="77777777" w:rsidR="00CE7080" w:rsidRPr="00CE7080" w:rsidRDefault="00CE7080" w:rsidP="00CE7080">
            <w:pPr>
              <w:spacing w:before="60" w:after="60"/>
              <w:rPr>
                <w:sz w:val="18"/>
                <w:szCs w:val="18"/>
              </w:rPr>
            </w:pPr>
            <w:r w:rsidRPr="00CE7080">
              <w:rPr>
                <w:sz w:val="18"/>
                <w:szCs w:val="18"/>
              </w:rPr>
              <w:t>Permanently discontinue study drug/study regimen.</w:t>
            </w:r>
          </w:p>
        </w:tc>
        <w:tc>
          <w:tcPr>
            <w:tcW w:w="5538" w:type="dxa"/>
          </w:tcPr>
          <w:p w14:paraId="3E2E8C69" w14:textId="77777777" w:rsidR="00CE7080" w:rsidRPr="00CE7080" w:rsidRDefault="00CE7080" w:rsidP="00CE7080">
            <w:pPr>
              <w:spacing w:before="60" w:after="60"/>
              <w:rPr>
                <w:b/>
                <w:bCs/>
                <w:sz w:val="18"/>
                <w:szCs w:val="18"/>
              </w:rPr>
            </w:pPr>
            <w:r w:rsidRPr="00CE7080">
              <w:rPr>
                <w:b/>
                <w:bCs/>
                <w:sz w:val="18"/>
                <w:szCs w:val="18"/>
              </w:rPr>
              <w:t>For Grade 3 or 4:</w:t>
            </w:r>
          </w:p>
          <w:p w14:paraId="1ACD76C8" w14:textId="77777777" w:rsidR="00CE7080" w:rsidRPr="00CE7080" w:rsidRDefault="00CE7080" w:rsidP="00CE7080">
            <w:pPr>
              <w:numPr>
                <w:ilvl w:val="0"/>
                <w:numId w:val="109"/>
              </w:numPr>
              <w:spacing w:before="60" w:after="60"/>
              <w:rPr>
                <w:sz w:val="18"/>
                <w:szCs w:val="18"/>
              </w:rPr>
            </w:pPr>
            <w:r w:rsidRPr="00CE7080">
              <w:rPr>
                <w:sz w:val="18"/>
                <w:szCs w:val="18"/>
              </w:rPr>
              <w:t>Carefully monitor serum creatinine on daily basis.</w:t>
            </w:r>
          </w:p>
          <w:p w14:paraId="575299F1" w14:textId="77777777" w:rsidR="00CE7080" w:rsidRPr="00CE7080" w:rsidRDefault="00CE7080" w:rsidP="00CE7080">
            <w:pPr>
              <w:numPr>
                <w:ilvl w:val="0"/>
                <w:numId w:val="109"/>
              </w:numPr>
              <w:spacing w:before="60" w:after="60"/>
              <w:rPr>
                <w:sz w:val="18"/>
                <w:szCs w:val="18"/>
              </w:rPr>
            </w:pPr>
            <w:r w:rsidRPr="00CE7080">
              <w:rPr>
                <w:sz w:val="18"/>
                <w:szCs w:val="18"/>
              </w:rPr>
              <w:t>Consult nephrologist and consider renal biopsy if clinically indicated.</w:t>
            </w:r>
          </w:p>
          <w:p w14:paraId="16E890BD" w14:textId="77777777" w:rsidR="00CE7080" w:rsidRPr="00CE7080" w:rsidRDefault="00CE7080" w:rsidP="00CE7080">
            <w:pPr>
              <w:numPr>
                <w:ilvl w:val="0"/>
                <w:numId w:val="109"/>
              </w:numPr>
              <w:spacing w:before="60" w:after="60"/>
              <w:rPr>
                <w:sz w:val="18"/>
                <w:szCs w:val="18"/>
              </w:rPr>
            </w:pPr>
            <w:r w:rsidRPr="00CE7080">
              <w:rPr>
                <w:sz w:val="18"/>
                <w:szCs w:val="18"/>
              </w:rPr>
              <w:t>Promptly start prednisone 1 to 2 mg/kg/day PO or IV equivalent.</w:t>
            </w:r>
          </w:p>
          <w:p w14:paraId="7305627F" w14:textId="77777777" w:rsidR="00CE7080" w:rsidRPr="00CE7080" w:rsidRDefault="00CE7080" w:rsidP="00CE7080">
            <w:pPr>
              <w:numPr>
                <w:ilvl w:val="0"/>
                <w:numId w:val="109"/>
              </w:numPr>
              <w:spacing w:before="60" w:after="60"/>
              <w:rPr>
                <w:sz w:val="18"/>
                <w:szCs w:val="18"/>
              </w:rPr>
            </w:pPr>
            <w:r w:rsidRPr="00CE7080">
              <w:rPr>
                <w:sz w:val="18"/>
                <w:szCs w:val="18"/>
              </w:rPr>
              <w:t xml:space="preserve">If event is not responsive within 3 to 5 days or worsens despite prednisone at 1 to 2 mg/kg/day PO or IV equivalent, additional workup should be considered and prompt treatment </w:t>
            </w:r>
            <w:r w:rsidRPr="00CE7080">
              <w:t xml:space="preserve"> </w:t>
            </w:r>
            <w:r w:rsidRPr="00CE7080">
              <w:rPr>
                <w:sz w:val="18"/>
                <w:szCs w:val="18"/>
              </w:rPr>
              <w:t>with   an immunosuppressive in consultation with a nephrologist .</w:t>
            </w:r>
          </w:p>
          <w:p w14:paraId="30A0990D" w14:textId="77777777" w:rsidR="00CE7080" w:rsidRPr="00CE7080" w:rsidRDefault="00CE7080" w:rsidP="00CE7080">
            <w:pPr>
              <w:numPr>
                <w:ilvl w:val="0"/>
                <w:numId w:val="109"/>
              </w:numPr>
              <w:spacing w:before="60" w:after="60"/>
              <w:rPr>
                <w:sz w:val="18"/>
                <w:szCs w:val="18"/>
              </w:rPr>
            </w:pPr>
            <w:r w:rsidRPr="00CE7080">
              <w:rPr>
                <w:sz w:val="18"/>
                <w:szCs w:val="18"/>
              </w:rPr>
              <w:t>Once the patient is improving, gradually taper steroids over ≥28 days and consider prophylactic antibiotics, antifungals, and anti-PJP treatment (refer to current NCCN guidelines for treatment of cancer-related infections).</w:t>
            </w:r>
            <w:r w:rsidRPr="00CE7080">
              <w:rPr>
                <w:sz w:val="18"/>
                <w:szCs w:val="18"/>
                <w:vertAlign w:val="superscript"/>
              </w:rPr>
              <w:t>a</w:t>
            </w:r>
          </w:p>
          <w:p w14:paraId="1C1C4564" w14:textId="77777777" w:rsidR="00CE7080" w:rsidRPr="00CE7080" w:rsidRDefault="00CE7080" w:rsidP="00CE7080">
            <w:pPr>
              <w:spacing w:before="60" w:after="60"/>
              <w:rPr>
                <w:sz w:val="18"/>
                <w:szCs w:val="18"/>
              </w:rPr>
            </w:pPr>
          </w:p>
        </w:tc>
      </w:tr>
      <w:tr w:rsidR="00CE7080" w:rsidRPr="00CE7080" w14:paraId="356C2DDF" w14:textId="77777777" w:rsidTr="00CF7A38">
        <w:tc>
          <w:tcPr>
            <w:tcW w:w="2138" w:type="dxa"/>
            <w:vMerge w:val="restart"/>
          </w:tcPr>
          <w:p w14:paraId="7F28F00B" w14:textId="77777777" w:rsidR="00CE7080" w:rsidRPr="00CE7080" w:rsidRDefault="00CE7080" w:rsidP="00CE7080">
            <w:pPr>
              <w:spacing w:before="60" w:after="60"/>
              <w:rPr>
                <w:b/>
                <w:bCs/>
                <w:sz w:val="18"/>
                <w:szCs w:val="18"/>
              </w:rPr>
            </w:pPr>
            <w:r w:rsidRPr="00CE7080">
              <w:rPr>
                <w:b/>
                <w:bCs/>
                <w:sz w:val="18"/>
                <w:szCs w:val="18"/>
              </w:rPr>
              <w:t>Rash or Dermatitis</w:t>
            </w:r>
          </w:p>
          <w:p w14:paraId="608DD72C" w14:textId="77777777" w:rsidR="00CE7080" w:rsidRPr="00CE7080" w:rsidRDefault="00CE7080" w:rsidP="00CE7080">
            <w:pPr>
              <w:spacing w:before="60" w:after="60"/>
              <w:rPr>
                <w:b/>
                <w:sz w:val="18"/>
                <w:szCs w:val="18"/>
              </w:rPr>
            </w:pPr>
            <w:r w:rsidRPr="00CE7080">
              <w:rPr>
                <w:b/>
                <w:sz w:val="18"/>
                <w:szCs w:val="18"/>
              </w:rPr>
              <w:t>(including Pemphigoid)</w:t>
            </w:r>
          </w:p>
        </w:tc>
        <w:tc>
          <w:tcPr>
            <w:tcW w:w="1954" w:type="dxa"/>
          </w:tcPr>
          <w:p w14:paraId="3C849285" w14:textId="77777777" w:rsidR="00CE7080" w:rsidRPr="00CE7080" w:rsidRDefault="00CE7080" w:rsidP="00CE7080">
            <w:pPr>
              <w:spacing w:before="60" w:after="60"/>
              <w:rPr>
                <w:b/>
                <w:bCs/>
                <w:sz w:val="18"/>
                <w:szCs w:val="18"/>
              </w:rPr>
            </w:pPr>
            <w:r w:rsidRPr="00CE7080">
              <w:rPr>
                <w:b/>
                <w:bCs/>
                <w:sz w:val="18"/>
                <w:szCs w:val="18"/>
              </w:rPr>
              <w:t>Any Grade</w:t>
            </w:r>
          </w:p>
          <w:p w14:paraId="44F5C27F" w14:textId="77777777" w:rsidR="00CE7080" w:rsidRPr="00CE7080" w:rsidRDefault="00CE7080" w:rsidP="00CE7080">
            <w:pPr>
              <w:spacing w:before="60" w:after="60"/>
              <w:rPr>
                <w:sz w:val="18"/>
                <w:szCs w:val="18"/>
              </w:rPr>
            </w:pPr>
            <w:r w:rsidRPr="00CE7080">
              <w:rPr>
                <w:sz w:val="18"/>
                <w:szCs w:val="18"/>
              </w:rPr>
              <w:t>(refer to NCI CTCAE v 5.0 for definition of severity/grade depending on type of skin rash)</w:t>
            </w:r>
          </w:p>
        </w:tc>
        <w:tc>
          <w:tcPr>
            <w:tcW w:w="3287" w:type="dxa"/>
          </w:tcPr>
          <w:p w14:paraId="2333553C" w14:textId="77777777" w:rsidR="00CE7080" w:rsidRPr="00CE7080" w:rsidRDefault="00CE7080" w:rsidP="00CE7080">
            <w:pPr>
              <w:spacing w:before="60" w:after="60"/>
              <w:rPr>
                <w:b/>
                <w:bCs/>
                <w:sz w:val="18"/>
                <w:szCs w:val="18"/>
              </w:rPr>
            </w:pPr>
            <w:r w:rsidRPr="00CE7080">
              <w:rPr>
                <w:b/>
                <w:bCs/>
                <w:sz w:val="18"/>
                <w:szCs w:val="18"/>
              </w:rPr>
              <w:t>General Guidance</w:t>
            </w:r>
          </w:p>
        </w:tc>
        <w:tc>
          <w:tcPr>
            <w:tcW w:w="5538" w:type="dxa"/>
          </w:tcPr>
          <w:p w14:paraId="0359A323" w14:textId="77777777" w:rsidR="00CE7080" w:rsidRPr="00CE7080" w:rsidRDefault="00CE7080" w:rsidP="00CE7080">
            <w:pPr>
              <w:spacing w:before="60" w:after="60"/>
              <w:rPr>
                <w:b/>
                <w:bCs/>
                <w:sz w:val="18"/>
                <w:szCs w:val="18"/>
              </w:rPr>
            </w:pPr>
            <w:r w:rsidRPr="00CE7080">
              <w:rPr>
                <w:b/>
                <w:bCs/>
                <w:sz w:val="18"/>
                <w:szCs w:val="18"/>
              </w:rPr>
              <w:t>For Any Grade:</w:t>
            </w:r>
          </w:p>
          <w:p w14:paraId="20D41C01" w14:textId="77777777" w:rsidR="00CE7080" w:rsidRPr="00CE7080" w:rsidRDefault="00CE7080" w:rsidP="00CE7080">
            <w:pPr>
              <w:numPr>
                <w:ilvl w:val="0"/>
                <w:numId w:val="110"/>
              </w:numPr>
              <w:spacing w:before="60" w:after="60"/>
              <w:rPr>
                <w:sz w:val="18"/>
                <w:szCs w:val="18"/>
              </w:rPr>
            </w:pPr>
            <w:r w:rsidRPr="00CE7080">
              <w:rPr>
                <w:sz w:val="18"/>
                <w:szCs w:val="18"/>
              </w:rPr>
              <w:t>Monitor for signs and symptoms of dermatitis (rash and pruritus).</w:t>
            </w:r>
          </w:p>
          <w:p w14:paraId="0443253D" w14:textId="77777777" w:rsidR="00CE7080" w:rsidRPr="00CE7080" w:rsidRDefault="00CE7080" w:rsidP="00CE7080">
            <w:pPr>
              <w:numPr>
                <w:ilvl w:val="0"/>
                <w:numId w:val="110"/>
              </w:numPr>
              <w:spacing w:before="60" w:after="60"/>
              <w:rPr>
                <w:sz w:val="18"/>
                <w:szCs w:val="18"/>
              </w:rPr>
            </w:pPr>
            <w:r w:rsidRPr="00CE7080">
              <w:rPr>
                <w:sz w:val="18"/>
                <w:szCs w:val="18"/>
              </w:rPr>
              <w:t xml:space="preserve">Hold study drug if Stevens-Johnson Syndrome (SJS), Toxic Epidermal Necrolysis (TEN), or other severe cutaneous adverse reaction (SCAR) is suspected </w:t>
            </w:r>
          </w:p>
          <w:p w14:paraId="1EF84498" w14:textId="77777777" w:rsidR="00CE7080" w:rsidRPr="00CE7080" w:rsidRDefault="00CE7080" w:rsidP="00CE7080">
            <w:pPr>
              <w:numPr>
                <w:ilvl w:val="0"/>
                <w:numId w:val="110"/>
              </w:numPr>
              <w:spacing w:before="60" w:after="60"/>
              <w:rPr>
                <w:sz w:val="18"/>
                <w:szCs w:val="18"/>
              </w:rPr>
            </w:pPr>
            <w:r w:rsidRPr="00CE7080">
              <w:rPr>
                <w:sz w:val="18"/>
                <w:szCs w:val="18"/>
              </w:rPr>
              <w:t>Permanently discontinue study drugs if SJS, TEN or SCAR is confirmed</w:t>
            </w:r>
            <w:r w:rsidRPr="00CE7080">
              <w:rPr>
                <w:b/>
                <w:bCs/>
                <w:sz w:val="18"/>
                <w:szCs w:val="18"/>
              </w:rPr>
              <w:t>.</w:t>
            </w:r>
          </w:p>
        </w:tc>
      </w:tr>
      <w:tr w:rsidR="00CE7080" w:rsidRPr="00CE7080" w14:paraId="19E9F5EF" w14:textId="77777777" w:rsidTr="00CF7A38">
        <w:tc>
          <w:tcPr>
            <w:tcW w:w="2138" w:type="dxa"/>
            <w:vMerge/>
          </w:tcPr>
          <w:p w14:paraId="122895C3" w14:textId="77777777" w:rsidR="00CE7080" w:rsidRPr="00CE7080" w:rsidRDefault="00CE7080" w:rsidP="00CE7080">
            <w:pPr>
              <w:spacing w:before="60" w:after="60"/>
              <w:rPr>
                <w:sz w:val="18"/>
              </w:rPr>
            </w:pPr>
          </w:p>
        </w:tc>
        <w:tc>
          <w:tcPr>
            <w:tcW w:w="1954" w:type="dxa"/>
          </w:tcPr>
          <w:p w14:paraId="3A0613D6" w14:textId="77777777" w:rsidR="00CE7080" w:rsidRPr="00CE7080" w:rsidRDefault="00CE7080" w:rsidP="00CE7080">
            <w:pPr>
              <w:spacing w:before="60" w:after="60"/>
              <w:rPr>
                <w:b/>
                <w:sz w:val="18"/>
              </w:rPr>
            </w:pPr>
            <w:r w:rsidRPr="00CE7080">
              <w:rPr>
                <w:b/>
                <w:sz w:val="18"/>
              </w:rPr>
              <w:t>Grade 1</w:t>
            </w:r>
          </w:p>
        </w:tc>
        <w:tc>
          <w:tcPr>
            <w:tcW w:w="3287" w:type="dxa"/>
          </w:tcPr>
          <w:p w14:paraId="1633C2D9" w14:textId="77777777" w:rsidR="00CE7080" w:rsidRPr="00CE7080" w:rsidRDefault="00CE7080" w:rsidP="00CE7080">
            <w:pPr>
              <w:spacing w:before="60" w:after="60"/>
              <w:rPr>
                <w:sz w:val="18"/>
              </w:rPr>
            </w:pPr>
            <w:r w:rsidRPr="00CE7080">
              <w:rPr>
                <w:sz w:val="18"/>
              </w:rPr>
              <w:t>No dose modifications.</w:t>
            </w:r>
          </w:p>
        </w:tc>
        <w:tc>
          <w:tcPr>
            <w:tcW w:w="5538" w:type="dxa"/>
          </w:tcPr>
          <w:p w14:paraId="5AC6CAF5" w14:textId="77777777" w:rsidR="00CE7080" w:rsidRPr="00CE7080" w:rsidRDefault="00CE7080" w:rsidP="00CE7080">
            <w:pPr>
              <w:spacing w:before="60" w:after="60"/>
              <w:ind w:firstLine="1"/>
              <w:rPr>
                <w:b/>
                <w:sz w:val="18"/>
              </w:rPr>
            </w:pPr>
            <w:r w:rsidRPr="00CE7080">
              <w:rPr>
                <w:b/>
                <w:sz w:val="18"/>
              </w:rPr>
              <w:t>For Grade 1:</w:t>
            </w:r>
          </w:p>
          <w:p w14:paraId="176507D3" w14:textId="77777777" w:rsidR="00CE7080" w:rsidRPr="00CE7080" w:rsidRDefault="00CE7080" w:rsidP="00CE7080">
            <w:pPr>
              <w:numPr>
                <w:ilvl w:val="0"/>
                <w:numId w:val="111"/>
              </w:numPr>
              <w:spacing w:before="60" w:after="60"/>
              <w:rPr>
                <w:sz w:val="18"/>
              </w:rPr>
            </w:pPr>
            <w:r w:rsidRPr="00CE7080">
              <w:rPr>
                <w:sz w:val="18"/>
              </w:rPr>
              <w:t>Consider symptomatic treatment, including oral antipruritics (e.g., diphenhydramine or hydroxyzine) and topical therapy (e.g., </w:t>
            </w:r>
            <w:r w:rsidRPr="00CE7080">
              <w:t xml:space="preserve"> </w:t>
            </w:r>
            <w:r w:rsidRPr="00CE7080">
              <w:rPr>
                <w:sz w:val="18"/>
              </w:rPr>
              <w:t>emollient, lotion, or institutional standard</w:t>
            </w:r>
            <w:r w:rsidRPr="00CE7080" w:rsidDel="004B5480">
              <w:rPr>
                <w:sz w:val="18"/>
              </w:rPr>
              <w:t xml:space="preserve"> </w:t>
            </w:r>
            <w:r w:rsidRPr="00CE7080">
              <w:rPr>
                <w:sz w:val="18"/>
              </w:rPr>
              <w:t>).</w:t>
            </w:r>
          </w:p>
        </w:tc>
      </w:tr>
      <w:tr w:rsidR="00CE7080" w:rsidRPr="00CE7080" w14:paraId="705A4BC6" w14:textId="77777777" w:rsidTr="00CF7A38">
        <w:tc>
          <w:tcPr>
            <w:tcW w:w="2138" w:type="dxa"/>
            <w:vMerge/>
          </w:tcPr>
          <w:p w14:paraId="3F8C81DB" w14:textId="77777777" w:rsidR="00CE7080" w:rsidRPr="00CE7080" w:rsidRDefault="00CE7080" w:rsidP="00CE7080">
            <w:pPr>
              <w:spacing w:before="60" w:after="60"/>
              <w:rPr>
                <w:sz w:val="18"/>
              </w:rPr>
            </w:pPr>
          </w:p>
        </w:tc>
        <w:tc>
          <w:tcPr>
            <w:tcW w:w="1954" w:type="dxa"/>
          </w:tcPr>
          <w:p w14:paraId="0C5E7299" w14:textId="77777777" w:rsidR="00CE7080" w:rsidRPr="00CE7080" w:rsidRDefault="00CE7080" w:rsidP="00CE7080">
            <w:pPr>
              <w:spacing w:before="60" w:after="60"/>
              <w:rPr>
                <w:b/>
                <w:sz w:val="18"/>
              </w:rPr>
            </w:pPr>
            <w:r w:rsidRPr="00CE7080">
              <w:rPr>
                <w:b/>
                <w:sz w:val="18"/>
              </w:rPr>
              <w:t>Grade 2</w:t>
            </w:r>
          </w:p>
        </w:tc>
        <w:tc>
          <w:tcPr>
            <w:tcW w:w="3287" w:type="dxa"/>
          </w:tcPr>
          <w:p w14:paraId="1E5F085D" w14:textId="77777777" w:rsidR="00CE7080" w:rsidRPr="00CE7080" w:rsidRDefault="00CE7080" w:rsidP="00CE7080">
            <w:pPr>
              <w:numPr>
                <w:ilvl w:val="0"/>
                <w:numId w:val="112"/>
              </w:numPr>
              <w:spacing w:before="60" w:after="60"/>
              <w:ind w:left="408"/>
              <w:rPr>
                <w:sz w:val="18"/>
              </w:rPr>
            </w:pPr>
            <w:r w:rsidRPr="00CE7080">
              <w:rPr>
                <w:sz w:val="18"/>
              </w:rPr>
              <w:t>For persistent (&gt;1 week) Grade 2 events, hold scheduled study drug/study regimen until resolution to Grade ≤1 or baseline.</w:t>
            </w:r>
          </w:p>
          <w:p w14:paraId="3ED094C7" w14:textId="77777777" w:rsidR="00CE7080" w:rsidRPr="00CE7080" w:rsidRDefault="00CE7080" w:rsidP="00CE7080">
            <w:pPr>
              <w:numPr>
                <w:ilvl w:val="0"/>
                <w:numId w:val="112"/>
              </w:numPr>
              <w:spacing w:before="60" w:after="60"/>
              <w:ind w:left="408"/>
              <w:rPr>
                <w:sz w:val="18"/>
              </w:rPr>
            </w:pPr>
            <w:r w:rsidRPr="00CE7080">
              <w:rPr>
                <w:sz w:val="18"/>
              </w:rPr>
              <w:t>If toxicity worsens, then treat as Grade 3.</w:t>
            </w:r>
          </w:p>
          <w:p w14:paraId="62E86A96" w14:textId="77777777" w:rsidR="00CE7080" w:rsidRPr="00CE7080" w:rsidRDefault="00CE7080" w:rsidP="00CE7080">
            <w:pPr>
              <w:numPr>
                <w:ilvl w:val="0"/>
                <w:numId w:val="112"/>
              </w:numPr>
              <w:spacing w:before="60" w:after="60"/>
              <w:ind w:left="408"/>
              <w:contextualSpacing/>
              <w:rPr>
                <w:sz w:val="18"/>
              </w:rPr>
            </w:pPr>
            <w:r w:rsidRPr="00CE7080">
              <w:rPr>
                <w:sz w:val="18"/>
              </w:rPr>
              <w:t>If toxicity improves to Grade ≤1 or baseline, then resume drug/study regimen after completion of steroid taper.</w:t>
            </w:r>
          </w:p>
        </w:tc>
        <w:tc>
          <w:tcPr>
            <w:tcW w:w="5538" w:type="dxa"/>
          </w:tcPr>
          <w:p w14:paraId="094DE399" w14:textId="77777777" w:rsidR="00CE7080" w:rsidRPr="00CE7080" w:rsidRDefault="00CE7080" w:rsidP="00CE7080">
            <w:pPr>
              <w:spacing w:before="60" w:after="60"/>
              <w:rPr>
                <w:b/>
                <w:sz w:val="18"/>
              </w:rPr>
            </w:pPr>
            <w:r w:rsidRPr="00CE7080">
              <w:rPr>
                <w:b/>
                <w:sz w:val="18"/>
              </w:rPr>
              <w:t>For Grade 2:</w:t>
            </w:r>
          </w:p>
          <w:p w14:paraId="0C2115AA" w14:textId="77777777" w:rsidR="00CE7080" w:rsidRPr="00CE7080" w:rsidRDefault="00CE7080" w:rsidP="00CE7080">
            <w:pPr>
              <w:numPr>
                <w:ilvl w:val="0"/>
                <w:numId w:val="113"/>
              </w:numPr>
              <w:spacing w:before="60" w:after="60"/>
              <w:rPr>
                <w:sz w:val="18"/>
              </w:rPr>
            </w:pPr>
            <w:r w:rsidRPr="00CE7080">
              <w:rPr>
                <w:sz w:val="18"/>
              </w:rPr>
              <w:t xml:space="preserve">Obtain </w:t>
            </w:r>
            <w:r w:rsidRPr="00CE7080">
              <w:rPr>
                <w:sz w:val="18"/>
                <w:szCs w:val="18"/>
              </w:rPr>
              <w:t>Dermatology</w:t>
            </w:r>
            <w:r w:rsidRPr="00CE7080">
              <w:rPr>
                <w:sz w:val="18"/>
              </w:rPr>
              <w:t xml:space="preserve"> consult.</w:t>
            </w:r>
          </w:p>
          <w:p w14:paraId="6C48CD42" w14:textId="77777777" w:rsidR="00CE7080" w:rsidRPr="00CE7080" w:rsidRDefault="00CE7080" w:rsidP="00CE7080">
            <w:pPr>
              <w:numPr>
                <w:ilvl w:val="0"/>
                <w:numId w:val="113"/>
              </w:numPr>
              <w:spacing w:before="60" w:after="60"/>
              <w:rPr>
                <w:sz w:val="18"/>
              </w:rPr>
            </w:pPr>
            <w:r w:rsidRPr="00CE7080">
              <w:rPr>
                <w:sz w:val="18"/>
              </w:rPr>
              <w:t>Consider symptomatic treatment, including oral antipruritics (e.g., diphenhydramine or hydroxyzine) and topical therapy (e.g., urea cream).</w:t>
            </w:r>
          </w:p>
          <w:p w14:paraId="3FF74726" w14:textId="77777777" w:rsidR="00CE7080" w:rsidRPr="00CE7080" w:rsidRDefault="00CE7080" w:rsidP="00CE7080">
            <w:pPr>
              <w:numPr>
                <w:ilvl w:val="0"/>
                <w:numId w:val="113"/>
              </w:numPr>
              <w:spacing w:before="60" w:after="60"/>
              <w:rPr>
                <w:sz w:val="18"/>
              </w:rPr>
            </w:pPr>
            <w:r w:rsidRPr="00CE7080">
              <w:rPr>
                <w:sz w:val="18"/>
              </w:rPr>
              <w:t>Consider moderate-strength topical steroid.</w:t>
            </w:r>
          </w:p>
          <w:p w14:paraId="0C71657C" w14:textId="77777777" w:rsidR="00CE7080" w:rsidRPr="00CE7080" w:rsidRDefault="00CE7080" w:rsidP="00CE7080">
            <w:pPr>
              <w:numPr>
                <w:ilvl w:val="0"/>
                <w:numId w:val="113"/>
              </w:numPr>
              <w:spacing w:before="60" w:after="60"/>
              <w:rPr>
                <w:sz w:val="18"/>
              </w:rPr>
            </w:pPr>
            <w:r w:rsidRPr="00CE7080">
              <w:rPr>
                <w:sz w:val="18"/>
              </w:rPr>
              <w:t xml:space="preserve">If no improvement of rash/skin lesions occurs within 3 to 5 days or is worsening despite symptomatic treatment and/or use of moderate strength topical steroid, consider, as necessary, discussing with study physician and promptly start systemic steroids such as prednisone 1 to 2 mg/kg/day PO or IV equivalent. If &gt; 30% body surface area is involved, consider initiation of systemic steroids </w:t>
            </w:r>
            <w:r w:rsidRPr="00CE7080">
              <w:rPr>
                <w:sz w:val="18"/>
                <w:szCs w:val="18"/>
              </w:rPr>
              <w:t>promptly</w:t>
            </w:r>
            <w:r w:rsidRPr="00CE7080">
              <w:rPr>
                <w:sz w:val="18"/>
              </w:rPr>
              <w:t>.</w:t>
            </w:r>
          </w:p>
          <w:p w14:paraId="754EF001" w14:textId="77777777" w:rsidR="00CE7080" w:rsidRPr="00CE7080" w:rsidRDefault="00CE7080" w:rsidP="00CE7080">
            <w:pPr>
              <w:numPr>
                <w:ilvl w:val="0"/>
                <w:numId w:val="113"/>
              </w:numPr>
              <w:spacing w:before="60" w:after="60"/>
              <w:rPr>
                <w:sz w:val="18"/>
              </w:rPr>
            </w:pPr>
            <w:r w:rsidRPr="00CE7080">
              <w:rPr>
                <w:sz w:val="18"/>
              </w:rPr>
              <w:t>Consider skin biopsy if the event is persistent for &gt;1 week or recurs.</w:t>
            </w:r>
          </w:p>
        </w:tc>
      </w:tr>
      <w:tr w:rsidR="00CE7080" w:rsidRPr="00CE7080" w14:paraId="28926D79" w14:textId="77777777" w:rsidTr="00CF7A38">
        <w:tc>
          <w:tcPr>
            <w:tcW w:w="2138" w:type="dxa"/>
            <w:vMerge/>
          </w:tcPr>
          <w:p w14:paraId="5319DD0B" w14:textId="77777777" w:rsidR="00CE7080" w:rsidRPr="00CE7080" w:rsidRDefault="00CE7080" w:rsidP="00CE7080">
            <w:pPr>
              <w:spacing w:before="60" w:after="60"/>
              <w:rPr>
                <w:sz w:val="18"/>
              </w:rPr>
            </w:pPr>
          </w:p>
        </w:tc>
        <w:tc>
          <w:tcPr>
            <w:tcW w:w="1954" w:type="dxa"/>
          </w:tcPr>
          <w:p w14:paraId="2241E16A" w14:textId="77777777" w:rsidR="00CE7080" w:rsidRPr="00CE7080" w:rsidRDefault="00CE7080" w:rsidP="00CE7080">
            <w:pPr>
              <w:spacing w:before="60" w:after="60"/>
              <w:rPr>
                <w:b/>
                <w:sz w:val="18"/>
              </w:rPr>
            </w:pPr>
            <w:r w:rsidRPr="00CE7080">
              <w:rPr>
                <w:b/>
                <w:sz w:val="18"/>
              </w:rPr>
              <w:t>Grade 3 or 4</w:t>
            </w:r>
          </w:p>
        </w:tc>
        <w:tc>
          <w:tcPr>
            <w:tcW w:w="3287" w:type="dxa"/>
          </w:tcPr>
          <w:p w14:paraId="547160FF" w14:textId="77777777" w:rsidR="00CE7080" w:rsidRPr="00CE7080" w:rsidRDefault="00CE7080" w:rsidP="00CE7080">
            <w:pPr>
              <w:spacing w:before="60" w:after="60"/>
              <w:rPr>
                <w:b/>
                <w:sz w:val="18"/>
              </w:rPr>
            </w:pPr>
            <w:r w:rsidRPr="00CE7080">
              <w:rPr>
                <w:b/>
                <w:sz w:val="18"/>
              </w:rPr>
              <w:t>For Grade 3:</w:t>
            </w:r>
          </w:p>
          <w:p w14:paraId="1CA2E70A" w14:textId="77777777" w:rsidR="00CE7080" w:rsidRPr="00CE7080" w:rsidRDefault="00CE7080" w:rsidP="00CE7080">
            <w:pPr>
              <w:spacing w:before="60" w:after="60"/>
              <w:rPr>
                <w:sz w:val="18"/>
              </w:rPr>
            </w:pPr>
            <w:r w:rsidRPr="00CE7080">
              <w:rPr>
                <w:sz w:val="18"/>
              </w:rPr>
              <w:t>Hold study drug/study regimen until resolution to Grade ≤1 or baseline.</w:t>
            </w:r>
          </w:p>
          <w:p w14:paraId="30861A4A" w14:textId="77777777" w:rsidR="00CE7080" w:rsidRPr="00CE7080" w:rsidRDefault="00CE7080" w:rsidP="00CE7080">
            <w:pPr>
              <w:spacing w:before="60" w:after="60"/>
              <w:rPr>
                <w:sz w:val="18"/>
              </w:rPr>
            </w:pPr>
            <w:r w:rsidRPr="00CE7080">
              <w:rPr>
                <w:sz w:val="18"/>
              </w:rPr>
              <w:t>If toxicity improves to Grade ≤1 or baseline, then resume drug/study regimen after completion of steroid taper.</w:t>
            </w:r>
          </w:p>
          <w:p w14:paraId="23AB5071" w14:textId="77777777" w:rsidR="00CE7080" w:rsidRPr="00CE7080" w:rsidRDefault="00CE7080" w:rsidP="00CE7080">
            <w:pPr>
              <w:spacing w:before="60" w:after="60"/>
              <w:rPr>
                <w:sz w:val="18"/>
              </w:rPr>
            </w:pPr>
            <w:r w:rsidRPr="00CE7080">
              <w:rPr>
                <w:sz w:val="18"/>
              </w:rPr>
              <w:t>If toxicity worsens, then treat as Grade 4.</w:t>
            </w:r>
          </w:p>
          <w:p w14:paraId="7E39C46E" w14:textId="77777777" w:rsidR="00CE7080" w:rsidRPr="00CE7080" w:rsidRDefault="00CE7080" w:rsidP="00CE7080">
            <w:pPr>
              <w:spacing w:before="60" w:after="60"/>
              <w:rPr>
                <w:b/>
                <w:sz w:val="18"/>
              </w:rPr>
            </w:pPr>
          </w:p>
          <w:p w14:paraId="0931B7CF" w14:textId="77777777" w:rsidR="00CE7080" w:rsidRPr="00CE7080" w:rsidRDefault="00CE7080" w:rsidP="00CE7080">
            <w:pPr>
              <w:spacing w:before="60" w:after="60"/>
              <w:rPr>
                <w:b/>
                <w:sz w:val="18"/>
              </w:rPr>
            </w:pPr>
            <w:r w:rsidRPr="00CE7080">
              <w:rPr>
                <w:b/>
                <w:sz w:val="18"/>
              </w:rPr>
              <w:t>For Grade 4 (or life-threatening):</w:t>
            </w:r>
          </w:p>
          <w:p w14:paraId="53653FD0" w14:textId="77777777" w:rsidR="00CE7080" w:rsidRPr="00CE7080" w:rsidRDefault="00CE7080" w:rsidP="00CE7080">
            <w:pPr>
              <w:spacing w:before="60" w:after="60"/>
              <w:rPr>
                <w:sz w:val="10"/>
              </w:rPr>
            </w:pPr>
            <w:r w:rsidRPr="00CE7080">
              <w:rPr>
                <w:sz w:val="18"/>
              </w:rPr>
              <w:t>Permanently discontinue study drug/study regimen.</w:t>
            </w:r>
          </w:p>
        </w:tc>
        <w:tc>
          <w:tcPr>
            <w:tcW w:w="5538" w:type="dxa"/>
          </w:tcPr>
          <w:p w14:paraId="6E4DF091" w14:textId="77777777" w:rsidR="00CE7080" w:rsidRPr="00CE7080" w:rsidRDefault="00CE7080" w:rsidP="00CE7080">
            <w:pPr>
              <w:spacing w:before="60" w:after="60"/>
              <w:rPr>
                <w:b/>
                <w:sz w:val="18"/>
              </w:rPr>
            </w:pPr>
            <w:r w:rsidRPr="00CE7080">
              <w:rPr>
                <w:b/>
                <w:sz w:val="18"/>
              </w:rPr>
              <w:t>For Grade 3 or 4 (or life-threatening):</w:t>
            </w:r>
          </w:p>
          <w:p w14:paraId="3F12DAFE" w14:textId="77777777" w:rsidR="00CE7080" w:rsidRPr="00CE7080" w:rsidRDefault="00CE7080" w:rsidP="00CE7080">
            <w:pPr>
              <w:numPr>
                <w:ilvl w:val="0"/>
                <w:numId w:val="114"/>
              </w:numPr>
              <w:spacing w:before="60" w:after="60"/>
              <w:rPr>
                <w:sz w:val="18"/>
              </w:rPr>
            </w:pPr>
            <w:r w:rsidRPr="00CE7080">
              <w:rPr>
                <w:sz w:val="18"/>
              </w:rPr>
              <w:t xml:space="preserve">Consult </w:t>
            </w:r>
            <w:r w:rsidRPr="00CE7080">
              <w:rPr>
                <w:sz w:val="18"/>
                <w:szCs w:val="18"/>
              </w:rPr>
              <w:t>Dermatology</w:t>
            </w:r>
            <w:r w:rsidRPr="00CE7080">
              <w:rPr>
                <w:sz w:val="18"/>
              </w:rPr>
              <w:t>.</w:t>
            </w:r>
          </w:p>
          <w:p w14:paraId="516826E7" w14:textId="77777777" w:rsidR="00CE7080" w:rsidRPr="00CE7080" w:rsidRDefault="00CE7080" w:rsidP="00CE7080">
            <w:pPr>
              <w:numPr>
                <w:ilvl w:val="0"/>
                <w:numId w:val="114"/>
              </w:numPr>
              <w:spacing w:before="60" w:after="60"/>
              <w:rPr>
                <w:sz w:val="18"/>
              </w:rPr>
            </w:pPr>
            <w:r w:rsidRPr="00CE7080">
              <w:rPr>
                <w:sz w:val="18"/>
              </w:rPr>
              <w:t>Promptly initiate empiric IV methylprednisolone 1 to 2 mg/kg/day or equivalent.</w:t>
            </w:r>
          </w:p>
          <w:p w14:paraId="23A94396" w14:textId="77777777" w:rsidR="00CE7080" w:rsidRPr="00CE7080" w:rsidRDefault="00CE7080" w:rsidP="00CE7080">
            <w:pPr>
              <w:numPr>
                <w:ilvl w:val="0"/>
                <w:numId w:val="114"/>
              </w:numPr>
              <w:spacing w:before="60" w:after="60"/>
              <w:rPr>
                <w:sz w:val="18"/>
              </w:rPr>
            </w:pPr>
            <w:r w:rsidRPr="00CE7080">
              <w:rPr>
                <w:sz w:val="18"/>
              </w:rPr>
              <w:t>Consider hospitalization.</w:t>
            </w:r>
          </w:p>
          <w:p w14:paraId="2F9298E6" w14:textId="77777777" w:rsidR="00CE7080" w:rsidRPr="00CE7080" w:rsidRDefault="00CE7080" w:rsidP="00CE7080">
            <w:pPr>
              <w:numPr>
                <w:ilvl w:val="0"/>
                <w:numId w:val="114"/>
              </w:numPr>
              <w:spacing w:before="60" w:after="60"/>
              <w:rPr>
                <w:sz w:val="18"/>
              </w:rPr>
            </w:pPr>
            <w:r w:rsidRPr="00CE7080">
              <w:rPr>
                <w:sz w:val="18"/>
              </w:rPr>
              <w:t>Monitor extent of rash [Rule of Nines].</w:t>
            </w:r>
          </w:p>
          <w:p w14:paraId="26008D5E" w14:textId="77777777" w:rsidR="00CE7080" w:rsidRPr="00CE7080" w:rsidRDefault="00CE7080" w:rsidP="00CE7080">
            <w:pPr>
              <w:numPr>
                <w:ilvl w:val="0"/>
                <w:numId w:val="114"/>
              </w:numPr>
              <w:spacing w:before="60" w:after="60"/>
              <w:rPr>
                <w:sz w:val="18"/>
              </w:rPr>
            </w:pPr>
            <w:r w:rsidRPr="00CE7080">
              <w:rPr>
                <w:sz w:val="18"/>
              </w:rPr>
              <w:t>Consider skin biopsy (preferably more than 1) as clinically feasible.</w:t>
            </w:r>
          </w:p>
          <w:p w14:paraId="7E3C1281" w14:textId="77777777" w:rsidR="00CE7080" w:rsidRPr="00CE7080" w:rsidRDefault="00CE7080" w:rsidP="00CE7080">
            <w:pPr>
              <w:numPr>
                <w:ilvl w:val="0"/>
                <w:numId w:val="114"/>
              </w:numPr>
              <w:spacing w:before="60" w:after="60"/>
              <w:rPr>
                <w:sz w:val="18"/>
              </w:rPr>
            </w:pPr>
            <w:r w:rsidRPr="00CE7080">
              <w:rPr>
                <w:sz w:val="18"/>
              </w:rPr>
              <w:t>Once the patient is improving, gradually taper steroids over ≥28 days and consider prophylactic antibiotics, antifungals, and anti-PJP treatment (refer to current NCCN guidelines for treatment of cancer-related infections</w:t>
            </w:r>
            <w:r w:rsidRPr="00CE7080">
              <w:rPr>
                <w:sz w:val="18"/>
                <w:szCs w:val="18"/>
              </w:rPr>
              <w:t>).</w:t>
            </w:r>
            <w:r w:rsidRPr="00CE7080">
              <w:rPr>
                <w:sz w:val="18"/>
                <w:vertAlign w:val="superscript"/>
              </w:rPr>
              <w:t>a</w:t>
            </w:r>
          </w:p>
          <w:p w14:paraId="619EEA61" w14:textId="77777777" w:rsidR="00CE7080" w:rsidRPr="00CE7080" w:rsidRDefault="00CE7080" w:rsidP="00CE7080">
            <w:pPr>
              <w:numPr>
                <w:ilvl w:val="0"/>
                <w:numId w:val="114"/>
              </w:numPr>
              <w:spacing w:before="60" w:after="60"/>
              <w:rPr>
                <w:sz w:val="18"/>
              </w:rPr>
            </w:pPr>
            <w:r w:rsidRPr="00CE7080">
              <w:rPr>
                <w:sz w:val="18"/>
              </w:rPr>
              <w:t>Consider, as necessary, discussing with study physician.</w:t>
            </w:r>
          </w:p>
        </w:tc>
      </w:tr>
      <w:tr w:rsidR="00CE7080" w:rsidRPr="00CE7080" w14:paraId="4F5161E7" w14:textId="77777777" w:rsidTr="00CF7A38">
        <w:tc>
          <w:tcPr>
            <w:tcW w:w="2138" w:type="dxa"/>
            <w:vMerge w:val="restart"/>
          </w:tcPr>
          <w:p w14:paraId="147E7375" w14:textId="77777777" w:rsidR="00CE7080" w:rsidRPr="00CE7080" w:rsidRDefault="00CE7080" w:rsidP="00CE7080">
            <w:pPr>
              <w:spacing w:before="60" w:after="60"/>
              <w:rPr>
                <w:b/>
                <w:sz w:val="18"/>
              </w:rPr>
            </w:pPr>
            <w:r w:rsidRPr="00CE7080">
              <w:rPr>
                <w:b/>
                <w:sz w:val="18"/>
              </w:rPr>
              <w:t>Endocrinopathy</w:t>
            </w:r>
          </w:p>
          <w:p w14:paraId="52200155" w14:textId="77777777" w:rsidR="00CE7080" w:rsidRPr="00CE7080" w:rsidRDefault="00CE7080" w:rsidP="00CE7080">
            <w:pPr>
              <w:spacing w:before="60" w:after="60"/>
              <w:rPr>
                <w:sz w:val="18"/>
              </w:rPr>
            </w:pPr>
            <w:r w:rsidRPr="00CE7080">
              <w:rPr>
                <w:sz w:val="18"/>
              </w:rPr>
              <w:t>(e.g., hyperthyroidism</w:t>
            </w:r>
            <w:r w:rsidRPr="00CE7080">
              <w:rPr>
                <w:sz w:val="18"/>
                <w:szCs w:val="18"/>
              </w:rPr>
              <w:t>, thyroiditis</w:t>
            </w:r>
            <w:r w:rsidRPr="00CE7080">
              <w:rPr>
                <w:sz w:val="18"/>
              </w:rPr>
              <w:t xml:space="preserve">, </w:t>
            </w:r>
            <w:r w:rsidRPr="00CE7080">
              <w:rPr>
                <w:sz w:val="18"/>
              </w:rPr>
              <w:lastRenderedPageBreak/>
              <w:t>hypothyroidism, Type 1 diabetes mellitus, hypophysitis, hypopituitarism, and adrenal insufficiency; exocrine event of amylase/lipase increased also included in this section)</w:t>
            </w:r>
          </w:p>
          <w:p w14:paraId="30DFEBB4" w14:textId="77777777" w:rsidR="00CE7080" w:rsidRPr="00CE7080" w:rsidRDefault="00CE7080" w:rsidP="00CE7080">
            <w:pPr>
              <w:spacing w:before="60" w:after="60"/>
              <w:rPr>
                <w:sz w:val="18"/>
              </w:rPr>
            </w:pPr>
          </w:p>
        </w:tc>
        <w:tc>
          <w:tcPr>
            <w:tcW w:w="1954" w:type="dxa"/>
          </w:tcPr>
          <w:p w14:paraId="1962195B" w14:textId="77777777" w:rsidR="00CE7080" w:rsidRPr="00CE7080" w:rsidRDefault="00CE7080" w:rsidP="00CE7080">
            <w:pPr>
              <w:spacing w:before="60" w:after="60"/>
              <w:rPr>
                <w:b/>
                <w:sz w:val="18"/>
              </w:rPr>
            </w:pPr>
            <w:r w:rsidRPr="00CE7080">
              <w:rPr>
                <w:b/>
                <w:sz w:val="18"/>
              </w:rPr>
              <w:lastRenderedPageBreak/>
              <w:t>Any Grade</w:t>
            </w:r>
          </w:p>
          <w:p w14:paraId="63737E0A" w14:textId="77777777" w:rsidR="00CE7080" w:rsidRPr="00CE7080" w:rsidRDefault="00CE7080" w:rsidP="00CE7080">
            <w:pPr>
              <w:spacing w:before="60" w:after="60"/>
              <w:rPr>
                <w:sz w:val="18"/>
              </w:rPr>
            </w:pPr>
            <w:r w:rsidRPr="00CE7080">
              <w:rPr>
                <w:sz w:val="18"/>
              </w:rPr>
              <w:t xml:space="preserve">(depending on the type of </w:t>
            </w:r>
            <w:r w:rsidRPr="00CE7080">
              <w:rPr>
                <w:sz w:val="18"/>
              </w:rPr>
              <w:lastRenderedPageBreak/>
              <w:t>endocrinopathy, refer to NCI CTCAE v5.0 for defining the CTC grade/severity)</w:t>
            </w:r>
          </w:p>
        </w:tc>
        <w:tc>
          <w:tcPr>
            <w:tcW w:w="3287" w:type="dxa"/>
          </w:tcPr>
          <w:p w14:paraId="60B7387F" w14:textId="77777777" w:rsidR="00CE7080" w:rsidRPr="00CE7080" w:rsidRDefault="00CE7080" w:rsidP="00CE7080">
            <w:pPr>
              <w:spacing w:before="60" w:after="60"/>
              <w:rPr>
                <w:b/>
                <w:sz w:val="18"/>
              </w:rPr>
            </w:pPr>
            <w:r w:rsidRPr="00CE7080">
              <w:rPr>
                <w:b/>
                <w:sz w:val="18"/>
              </w:rPr>
              <w:lastRenderedPageBreak/>
              <w:t>General Guidance</w:t>
            </w:r>
          </w:p>
        </w:tc>
        <w:tc>
          <w:tcPr>
            <w:tcW w:w="5538" w:type="dxa"/>
          </w:tcPr>
          <w:p w14:paraId="6FFF4B6E" w14:textId="77777777" w:rsidR="00CE7080" w:rsidRPr="00CE7080" w:rsidRDefault="00CE7080" w:rsidP="00CE7080">
            <w:pPr>
              <w:spacing w:before="60" w:after="60"/>
              <w:rPr>
                <w:b/>
                <w:sz w:val="18"/>
              </w:rPr>
            </w:pPr>
            <w:r w:rsidRPr="00CE7080">
              <w:rPr>
                <w:b/>
                <w:sz w:val="18"/>
              </w:rPr>
              <w:t>For Any Grade:</w:t>
            </w:r>
          </w:p>
          <w:p w14:paraId="2FFDBF5C" w14:textId="77777777" w:rsidR="00CE7080" w:rsidRPr="00CE7080" w:rsidRDefault="00CE7080" w:rsidP="00CE7080">
            <w:pPr>
              <w:numPr>
                <w:ilvl w:val="0"/>
                <w:numId w:val="116"/>
              </w:numPr>
              <w:spacing w:before="60" w:after="60"/>
              <w:rPr>
                <w:sz w:val="18"/>
              </w:rPr>
            </w:pPr>
            <w:r w:rsidRPr="00CE7080">
              <w:rPr>
                <w:sz w:val="18"/>
              </w:rPr>
              <w:t>Consider consulting an endocrinologist for endocrine events.</w:t>
            </w:r>
          </w:p>
          <w:p w14:paraId="34A304C3" w14:textId="77777777" w:rsidR="00CE7080" w:rsidRPr="00CE7080" w:rsidRDefault="00CE7080" w:rsidP="00CE7080">
            <w:pPr>
              <w:numPr>
                <w:ilvl w:val="0"/>
                <w:numId w:val="116"/>
              </w:numPr>
              <w:spacing w:before="60" w:after="60"/>
              <w:rPr>
                <w:sz w:val="18"/>
              </w:rPr>
            </w:pPr>
            <w:r w:rsidRPr="00CE7080">
              <w:rPr>
                <w:sz w:val="18"/>
              </w:rPr>
              <w:lastRenderedPageBreak/>
              <w:t>Consider, as necessary, discussing with study physician.</w:t>
            </w:r>
          </w:p>
          <w:p w14:paraId="6CFA8C99" w14:textId="77777777" w:rsidR="00CE7080" w:rsidRPr="00CE7080" w:rsidRDefault="00CE7080" w:rsidP="00CE7080">
            <w:pPr>
              <w:numPr>
                <w:ilvl w:val="0"/>
                <w:numId w:val="116"/>
              </w:numPr>
              <w:spacing w:before="60" w:after="60"/>
              <w:rPr>
                <w:sz w:val="18"/>
              </w:rPr>
            </w:pPr>
            <w:r w:rsidRPr="00CE7080">
              <w:rPr>
                <w:sz w:val="18"/>
              </w:rPr>
              <w:t xml:space="preserve">Monitor patients for signs and symptoms of endocrinopathies. Non-specific symptoms include headache, fatigue, behavior changes, changed mental status, vertigo, abdominal pain, unusual bowel habits, polydipsia, polyuria, hypotension, </w:t>
            </w:r>
            <w:r w:rsidRPr="00CE7080">
              <w:t xml:space="preserve"> </w:t>
            </w:r>
            <w:r w:rsidRPr="00CE7080">
              <w:rPr>
                <w:sz w:val="18"/>
              </w:rPr>
              <w:t>photophobia, visual field cuts and weakness.</w:t>
            </w:r>
          </w:p>
          <w:p w14:paraId="62F0A8AA" w14:textId="77777777" w:rsidR="00CE7080" w:rsidRPr="00CE7080" w:rsidRDefault="00CE7080" w:rsidP="00CE7080">
            <w:pPr>
              <w:numPr>
                <w:ilvl w:val="0"/>
                <w:numId w:val="116"/>
              </w:numPr>
              <w:spacing w:before="60" w:after="60"/>
              <w:rPr>
                <w:sz w:val="18"/>
              </w:rPr>
            </w:pPr>
            <w:r w:rsidRPr="00CE7080">
              <w:rPr>
                <w:sz w:val="18"/>
              </w:rPr>
              <w:t>Patients should be thoroughly evaluated to rule out any alternative etiology (e.g., disease progression including brain metastases, or infections).</w:t>
            </w:r>
          </w:p>
          <w:p w14:paraId="45836EEE" w14:textId="77777777" w:rsidR="00CE7080" w:rsidRPr="00CE7080" w:rsidRDefault="00CE7080" w:rsidP="00CE7080">
            <w:pPr>
              <w:numPr>
                <w:ilvl w:val="0"/>
                <w:numId w:val="116"/>
              </w:numPr>
              <w:spacing w:before="60" w:after="60"/>
              <w:rPr>
                <w:sz w:val="18"/>
              </w:rPr>
            </w:pPr>
            <w:r w:rsidRPr="00CE7080">
              <w:rPr>
                <w:sz w:val="18"/>
              </w:rPr>
              <w:t>Depending on the suspected endocrinopathy, monitor and evaluate thyroid function tests: TSH, free T3 and free T4 and other relevant endocrine and related labs (e.g., blood glucose and ketone levels, HgA1c).</w:t>
            </w:r>
          </w:p>
          <w:p w14:paraId="5E436CE3" w14:textId="77777777" w:rsidR="00CE7080" w:rsidRPr="00CE7080" w:rsidRDefault="00CE7080" w:rsidP="00CE7080">
            <w:pPr>
              <w:numPr>
                <w:ilvl w:val="0"/>
                <w:numId w:val="116"/>
              </w:numPr>
              <w:spacing w:before="60" w:after="60"/>
              <w:rPr>
                <w:sz w:val="18"/>
              </w:rPr>
            </w:pPr>
            <w:r w:rsidRPr="00CE7080">
              <w:rPr>
                <w:sz w:val="18"/>
              </w:rPr>
              <w:t>Investigators should ask subjects with endocrinopathies who may require prolonged or continued hormonal replacement, to consult their primary care physicians or endocrinologists about further monitoring and treatment after completion of the study.</w:t>
            </w:r>
          </w:p>
          <w:p w14:paraId="5BB524CB" w14:textId="77777777" w:rsidR="00CE7080" w:rsidRPr="00CE7080" w:rsidRDefault="00CE7080" w:rsidP="00CE7080">
            <w:pPr>
              <w:numPr>
                <w:ilvl w:val="0"/>
                <w:numId w:val="116"/>
              </w:numPr>
              <w:spacing w:before="60" w:after="60"/>
              <w:rPr>
                <w:sz w:val="18"/>
              </w:rPr>
            </w:pPr>
            <w:r w:rsidRPr="00CE7080">
              <w:rPr>
                <w:sz w:val="18"/>
              </w:rPr>
              <w:t>If a patient experiences an AE that is thought to be possibly of autoimmune nature (e.g., thyroiditis, pancreatitis, hypophysitis, or diabetes insipidus), the investigator should send a blood sample for appropriate autoimmune antibody testing.</w:t>
            </w:r>
            <w:r w:rsidRPr="00CE7080">
              <w:rPr>
                <w:sz w:val="18"/>
              </w:rPr>
              <w:br/>
            </w:r>
          </w:p>
        </w:tc>
      </w:tr>
      <w:tr w:rsidR="00CE7080" w:rsidRPr="00CE7080" w14:paraId="4BD9D62A" w14:textId="77777777" w:rsidTr="00CF7A38">
        <w:tc>
          <w:tcPr>
            <w:tcW w:w="2138" w:type="dxa"/>
            <w:vMerge/>
          </w:tcPr>
          <w:p w14:paraId="0025B2D0" w14:textId="77777777" w:rsidR="00CE7080" w:rsidRPr="00CE7080" w:rsidRDefault="00CE7080" w:rsidP="00CE7080">
            <w:pPr>
              <w:spacing w:before="60" w:after="60"/>
              <w:rPr>
                <w:sz w:val="18"/>
              </w:rPr>
            </w:pPr>
          </w:p>
        </w:tc>
        <w:tc>
          <w:tcPr>
            <w:tcW w:w="1954" w:type="dxa"/>
          </w:tcPr>
          <w:p w14:paraId="41498B83" w14:textId="77777777" w:rsidR="00CE7080" w:rsidRPr="00CE7080" w:rsidRDefault="00CE7080" w:rsidP="00CE7080">
            <w:pPr>
              <w:spacing w:before="60" w:after="60"/>
              <w:rPr>
                <w:b/>
                <w:sz w:val="18"/>
              </w:rPr>
            </w:pPr>
            <w:r w:rsidRPr="00CE7080">
              <w:rPr>
                <w:b/>
                <w:sz w:val="18"/>
              </w:rPr>
              <w:t>Grade 1</w:t>
            </w:r>
          </w:p>
        </w:tc>
        <w:tc>
          <w:tcPr>
            <w:tcW w:w="3287" w:type="dxa"/>
          </w:tcPr>
          <w:p w14:paraId="3D79F20A" w14:textId="77777777" w:rsidR="00CE7080" w:rsidRPr="00CE7080" w:rsidRDefault="00CE7080" w:rsidP="00CE7080">
            <w:pPr>
              <w:spacing w:before="60" w:after="60"/>
              <w:rPr>
                <w:sz w:val="18"/>
              </w:rPr>
            </w:pPr>
            <w:r w:rsidRPr="00CE7080">
              <w:rPr>
                <w:sz w:val="18"/>
              </w:rPr>
              <w:t>No dose modifications.</w:t>
            </w:r>
          </w:p>
        </w:tc>
        <w:tc>
          <w:tcPr>
            <w:tcW w:w="5538" w:type="dxa"/>
          </w:tcPr>
          <w:p w14:paraId="0A473C82" w14:textId="77777777" w:rsidR="00CE7080" w:rsidRPr="00CE7080" w:rsidRDefault="00CE7080" w:rsidP="00CE7080">
            <w:pPr>
              <w:spacing w:before="60" w:after="60"/>
              <w:rPr>
                <w:b/>
                <w:sz w:val="18"/>
              </w:rPr>
            </w:pPr>
            <w:r w:rsidRPr="00CE7080">
              <w:rPr>
                <w:b/>
                <w:sz w:val="18"/>
              </w:rPr>
              <w:t>For Grade 1 (including those with asymptomatic TSH elevation):</w:t>
            </w:r>
          </w:p>
          <w:p w14:paraId="69E8F6A7" w14:textId="77777777" w:rsidR="00CE7080" w:rsidRPr="00CE7080" w:rsidRDefault="00CE7080" w:rsidP="00CE7080">
            <w:pPr>
              <w:numPr>
                <w:ilvl w:val="0"/>
                <w:numId w:val="117"/>
              </w:numPr>
              <w:spacing w:before="60" w:after="60"/>
              <w:rPr>
                <w:sz w:val="18"/>
              </w:rPr>
            </w:pPr>
            <w:r w:rsidRPr="00CE7080">
              <w:rPr>
                <w:sz w:val="18"/>
              </w:rPr>
              <w:t>Monitor patient with appropriate endocrine function tests.</w:t>
            </w:r>
          </w:p>
          <w:p w14:paraId="294B640C" w14:textId="77777777" w:rsidR="00CE7080" w:rsidRPr="00CE7080" w:rsidRDefault="00CE7080" w:rsidP="00CE7080">
            <w:pPr>
              <w:numPr>
                <w:ilvl w:val="0"/>
                <w:numId w:val="117"/>
              </w:numPr>
              <w:spacing w:before="60" w:after="60"/>
              <w:rPr>
                <w:sz w:val="18"/>
              </w:rPr>
            </w:pPr>
            <w:r w:rsidRPr="00CE7080">
              <w:rPr>
                <w:sz w:val="18"/>
              </w:rPr>
              <w:t xml:space="preserve">For suspected hypophysitis/hypopituitarism, consider consultation of an endocrinologist to guide </w:t>
            </w:r>
            <w:r w:rsidRPr="00CE7080">
              <w:rPr>
                <w:sz w:val="18"/>
              </w:rPr>
              <w:lastRenderedPageBreak/>
              <w:t>assessment of early-morning ACTH, cortisol, TSH and free T4; also consider gonadotropins, sex hormones, and prolactin levels, as well as cosyntropin stimulation test (though it may not be useful in diagnosing early secondary adrenal insufficiency).</w:t>
            </w:r>
          </w:p>
          <w:p w14:paraId="4C49F21B" w14:textId="77777777" w:rsidR="00CE7080" w:rsidRPr="00CE7080" w:rsidRDefault="00CE7080" w:rsidP="00CE7080">
            <w:pPr>
              <w:numPr>
                <w:ilvl w:val="0"/>
                <w:numId w:val="117"/>
              </w:numPr>
              <w:spacing w:before="60" w:after="60"/>
              <w:rPr>
                <w:sz w:val="18"/>
              </w:rPr>
            </w:pPr>
            <w:r w:rsidRPr="00CE7080">
              <w:rPr>
                <w:sz w:val="18"/>
              </w:rPr>
              <w:t>If TSH &lt; 0.5 × LLN, or TSH &gt;2 × ULN, or consistently out of range in 2 subsequent measurements, include free T4 at subsequent cycles as clinically indicated and consider consultation of an endocrinologist.</w:t>
            </w:r>
          </w:p>
        </w:tc>
      </w:tr>
      <w:tr w:rsidR="00CE7080" w:rsidRPr="00CE7080" w14:paraId="29E1DCC5" w14:textId="77777777" w:rsidTr="00CF7A38">
        <w:tc>
          <w:tcPr>
            <w:tcW w:w="2138" w:type="dxa"/>
            <w:vMerge/>
          </w:tcPr>
          <w:p w14:paraId="7EF9F9B9" w14:textId="77777777" w:rsidR="00CE7080" w:rsidRPr="00CE7080" w:rsidRDefault="00CE7080" w:rsidP="00CE7080">
            <w:pPr>
              <w:spacing w:before="60" w:after="60"/>
              <w:rPr>
                <w:sz w:val="18"/>
              </w:rPr>
            </w:pPr>
          </w:p>
        </w:tc>
        <w:tc>
          <w:tcPr>
            <w:tcW w:w="1954" w:type="dxa"/>
          </w:tcPr>
          <w:p w14:paraId="56EE20B2" w14:textId="77777777" w:rsidR="00CE7080" w:rsidRPr="00CE7080" w:rsidRDefault="00CE7080" w:rsidP="00CE7080">
            <w:pPr>
              <w:spacing w:before="60" w:after="60"/>
              <w:rPr>
                <w:b/>
                <w:sz w:val="18"/>
              </w:rPr>
            </w:pPr>
            <w:r w:rsidRPr="00CE7080">
              <w:rPr>
                <w:b/>
                <w:sz w:val="18"/>
              </w:rPr>
              <w:t>Grade 2</w:t>
            </w:r>
          </w:p>
        </w:tc>
        <w:tc>
          <w:tcPr>
            <w:tcW w:w="3287" w:type="dxa"/>
          </w:tcPr>
          <w:p w14:paraId="08693B7D" w14:textId="77777777" w:rsidR="00CE7080" w:rsidRPr="00CE7080" w:rsidRDefault="00CE7080" w:rsidP="00CE7080">
            <w:pPr>
              <w:spacing w:before="60" w:after="60"/>
              <w:rPr>
                <w:sz w:val="18"/>
              </w:rPr>
            </w:pPr>
            <w:r w:rsidRPr="00CE7080">
              <w:rPr>
                <w:sz w:val="18"/>
              </w:rPr>
              <w:t>For Grade 2 endocrinopathy other than hypothyroidism and Type 1 diabetes mellitus, hold study drug/study regimen dose until patient is clinically stable.</w:t>
            </w:r>
          </w:p>
          <w:p w14:paraId="481BD053" w14:textId="77777777" w:rsidR="00CE7080" w:rsidRPr="00CE7080" w:rsidRDefault="00CE7080" w:rsidP="00CE7080">
            <w:pPr>
              <w:numPr>
                <w:ilvl w:val="0"/>
                <w:numId w:val="118"/>
              </w:numPr>
              <w:spacing w:before="60" w:after="60"/>
              <w:ind w:left="408"/>
              <w:rPr>
                <w:sz w:val="18"/>
              </w:rPr>
            </w:pPr>
            <w:r w:rsidRPr="00CE7080">
              <w:rPr>
                <w:sz w:val="18"/>
              </w:rPr>
              <w:t>If toxicity worsens, then treat as Grade 3 or Grade 4.</w:t>
            </w:r>
          </w:p>
          <w:p w14:paraId="6E13D68B" w14:textId="77777777" w:rsidR="00CE7080" w:rsidRPr="00CE7080" w:rsidRDefault="00CE7080" w:rsidP="00CE7080">
            <w:pPr>
              <w:spacing w:before="60" w:after="60"/>
              <w:rPr>
                <w:sz w:val="18"/>
              </w:rPr>
            </w:pPr>
            <w:r w:rsidRPr="00CE7080">
              <w:rPr>
                <w:sz w:val="18"/>
              </w:rPr>
              <w:t>Study drug/study regimen can be resumed once event stabilizes and after completion of steroid taper.</w:t>
            </w:r>
          </w:p>
          <w:p w14:paraId="0A1A7CE6" w14:textId="77777777" w:rsidR="00CE7080" w:rsidRPr="00CE7080" w:rsidRDefault="00CE7080" w:rsidP="00CE7080">
            <w:pPr>
              <w:spacing w:before="60" w:after="60"/>
              <w:rPr>
                <w:sz w:val="18"/>
              </w:rPr>
            </w:pPr>
            <w:r w:rsidRPr="00CE7080">
              <w:rPr>
                <w:sz w:val="18"/>
              </w:rPr>
              <w:t>Patients with endocrinopathies who may require prolonged or continued steroid replacement (e.g., adrenal insufficiency) can be retreated with study drug/study regimen on the following conditions:</w:t>
            </w:r>
          </w:p>
          <w:p w14:paraId="35363456" w14:textId="77777777" w:rsidR="00CE7080" w:rsidRPr="00CE7080" w:rsidRDefault="00CE7080" w:rsidP="00CE7080">
            <w:pPr>
              <w:numPr>
                <w:ilvl w:val="0"/>
                <w:numId w:val="119"/>
              </w:numPr>
              <w:spacing w:before="60" w:after="60"/>
              <w:ind w:left="408"/>
              <w:rPr>
                <w:sz w:val="18"/>
              </w:rPr>
            </w:pPr>
            <w:r w:rsidRPr="00CE7080">
              <w:rPr>
                <w:sz w:val="18"/>
              </w:rPr>
              <w:t>The event stabilizes and is controlled.</w:t>
            </w:r>
          </w:p>
          <w:p w14:paraId="7B82843B" w14:textId="77777777" w:rsidR="00CE7080" w:rsidRPr="00CE7080" w:rsidRDefault="00CE7080" w:rsidP="00CE7080">
            <w:pPr>
              <w:numPr>
                <w:ilvl w:val="0"/>
                <w:numId w:val="119"/>
              </w:numPr>
              <w:spacing w:before="60" w:after="60"/>
              <w:ind w:left="408"/>
              <w:rPr>
                <w:sz w:val="18"/>
              </w:rPr>
            </w:pPr>
            <w:r w:rsidRPr="00CE7080">
              <w:rPr>
                <w:sz w:val="18"/>
              </w:rPr>
              <w:t xml:space="preserve">The patient is clinically stable as per investigator or </w:t>
            </w:r>
            <w:r w:rsidRPr="00CE7080">
              <w:rPr>
                <w:sz w:val="18"/>
              </w:rPr>
              <w:lastRenderedPageBreak/>
              <w:t>treating physician’s clinical judgement.</w:t>
            </w:r>
          </w:p>
          <w:p w14:paraId="5917C617" w14:textId="77777777" w:rsidR="00CE7080" w:rsidRPr="00CE7080" w:rsidRDefault="00CE7080" w:rsidP="00CE7080">
            <w:pPr>
              <w:numPr>
                <w:ilvl w:val="0"/>
                <w:numId w:val="119"/>
              </w:numPr>
              <w:spacing w:before="60" w:after="60"/>
              <w:ind w:left="408"/>
              <w:rPr>
                <w:sz w:val="18"/>
              </w:rPr>
            </w:pPr>
            <w:r w:rsidRPr="00CE7080">
              <w:rPr>
                <w:sz w:val="18"/>
              </w:rPr>
              <w:t>Doses of prednisone are ≤10 mg/day or equivalent.</w:t>
            </w:r>
          </w:p>
        </w:tc>
        <w:tc>
          <w:tcPr>
            <w:tcW w:w="5538" w:type="dxa"/>
          </w:tcPr>
          <w:p w14:paraId="00174789" w14:textId="77777777" w:rsidR="00CE7080" w:rsidRPr="00CE7080" w:rsidRDefault="00CE7080" w:rsidP="00CE7080">
            <w:pPr>
              <w:spacing w:before="60" w:after="60"/>
              <w:rPr>
                <w:b/>
                <w:sz w:val="18"/>
              </w:rPr>
            </w:pPr>
            <w:r w:rsidRPr="00CE7080">
              <w:rPr>
                <w:b/>
                <w:sz w:val="18"/>
              </w:rPr>
              <w:lastRenderedPageBreak/>
              <w:t>For Grade 2 (including those with symptomatic endocrinopathy):</w:t>
            </w:r>
          </w:p>
          <w:p w14:paraId="18200AD2" w14:textId="77777777" w:rsidR="00CE7080" w:rsidRPr="00CE7080" w:rsidRDefault="00CE7080" w:rsidP="00CE7080">
            <w:pPr>
              <w:numPr>
                <w:ilvl w:val="0"/>
                <w:numId w:val="120"/>
              </w:numPr>
              <w:spacing w:before="60" w:after="60"/>
              <w:rPr>
                <w:sz w:val="18"/>
              </w:rPr>
            </w:pPr>
            <w:r w:rsidRPr="00CE7080">
              <w:rPr>
                <w:sz w:val="18"/>
              </w:rPr>
              <w:t>Consult endocrinologist to guide evaluation of endocrine function and, as indicated by suspected endocrinopathy and as clinically indicated, consider pituitary scan.</w:t>
            </w:r>
          </w:p>
          <w:p w14:paraId="204BC8AC" w14:textId="77777777" w:rsidR="00CE7080" w:rsidRPr="00CE7080" w:rsidRDefault="00CE7080" w:rsidP="00CE7080">
            <w:pPr>
              <w:numPr>
                <w:ilvl w:val="0"/>
                <w:numId w:val="120"/>
              </w:numPr>
              <w:spacing w:before="60" w:after="60"/>
              <w:rPr>
                <w:sz w:val="18"/>
              </w:rPr>
            </w:pPr>
            <w:r w:rsidRPr="00CE7080">
              <w:rPr>
                <w:sz w:val="18"/>
              </w:rPr>
              <w:t>For all patients with abnormal endocrine work up, except those with isolated hypothyroidism or Type 1 DM, and as guided by an endocrinologist, consider short</w:t>
            </w:r>
            <w:r w:rsidRPr="00CE7080">
              <w:rPr>
                <w:sz w:val="18"/>
                <w:szCs w:val="18"/>
              </w:rPr>
              <w:t>-</w:t>
            </w:r>
            <w:r w:rsidRPr="00CE7080">
              <w:rPr>
                <w:sz w:val="18"/>
              </w:rPr>
              <w:t>term corticosteroids (e.g., 1 to 2 mg/kg/day methylprednisolone or IV equivalent) and prompt initiation of treatment with relevant hormone replacement (e.g., hydrocortisone, sex hormones).</w:t>
            </w:r>
          </w:p>
          <w:p w14:paraId="165E4054" w14:textId="77777777" w:rsidR="00CE7080" w:rsidRPr="00CE7080" w:rsidRDefault="00CE7080" w:rsidP="00CE7080">
            <w:pPr>
              <w:numPr>
                <w:ilvl w:val="0"/>
                <w:numId w:val="120"/>
              </w:numPr>
              <w:spacing w:before="60" w:after="60"/>
              <w:rPr>
                <w:sz w:val="18"/>
              </w:rPr>
            </w:pPr>
            <w:r w:rsidRPr="00CE7080">
              <w:rPr>
                <w:sz w:val="18"/>
              </w:rPr>
              <w:t>Isolated hypothyroidism may be treated with replacement therapy, without study drug/study regimen interruption, and without corticosteroids.</w:t>
            </w:r>
          </w:p>
          <w:p w14:paraId="38D68F9D" w14:textId="77777777" w:rsidR="00CE7080" w:rsidRPr="00CE7080" w:rsidRDefault="00CE7080" w:rsidP="00CE7080">
            <w:pPr>
              <w:numPr>
                <w:ilvl w:val="0"/>
                <w:numId w:val="120"/>
              </w:numPr>
              <w:spacing w:before="60" w:after="60"/>
              <w:rPr>
                <w:sz w:val="18"/>
              </w:rPr>
            </w:pPr>
            <w:r w:rsidRPr="00CE7080">
              <w:rPr>
                <w:sz w:val="18"/>
              </w:rPr>
              <w:t>Isolated Type 1 diabetes mellitus (DM) may be treated with appropriate diabetic therapy, without study drug/study regimen interruption, and without corticosteroids. Only hold study drug/study regimen in setting of hyperglycemia when diagnostic workup is positive for diabetic ketoacidosis.</w:t>
            </w:r>
          </w:p>
          <w:p w14:paraId="1A503D40" w14:textId="77777777" w:rsidR="00CE7080" w:rsidRPr="00CE7080" w:rsidRDefault="00CE7080" w:rsidP="00CE7080">
            <w:pPr>
              <w:numPr>
                <w:ilvl w:val="0"/>
                <w:numId w:val="120"/>
              </w:numPr>
              <w:spacing w:before="60" w:after="60"/>
              <w:rPr>
                <w:sz w:val="18"/>
              </w:rPr>
            </w:pPr>
            <w:r w:rsidRPr="00CE7080">
              <w:rPr>
                <w:sz w:val="18"/>
              </w:rPr>
              <w:lastRenderedPageBreak/>
              <w:t>Once patients on steroids are improving, gradually taper immunosuppressive steroids (as appropriate and with guidance of endocrinologist) over ≥28 days and consider prophylactic antibiotics, antifungals, and anti-PJP treatment (refer to current NCCN guidelines for treatment of cancer-related infections</w:t>
            </w:r>
            <w:r w:rsidRPr="00CE7080">
              <w:rPr>
                <w:sz w:val="18"/>
                <w:szCs w:val="18"/>
              </w:rPr>
              <w:t>).</w:t>
            </w:r>
            <w:r w:rsidRPr="00CE7080">
              <w:rPr>
                <w:sz w:val="18"/>
                <w:vertAlign w:val="superscript"/>
              </w:rPr>
              <w:t>a</w:t>
            </w:r>
          </w:p>
          <w:p w14:paraId="134A711B" w14:textId="77777777" w:rsidR="00CE7080" w:rsidRPr="00CE7080" w:rsidRDefault="00CE7080" w:rsidP="00CE7080">
            <w:pPr>
              <w:numPr>
                <w:ilvl w:val="0"/>
                <w:numId w:val="120"/>
              </w:numPr>
              <w:spacing w:before="60" w:after="60"/>
              <w:rPr>
                <w:sz w:val="18"/>
              </w:rPr>
            </w:pPr>
            <w:r w:rsidRPr="00CE7080">
              <w:rPr>
                <w:sz w:val="18"/>
              </w:rPr>
              <w:t>For patients with normal endocrine workup (laboratory assessment or MRI scans), repeat laboratory assessments/MRI as clinically indicated.</w:t>
            </w:r>
          </w:p>
        </w:tc>
      </w:tr>
      <w:tr w:rsidR="00CE7080" w:rsidRPr="00CE7080" w14:paraId="33F88CEF" w14:textId="77777777" w:rsidTr="00CF7A38">
        <w:trPr>
          <w:trHeight w:val="1520"/>
        </w:trPr>
        <w:tc>
          <w:tcPr>
            <w:tcW w:w="2138" w:type="dxa"/>
            <w:vMerge/>
          </w:tcPr>
          <w:p w14:paraId="58DF41BD" w14:textId="77777777" w:rsidR="00CE7080" w:rsidRPr="00CE7080" w:rsidRDefault="00CE7080" w:rsidP="00CE7080">
            <w:pPr>
              <w:spacing w:before="60" w:after="60"/>
              <w:rPr>
                <w:sz w:val="18"/>
              </w:rPr>
            </w:pPr>
          </w:p>
        </w:tc>
        <w:tc>
          <w:tcPr>
            <w:tcW w:w="1954" w:type="dxa"/>
          </w:tcPr>
          <w:p w14:paraId="07E9D724" w14:textId="77777777" w:rsidR="00CE7080" w:rsidRPr="00CE7080" w:rsidRDefault="00CE7080" w:rsidP="00CE7080">
            <w:pPr>
              <w:spacing w:before="60" w:after="60"/>
              <w:rPr>
                <w:b/>
                <w:sz w:val="18"/>
              </w:rPr>
            </w:pPr>
            <w:r w:rsidRPr="00CE7080">
              <w:rPr>
                <w:b/>
                <w:sz w:val="18"/>
              </w:rPr>
              <w:t>Grade 3 or 4</w:t>
            </w:r>
          </w:p>
        </w:tc>
        <w:tc>
          <w:tcPr>
            <w:tcW w:w="3287" w:type="dxa"/>
          </w:tcPr>
          <w:p w14:paraId="30EF2DA3" w14:textId="77777777" w:rsidR="00CE7080" w:rsidRPr="00CE7080" w:rsidRDefault="00CE7080" w:rsidP="00CE7080">
            <w:pPr>
              <w:spacing w:before="60" w:after="60"/>
              <w:rPr>
                <w:sz w:val="18"/>
              </w:rPr>
            </w:pPr>
            <w:r w:rsidRPr="00CE7080">
              <w:rPr>
                <w:sz w:val="18"/>
              </w:rPr>
              <w:t xml:space="preserve">For Grade 3 or 4 endocrinopathy other than hypothyroidism and Type 1 diabetes mellitus, hold study drug/study regimen dose until endocrinopathy symptom(s) are controlled. </w:t>
            </w:r>
          </w:p>
          <w:p w14:paraId="62B68A79" w14:textId="77777777" w:rsidR="00CE7080" w:rsidRPr="00CE7080" w:rsidRDefault="00CE7080" w:rsidP="00CE7080">
            <w:pPr>
              <w:spacing w:before="60" w:after="60"/>
              <w:rPr>
                <w:sz w:val="18"/>
              </w:rPr>
            </w:pPr>
            <w:r w:rsidRPr="00CE7080">
              <w:rPr>
                <w:sz w:val="18"/>
              </w:rPr>
              <w:t>Study drug/study regimen can be resumed once event stabilizes and after completion of steroid taper.</w:t>
            </w:r>
          </w:p>
          <w:p w14:paraId="0FEB3002" w14:textId="77777777" w:rsidR="00CE7080" w:rsidRPr="00CE7080" w:rsidRDefault="00CE7080" w:rsidP="00CE7080">
            <w:pPr>
              <w:spacing w:before="60" w:after="60"/>
              <w:rPr>
                <w:sz w:val="18"/>
              </w:rPr>
            </w:pPr>
            <w:r w:rsidRPr="00CE7080">
              <w:rPr>
                <w:sz w:val="18"/>
              </w:rPr>
              <w:t>Patients with endocrinopathies who may require prolonged or continued steroid replacement (e.g., adrenal insufficiency) can be retreated with study drug/study regimen on the following conditions:</w:t>
            </w:r>
          </w:p>
          <w:p w14:paraId="4C9D6D5B" w14:textId="77777777" w:rsidR="00CE7080" w:rsidRPr="00CE7080" w:rsidRDefault="00CE7080" w:rsidP="00CE7080">
            <w:pPr>
              <w:numPr>
                <w:ilvl w:val="0"/>
                <w:numId w:val="136"/>
              </w:numPr>
              <w:spacing w:before="60" w:after="60"/>
              <w:ind w:left="390"/>
              <w:rPr>
                <w:sz w:val="18"/>
              </w:rPr>
            </w:pPr>
            <w:r w:rsidRPr="00CE7080">
              <w:rPr>
                <w:sz w:val="18"/>
              </w:rPr>
              <w:t>The event stabilizes and is controlled.</w:t>
            </w:r>
          </w:p>
          <w:p w14:paraId="4E79117A" w14:textId="77777777" w:rsidR="00CE7080" w:rsidRPr="00CE7080" w:rsidRDefault="00CE7080" w:rsidP="00CE7080">
            <w:pPr>
              <w:numPr>
                <w:ilvl w:val="0"/>
                <w:numId w:val="136"/>
              </w:numPr>
              <w:spacing w:before="60" w:after="60"/>
              <w:ind w:left="390"/>
              <w:rPr>
                <w:sz w:val="18"/>
              </w:rPr>
            </w:pPr>
            <w:r w:rsidRPr="00CE7080">
              <w:rPr>
                <w:sz w:val="18"/>
              </w:rPr>
              <w:t>The patient is clinically stable as per investigator or treating physician’s clinical judgement.</w:t>
            </w:r>
          </w:p>
          <w:p w14:paraId="15A051DC" w14:textId="77777777" w:rsidR="00CE7080" w:rsidRPr="00CE7080" w:rsidRDefault="00CE7080" w:rsidP="00CE7080">
            <w:pPr>
              <w:numPr>
                <w:ilvl w:val="0"/>
                <w:numId w:val="136"/>
              </w:numPr>
              <w:spacing w:before="60" w:after="60"/>
              <w:ind w:left="390"/>
              <w:rPr>
                <w:sz w:val="18"/>
              </w:rPr>
            </w:pPr>
            <w:r w:rsidRPr="00CE7080">
              <w:rPr>
                <w:sz w:val="18"/>
              </w:rPr>
              <w:lastRenderedPageBreak/>
              <w:t>Doses of prednisone are ≤10 mg/day or equivalent.</w:t>
            </w:r>
          </w:p>
        </w:tc>
        <w:tc>
          <w:tcPr>
            <w:tcW w:w="5538" w:type="dxa"/>
          </w:tcPr>
          <w:p w14:paraId="427124E9" w14:textId="77777777" w:rsidR="00CE7080" w:rsidRPr="00CE7080" w:rsidRDefault="00CE7080" w:rsidP="00CE7080">
            <w:pPr>
              <w:spacing w:before="60" w:after="60"/>
              <w:rPr>
                <w:b/>
                <w:sz w:val="18"/>
              </w:rPr>
            </w:pPr>
            <w:r w:rsidRPr="00CE7080">
              <w:rPr>
                <w:b/>
                <w:sz w:val="18"/>
              </w:rPr>
              <w:lastRenderedPageBreak/>
              <w:t>For Grade 3 or 4:</w:t>
            </w:r>
          </w:p>
          <w:p w14:paraId="09A1DD22" w14:textId="77777777" w:rsidR="00CE7080" w:rsidRPr="00CE7080" w:rsidRDefault="00CE7080" w:rsidP="00CE7080">
            <w:pPr>
              <w:numPr>
                <w:ilvl w:val="0"/>
                <w:numId w:val="121"/>
              </w:numPr>
              <w:spacing w:before="60" w:after="60"/>
              <w:rPr>
                <w:sz w:val="18"/>
              </w:rPr>
            </w:pPr>
            <w:r w:rsidRPr="00CE7080">
              <w:rPr>
                <w:sz w:val="18"/>
              </w:rPr>
              <w:t>Consult endocrinologist to guide evaluation of endocrine function and, as indicated by suspected endocrinopathy and as clinically indicated, consider pituitary scan. Hospitalization recommended.</w:t>
            </w:r>
          </w:p>
          <w:p w14:paraId="21AD16B4" w14:textId="77777777" w:rsidR="00CE7080" w:rsidRPr="00CE7080" w:rsidRDefault="00CE7080" w:rsidP="00CE7080">
            <w:pPr>
              <w:numPr>
                <w:ilvl w:val="0"/>
                <w:numId w:val="120"/>
              </w:numPr>
              <w:spacing w:before="60" w:after="60"/>
              <w:rPr>
                <w:sz w:val="18"/>
              </w:rPr>
            </w:pPr>
            <w:r w:rsidRPr="00CE7080">
              <w:rPr>
                <w:sz w:val="18"/>
              </w:rPr>
              <w:t>For all patients with abnormal endocrine work up, except those with isolated hypothyroidism or Type 1 DM, and as guided by an endocrinologist, promptly initiate empiric IV methylprednisolone 1 to 2 mg/kg/day or equivalent, as well as relevant hormone replacement (e.g., hydrocortisone, sex hormones).</w:t>
            </w:r>
          </w:p>
          <w:p w14:paraId="084CB775" w14:textId="77777777" w:rsidR="00CE7080" w:rsidRPr="00CE7080" w:rsidRDefault="00CE7080" w:rsidP="00CE7080">
            <w:pPr>
              <w:numPr>
                <w:ilvl w:val="0"/>
                <w:numId w:val="121"/>
              </w:numPr>
              <w:spacing w:before="60" w:after="60"/>
              <w:rPr>
                <w:sz w:val="18"/>
              </w:rPr>
            </w:pPr>
            <w:r w:rsidRPr="00CE7080">
              <w:rPr>
                <w:sz w:val="18"/>
              </w:rPr>
              <w:t>For adrenal crisis, severe dehydration, hypotension, or shock, immediately initiate IV corticosteroids with mineralocorticoid activity.</w:t>
            </w:r>
          </w:p>
          <w:p w14:paraId="0226C299" w14:textId="77777777" w:rsidR="00CE7080" w:rsidRPr="00CE7080" w:rsidRDefault="00CE7080" w:rsidP="00CE7080">
            <w:pPr>
              <w:numPr>
                <w:ilvl w:val="0"/>
                <w:numId w:val="121"/>
              </w:numPr>
              <w:spacing w:before="60" w:after="60"/>
              <w:rPr>
                <w:sz w:val="18"/>
              </w:rPr>
            </w:pPr>
            <w:r w:rsidRPr="00CE7080">
              <w:rPr>
                <w:sz w:val="18"/>
              </w:rPr>
              <w:t>Isolated hypothyroidism may be treated with replacement therapy, without study drug/study regimen interruption, and without corticosteroids.</w:t>
            </w:r>
          </w:p>
          <w:p w14:paraId="240418D0" w14:textId="77777777" w:rsidR="00CE7080" w:rsidRPr="00CE7080" w:rsidRDefault="00CE7080" w:rsidP="00CE7080">
            <w:pPr>
              <w:numPr>
                <w:ilvl w:val="0"/>
                <w:numId w:val="121"/>
              </w:numPr>
              <w:spacing w:before="60" w:after="60"/>
              <w:rPr>
                <w:sz w:val="18"/>
              </w:rPr>
            </w:pPr>
            <w:r w:rsidRPr="00CE7080">
              <w:rPr>
                <w:sz w:val="18"/>
              </w:rPr>
              <w:t>Isolated Type 1 diabetes mellitus may be treated with appropriate diabetic therapy, without study drug/study regimen interruption, and without corticosteroids. Only hold study drug/study regimen in setting of hyperglycemia when diagnostic workup is positive for diabetic ketoacidosis.</w:t>
            </w:r>
          </w:p>
          <w:p w14:paraId="4C38A401" w14:textId="77777777" w:rsidR="00CE7080" w:rsidRPr="00CE7080" w:rsidRDefault="00CE7080" w:rsidP="00CE7080">
            <w:pPr>
              <w:numPr>
                <w:ilvl w:val="0"/>
                <w:numId w:val="121"/>
              </w:numPr>
              <w:spacing w:before="60" w:after="60"/>
              <w:rPr>
                <w:sz w:val="18"/>
              </w:rPr>
            </w:pPr>
            <w:r w:rsidRPr="00CE7080">
              <w:rPr>
                <w:sz w:val="18"/>
              </w:rPr>
              <w:lastRenderedPageBreak/>
              <w:t>Once patients on steroids are improving, gradually taper immunosuppressive steroids (as appropriate and with guidance of endocrinologist) over ≥28 days and consider prophylactic antibiotics, antifungals, and anti-PJP treatment (refer to current NCCN guidelines for treatment of cancer-related infections</w:t>
            </w:r>
            <w:r w:rsidRPr="00CE7080">
              <w:rPr>
                <w:sz w:val="18"/>
                <w:szCs w:val="18"/>
              </w:rPr>
              <w:t>).</w:t>
            </w:r>
          </w:p>
        </w:tc>
      </w:tr>
      <w:tr w:rsidR="00CE7080" w:rsidRPr="00CE7080" w14:paraId="55FA5C86" w14:textId="77777777" w:rsidTr="00CF7A38">
        <w:trPr>
          <w:trHeight w:val="228"/>
        </w:trPr>
        <w:tc>
          <w:tcPr>
            <w:tcW w:w="2138" w:type="dxa"/>
          </w:tcPr>
          <w:p w14:paraId="61438D1B" w14:textId="77777777" w:rsidR="00CE7080" w:rsidRPr="00CE7080" w:rsidRDefault="00CE7080" w:rsidP="00CE7080">
            <w:pPr>
              <w:spacing w:before="60" w:after="60"/>
              <w:rPr>
                <w:sz w:val="18"/>
              </w:rPr>
            </w:pPr>
            <w:r w:rsidRPr="00CE7080">
              <w:rPr>
                <w:sz w:val="18"/>
              </w:rPr>
              <w:lastRenderedPageBreak/>
              <w:t>Amylase/Lipase increased</w:t>
            </w:r>
          </w:p>
        </w:tc>
        <w:tc>
          <w:tcPr>
            <w:tcW w:w="1954" w:type="dxa"/>
          </w:tcPr>
          <w:p w14:paraId="77892E4E" w14:textId="77777777" w:rsidR="00CE7080" w:rsidRPr="00CE7080" w:rsidRDefault="00CE7080" w:rsidP="00CE7080">
            <w:pPr>
              <w:spacing w:before="60" w:after="60"/>
              <w:rPr>
                <w:sz w:val="18"/>
              </w:rPr>
            </w:pPr>
          </w:p>
        </w:tc>
        <w:tc>
          <w:tcPr>
            <w:tcW w:w="3287" w:type="dxa"/>
          </w:tcPr>
          <w:p w14:paraId="64C25CF2" w14:textId="77777777" w:rsidR="00CE7080" w:rsidRPr="00CE7080" w:rsidRDefault="00CE7080" w:rsidP="00CE7080">
            <w:pPr>
              <w:spacing w:before="60" w:after="60"/>
              <w:rPr>
                <w:sz w:val="18"/>
              </w:rPr>
            </w:pPr>
            <w:r w:rsidRPr="00CE7080">
              <w:rPr>
                <w:sz w:val="18"/>
              </w:rPr>
              <w:t>Dose Modifications (General Guidance): none</w:t>
            </w:r>
          </w:p>
          <w:p w14:paraId="0F749E70" w14:textId="77777777" w:rsidR="00CE7080" w:rsidRPr="00CE7080" w:rsidRDefault="00CE7080" w:rsidP="00CE7080">
            <w:pPr>
              <w:spacing w:before="60" w:after="60"/>
              <w:rPr>
                <w:sz w:val="18"/>
              </w:rPr>
            </w:pPr>
            <w:r w:rsidRPr="00CE7080">
              <w:rPr>
                <w:sz w:val="18"/>
              </w:rPr>
              <w:t>Dose Modifications (Grade 1): No dose modifications</w:t>
            </w:r>
          </w:p>
          <w:p w14:paraId="07EEDF18" w14:textId="77777777" w:rsidR="00CE7080" w:rsidRPr="00CE7080" w:rsidRDefault="00CE7080" w:rsidP="00CE7080">
            <w:pPr>
              <w:spacing w:before="60" w:after="60"/>
              <w:rPr>
                <w:sz w:val="18"/>
              </w:rPr>
            </w:pPr>
            <w:r w:rsidRPr="00CE7080">
              <w:rPr>
                <w:sz w:val="18"/>
              </w:rPr>
              <w:t xml:space="preserve">Dose Modifications (Grade 2, 3 or 4): </w:t>
            </w:r>
          </w:p>
          <w:p w14:paraId="71F15C3B" w14:textId="77777777" w:rsidR="00CE7080" w:rsidRPr="00CE7080" w:rsidRDefault="00CE7080" w:rsidP="00CE7080">
            <w:pPr>
              <w:spacing w:before="60" w:after="60"/>
              <w:rPr>
                <w:sz w:val="18"/>
              </w:rPr>
            </w:pPr>
            <w:r w:rsidRPr="00CE7080">
              <w:rPr>
                <w:sz w:val="18"/>
              </w:rPr>
              <w:t>In consultation with relevant pancreatic specialist consider continuing study drug/study regimen if no clinical/radiologic evidence of pancreatitis ± improvement in amylase/lipase.</w:t>
            </w:r>
          </w:p>
        </w:tc>
        <w:tc>
          <w:tcPr>
            <w:tcW w:w="5538" w:type="dxa"/>
          </w:tcPr>
          <w:p w14:paraId="536C2C55" w14:textId="77777777" w:rsidR="00CE7080" w:rsidRPr="00CE7080" w:rsidRDefault="00CE7080" w:rsidP="00CE7080">
            <w:pPr>
              <w:spacing w:before="60" w:after="60"/>
              <w:rPr>
                <w:sz w:val="18"/>
              </w:rPr>
            </w:pPr>
            <w:r w:rsidRPr="00CE7080">
              <w:rPr>
                <w:sz w:val="18"/>
              </w:rPr>
              <w:t>For Any Grade</w:t>
            </w:r>
          </w:p>
          <w:p w14:paraId="77ED9E1B" w14:textId="77777777" w:rsidR="00CE7080" w:rsidRPr="00CE7080" w:rsidRDefault="00CE7080" w:rsidP="00CE7080">
            <w:pPr>
              <w:spacing w:before="60" w:after="60"/>
              <w:rPr>
                <w:sz w:val="18"/>
              </w:rPr>
            </w:pPr>
            <w:r w:rsidRPr="00CE7080">
              <w:rPr>
                <w:sz w:val="18"/>
              </w:rPr>
              <w:t xml:space="preserve">−For modest asymptomatic elevations in serum amylase and lipase, corticosteroid treatment is not indicated as long as there are no other signs or symptoms of pancreatic inflammation. </w:t>
            </w:r>
          </w:p>
          <w:p w14:paraId="71D75ADB" w14:textId="77777777" w:rsidR="00CE7080" w:rsidRPr="00CE7080" w:rsidRDefault="00CE7080" w:rsidP="00CE7080">
            <w:pPr>
              <w:spacing w:before="60" w:after="60"/>
              <w:rPr>
                <w:sz w:val="18"/>
              </w:rPr>
            </w:pPr>
            <w:r w:rsidRPr="00CE7080">
              <w:rPr>
                <w:sz w:val="18"/>
              </w:rPr>
              <w:t>−If isolated elevation of enzymes without evidence of pancreatitis, continue immunotherapy.</w:t>
            </w:r>
          </w:p>
          <w:p w14:paraId="6DC576DF" w14:textId="77777777" w:rsidR="00CE7080" w:rsidRPr="00CE7080" w:rsidRDefault="00CE7080" w:rsidP="00CE7080">
            <w:pPr>
              <w:spacing w:before="60" w:after="60"/>
              <w:rPr>
                <w:sz w:val="18"/>
              </w:rPr>
            </w:pPr>
            <w:r w:rsidRPr="00CE7080">
              <w:rPr>
                <w:sz w:val="18"/>
              </w:rPr>
              <w:t xml:space="preserve">−Assess for signs/symptoms of pancreatitis </w:t>
            </w:r>
          </w:p>
          <w:p w14:paraId="4B6E37D5" w14:textId="77777777" w:rsidR="00CE7080" w:rsidRPr="00CE7080" w:rsidRDefault="00CE7080" w:rsidP="00CE7080">
            <w:pPr>
              <w:spacing w:before="60" w:after="60"/>
              <w:rPr>
                <w:sz w:val="18"/>
              </w:rPr>
            </w:pPr>
            <w:r w:rsidRPr="00CE7080">
              <w:rPr>
                <w:sz w:val="18"/>
              </w:rPr>
              <w:t>−Consider appropriate diagnostic testing (e.g, abdominal CT with contrast, MRCP if clinical suspicion of pancreatitis and no radiologic evidence on CT)</w:t>
            </w:r>
          </w:p>
          <w:p w14:paraId="5E60B2BB" w14:textId="77777777" w:rsidR="00CE7080" w:rsidRPr="00CE7080" w:rsidRDefault="00CE7080" w:rsidP="00CE7080">
            <w:pPr>
              <w:spacing w:before="60" w:after="60"/>
              <w:rPr>
                <w:sz w:val="18"/>
              </w:rPr>
            </w:pPr>
            <w:r w:rsidRPr="00CE7080">
              <w:rPr>
                <w:sz w:val="18"/>
              </w:rPr>
              <w:t>−Consider other causes of elevated amylase/lipase</w:t>
            </w:r>
          </w:p>
          <w:p w14:paraId="3EB58D4B" w14:textId="77777777" w:rsidR="00CE7080" w:rsidRPr="00CE7080" w:rsidRDefault="00CE7080" w:rsidP="00CE7080">
            <w:pPr>
              <w:spacing w:before="60" w:after="60"/>
              <w:rPr>
                <w:sz w:val="18"/>
              </w:rPr>
            </w:pPr>
            <w:r w:rsidRPr="00CE7080">
              <w:rPr>
                <w:sz w:val="18"/>
              </w:rPr>
              <w:t>−If evidence of pancreatitis, manage according to pancreatitis  recommendations</w:t>
            </w:r>
          </w:p>
        </w:tc>
      </w:tr>
      <w:tr w:rsidR="00CE7080" w:rsidRPr="00CE7080" w14:paraId="76177BA6" w14:textId="77777777" w:rsidTr="00CF7A38">
        <w:trPr>
          <w:trHeight w:val="160"/>
        </w:trPr>
        <w:tc>
          <w:tcPr>
            <w:tcW w:w="2138" w:type="dxa"/>
          </w:tcPr>
          <w:p w14:paraId="00BC5833" w14:textId="77777777" w:rsidR="00CE7080" w:rsidRPr="00CE7080" w:rsidRDefault="00CE7080" w:rsidP="00CE7080">
            <w:pPr>
              <w:spacing w:before="60" w:after="60"/>
              <w:rPr>
                <w:sz w:val="18"/>
              </w:rPr>
            </w:pPr>
            <w:r w:rsidRPr="00CE7080">
              <w:rPr>
                <w:sz w:val="18"/>
              </w:rPr>
              <w:t>Acute Pancreatitis</w:t>
            </w:r>
          </w:p>
        </w:tc>
        <w:tc>
          <w:tcPr>
            <w:tcW w:w="1954" w:type="dxa"/>
          </w:tcPr>
          <w:p w14:paraId="549055FF" w14:textId="77777777" w:rsidR="00CE7080" w:rsidRPr="00CE7080" w:rsidRDefault="00CE7080" w:rsidP="00CE7080">
            <w:pPr>
              <w:spacing w:before="60" w:after="60"/>
              <w:rPr>
                <w:sz w:val="18"/>
              </w:rPr>
            </w:pPr>
          </w:p>
        </w:tc>
        <w:tc>
          <w:tcPr>
            <w:tcW w:w="3287" w:type="dxa"/>
          </w:tcPr>
          <w:p w14:paraId="403FFDB1" w14:textId="77777777" w:rsidR="00CE7080" w:rsidRPr="00CE7080" w:rsidRDefault="00CE7080" w:rsidP="00CE7080">
            <w:pPr>
              <w:spacing w:before="60" w:after="60"/>
              <w:rPr>
                <w:sz w:val="18"/>
              </w:rPr>
            </w:pPr>
            <w:r w:rsidRPr="00CE7080">
              <w:rPr>
                <w:sz w:val="18"/>
              </w:rPr>
              <w:t>Dose Modifications (General Guidance): none</w:t>
            </w:r>
          </w:p>
          <w:p w14:paraId="71F43D60" w14:textId="77777777" w:rsidR="00CE7080" w:rsidRPr="00CE7080" w:rsidRDefault="00CE7080" w:rsidP="00CE7080">
            <w:pPr>
              <w:spacing w:before="60" w:after="60"/>
              <w:rPr>
                <w:sz w:val="18"/>
              </w:rPr>
            </w:pPr>
            <w:r w:rsidRPr="00CE7080">
              <w:rPr>
                <w:sz w:val="18"/>
              </w:rPr>
              <w:t>Dose Modifications (Grade 1): No dose modifications</w:t>
            </w:r>
          </w:p>
          <w:p w14:paraId="41E3700E" w14:textId="77777777" w:rsidR="00CE7080" w:rsidRPr="00CE7080" w:rsidRDefault="00CE7080" w:rsidP="00CE7080">
            <w:pPr>
              <w:spacing w:before="60" w:after="60"/>
              <w:rPr>
                <w:sz w:val="18"/>
              </w:rPr>
            </w:pPr>
            <w:r w:rsidRPr="00CE7080">
              <w:rPr>
                <w:sz w:val="18"/>
              </w:rPr>
              <w:t xml:space="preserve">Dose Modifications (Grade 2): Hold study drug/study regimen dose until resolution to Grade ≤1. Consider resumption of study drug/study regimen if no clinical/radiologic evidence of pancreatitis ± improvement in amylase/lipase in </w:t>
            </w:r>
            <w:r w:rsidRPr="00CE7080">
              <w:rPr>
                <w:sz w:val="18"/>
              </w:rPr>
              <w:lastRenderedPageBreak/>
              <w:t>consultation with relevant pancreatic specialist</w:t>
            </w:r>
          </w:p>
          <w:p w14:paraId="4D4E9D61" w14:textId="77777777" w:rsidR="00CE7080" w:rsidRPr="00CE7080" w:rsidRDefault="00CE7080" w:rsidP="00CE7080">
            <w:pPr>
              <w:spacing w:before="60" w:after="60"/>
              <w:rPr>
                <w:sz w:val="18"/>
              </w:rPr>
            </w:pPr>
            <w:r w:rsidRPr="00CE7080">
              <w:rPr>
                <w:sz w:val="18"/>
              </w:rPr>
              <w:t>Dose Modification (Grade 3 or 4): Permanently discontinue study drug/study regimen</w:t>
            </w:r>
          </w:p>
        </w:tc>
        <w:tc>
          <w:tcPr>
            <w:tcW w:w="5538" w:type="dxa"/>
          </w:tcPr>
          <w:p w14:paraId="5BF87957" w14:textId="77777777" w:rsidR="00CE7080" w:rsidRPr="00CE7080" w:rsidRDefault="00CE7080" w:rsidP="00CE7080">
            <w:pPr>
              <w:spacing w:before="60" w:after="60"/>
              <w:rPr>
                <w:sz w:val="18"/>
              </w:rPr>
            </w:pPr>
            <w:r w:rsidRPr="00CE7080">
              <w:rPr>
                <w:sz w:val="18"/>
              </w:rPr>
              <w:lastRenderedPageBreak/>
              <w:t>For Any Grade</w:t>
            </w:r>
          </w:p>
          <w:p w14:paraId="6653D60B" w14:textId="77777777" w:rsidR="00CE7080" w:rsidRPr="00CE7080" w:rsidRDefault="00CE7080" w:rsidP="00CE7080">
            <w:pPr>
              <w:spacing w:before="60" w:after="60"/>
              <w:rPr>
                <w:sz w:val="18"/>
              </w:rPr>
            </w:pPr>
            <w:r w:rsidRPr="00CE7080">
              <w:rPr>
                <w:sz w:val="18"/>
              </w:rPr>
              <w:t>-Consider gastroenterology referral</w:t>
            </w:r>
          </w:p>
          <w:p w14:paraId="3947633A" w14:textId="77777777" w:rsidR="00CE7080" w:rsidRPr="00CE7080" w:rsidRDefault="00CE7080" w:rsidP="00CE7080">
            <w:pPr>
              <w:spacing w:before="60" w:after="60"/>
              <w:rPr>
                <w:sz w:val="18"/>
              </w:rPr>
            </w:pPr>
            <w:r w:rsidRPr="00CE7080">
              <w:rPr>
                <w:sz w:val="18"/>
              </w:rPr>
              <w:t xml:space="preserve">For Grade 1: </w:t>
            </w:r>
          </w:p>
          <w:p w14:paraId="02B66BE2" w14:textId="77777777" w:rsidR="00CE7080" w:rsidRPr="00CE7080" w:rsidRDefault="00CE7080" w:rsidP="00CE7080">
            <w:pPr>
              <w:spacing w:before="60" w:after="60"/>
              <w:rPr>
                <w:sz w:val="18"/>
              </w:rPr>
            </w:pPr>
            <w:r w:rsidRPr="00CE7080">
              <w:rPr>
                <w:sz w:val="18"/>
              </w:rPr>
              <w:t>-IV hydration</w:t>
            </w:r>
          </w:p>
          <w:p w14:paraId="2B557F57" w14:textId="77777777" w:rsidR="00CE7080" w:rsidRPr="00CE7080" w:rsidRDefault="00CE7080" w:rsidP="00CE7080">
            <w:pPr>
              <w:spacing w:before="60" w:after="60"/>
              <w:rPr>
                <w:sz w:val="18"/>
              </w:rPr>
            </w:pPr>
            <w:r w:rsidRPr="00CE7080">
              <w:rPr>
                <w:sz w:val="18"/>
              </w:rPr>
              <w:t>-Manage per amylase/lipase increased (asymptomatic)</w:t>
            </w:r>
          </w:p>
          <w:p w14:paraId="0A02F5F7" w14:textId="77777777" w:rsidR="00CE7080" w:rsidRPr="00CE7080" w:rsidRDefault="00CE7080" w:rsidP="00CE7080">
            <w:pPr>
              <w:spacing w:before="60" w:after="60"/>
              <w:rPr>
                <w:sz w:val="18"/>
              </w:rPr>
            </w:pPr>
            <w:r w:rsidRPr="00CE7080">
              <w:rPr>
                <w:sz w:val="18"/>
              </w:rPr>
              <w:t xml:space="preserve">For Grade 2,3 or 4: </w:t>
            </w:r>
          </w:p>
          <w:p w14:paraId="2EA2C88B" w14:textId="77777777" w:rsidR="00CE7080" w:rsidRPr="00CE7080" w:rsidRDefault="00CE7080" w:rsidP="00CE7080">
            <w:pPr>
              <w:spacing w:before="60" w:after="60"/>
              <w:rPr>
                <w:sz w:val="18"/>
              </w:rPr>
            </w:pPr>
            <w:r w:rsidRPr="00CE7080">
              <w:rPr>
                <w:sz w:val="18"/>
              </w:rPr>
              <w:t>-Promptly start systemic steroids prednisone 1 to 2 mg/kg/day PO or IV equivalent</w:t>
            </w:r>
          </w:p>
          <w:p w14:paraId="35F43EBC" w14:textId="77777777" w:rsidR="00CE7080" w:rsidRPr="00CE7080" w:rsidRDefault="00CE7080" w:rsidP="00CE7080">
            <w:pPr>
              <w:spacing w:before="60" w:after="60"/>
              <w:rPr>
                <w:sz w:val="18"/>
              </w:rPr>
            </w:pPr>
            <w:r w:rsidRPr="00CE7080">
              <w:rPr>
                <w:sz w:val="18"/>
              </w:rPr>
              <w:t>-IV hydration</w:t>
            </w:r>
          </w:p>
        </w:tc>
      </w:tr>
      <w:tr w:rsidR="00CE7080" w:rsidRPr="00CE7080" w14:paraId="3F681064" w14:textId="77777777" w:rsidTr="00CF7A38">
        <w:trPr>
          <w:trHeight w:val="3108"/>
        </w:trPr>
        <w:tc>
          <w:tcPr>
            <w:tcW w:w="2138" w:type="dxa"/>
          </w:tcPr>
          <w:p w14:paraId="7DEF88D6" w14:textId="77777777" w:rsidR="00CE7080" w:rsidRPr="00CE7080" w:rsidRDefault="00CE7080" w:rsidP="00CE7080">
            <w:pPr>
              <w:spacing w:before="60" w:after="60"/>
              <w:rPr>
                <w:b/>
                <w:sz w:val="18"/>
              </w:rPr>
            </w:pPr>
            <w:r w:rsidRPr="00CE7080">
              <w:rPr>
                <w:b/>
                <w:sz w:val="18"/>
              </w:rPr>
              <w:t>Neurotoxicity</w:t>
            </w:r>
          </w:p>
          <w:p w14:paraId="69616B8E" w14:textId="77777777" w:rsidR="00CE7080" w:rsidRPr="00CE7080" w:rsidRDefault="00CE7080" w:rsidP="00CE7080">
            <w:pPr>
              <w:spacing w:before="60" w:after="60"/>
              <w:rPr>
                <w:b/>
                <w:sz w:val="18"/>
              </w:rPr>
            </w:pPr>
            <w:r w:rsidRPr="00CE7080">
              <w:rPr>
                <w:sz w:val="18"/>
              </w:rPr>
              <w:t>(to include but not be limited to limbic encephalitis and autonomic neuropathy, excluding Myasthenia Gravis and Guillain-Barre)</w:t>
            </w:r>
          </w:p>
        </w:tc>
        <w:tc>
          <w:tcPr>
            <w:tcW w:w="1954" w:type="dxa"/>
          </w:tcPr>
          <w:p w14:paraId="5968237D" w14:textId="77777777" w:rsidR="00CE7080" w:rsidRPr="00CE7080" w:rsidRDefault="00CE7080" w:rsidP="00CE7080">
            <w:pPr>
              <w:spacing w:before="60" w:after="60"/>
              <w:rPr>
                <w:b/>
                <w:sz w:val="18"/>
              </w:rPr>
            </w:pPr>
            <w:r w:rsidRPr="00CE7080">
              <w:rPr>
                <w:b/>
                <w:sz w:val="18"/>
              </w:rPr>
              <w:t>Any Grade</w:t>
            </w:r>
          </w:p>
          <w:p w14:paraId="0B266AC0" w14:textId="77777777" w:rsidR="00CE7080" w:rsidRPr="00CE7080" w:rsidRDefault="00CE7080" w:rsidP="00CE7080">
            <w:pPr>
              <w:spacing w:before="60" w:after="60"/>
              <w:rPr>
                <w:b/>
                <w:sz w:val="18"/>
              </w:rPr>
            </w:pPr>
            <w:r w:rsidRPr="00CE7080">
              <w:rPr>
                <w:sz w:val="18"/>
              </w:rPr>
              <w:t>(depending on the type of neurotoxicity, refer to NCI CTCAE v5.0 for defining the CTC grade/severity)</w:t>
            </w:r>
          </w:p>
        </w:tc>
        <w:tc>
          <w:tcPr>
            <w:tcW w:w="3287" w:type="dxa"/>
          </w:tcPr>
          <w:p w14:paraId="5BD9F049" w14:textId="77777777" w:rsidR="00CE7080" w:rsidRPr="00CE7080" w:rsidRDefault="00CE7080" w:rsidP="00CE7080">
            <w:pPr>
              <w:spacing w:before="60" w:after="60"/>
              <w:rPr>
                <w:b/>
                <w:sz w:val="18"/>
              </w:rPr>
            </w:pPr>
            <w:r w:rsidRPr="00CE7080">
              <w:rPr>
                <w:b/>
                <w:sz w:val="18"/>
              </w:rPr>
              <w:t>General Guidance</w:t>
            </w:r>
          </w:p>
        </w:tc>
        <w:tc>
          <w:tcPr>
            <w:tcW w:w="5538" w:type="dxa"/>
          </w:tcPr>
          <w:p w14:paraId="52E4049F" w14:textId="77777777" w:rsidR="00CE7080" w:rsidRPr="00CE7080" w:rsidRDefault="00CE7080" w:rsidP="00CE7080">
            <w:pPr>
              <w:spacing w:before="60" w:after="60"/>
              <w:rPr>
                <w:b/>
                <w:sz w:val="18"/>
              </w:rPr>
            </w:pPr>
            <w:r w:rsidRPr="00CE7080">
              <w:rPr>
                <w:b/>
                <w:sz w:val="18"/>
              </w:rPr>
              <w:t>For Any Grade:</w:t>
            </w:r>
          </w:p>
          <w:p w14:paraId="10923B61" w14:textId="77777777" w:rsidR="00CE7080" w:rsidRPr="00CE7080" w:rsidRDefault="00CE7080" w:rsidP="00CE7080">
            <w:pPr>
              <w:numPr>
                <w:ilvl w:val="0"/>
                <w:numId w:val="122"/>
              </w:numPr>
              <w:spacing w:before="60" w:after="60"/>
              <w:rPr>
                <w:sz w:val="18"/>
              </w:rPr>
            </w:pPr>
            <w:r w:rsidRPr="00CE7080">
              <w:rPr>
                <w:sz w:val="18"/>
              </w:rPr>
              <w:t>FOR TRANSVERSE MYELITIS, PERMANENTLY DISCONTINUE FOR ANY GRADE</w:t>
            </w:r>
          </w:p>
          <w:p w14:paraId="54FCB621" w14:textId="77777777" w:rsidR="00CE7080" w:rsidRPr="00CE7080" w:rsidRDefault="00CE7080" w:rsidP="00CE7080">
            <w:pPr>
              <w:numPr>
                <w:ilvl w:val="0"/>
                <w:numId w:val="122"/>
              </w:numPr>
              <w:spacing w:before="60" w:after="60"/>
              <w:rPr>
                <w:sz w:val="18"/>
              </w:rPr>
            </w:pPr>
            <w:r w:rsidRPr="00CE7080">
              <w:rPr>
                <w:sz w:val="18"/>
              </w:rPr>
              <w:t>Patients should be evaluated to rule out any alternative etiology (e.g., disease progression, infections, metabolic syndromes, or medications).</w:t>
            </w:r>
          </w:p>
          <w:p w14:paraId="7DE3EB2C" w14:textId="77777777" w:rsidR="00CE7080" w:rsidRPr="00CE7080" w:rsidRDefault="00CE7080" w:rsidP="00CE7080">
            <w:pPr>
              <w:numPr>
                <w:ilvl w:val="0"/>
                <w:numId w:val="122"/>
              </w:numPr>
              <w:spacing w:before="60" w:after="60"/>
              <w:rPr>
                <w:sz w:val="18"/>
              </w:rPr>
            </w:pPr>
            <w:r w:rsidRPr="00CE7080">
              <w:rPr>
                <w:sz w:val="18"/>
              </w:rPr>
              <w:t>Monitor patient for general symptoms (headache, nausea, vertigo, behavior change, or weakness).</w:t>
            </w:r>
          </w:p>
          <w:p w14:paraId="2BC1F95C" w14:textId="77777777" w:rsidR="00CE7080" w:rsidRPr="00CE7080" w:rsidRDefault="00CE7080" w:rsidP="00CE7080">
            <w:pPr>
              <w:numPr>
                <w:ilvl w:val="0"/>
                <w:numId w:val="122"/>
              </w:numPr>
              <w:spacing w:before="60" w:after="60"/>
              <w:rPr>
                <w:sz w:val="18"/>
              </w:rPr>
            </w:pPr>
            <w:r w:rsidRPr="00CE7080">
              <w:rPr>
                <w:sz w:val="18"/>
              </w:rPr>
              <w:t>Consider appropriate diagnostic testing (e.g., electromyogram and nerve conduction investigations).</w:t>
            </w:r>
          </w:p>
          <w:p w14:paraId="4B881A5C" w14:textId="77777777" w:rsidR="00CE7080" w:rsidRPr="00CE7080" w:rsidRDefault="00CE7080" w:rsidP="00CE7080">
            <w:pPr>
              <w:numPr>
                <w:ilvl w:val="0"/>
                <w:numId w:val="122"/>
              </w:numPr>
              <w:spacing w:before="60" w:after="60"/>
              <w:rPr>
                <w:b/>
                <w:sz w:val="18"/>
              </w:rPr>
            </w:pPr>
            <w:r w:rsidRPr="00CE7080">
              <w:rPr>
                <w:sz w:val="18"/>
              </w:rPr>
              <w:t xml:space="preserve">Perform symptomatic treatment with </w:t>
            </w:r>
            <w:r w:rsidRPr="00CE7080">
              <w:rPr>
                <w:sz w:val="18"/>
                <w:szCs w:val="18"/>
              </w:rPr>
              <w:t>Neurology</w:t>
            </w:r>
            <w:r w:rsidRPr="00CE7080">
              <w:rPr>
                <w:sz w:val="18"/>
              </w:rPr>
              <w:t xml:space="preserve"> consult as appropriate.</w:t>
            </w:r>
          </w:p>
        </w:tc>
      </w:tr>
    </w:tbl>
    <w:p w14:paraId="1649A56C" w14:textId="77777777" w:rsidR="00CE7080" w:rsidRPr="00CE7080" w:rsidRDefault="00CE7080" w:rsidP="00CE7080">
      <w:pPr>
        <w:rPr>
          <w:rFonts w:eastAsia="Calibri"/>
        </w:rPr>
      </w:pPr>
      <w:r w:rsidRPr="00CE7080">
        <w:rPr>
          <w:rFonts w:eastAsia="Calibri"/>
        </w:rPr>
        <w:br w:type="page"/>
      </w:r>
    </w:p>
    <w:tbl>
      <w:tblPr>
        <w:tblStyle w:val="TableGrid2"/>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642"/>
        <w:gridCol w:w="2530"/>
        <w:gridCol w:w="3816"/>
      </w:tblGrid>
      <w:tr w:rsidR="00CE7080" w:rsidRPr="00CE7080" w14:paraId="722552B3" w14:textId="77777777" w:rsidTr="00CF7A38">
        <w:tc>
          <w:tcPr>
            <w:tcW w:w="1648" w:type="dxa"/>
            <w:vMerge w:val="restart"/>
          </w:tcPr>
          <w:p w14:paraId="225BD297" w14:textId="77777777" w:rsidR="00CE7080" w:rsidRPr="00CE7080" w:rsidRDefault="00CE7080" w:rsidP="00CE7080">
            <w:pPr>
              <w:spacing w:before="60" w:after="60"/>
              <w:rPr>
                <w:sz w:val="18"/>
                <w:szCs w:val="18"/>
              </w:rPr>
            </w:pPr>
          </w:p>
        </w:tc>
        <w:tc>
          <w:tcPr>
            <w:tcW w:w="2127" w:type="dxa"/>
          </w:tcPr>
          <w:p w14:paraId="37AAA0BB" w14:textId="77777777" w:rsidR="00CE7080" w:rsidRPr="00CE7080" w:rsidRDefault="00CE7080" w:rsidP="00CE7080">
            <w:pPr>
              <w:spacing w:before="60" w:after="60"/>
              <w:rPr>
                <w:sz w:val="18"/>
                <w:szCs w:val="18"/>
              </w:rPr>
            </w:pPr>
            <w:r w:rsidRPr="00CE7080">
              <w:rPr>
                <w:b/>
                <w:bCs/>
                <w:sz w:val="18"/>
                <w:szCs w:val="18"/>
              </w:rPr>
              <w:t>Grade 1</w:t>
            </w:r>
          </w:p>
        </w:tc>
        <w:tc>
          <w:tcPr>
            <w:tcW w:w="3330" w:type="dxa"/>
          </w:tcPr>
          <w:p w14:paraId="27E4F06A" w14:textId="77777777" w:rsidR="00CE7080" w:rsidRPr="00CE7080" w:rsidRDefault="00CE7080" w:rsidP="00CE7080">
            <w:pPr>
              <w:spacing w:before="60" w:after="60"/>
              <w:rPr>
                <w:sz w:val="18"/>
                <w:szCs w:val="18"/>
              </w:rPr>
            </w:pPr>
            <w:r w:rsidRPr="00CE7080">
              <w:rPr>
                <w:sz w:val="18"/>
                <w:szCs w:val="18"/>
              </w:rPr>
              <w:t>No dose modifications.</w:t>
            </w:r>
          </w:p>
        </w:tc>
        <w:tc>
          <w:tcPr>
            <w:tcW w:w="5845" w:type="dxa"/>
          </w:tcPr>
          <w:p w14:paraId="14E7DB1E" w14:textId="77777777" w:rsidR="00CE7080" w:rsidRPr="00CE7080" w:rsidRDefault="00CE7080" w:rsidP="00CE7080">
            <w:pPr>
              <w:spacing w:before="60" w:after="60"/>
              <w:rPr>
                <w:b/>
                <w:bCs/>
                <w:sz w:val="18"/>
                <w:szCs w:val="18"/>
              </w:rPr>
            </w:pPr>
            <w:r w:rsidRPr="00CE7080">
              <w:rPr>
                <w:b/>
                <w:bCs/>
                <w:sz w:val="18"/>
                <w:szCs w:val="18"/>
              </w:rPr>
              <w:t>For Grade 1:</w:t>
            </w:r>
          </w:p>
          <w:p w14:paraId="1DCDC1C0" w14:textId="77777777" w:rsidR="00CE7080" w:rsidRPr="00CE7080" w:rsidRDefault="00CE7080" w:rsidP="00CE7080">
            <w:pPr>
              <w:numPr>
                <w:ilvl w:val="0"/>
                <w:numId w:val="123"/>
              </w:numPr>
              <w:spacing w:before="60" w:after="60"/>
              <w:rPr>
                <w:sz w:val="18"/>
                <w:szCs w:val="18"/>
              </w:rPr>
            </w:pPr>
            <w:r w:rsidRPr="00CE7080">
              <w:rPr>
                <w:sz w:val="18"/>
                <w:szCs w:val="18"/>
              </w:rPr>
              <w:t>See “Any Grade” recommendations above.</w:t>
            </w:r>
          </w:p>
          <w:p w14:paraId="798EB0E6" w14:textId="77777777" w:rsidR="00CE7080" w:rsidRPr="00CE7080" w:rsidRDefault="00CE7080" w:rsidP="00CE7080">
            <w:pPr>
              <w:spacing w:before="60" w:after="60"/>
              <w:rPr>
                <w:b/>
                <w:bCs/>
                <w:sz w:val="18"/>
                <w:szCs w:val="18"/>
              </w:rPr>
            </w:pPr>
            <w:r w:rsidRPr="00CE7080">
              <w:rPr>
                <w:sz w:val="18"/>
                <w:szCs w:val="18"/>
              </w:rPr>
              <w:t>Treat mild signs/symptoms as Grade 1 (e.g. loss of deep tendon reflexes or paresthesia)</w:t>
            </w:r>
          </w:p>
        </w:tc>
      </w:tr>
      <w:tr w:rsidR="00CE7080" w:rsidRPr="00CE7080" w14:paraId="1D58D0F1" w14:textId="77777777" w:rsidTr="00CF7A38">
        <w:trPr>
          <w:trHeight w:val="3464"/>
        </w:trPr>
        <w:tc>
          <w:tcPr>
            <w:tcW w:w="1648" w:type="dxa"/>
            <w:vMerge/>
          </w:tcPr>
          <w:p w14:paraId="1CE293A4" w14:textId="77777777" w:rsidR="00CE7080" w:rsidRPr="00CE7080" w:rsidRDefault="00CE7080" w:rsidP="00CE7080">
            <w:pPr>
              <w:spacing w:before="60" w:after="60"/>
              <w:rPr>
                <w:sz w:val="18"/>
                <w:szCs w:val="18"/>
              </w:rPr>
            </w:pPr>
          </w:p>
        </w:tc>
        <w:tc>
          <w:tcPr>
            <w:tcW w:w="2127" w:type="dxa"/>
          </w:tcPr>
          <w:p w14:paraId="3B46C2BC" w14:textId="77777777" w:rsidR="00CE7080" w:rsidRPr="00CE7080" w:rsidRDefault="00CE7080" w:rsidP="00CE7080">
            <w:pPr>
              <w:spacing w:before="60" w:after="60"/>
              <w:rPr>
                <w:sz w:val="18"/>
                <w:szCs w:val="18"/>
              </w:rPr>
            </w:pPr>
            <w:r w:rsidRPr="00CE7080">
              <w:rPr>
                <w:b/>
                <w:bCs/>
                <w:sz w:val="18"/>
                <w:szCs w:val="18"/>
              </w:rPr>
              <w:t>Grade 2</w:t>
            </w:r>
          </w:p>
        </w:tc>
        <w:tc>
          <w:tcPr>
            <w:tcW w:w="3330" w:type="dxa"/>
          </w:tcPr>
          <w:p w14:paraId="24A97D11" w14:textId="77777777" w:rsidR="00CE7080" w:rsidRPr="00CE7080" w:rsidRDefault="00CE7080" w:rsidP="00CE7080">
            <w:pPr>
              <w:spacing w:before="60" w:after="60"/>
              <w:rPr>
                <w:sz w:val="18"/>
                <w:szCs w:val="18"/>
              </w:rPr>
            </w:pPr>
            <w:r w:rsidRPr="00CE7080">
              <w:rPr>
                <w:sz w:val="18"/>
                <w:szCs w:val="18"/>
              </w:rPr>
              <w:t>For acute motor neuropathies or neurotoxicity, hold study drug/study regimen dose until resolution to Grade ≤1.</w:t>
            </w:r>
          </w:p>
          <w:p w14:paraId="152FB5B1" w14:textId="77777777" w:rsidR="00CE7080" w:rsidRPr="00CE7080" w:rsidRDefault="00CE7080" w:rsidP="00CE7080">
            <w:pPr>
              <w:spacing w:before="60" w:after="60"/>
              <w:rPr>
                <w:sz w:val="18"/>
                <w:szCs w:val="18"/>
              </w:rPr>
            </w:pPr>
            <w:r w:rsidRPr="00CE7080">
              <w:rPr>
                <w:sz w:val="18"/>
                <w:szCs w:val="18"/>
              </w:rPr>
              <w:t>For sensory neuropathy/neuropathic pain, consider holding study drug/study regimen dose until resolution to Grade ≤1.</w:t>
            </w:r>
          </w:p>
          <w:p w14:paraId="625A09D6" w14:textId="77777777" w:rsidR="00CE7080" w:rsidRPr="00CE7080" w:rsidRDefault="00CE7080" w:rsidP="00CE7080">
            <w:pPr>
              <w:spacing w:before="60" w:after="60"/>
              <w:rPr>
                <w:sz w:val="18"/>
                <w:szCs w:val="18"/>
              </w:rPr>
            </w:pPr>
            <w:r w:rsidRPr="00CE7080">
              <w:rPr>
                <w:sz w:val="18"/>
                <w:szCs w:val="18"/>
              </w:rPr>
              <w:t>If toxicity worsens, then treat as Grade 3 or 4.</w:t>
            </w:r>
          </w:p>
          <w:p w14:paraId="33383BF9" w14:textId="77777777" w:rsidR="00CE7080" w:rsidRPr="00CE7080" w:rsidRDefault="00CE7080" w:rsidP="00CE7080">
            <w:pPr>
              <w:spacing w:before="60" w:after="60"/>
              <w:rPr>
                <w:sz w:val="18"/>
                <w:szCs w:val="18"/>
              </w:rPr>
            </w:pPr>
            <w:r w:rsidRPr="00CE7080">
              <w:rPr>
                <w:sz w:val="18"/>
                <w:szCs w:val="18"/>
              </w:rPr>
              <w:t>Permanently discontinue study drug/study regimen if Grade 2 imAE does not resolve to Grade ≤1 within 30 days</w:t>
            </w:r>
            <w:r w:rsidRPr="00CE7080" w:rsidDel="00434B47">
              <w:rPr>
                <w:sz w:val="18"/>
                <w:szCs w:val="18"/>
              </w:rPr>
              <w:t xml:space="preserve"> </w:t>
            </w:r>
            <w:r w:rsidRPr="00CE7080">
              <w:rPr>
                <w:sz w:val="18"/>
                <w:szCs w:val="18"/>
              </w:rPr>
              <w:t>.</w:t>
            </w:r>
          </w:p>
        </w:tc>
        <w:tc>
          <w:tcPr>
            <w:tcW w:w="5845" w:type="dxa"/>
          </w:tcPr>
          <w:p w14:paraId="0F618226" w14:textId="77777777" w:rsidR="00CE7080" w:rsidRPr="00CE7080" w:rsidRDefault="00CE7080" w:rsidP="00CE7080">
            <w:pPr>
              <w:spacing w:before="60" w:after="60"/>
              <w:rPr>
                <w:b/>
                <w:bCs/>
                <w:sz w:val="18"/>
                <w:szCs w:val="18"/>
              </w:rPr>
            </w:pPr>
            <w:r w:rsidRPr="00CE7080">
              <w:rPr>
                <w:b/>
                <w:bCs/>
                <w:sz w:val="18"/>
                <w:szCs w:val="18"/>
              </w:rPr>
              <w:t>For Grade 2:</w:t>
            </w:r>
          </w:p>
          <w:p w14:paraId="2ACA923F" w14:textId="77777777" w:rsidR="00CE7080" w:rsidRPr="00CE7080" w:rsidRDefault="00CE7080" w:rsidP="00CE7080">
            <w:pPr>
              <w:numPr>
                <w:ilvl w:val="0"/>
                <w:numId w:val="123"/>
              </w:numPr>
              <w:spacing w:before="60" w:after="60"/>
              <w:rPr>
                <w:sz w:val="18"/>
                <w:szCs w:val="18"/>
              </w:rPr>
            </w:pPr>
            <w:r w:rsidRPr="00CE7080">
              <w:rPr>
                <w:sz w:val="18"/>
                <w:szCs w:val="18"/>
              </w:rPr>
              <w:t>Consider, as necessary, discussing with the study physician.</w:t>
            </w:r>
          </w:p>
          <w:p w14:paraId="38593555" w14:textId="77777777" w:rsidR="00CE7080" w:rsidRPr="00CE7080" w:rsidRDefault="00CE7080" w:rsidP="00CE7080">
            <w:pPr>
              <w:numPr>
                <w:ilvl w:val="0"/>
                <w:numId w:val="123"/>
              </w:numPr>
              <w:spacing w:before="60" w:after="60"/>
              <w:rPr>
                <w:sz w:val="18"/>
                <w:szCs w:val="18"/>
              </w:rPr>
            </w:pPr>
            <w:r w:rsidRPr="00CE7080">
              <w:rPr>
                <w:sz w:val="18"/>
                <w:szCs w:val="18"/>
              </w:rPr>
              <w:t>Obtain Neurology consult.</w:t>
            </w:r>
          </w:p>
          <w:p w14:paraId="515FCB6E" w14:textId="77777777" w:rsidR="00CE7080" w:rsidRPr="00CE7080" w:rsidRDefault="00CE7080" w:rsidP="00CE7080">
            <w:pPr>
              <w:numPr>
                <w:ilvl w:val="0"/>
                <w:numId w:val="123"/>
              </w:numPr>
              <w:spacing w:before="60" w:after="60"/>
              <w:rPr>
                <w:sz w:val="18"/>
                <w:szCs w:val="18"/>
              </w:rPr>
            </w:pPr>
            <w:r w:rsidRPr="00CE7080">
              <w:rPr>
                <w:sz w:val="18"/>
                <w:szCs w:val="18"/>
              </w:rPr>
              <w:t>Sensory neuropathy/neuropathic pain may be managed by appropriate medications (e.g., gabapentin or duloxetine).</w:t>
            </w:r>
          </w:p>
          <w:p w14:paraId="630C14B9" w14:textId="77777777" w:rsidR="00CE7080" w:rsidRPr="00CE7080" w:rsidRDefault="00CE7080" w:rsidP="00CE7080">
            <w:pPr>
              <w:numPr>
                <w:ilvl w:val="0"/>
                <w:numId w:val="123"/>
              </w:numPr>
              <w:spacing w:before="60" w:after="60"/>
              <w:rPr>
                <w:sz w:val="18"/>
                <w:szCs w:val="18"/>
              </w:rPr>
            </w:pPr>
            <w:r w:rsidRPr="00CE7080">
              <w:rPr>
                <w:sz w:val="18"/>
                <w:szCs w:val="18"/>
              </w:rPr>
              <w:t>Promptly start systemic steroids prednisone 1 to 2 mg/kg/day PO or IV equivalent.</w:t>
            </w:r>
          </w:p>
          <w:p w14:paraId="6183EE46" w14:textId="77777777" w:rsidR="00CE7080" w:rsidRPr="00CE7080" w:rsidRDefault="00CE7080" w:rsidP="00CE7080">
            <w:pPr>
              <w:numPr>
                <w:ilvl w:val="0"/>
                <w:numId w:val="123"/>
              </w:numPr>
              <w:spacing w:before="60" w:after="60"/>
              <w:rPr>
                <w:b/>
                <w:bCs/>
                <w:sz w:val="18"/>
                <w:szCs w:val="18"/>
              </w:rPr>
            </w:pPr>
            <w:r w:rsidRPr="00CE7080">
              <w:rPr>
                <w:sz w:val="18"/>
                <w:szCs w:val="18"/>
              </w:rPr>
              <w:t xml:space="preserve">If no improvement within 2 to 3 days despite 1 to 2 mg/kg/day prednisone PO or IV equivalent, consider additional workup and promptly treat with additional immunosuppressive therapy (e.g., IV IG </w:t>
            </w:r>
            <w:r w:rsidRPr="00CE7080">
              <w:t xml:space="preserve"> </w:t>
            </w:r>
            <w:r w:rsidRPr="00CE7080">
              <w:rPr>
                <w:sz w:val="18"/>
                <w:szCs w:val="18"/>
              </w:rPr>
              <w:t>other immunosuppressive depending on the specific imAE).</w:t>
            </w:r>
          </w:p>
        </w:tc>
      </w:tr>
      <w:tr w:rsidR="00CE7080" w:rsidRPr="00CE7080" w14:paraId="572E0E72" w14:textId="77777777" w:rsidTr="00CF7A38">
        <w:tc>
          <w:tcPr>
            <w:tcW w:w="1648" w:type="dxa"/>
            <w:vMerge/>
          </w:tcPr>
          <w:p w14:paraId="73547B66" w14:textId="77777777" w:rsidR="00CE7080" w:rsidRPr="00CE7080" w:rsidRDefault="00CE7080" w:rsidP="00CE7080">
            <w:pPr>
              <w:spacing w:before="60" w:after="60"/>
              <w:rPr>
                <w:sz w:val="18"/>
                <w:szCs w:val="18"/>
              </w:rPr>
            </w:pPr>
          </w:p>
        </w:tc>
        <w:tc>
          <w:tcPr>
            <w:tcW w:w="2127" w:type="dxa"/>
          </w:tcPr>
          <w:p w14:paraId="0B0EEDB2" w14:textId="77777777" w:rsidR="00CE7080" w:rsidRPr="00CE7080" w:rsidRDefault="00CE7080" w:rsidP="00CE7080">
            <w:pPr>
              <w:spacing w:before="60" w:after="60"/>
              <w:rPr>
                <w:sz w:val="18"/>
                <w:szCs w:val="18"/>
              </w:rPr>
            </w:pPr>
            <w:r w:rsidRPr="00CE7080">
              <w:rPr>
                <w:b/>
                <w:bCs/>
                <w:sz w:val="18"/>
                <w:szCs w:val="18"/>
              </w:rPr>
              <w:t>Grade 3 or 4</w:t>
            </w:r>
          </w:p>
        </w:tc>
        <w:tc>
          <w:tcPr>
            <w:tcW w:w="3330" w:type="dxa"/>
          </w:tcPr>
          <w:p w14:paraId="56C18008" w14:textId="77777777" w:rsidR="00CE7080" w:rsidRPr="00CE7080" w:rsidRDefault="00CE7080" w:rsidP="00CE7080">
            <w:pPr>
              <w:spacing w:before="60" w:after="60"/>
              <w:rPr>
                <w:b/>
                <w:bCs/>
                <w:sz w:val="18"/>
                <w:szCs w:val="18"/>
              </w:rPr>
            </w:pPr>
            <w:r w:rsidRPr="00CE7080">
              <w:rPr>
                <w:b/>
                <w:bCs/>
                <w:sz w:val="18"/>
                <w:szCs w:val="18"/>
              </w:rPr>
              <w:t>For Grade 3 or 4:</w:t>
            </w:r>
          </w:p>
          <w:p w14:paraId="58599FDA" w14:textId="77777777" w:rsidR="00CE7080" w:rsidRPr="00CE7080" w:rsidRDefault="00CE7080" w:rsidP="00CE7080">
            <w:pPr>
              <w:spacing w:before="60" w:after="60"/>
              <w:rPr>
                <w:sz w:val="18"/>
                <w:szCs w:val="18"/>
              </w:rPr>
            </w:pPr>
            <w:r w:rsidRPr="00CE7080">
              <w:rPr>
                <w:sz w:val="18"/>
                <w:szCs w:val="18"/>
              </w:rPr>
              <w:t>Permanently discontinue study drug/study regimen.</w:t>
            </w:r>
          </w:p>
        </w:tc>
        <w:tc>
          <w:tcPr>
            <w:tcW w:w="5845" w:type="dxa"/>
          </w:tcPr>
          <w:p w14:paraId="01564C16" w14:textId="77777777" w:rsidR="00CE7080" w:rsidRPr="00CE7080" w:rsidRDefault="00CE7080" w:rsidP="00CE7080">
            <w:pPr>
              <w:spacing w:before="60" w:after="60"/>
              <w:rPr>
                <w:b/>
                <w:bCs/>
                <w:sz w:val="18"/>
                <w:szCs w:val="18"/>
              </w:rPr>
            </w:pPr>
            <w:r w:rsidRPr="00CE7080">
              <w:rPr>
                <w:b/>
                <w:bCs/>
                <w:sz w:val="18"/>
                <w:szCs w:val="18"/>
              </w:rPr>
              <w:t>For Grade 3 or 4:</w:t>
            </w:r>
          </w:p>
          <w:p w14:paraId="66B18BF5" w14:textId="77777777" w:rsidR="00CE7080" w:rsidRPr="00CE7080" w:rsidRDefault="00CE7080" w:rsidP="00CE7080">
            <w:pPr>
              <w:numPr>
                <w:ilvl w:val="0"/>
                <w:numId w:val="124"/>
              </w:numPr>
              <w:spacing w:before="60" w:after="60"/>
              <w:rPr>
                <w:sz w:val="18"/>
                <w:szCs w:val="18"/>
              </w:rPr>
            </w:pPr>
            <w:r w:rsidRPr="00CE7080">
              <w:rPr>
                <w:sz w:val="18"/>
                <w:szCs w:val="18"/>
              </w:rPr>
              <w:t>Consider, as necessary, discussing with study physician.</w:t>
            </w:r>
          </w:p>
          <w:p w14:paraId="4453170A" w14:textId="77777777" w:rsidR="00CE7080" w:rsidRPr="00CE7080" w:rsidRDefault="00CE7080" w:rsidP="00CE7080">
            <w:pPr>
              <w:numPr>
                <w:ilvl w:val="0"/>
                <w:numId w:val="124"/>
              </w:numPr>
              <w:spacing w:before="60" w:after="60"/>
              <w:rPr>
                <w:sz w:val="18"/>
                <w:szCs w:val="18"/>
              </w:rPr>
            </w:pPr>
            <w:r w:rsidRPr="00CE7080">
              <w:rPr>
                <w:sz w:val="18"/>
                <w:szCs w:val="18"/>
              </w:rPr>
              <w:t>Obtain Neurology consult.</w:t>
            </w:r>
          </w:p>
          <w:p w14:paraId="42A7A231" w14:textId="77777777" w:rsidR="00CE7080" w:rsidRPr="00CE7080" w:rsidRDefault="00CE7080" w:rsidP="00CE7080">
            <w:pPr>
              <w:numPr>
                <w:ilvl w:val="0"/>
                <w:numId w:val="124"/>
              </w:numPr>
              <w:spacing w:before="60" w:after="60"/>
              <w:rPr>
                <w:sz w:val="18"/>
                <w:szCs w:val="18"/>
              </w:rPr>
            </w:pPr>
            <w:r w:rsidRPr="00CE7080">
              <w:rPr>
                <w:sz w:val="18"/>
                <w:szCs w:val="18"/>
              </w:rPr>
              <w:t>Consider hospitalization.</w:t>
            </w:r>
          </w:p>
          <w:p w14:paraId="3405F72F" w14:textId="77777777" w:rsidR="00CE7080" w:rsidRPr="00CE7080" w:rsidRDefault="00CE7080" w:rsidP="00CE7080">
            <w:pPr>
              <w:numPr>
                <w:ilvl w:val="0"/>
                <w:numId w:val="124"/>
              </w:numPr>
              <w:spacing w:before="60" w:after="60"/>
              <w:rPr>
                <w:sz w:val="18"/>
                <w:szCs w:val="18"/>
              </w:rPr>
            </w:pPr>
            <w:r w:rsidRPr="00CE7080">
              <w:rPr>
                <w:sz w:val="18"/>
                <w:szCs w:val="18"/>
              </w:rPr>
              <w:t>Promptly initiate empiric IV methylprednisolone 1 to 2 mg/kg/day or equivalent.</w:t>
            </w:r>
          </w:p>
          <w:p w14:paraId="63E8A78E" w14:textId="77777777" w:rsidR="00CE7080" w:rsidRPr="00CE7080" w:rsidRDefault="00CE7080" w:rsidP="00CE7080">
            <w:pPr>
              <w:numPr>
                <w:ilvl w:val="0"/>
                <w:numId w:val="124"/>
              </w:numPr>
              <w:spacing w:before="60" w:after="60"/>
              <w:rPr>
                <w:sz w:val="18"/>
                <w:szCs w:val="18"/>
              </w:rPr>
            </w:pPr>
            <w:r w:rsidRPr="00CE7080">
              <w:rPr>
                <w:sz w:val="18"/>
                <w:szCs w:val="18"/>
              </w:rPr>
              <w:t xml:space="preserve">If no improvement within 2 to 3 days despite IV corticosteroids, consider additional workup and promptly treat with additional immunosuppressants (e.g., IV IG </w:t>
            </w:r>
            <w:r w:rsidRPr="00CE7080">
              <w:t xml:space="preserve"> or </w:t>
            </w:r>
            <w:r w:rsidRPr="00CE7080">
              <w:rPr>
                <w:sz w:val="18"/>
                <w:szCs w:val="18"/>
              </w:rPr>
              <w:t>other immunosuppressive depending on the specific imAE).</w:t>
            </w:r>
          </w:p>
          <w:p w14:paraId="6F70D87C" w14:textId="77777777" w:rsidR="00CE7080" w:rsidRPr="00CE7080" w:rsidRDefault="00CE7080" w:rsidP="00CE7080">
            <w:pPr>
              <w:spacing w:before="60" w:after="60"/>
              <w:rPr>
                <w:b/>
                <w:bCs/>
                <w:sz w:val="18"/>
                <w:szCs w:val="18"/>
              </w:rPr>
            </w:pPr>
            <w:r w:rsidRPr="00CE7080">
              <w:rPr>
                <w:sz w:val="18"/>
                <w:szCs w:val="18"/>
              </w:rPr>
              <w:t>Once stable, gradually taper steroids over ≥28 days.</w:t>
            </w:r>
          </w:p>
        </w:tc>
      </w:tr>
      <w:tr w:rsidR="00CE7080" w:rsidRPr="00CE7080" w14:paraId="7872408C" w14:textId="77777777" w:rsidTr="00CF7A38">
        <w:tc>
          <w:tcPr>
            <w:tcW w:w="1648" w:type="dxa"/>
            <w:vMerge w:val="restart"/>
          </w:tcPr>
          <w:p w14:paraId="1CED1FEE" w14:textId="77777777" w:rsidR="00CE7080" w:rsidRPr="00CE7080" w:rsidRDefault="00CE7080" w:rsidP="00CE7080">
            <w:pPr>
              <w:spacing w:before="60" w:after="60"/>
              <w:rPr>
                <w:b/>
                <w:bCs/>
                <w:sz w:val="18"/>
                <w:szCs w:val="18"/>
              </w:rPr>
            </w:pPr>
            <w:r w:rsidRPr="00CE7080">
              <w:rPr>
                <w:b/>
                <w:bCs/>
                <w:sz w:val="18"/>
                <w:szCs w:val="18"/>
              </w:rPr>
              <w:t>Peripheral neuromotor syndromes</w:t>
            </w:r>
          </w:p>
          <w:p w14:paraId="4FEEB23F" w14:textId="77777777" w:rsidR="00CE7080" w:rsidRPr="00CE7080" w:rsidRDefault="00CE7080" w:rsidP="00CE7080">
            <w:pPr>
              <w:spacing w:before="60" w:after="60"/>
              <w:rPr>
                <w:sz w:val="18"/>
                <w:szCs w:val="18"/>
              </w:rPr>
            </w:pPr>
            <w:r w:rsidRPr="00CE7080">
              <w:rPr>
                <w:sz w:val="18"/>
                <w:szCs w:val="18"/>
              </w:rPr>
              <w:lastRenderedPageBreak/>
              <w:t>(such as Guillain-Barre and myasthenia gravis)</w:t>
            </w:r>
          </w:p>
        </w:tc>
        <w:tc>
          <w:tcPr>
            <w:tcW w:w="2127" w:type="dxa"/>
          </w:tcPr>
          <w:p w14:paraId="1338EAFD" w14:textId="77777777" w:rsidR="00CE7080" w:rsidRPr="00CE7080" w:rsidRDefault="00CE7080" w:rsidP="00CE7080">
            <w:pPr>
              <w:spacing w:before="60" w:after="60"/>
              <w:rPr>
                <w:b/>
                <w:bCs/>
                <w:sz w:val="18"/>
                <w:szCs w:val="18"/>
              </w:rPr>
            </w:pPr>
            <w:r w:rsidRPr="00CE7080">
              <w:rPr>
                <w:b/>
                <w:bCs/>
                <w:sz w:val="18"/>
                <w:szCs w:val="18"/>
              </w:rPr>
              <w:lastRenderedPageBreak/>
              <w:t>Any Grade</w:t>
            </w:r>
          </w:p>
        </w:tc>
        <w:tc>
          <w:tcPr>
            <w:tcW w:w="3330" w:type="dxa"/>
          </w:tcPr>
          <w:p w14:paraId="099BA60F" w14:textId="77777777" w:rsidR="00CE7080" w:rsidRPr="00CE7080" w:rsidRDefault="00CE7080" w:rsidP="00CE7080">
            <w:pPr>
              <w:spacing w:before="60" w:after="60"/>
              <w:rPr>
                <w:b/>
                <w:bCs/>
                <w:sz w:val="18"/>
                <w:szCs w:val="18"/>
              </w:rPr>
            </w:pPr>
            <w:r w:rsidRPr="00CE7080">
              <w:rPr>
                <w:b/>
                <w:bCs/>
                <w:sz w:val="18"/>
                <w:szCs w:val="18"/>
              </w:rPr>
              <w:t>General Guidance</w:t>
            </w:r>
          </w:p>
        </w:tc>
        <w:tc>
          <w:tcPr>
            <w:tcW w:w="5845" w:type="dxa"/>
          </w:tcPr>
          <w:p w14:paraId="333E3F21" w14:textId="77777777" w:rsidR="00CE7080" w:rsidRPr="00CE7080" w:rsidRDefault="00CE7080" w:rsidP="00CE7080">
            <w:pPr>
              <w:spacing w:before="60" w:after="60"/>
              <w:rPr>
                <w:b/>
                <w:bCs/>
                <w:sz w:val="18"/>
                <w:szCs w:val="18"/>
              </w:rPr>
            </w:pPr>
            <w:r w:rsidRPr="00CE7080">
              <w:rPr>
                <w:b/>
                <w:bCs/>
                <w:sz w:val="18"/>
                <w:szCs w:val="18"/>
              </w:rPr>
              <w:t>For Any Grade:</w:t>
            </w:r>
          </w:p>
          <w:p w14:paraId="760898DF" w14:textId="77777777" w:rsidR="00CE7080" w:rsidRPr="00CE7080" w:rsidRDefault="00CE7080" w:rsidP="00CE7080">
            <w:pPr>
              <w:numPr>
                <w:ilvl w:val="0"/>
                <w:numId w:val="125"/>
              </w:numPr>
              <w:spacing w:before="60" w:after="60"/>
              <w:rPr>
                <w:sz w:val="18"/>
                <w:szCs w:val="18"/>
              </w:rPr>
            </w:pPr>
            <w:r w:rsidRPr="00CE7080">
              <w:rPr>
                <w:sz w:val="18"/>
                <w:szCs w:val="18"/>
              </w:rPr>
              <w:t xml:space="preserve">The prompt diagnosis of immune-mediated peripheral neuromotor syndromes is important, since certain patients may </w:t>
            </w:r>
            <w:r w:rsidRPr="00CE7080">
              <w:rPr>
                <w:sz w:val="18"/>
                <w:szCs w:val="18"/>
              </w:rPr>
              <w:lastRenderedPageBreak/>
              <w:t>unpredictably experience acute decompensations that can result in substantial morbidity or in the worst case, death. Special care should be taken for certain sentinel symptoms that may predict a more severe outcome, such as prominent dysphagia, rapidly progressive weakness, and signs of respiratory insufficiency or autonomic instability.</w:t>
            </w:r>
          </w:p>
          <w:p w14:paraId="42DD9295" w14:textId="77777777" w:rsidR="00CE7080" w:rsidRPr="00CE7080" w:rsidRDefault="00CE7080" w:rsidP="00CE7080">
            <w:pPr>
              <w:numPr>
                <w:ilvl w:val="0"/>
                <w:numId w:val="125"/>
              </w:numPr>
              <w:spacing w:before="60" w:after="60"/>
              <w:rPr>
                <w:sz w:val="18"/>
                <w:szCs w:val="18"/>
              </w:rPr>
            </w:pPr>
            <w:r w:rsidRPr="00CE7080">
              <w:rPr>
                <w:sz w:val="18"/>
                <w:szCs w:val="18"/>
              </w:rPr>
              <w:t>Patients should be evaluated to rule out any alternative etiology (e.g., disease progression, infections, metabolic syndromes or medications). It should be noted that the diagnosis of immune-mediated peripheral neuromotor syndromes can be particularly challenging in patients with underlying cancer, due to the multiple potential confounding effects of cancer (and its treatments) throughout the neuraxis. Given the importance of prompt and accurate diagnosis, it is essential to have a low threshold to obtain a Neurology consult.</w:t>
            </w:r>
          </w:p>
          <w:p w14:paraId="494D2370" w14:textId="77777777" w:rsidR="00CE7080" w:rsidRPr="00CE7080" w:rsidRDefault="00CE7080" w:rsidP="00CE7080">
            <w:pPr>
              <w:numPr>
                <w:ilvl w:val="0"/>
                <w:numId w:val="125"/>
              </w:numPr>
              <w:spacing w:before="60" w:after="60"/>
              <w:rPr>
                <w:sz w:val="18"/>
                <w:szCs w:val="18"/>
              </w:rPr>
            </w:pPr>
            <w:r w:rsidRPr="00CE7080">
              <w:rPr>
                <w:sz w:val="18"/>
                <w:szCs w:val="18"/>
              </w:rPr>
              <w:t>Neurophysiologic diagnostic testing (e.g., electromyogram and nerve conduction investigations, and “repetitive stimulation” if myasthenia is suspected) are routinely indicated upon suspicion of such conditions and may be best facilitated by means of a Neurology consultation.</w:t>
            </w:r>
          </w:p>
          <w:p w14:paraId="2F555A34" w14:textId="77777777" w:rsidR="00CE7080" w:rsidRPr="00CE7080" w:rsidRDefault="00CE7080" w:rsidP="00CE7080">
            <w:pPr>
              <w:numPr>
                <w:ilvl w:val="0"/>
                <w:numId w:val="125"/>
              </w:numPr>
              <w:spacing w:before="60" w:after="60"/>
              <w:rPr>
                <w:b/>
                <w:bCs/>
                <w:sz w:val="18"/>
                <w:szCs w:val="18"/>
              </w:rPr>
            </w:pPr>
            <w:r w:rsidRPr="00CE7080">
              <w:rPr>
                <w:sz w:val="18"/>
                <w:szCs w:val="18"/>
              </w:rPr>
              <w:t>It is important to consider that the use of steroids as the primary treatment of Guillain-Barre is not typically considered effective. Patients requiring treatment should be started with IV IG and followed by plasmapheresis if not responsive to IV IG.</w:t>
            </w:r>
          </w:p>
        </w:tc>
      </w:tr>
      <w:tr w:rsidR="00CE7080" w:rsidRPr="00CE7080" w14:paraId="71567A7A" w14:textId="77777777" w:rsidTr="00CF7A38">
        <w:tc>
          <w:tcPr>
            <w:tcW w:w="1648" w:type="dxa"/>
            <w:vMerge/>
          </w:tcPr>
          <w:p w14:paraId="52233BE3" w14:textId="77777777" w:rsidR="00CE7080" w:rsidRPr="00CE7080" w:rsidRDefault="00CE7080" w:rsidP="00CE7080">
            <w:pPr>
              <w:spacing w:before="60" w:after="60"/>
              <w:rPr>
                <w:sz w:val="18"/>
                <w:szCs w:val="18"/>
              </w:rPr>
            </w:pPr>
          </w:p>
        </w:tc>
        <w:tc>
          <w:tcPr>
            <w:tcW w:w="2127" w:type="dxa"/>
          </w:tcPr>
          <w:p w14:paraId="2CBD4537" w14:textId="77777777" w:rsidR="00CE7080" w:rsidRPr="00CE7080" w:rsidRDefault="00CE7080" w:rsidP="00CE7080">
            <w:pPr>
              <w:spacing w:before="60" w:after="60"/>
              <w:rPr>
                <w:b/>
                <w:bCs/>
                <w:sz w:val="18"/>
                <w:szCs w:val="18"/>
              </w:rPr>
            </w:pPr>
            <w:r w:rsidRPr="00CE7080">
              <w:rPr>
                <w:b/>
                <w:bCs/>
                <w:sz w:val="18"/>
                <w:szCs w:val="18"/>
              </w:rPr>
              <w:t>Grade 1</w:t>
            </w:r>
          </w:p>
          <w:p w14:paraId="741508F9" w14:textId="77777777" w:rsidR="00CE7080" w:rsidRPr="00CE7080" w:rsidRDefault="00CE7080" w:rsidP="00CE7080">
            <w:pPr>
              <w:spacing w:before="60" w:after="60"/>
              <w:rPr>
                <w:bCs/>
                <w:sz w:val="18"/>
                <w:szCs w:val="18"/>
              </w:rPr>
            </w:pPr>
            <w:r w:rsidRPr="00CE7080">
              <w:rPr>
                <w:bCs/>
                <w:sz w:val="18"/>
                <w:szCs w:val="18"/>
              </w:rPr>
              <w:t>(</w:t>
            </w:r>
            <w:r w:rsidRPr="00CE7080">
              <w:rPr>
                <w:sz w:val="18"/>
                <w:szCs w:val="18"/>
              </w:rPr>
              <w:t>Guillain-Barre [</w:t>
            </w:r>
            <w:r w:rsidRPr="00CE7080">
              <w:rPr>
                <w:bCs/>
                <w:sz w:val="18"/>
                <w:szCs w:val="18"/>
              </w:rPr>
              <w:t xml:space="preserve">GB]: mild symptoms) (Myasthenia gravis [MG]: asymptomatic or </w:t>
            </w:r>
            <w:r w:rsidRPr="00CE7080">
              <w:rPr>
                <w:bCs/>
                <w:sz w:val="18"/>
                <w:szCs w:val="18"/>
              </w:rPr>
              <w:lastRenderedPageBreak/>
              <w:t xml:space="preserve">mild symptoms; clinical or diagnostic observations only; intervention not indicated) </w:t>
            </w:r>
          </w:p>
        </w:tc>
        <w:tc>
          <w:tcPr>
            <w:tcW w:w="3330" w:type="dxa"/>
          </w:tcPr>
          <w:p w14:paraId="660628EC" w14:textId="77777777" w:rsidR="00CE7080" w:rsidRPr="00CE7080" w:rsidRDefault="00CE7080" w:rsidP="00CE7080">
            <w:pPr>
              <w:spacing w:before="60" w:after="60"/>
              <w:rPr>
                <w:sz w:val="18"/>
                <w:szCs w:val="18"/>
              </w:rPr>
            </w:pPr>
            <w:r w:rsidRPr="00CE7080">
              <w:rPr>
                <w:sz w:val="18"/>
                <w:szCs w:val="18"/>
              </w:rPr>
              <w:lastRenderedPageBreak/>
              <w:t>No dose modifications.</w:t>
            </w:r>
          </w:p>
        </w:tc>
        <w:tc>
          <w:tcPr>
            <w:tcW w:w="5845" w:type="dxa"/>
          </w:tcPr>
          <w:p w14:paraId="155CD84D" w14:textId="77777777" w:rsidR="00CE7080" w:rsidRPr="00CE7080" w:rsidRDefault="00CE7080" w:rsidP="00CE7080">
            <w:pPr>
              <w:spacing w:before="60" w:after="60"/>
              <w:rPr>
                <w:b/>
                <w:bCs/>
                <w:sz w:val="18"/>
                <w:szCs w:val="18"/>
              </w:rPr>
            </w:pPr>
            <w:r w:rsidRPr="00CE7080">
              <w:rPr>
                <w:b/>
                <w:bCs/>
                <w:sz w:val="18"/>
                <w:szCs w:val="18"/>
              </w:rPr>
              <w:t>For Grade 1:</w:t>
            </w:r>
          </w:p>
          <w:p w14:paraId="25E2D166" w14:textId="77777777" w:rsidR="00CE7080" w:rsidRPr="00CE7080" w:rsidRDefault="00CE7080" w:rsidP="00CE7080">
            <w:pPr>
              <w:numPr>
                <w:ilvl w:val="0"/>
                <w:numId w:val="126"/>
              </w:numPr>
              <w:spacing w:before="60" w:after="60"/>
              <w:rPr>
                <w:sz w:val="18"/>
                <w:szCs w:val="18"/>
              </w:rPr>
            </w:pPr>
            <w:r w:rsidRPr="00CE7080">
              <w:rPr>
                <w:sz w:val="18"/>
                <w:szCs w:val="18"/>
              </w:rPr>
              <w:t>Consider, as necessary, discussing with the study physician.</w:t>
            </w:r>
          </w:p>
          <w:p w14:paraId="0987FE37" w14:textId="77777777" w:rsidR="00CE7080" w:rsidRPr="00CE7080" w:rsidRDefault="00CE7080" w:rsidP="00CE7080">
            <w:pPr>
              <w:numPr>
                <w:ilvl w:val="0"/>
                <w:numId w:val="126"/>
              </w:numPr>
              <w:spacing w:before="60" w:after="60"/>
              <w:rPr>
                <w:sz w:val="18"/>
                <w:szCs w:val="18"/>
              </w:rPr>
            </w:pPr>
            <w:r w:rsidRPr="00CE7080">
              <w:rPr>
                <w:sz w:val="18"/>
                <w:szCs w:val="18"/>
              </w:rPr>
              <w:t>Care should be taken to monitor patients for sentinel symptoms of a potential decompensation as described above.</w:t>
            </w:r>
          </w:p>
          <w:p w14:paraId="41303462" w14:textId="77777777" w:rsidR="00CE7080" w:rsidRPr="00CE7080" w:rsidRDefault="00CE7080" w:rsidP="00CE7080">
            <w:pPr>
              <w:spacing w:before="60" w:after="60"/>
              <w:rPr>
                <w:b/>
                <w:bCs/>
                <w:sz w:val="18"/>
                <w:szCs w:val="18"/>
              </w:rPr>
            </w:pPr>
            <w:r w:rsidRPr="00CE7080">
              <w:rPr>
                <w:sz w:val="18"/>
                <w:szCs w:val="18"/>
              </w:rPr>
              <w:lastRenderedPageBreak/>
              <w:t>Obtain a Neurology consult.</w:t>
            </w:r>
          </w:p>
        </w:tc>
      </w:tr>
      <w:tr w:rsidR="00CE7080" w:rsidRPr="00CE7080" w14:paraId="7248BAFA" w14:textId="77777777" w:rsidTr="00CF7A38">
        <w:tc>
          <w:tcPr>
            <w:tcW w:w="1648" w:type="dxa"/>
            <w:vMerge/>
          </w:tcPr>
          <w:p w14:paraId="1DA58339" w14:textId="77777777" w:rsidR="00CE7080" w:rsidRPr="00CE7080" w:rsidRDefault="00CE7080" w:rsidP="00CE7080">
            <w:pPr>
              <w:spacing w:before="60" w:after="60"/>
              <w:rPr>
                <w:sz w:val="18"/>
                <w:szCs w:val="18"/>
              </w:rPr>
            </w:pPr>
          </w:p>
        </w:tc>
        <w:tc>
          <w:tcPr>
            <w:tcW w:w="2127" w:type="dxa"/>
          </w:tcPr>
          <w:p w14:paraId="71A7E092" w14:textId="77777777" w:rsidR="00CE7080" w:rsidRPr="00CE7080" w:rsidRDefault="00CE7080" w:rsidP="00CE7080">
            <w:pPr>
              <w:spacing w:before="60" w:after="60"/>
              <w:rPr>
                <w:bCs/>
                <w:sz w:val="18"/>
                <w:szCs w:val="18"/>
              </w:rPr>
            </w:pPr>
            <w:r w:rsidRPr="00CE7080">
              <w:rPr>
                <w:b/>
                <w:bCs/>
                <w:sz w:val="18"/>
                <w:szCs w:val="18"/>
              </w:rPr>
              <w:t>Grade 2</w:t>
            </w:r>
            <w:r w:rsidRPr="00CE7080">
              <w:rPr>
                <w:b/>
                <w:bCs/>
                <w:sz w:val="18"/>
                <w:szCs w:val="18"/>
              </w:rPr>
              <w:br/>
            </w:r>
            <w:r w:rsidRPr="00CE7080">
              <w:rPr>
                <w:bCs/>
                <w:sz w:val="18"/>
                <w:szCs w:val="18"/>
              </w:rPr>
              <w:t>(GB: moderate symptoms; limiting instrumental ADL)</w:t>
            </w:r>
          </w:p>
          <w:p w14:paraId="505F2A16" w14:textId="77777777" w:rsidR="00CE7080" w:rsidRPr="00CE7080" w:rsidRDefault="00CE7080" w:rsidP="00CE7080">
            <w:pPr>
              <w:spacing w:before="60" w:after="60"/>
              <w:rPr>
                <w:bCs/>
                <w:sz w:val="18"/>
                <w:szCs w:val="18"/>
              </w:rPr>
            </w:pPr>
            <w:r w:rsidRPr="00CE7080">
              <w:rPr>
                <w:bCs/>
                <w:sz w:val="18"/>
                <w:szCs w:val="18"/>
              </w:rPr>
              <w:t>(MG: moderate; minimal, local or noninvasive intervention indicated; limiting age-appropriate instrumental ADL)</w:t>
            </w:r>
          </w:p>
        </w:tc>
        <w:tc>
          <w:tcPr>
            <w:tcW w:w="3330" w:type="dxa"/>
          </w:tcPr>
          <w:p w14:paraId="6DDE814E" w14:textId="77777777" w:rsidR="00CE7080" w:rsidRPr="00CE7080" w:rsidRDefault="00CE7080" w:rsidP="00CE7080">
            <w:pPr>
              <w:spacing w:before="60" w:after="60"/>
              <w:rPr>
                <w:sz w:val="18"/>
                <w:szCs w:val="18"/>
              </w:rPr>
            </w:pPr>
            <w:r w:rsidRPr="00CE7080">
              <w:rPr>
                <w:sz w:val="18"/>
                <w:szCs w:val="18"/>
              </w:rPr>
              <w:t>Hold study drug/study regimen dose until resolution to Grade ≤1.</w:t>
            </w:r>
          </w:p>
          <w:p w14:paraId="0C137C15" w14:textId="77777777" w:rsidR="00CE7080" w:rsidRPr="00CE7080" w:rsidRDefault="00CE7080" w:rsidP="00CE7080">
            <w:pPr>
              <w:spacing w:before="60" w:after="60"/>
              <w:rPr>
                <w:sz w:val="18"/>
                <w:szCs w:val="18"/>
              </w:rPr>
            </w:pPr>
            <w:r w:rsidRPr="00CE7080">
              <w:rPr>
                <w:sz w:val="18"/>
                <w:szCs w:val="18"/>
              </w:rPr>
              <w:t>Permanently discontinue study drug/study regimen if it does not resolve to Grade ≤1 within 30 days or if there are signs of respiratory insufficiency or autonomic instability.</w:t>
            </w:r>
          </w:p>
        </w:tc>
        <w:tc>
          <w:tcPr>
            <w:tcW w:w="5845" w:type="dxa"/>
          </w:tcPr>
          <w:p w14:paraId="628BF716" w14:textId="77777777" w:rsidR="00CE7080" w:rsidRPr="00CE7080" w:rsidRDefault="00CE7080" w:rsidP="00CE7080">
            <w:pPr>
              <w:spacing w:before="60" w:after="60"/>
              <w:rPr>
                <w:b/>
                <w:bCs/>
                <w:sz w:val="18"/>
                <w:szCs w:val="18"/>
              </w:rPr>
            </w:pPr>
            <w:r w:rsidRPr="00CE7080">
              <w:rPr>
                <w:b/>
                <w:bCs/>
                <w:sz w:val="18"/>
                <w:szCs w:val="18"/>
              </w:rPr>
              <w:t>For Grade 2:</w:t>
            </w:r>
          </w:p>
          <w:p w14:paraId="2E92EF72" w14:textId="77777777" w:rsidR="00CE7080" w:rsidRPr="00CE7080" w:rsidRDefault="00CE7080" w:rsidP="00CE7080">
            <w:pPr>
              <w:numPr>
                <w:ilvl w:val="0"/>
                <w:numId w:val="127"/>
              </w:numPr>
              <w:spacing w:before="60" w:after="60"/>
              <w:rPr>
                <w:sz w:val="18"/>
                <w:szCs w:val="18"/>
              </w:rPr>
            </w:pPr>
            <w:r w:rsidRPr="00CE7080">
              <w:rPr>
                <w:sz w:val="18"/>
                <w:szCs w:val="18"/>
              </w:rPr>
              <w:t>Consider, as necessary, discussing with the study physician.</w:t>
            </w:r>
          </w:p>
          <w:p w14:paraId="55F8A3D5" w14:textId="77777777" w:rsidR="00CE7080" w:rsidRPr="00CE7080" w:rsidRDefault="00CE7080" w:rsidP="00CE7080">
            <w:pPr>
              <w:numPr>
                <w:ilvl w:val="0"/>
                <w:numId w:val="127"/>
              </w:numPr>
              <w:spacing w:before="60" w:after="60"/>
              <w:rPr>
                <w:sz w:val="18"/>
                <w:szCs w:val="18"/>
              </w:rPr>
            </w:pPr>
            <w:r w:rsidRPr="00CE7080">
              <w:rPr>
                <w:sz w:val="18"/>
                <w:szCs w:val="18"/>
              </w:rPr>
              <w:t>Care should be taken to monitor patients for sentinel symptoms of a potential decompensation as described above.</w:t>
            </w:r>
          </w:p>
          <w:p w14:paraId="3EB1FDCB" w14:textId="77777777" w:rsidR="00CE7080" w:rsidRPr="00CE7080" w:rsidRDefault="00CE7080" w:rsidP="00CE7080">
            <w:pPr>
              <w:numPr>
                <w:ilvl w:val="0"/>
                <w:numId w:val="127"/>
              </w:numPr>
              <w:spacing w:before="60" w:after="60"/>
              <w:rPr>
                <w:sz w:val="18"/>
                <w:szCs w:val="18"/>
              </w:rPr>
            </w:pPr>
            <w:r w:rsidRPr="00CE7080">
              <w:rPr>
                <w:sz w:val="18"/>
                <w:szCs w:val="18"/>
              </w:rPr>
              <w:t>Obtain a Neurology consult</w:t>
            </w:r>
          </w:p>
          <w:p w14:paraId="4D621F4D" w14:textId="77777777" w:rsidR="00CE7080" w:rsidRPr="00CE7080" w:rsidRDefault="00CE7080" w:rsidP="00CE7080">
            <w:pPr>
              <w:numPr>
                <w:ilvl w:val="0"/>
                <w:numId w:val="127"/>
              </w:numPr>
              <w:spacing w:before="60" w:after="60"/>
              <w:rPr>
                <w:sz w:val="18"/>
                <w:szCs w:val="18"/>
              </w:rPr>
            </w:pPr>
            <w:r w:rsidRPr="00CE7080">
              <w:rPr>
                <w:sz w:val="18"/>
                <w:szCs w:val="18"/>
              </w:rPr>
              <w:t>Sensory neuropathy/neuropathic pain may be managed by appropriate medications (e.g., gabapentin or duloxetine).</w:t>
            </w:r>
          </w:p>
          <w:p w14:paraId="48579C8C" w14:textId="77777777" w:rsidR="00CE7080" w:rsidRPr="00CE7080" w:rsidRDefault="00CE7080" w:rsidP="00CE7080">
            <w:pPr>
              <w:spacing w:before="60" w:after="60"/>
              <w:ind w:left="360"/>
              <w:rPr>
                <w:i/>
                <w:iCs/>
                <w:sz w:val="18"/>
                <w:szCs w:val="18"/>
              </w:rPr>
            </w:pPr>
            <w:r w:rsidRPr="00CE7080">
              <w:rPr>
                <w:i/>
                <w:iCs/>
                <w:sz w:val="18"/>
                <w:szCs w:val="18"/>
              </w:rPr>
              <w:t>MYASTHENIA GRAVIS:</w:t>
            </w:r>
          </w:p>
          <w:p w14:paraId="641D7CF3" w14:textId="77777777" w:rsidR="00CE7080" w:rsidRPr="00CE7080" w:rsidRDefault="00CE7080" w:rsidP="00CE7080">
            <w:pPr>
              <w:numPr>
                <w:ilvl w:val="0"/>
                <w:numId w:val="127"/>
              </w:numPr>
              <w:spacing w:before="60" w:after="60"/>
              <w:rPr>
                <w:sz w:val="18"/>
                <w:szCs w:val="18"/>
              </w:rPr>
            </w:pPr>
            <w:r w:rsidRPr="00CE7080">
              <w:rPr>
                <w:sz w:val="18"/>
                <w:szCs w:val="18"/>
              </w:rPr>
              <w:t>Steroids may be successfully used to treat myasthenia gravis. It is important to consider that steroid therapy (especially with high doses) may result in transient worsening of myasthenia and should typically be administered in a monitored setting under supervision of a consulting neurologist.</w:t>
            </w:r>
          </w:p>
          <w:p w14:paraId="5A4F6B2A" w14:textId="77777777" w:rsidR="00CE7080" w:rsidRPr="00CE7080" w:rsidRDefault="00CE7080" w:rsidP="00CE7080">
            <w:pPr>
              <w:numPr>
                <w:ilvl w:val="1"/>
                <w:numId w:val="127"/>
              </w:numPr>
              <w:spacing w:before="60" w:after="60"/>
              <w:ind w:left="720"/>
              <w:rPr>
                <w:sz w:val="18"/>
                <w:szCs w:val="18"/>
              </w:rPr>
            </w:pPr>
            <w:r w:rsidRPr="00CE7080">
              <w:rPr>
                <w:sz w:val="18"/>
                <w:szCs w:val="18"/>
              </w:rPr>
              <w:t>Patients unable to tolerate steroids may be candidates for treatment with plasmapheresis or IV IG. Such decisions are best made in consultation with a neurologist, taking into account the unique needs of each patient.</w:t>
            </w:r>
          </w:p>
          <w:p w14:paraId="33CF11E2" w14:textId="77777777" w:rsidR="00CE7080" w:rsidRPr="00CE7080" w:rsidRDefault="00CE7080" w:rsidP="00CE7080">
            <w:pPr>
              <w:numPr>
                <w:ilvl w:val="1"/>
                <w:numId w:val="127"/>
              </w:numPr>
              <w:spacing w:before="60" w:after="60"/>
              <w:ind w:left="720"/>
              <w:rPr>
                <w:sz w:val="18"/>
                <w:szCs w:val="18"/>
              </w:rPr>
            </w:pPr>
            <w:r w:rsidRPr="00CE7080">
              <w:rPr>
                <w:sz w:val="18"/>
                <w:szCs w:val="18"/>
              </w:rPr>
              <w:t>If myasthenia gravis-like neurotoxicity is present, consider starting AChE inhibitor therapy in addition to steroids. Such therapy, if successful, can also serve to reinforce the diagnosis.</w:t>
            </w:r>
          </w:p>
          <w:p w14:paraId="29EDECF6" w14:textId="77777777" w:rsidR="00CE7080" w:rsidRPr="00CE7080" w:rsidRDefault="00CE7080" w:rsidP="00CE7080">
            <w:pPr>
              <w:numPr>
                <w:ilvl w:val="1"/>
                <w:numId w:val="127"/>
              </w:numPr>
              <w:spacing w:before="60" w:after="60"/>
              <w:ind w:left="720"/>
              <w:rPr>
                <w:sz w:val="18"/>
                <w:szCs w:val="18"/>
              </w:rPr>
            </w:pPr>
            <w:r w:rsidRPr="00CE7080">
              <w:rPr>
                <w:sz w:val="18"/>
                <w:szCs w:val="18"/>
              </w:rPr>
              <w:t>Avoid medications that can worsen myasthenia gravis</w:t>
            </w:r>
          </w:p>
          <w:p w14:paraId="27A85563" w14:textId="77777777" w:rsidR="00CE7080" w:rsidRPr="00CE7080" w:rsidRDefault="00CE7080" w:rsidP="00CE7080">
            <w:pPr>
              <w:spacing w:before="60" w:after="60"/>
              <w:ind w:left="360"/>
              <w:rPr>
                <w:i/>
                <w:iCs/>
                <w:sz w:val="18"/>
                <w:szCs w:val="18"/>
              </w:rPr>
            </w:pPr>
            <w:r w:rsidRPr="00CE7080">
              <w:rPr>
                <w:i/>
                <w:iCs/>
                <w:sz w:val="18"/>
                <w:szCs w:val="18"/>
              </w:rPr>
              <w:t>GUILLAIN-BARRE:</w:t>
            </w:r>
          </w:p>
          <w:p w14:paraId="7FE07D65" w14:textId="77777777" w:rsidR="00CE7080" w:rsidRPr="00CE7080" w:rsidRDefault="00CE7080" w:rsidP="00CE7080">
            <w:pPr>
              <w:numPr>
                <w:ilvl w:val="1"/>
                <w:numId w:val="127"/>
              </w:numPr>
              <w:spacing w:before="60" w:after="60"/>
              <w:ind w:left="720"/>
              <w:rPr>
                <w:sz w:val="18"/>
                <w:szCs w:val="18"/>
              </w:rPr>
            </w:pPr>
            <w:r w:rsidRPr="00CE7080">
              <w:rPr>
                <w:sz w:val="18"/>
                <w:szCs w:val="18"/>
              </w:rPr>
              <w:t xml:space="preserve">It is important to consider here that the use of steroids as the primary treatment </w:t>
            </w:r>
            <w:r w:rsidRPr="00CE7080">
              <w:rPr>
                <w:sz w:val="18"/>
                <w:szCs w:val="18"/>
              </w:rPr>
              <w:lastRenderedPageBreak/>
              <w:t>of Guillain-Barre is not typically considered effective.</w:t>
            </w:r>
          </w:p>
          <w:p w14:paraId="62378200" w14:textId="77777777" w:rsidR="00CE7080" w:rsidRPr="00CE7080" w:rsidRDefault="00CE7080" w:rsidP="00CE7080">
            <w:pPr>
              <w:numPr>
                <w:ilvl w:val="1"/>
                <w:numId w:val="127"/>
              </w:numPr>
              <w:spacing w:before="60" w:after="60"/>
              <w:ind w:left="720"/>
              <w:rPr>
                <w:sz w:val="18"/>
                <w:szCs w:val="18"/>
              </w:rPr>
            </w:pPr>
            <w:r w:rsidRPr="00CE7080">
              <w:rPr>
                <w:sz w:val="18"/>
                <w:szCs w:val="18"/>
              </w:rPr>
              <w:t>Patients requiring treatment should be started with IV IG and followed by plasmapheresis if not responsive to IV IG.</w:t>
            </w:r>
          </w:p>
          <w:p w14:paraId="06833303" w14:textId="77777777" w:rsidR="00CE7080" w:rsidRPr="00CE7080" w:rsidRDefault="00CE7080" w:rsidP="00CE7080">
            <w:pPr>
              <w:spacing w:before="60" w:after="60"/>
              <w:rPr>
                <w:b/>
                <w:bCs/>
                <w:sz w:val="18"/>
                <w:szCs w:val="18"/>
              </w:rPr>
            </w:pPr>
          </w:p>
        </w:tc>
      </w:tr>
      <w:tr w:rsidR="00CE7080" w:rsidRPr="00CE7080" w14:paraId="04826607" w14:textId="77777777" w:rsidTr="00CF7A38">
        <w:tc>
          <w:tcPr>
            <w:tcW w:w="1648" w:type="dxa"/>
            <w:vMerge/>
          </w:tcPr>
          <w:p w14:paraId="6B39EE32" w14:textId="77777777" w:rsidR="00CE7080" w:rsidRPr="00CE7080" w:rsidRDefault="00CE7080" w:rsidP="00CE7080">
            <w:pPr>
              <w:spacing w:before="60" w:after="60"/>
              <w:rPr>
                <w:sz w:val="18"/>
                <w:szCs w:val="18"/>
              </w:rPr>
            </w:pPr>
          </w:p>
        </w:tc>
        <w:tc>
          <w:tcPr>
            <w:tcW w:w="2127" w:type="dxa"/>
          </w:tcPr>
          <w:p w14:paraId="2873EB3A" w14:textId="77777777" w:rsidR="00CE7080" w:rsidRPr="00CE7080" w:rsidRDefault="00CE7080" w:rsidP="00CE7080">
            <w:pPr>
              <w:spacing w:before="60" w:after="60"/>
              <w:rPr>
                <w:bCs/>
                <w:sz w:val="18"/>
                <w:szCs w:val="18"/>
              </w:rPr>
            </w:pPr>
            <w:r w:rsidRPr="00CE7080">
              <w:rPr>
                <w:b/>
                <w:bCs/>
                <w:sz w:val="18"/>
                <w:szCs w:val="18"/>
              </w:rPr>
              <w:t>Grade 3 or 4</w:t>
            </w:r>
            <w:r w:rsidRPr="00CE7080">
              <w:rPr>
                <w:b/>
                <w:bCs/>
                <w:sz w:val="18"/>
                <w:szCs w:val="18"/>
              </w:rPr>
              <w:br/>
            </w:r>
            <w:r w:rsidRPr="00CE7080">
              <w:rPr>
                <w:bCs/>
                <w:sz w:val="18"/>
                <w:szCs w:val="18"/>
              </w:rPr>
              <w:t xml:space="preserve">(Grade 3 GB: severe symptoms; limiting self care ADL; </w:t>
            </w:r>
            <w:r w:rsidRPr="00CE7080">
              <w:rPr>
                <w:bCs/>
                <w:sz w:val="18"/>
                <w:szCs w:val="18"/>
              </w:rPr>
              <w:br/>
              <w:t>Grade 4 GB: life-threatening consequences; urgent intervention indicated; intubation)</w:t>
            </w:r>
          </w:p>
          <w:p w14:paraId="0213DBAD" w14:textId="77777777" w:rsidR="00CE7080" w:rsidRPr="00CE7080" w:rsidRDefault="00CE7080" w:rsidP="00CE7080">
            <w:pPr>
              <w:spacing w:before="60" w:after="60"/>
              <w:rPr>
                <w:b/>
                <w:bCs/>
                <w:sz w:val="18"/>
                <w:szCs w:val="18"/>
              </w:rPr>
            </w:pPr>
            <w:r w:rsidRPr="00CE7080">
              <w:rPr>
                <w:bCs/>
                <w:sz w:val="18"/>
                <w:szCs w:val="18"/>
              </w:rPr>
              <w:t xml:space="preserve">(Grade 3 MG: severe or medically significant but not immediately life-threatening; hospitalization or prolongation of existing hospitalization indicated; limiting self care ADL; </w:t>
            </w:r>
            <w:r w:rsidRPr="00CE7080">
              <w:rPr>
                <w:bCs/>
                <w:sz w:val="18"/>
                <w:szCs w:val="18"/>
              </w:rPr>
              <w:br/>
              <w:t>Grade 4 MG: life-threatening consequences; urgent intervention indicated)</w:t>
            </w:r>
          </w:p>
        </w:tc>
        <w:tc>
          <w:tcPr>
            <w:tcW w:w="3330" w:type="dxa"/>
          </w:tcPr>
          <w:p w14:paraId="4EDF39E3" w14:textId="77777777" w:rsidR="00CE7080" w:rsidRPr="00CE7080" w:rsidRDefault="00CE7080" w:rsidP="00CE7080">
            <w:pPr>
              <w:spacing w:before="60" w:after="60"/>
              <w:rPr>
                <w:b/>
                <w:bCs/>
                <w:sz w:val="18"/>
                <w:szCs w:val="18"/>
              </w:rPr>
            </w:pPr>
            <w:r w:rsidRPr="00CE7080">
              <w:rPr>
                <w:b/>
                <w:bCs/>
                <w:sz w:val="18"/>
                <w:szCs w:val="18"/>
              </w:rPr>
              <w:t>For Grade 3:</w:t>
            </w:r>
          </w:p>
          <w:p w14:paraId="64BCA297" w14:textId="77777777" w:rsidR="00CE7080" w:rsidRPr="00CE7080" w:rsidRDefault="00CE7080" w:rsidP="00CE7080">
            <w:pPr>
              <w:spacing w:before="60" w:after="60"/>
              <w:rPr>
                <w:sz w:val="18"/>
                <w:szCs w:val="18"/>
              </w:rPr>
            </w:pPr>
            <w:r w:rsidRPr="00CE7080">
              <w:rPr>
                <w:sz w:val="18"/>
                <w:szCs w:val="18"/>
              </w:rPr>
              <w:t>Hold study drug/study regimen dose until resolution to Grade ≤1.</w:t>
            </w:r>
          </w:p>
          <w:p w14:paraId="33B665A1" w14:textId="77777777" w:rsidR="00CE7080" w:rsidRPr="00CE7080" w:rsidRDefault="00CE7080" w:rsidP="00CE7080">
            <w:pPr>
              <w:spacing w:before="60" w:after="60"/>
              <w:rPr>
                <w:sz w:val="18"/>
                <w:szCs w:val="18"/>
              </w:rPr>
            </w:pPr>
            <w:r w:rsidRPr="00CE7080">
              <w:rPr>
                <w:sz w:val="18"/>
                <w:szCs w:val="18"/>
              </w:rPr>
              <w:t>Permanently discontinue study drug/study regimen if Grade 3 imAE does not resolve to Grade ≤1 within 30 days or if there are signs of respiratory insufficiency or autonomic instability.</w:t>
            </w:r>
          </w:p>
          <w:p w14:paraId="7765A51B" w14:textId="77777777" w:rsidR="00CE7080" w:rsidRPr="00CE7080" w:rsidRDefault="00CE7080" w:rsidP="00CE7080">
            <w:pPr>
              <w:spacing w:before="60" w:after="60"/>
              <w:rPr>
                <w:sz w:val="18"/>
                <w:szCs w:val="18"/>
              </w:rPr>
            </w:pPr>
          </w:p>
          <w:p w14:paraId="117BF1ED" w14:textId="77777777" w:rsidR="00CE7080" w:rsidRPr="00CE7080" w:rsidRDefault="00CE7080" w:rsidP="00CE7080">
            <w:pPr>
              <w:spacing w:before="60" w:after="60"/>
              <w:rPr>
                <w:sz w:val="18"/>
                <w:szCs w:val="18"/>
              </w:rPr>
            </w:pPr>
          </w:p>
          <w:p w14:paraId="5AFCC0FA" w14:textId="77777777" w:rsidR="00CE7080" w:rsidRPr="00CE7080" w:rsidRDefault="00CE7080" w:rsidP="00CE7080">
            <w:pPr>
              <w:spacing w:before="60" w:after="60"/>
              <w:rPr>
                <w:b/>
                <w:bCs/>
                <w:sz w:val="18"/>
                <w:szCs w:val="18"/>
              </w:rPr>
            </w:pPr>
            <w:r w:rsidRPr="00CE7080">
              <w:rPr>
                <w:b/>
                <w:bCs/>
                <w:sz w:val="18"/>
                <w:szCs w:val="18"/>
              </w:rPr>
              <w:t>For Grade 4:</w:t>
            </w:r>
          </w:p>
          <w:p w14:paraId="2D841349" w14:textId="77777777" w:rsidR="00CE7080" w:rsidRPr="00CE7080" w:rsidRDefault="00CE7080" w:rsidP="00CE7080">
            <w:pPr>
              <w:spacing w:before="60" w:after="60"/>
              <w:rPr>
                <w:sz w:val="18"/>
                <w:szCs w:val="18"/>
              </w:rPr>
            </w:pPr>
            <w:r w:rsidRPr="00CE7080">
              <w:rPr>
                <w:sz w:val="18"/>
                <w:szCs w:val="18"/>
              </w:rPr>
              <w:t>Permanently discontinue study drug/study regimen.</w:t>
            </w:r>
          </w:p>
        </w:tc>
        <w:tc>
          <w:tcPr>
            <w:tcW w:w="5845" w:type="dxa"/>
          </w:tcPr>
          <w:p w14:paraId="3EE4908A" w14:textId="77777777" w:rsidR="00CE7080" w:rsidRPr="00CE7080" w:rsidRDefault="00CE7080" w:rsidP="00CE7080">
            <w:pPr>
              <w:spacing w:before="60" w:after="60"/>
              <w:rPr>
                <w:b/>
                <w:bCs/>
                <w:sz w:val="18"/>
                <w:szCs w:val="18"/>
              </w:rPr>
            </w:pPr>
            <w:r w:rsidRPr="00CE7080">
              <w:rPr>
                <w:b/>
                <w:bCs/>
                <w:sz w:val="18"/>
                <w:szCs w:val="18"/>
              </w:rPr>
              <w:t>For Grade 3 or 4 (severe or life-threatening events):</w:t>
            </w:r>
          </w:p>
          <w:p w14:paraId="6189E0BD" w14:textId="77777777" w:rsidR="00CE7080" w:rsidRPr="00CE7080" w:rsidRDefault="00CE7080" w:rsidP="00CE7080">
            <w:pPr>
              <w:numPr>
                <w:ilvl w:val="0"/>
                <w:numId w:val="128"/>
              </w:numPr>
              <w:spacing w:before="60" w:after="60"/>
              <w:rPr>
                <w:sz w:val="18"/>
                <w:szCs w:val="18"/>
              </w:rPr>
            </w:pPr>
            <w:r w:rsidRPr="00CE7080">
              <w:rPr>
                <w:sz w:val="18"/>
                <w:szCs w:val="18"/>
              </w:rPr>
              <w:t>Consider, as necessary, discussing with study physician.</w:t>
            </w:r>
          </w:p>
          <w:p w14:paraId="017F8E00" w14:textId="77777777" w:rsidR="00CE7080" w:rsidRPr="00CE7080" w:rsidRDefault="00CE7080" w:rsidP="00CE7080">
            <w:pPr>
              <w:numPr>
                <w:ilvl w:val="0"/>
                <w:numId w:val="128"/>
              </w:numPr>
              <w:spacing w:before="60" w:after="60"/>
              <w:rPr>
                <w:sz w:val="18"/>
                <w:szCs w:val="18"/>
              </w:rPr>
            </w:pPr>
            <w:r w:rsidRPr="00CE7080">
              <w:rPr>
                <w:sz w:val="18"/>
                <w:szCs w:val="18"/>
              </w:rPr>
              <w:t>Recommend hospitalization.</w:t>
            </w:r>
          </w:p>
          <w:p w14:paraId="15775997" w14:textId="77777777" w:rsidR="00CE7080" w:rsidRPr="00CE7080" w:rsidRDefault="00CE7080" w:rsidP="00CE7080">
            <w:pPr>
              <w:numPr>
                <w:ilvl w:val="0"/>
                <w:numId w:val="128"/>
              </w:numPr>
              <w:spacing w:before="60" w:after="60"/>
              <w:rPr>
                <w:sz w:val="18"/>
                <w:szCs w:val="18"/>
              </w:rPr>
            </w:pPr>
            <w:r w:rsidRPr="00CE7080">
              <w:rPr>
                <w:sz w:val="18"/>
                <w:szCs w:val="18"/>
              </w:rPr>
              <w:t>Monitor symptoms and obtain Neurology consult.</w:t>
            </w:r>
          </w:p>
          <w:p w14:paraId="1EB4A331" w14:textId="77777777" w:rsidR="00CE7080" w:rsidRPr="00CE7080" w:rsidRDefault="00CE7080" w:rsidP="00CE7080">
            <w:pPr>
              <w:spacing w:before="60" w:after="60"/>
              <w:rPr>
                <w:i/>
                <w:iCs/>
                <w:sz w:val="18"/>
                <w:szCs w:val="18"/>
              </w:rPr>
            </w:pPr>
            <w:r w:rsidRPr="00CE7080">
              <w:rPr>
                <w:i/>
                <w:iCs/>
                <w:sz w:val="18"/>
                <w:szCs w:val="18"/>
              </w:rPr>
              <w:t>MYASTHENIA GRAVIS:</w:t>
            </w:r>
          </w:p>
          <w:p w14:paraId="12E549A9" w14:textId="77777777" w:rsidR="00CE7080" w:rsidRPr="00CE7080" w:rsidRDefault="00CE7080" w:rsidP="00CE7080">
            <w:pPr>
              <w:numPr>
                <w:ilvl w:val="0"/>
                <w:numId w:val="128"/>
              </w:numPr>
              <w:spacing w:before="60" w:after="60"/>
              <w:rPr>
                <w:sz w:val="18"/>
                <w:szCs w:val="18"/>
              </w:rPr>
            </w:pPr>
            <w:r w:rsidRPr="00CE7080">
              <w:rPr>
                <w:sz w:val="18"/>
                <w:szCs w:val="18"/>
              </w:rPr>
              <w:t>Steroids may be successfully used to treat myasthenia gravis. They should typically be administered in a monitored setting under supervision of a consulting neurologist.</w:t>
            </w:r>
          </w:p>
          <w:p w14:paraId="014792BB" w14:textId="77777777" w:rsidR="00CE7080" w:rsidRPr="00CE7080" w:rsidRDefault="00CE7080" w:rsidP="00CE7080">
            <w:pPr>
              <w:numPr>
                <w:ilvl w:val="0"/>
                <w:numId w:val="128"/>
              </w:numPr>
              <w:spacing w:before="60" w:after="60"/>
              <w:rPr>
                <w:sz w:val="18"/>
                <w:szCs w:val="18"/>
              </w:rPr>
            </w:pPr>
            <w:r w:rsidRPr="00CE7080">
              <w:rPr>
                <w:sz w:val="18"/>
                <w:szCs w:val="18"/>
              </w:rPr>
              <w:t>Patients unable to tolerate steroids may be candidates for treatment with plasmapheresis or IV IG.</w:t>
            </w:r>
          </w:p>
          <w:p w14:paraId="31D4BFDA" w14:textId="77777777" w:rsidR="00CE7080" w:rsidRPr="00CE7080" w:rsidRDefault="00CE7080" w:rsidP="00CE7080">
            <w:pPr>
              <w:numPr>
                <w:ilvl w:val="0"/>
                <w:numId w:val="128"/>
              </w:numPr>
              <w:spacing w:before="60" w:after="60"/>
              <w:rPr>
                <w:sz w:val="18"/>
                <w:szCs w:val="18"/>
              </w:rPr>
            </w:pPr>
            <w:r w:rsidRPr="00CE7080">
              <w:rPr>
                <w:sz w:val="18"/>
                <w:szCs w:val="18"/>
              </w:rPr>
              <w:t>If myasthenia gravis-like neurotoxicity present, consider starting AChE inhibitor therapy in addition to steroids. Such therapy, if successful, can also serve to reinforce the diagnosis.</w:t>
            </w:r>
          </w:p>
          <w:p w14:paraId="49D0DAF6" w14:textId="77777777" w:rsidR="00CE7080" w:rsidRPr="00CE7080" w:rsidRDefault="00CE7080" w:rsidP="00CE7080">
            <w:pPr>
              <w:spacing w:before="60" w:after="60"/>
              <w:ind w:left="360"/>
              <w:rPr>
                <w:i/>
                <w:iCs/>
                <w:sz w:val="18"/>
                <w:szCs w:val="18"/>
              </w:rPr>
            </w:pPr>
            <w:r w:rsidRPr="00CE7080">
              <w:rPr>
                <w:i/>
                <w:iCs/>
                <w:sz w:val="18"/>
                <w:szCs w:val="18"/>
              </w:rPr>
              <w:t>GUILLAIN-BARRE:</w:t>
            </w:r>
          </w:p>
          <w:p w14:paraId="6C6CE502" w14:textId="77777777" w:rsidR="00CE7080" w:rsidRPr="00CE7080" w:rsidRDefault="00CE7080" w:rsidP="00CE7080">
            <w:pPr>
              <w:numPr>
                <w:ilvl w:val="0"/>
                <w:numId w:val="128"/>
              </w:numPr>
              <w:spacing w:before="60" w:after="60"/>
              <w:rPr>
                <w:sz w:val="18"/>
                <w:szCs w:val="18"/>
              </w:rPr>
            </w:pPr>
            <w:r w:rsidRPr="00CE7080">
              <w:rPr>
                <w:sz w:val="18"/>
                <w:szCs w:val="18"/>
              </w:rPr>
              <w:t>It is important to consider here that the use of steroids as the primary treatment of Guillain-Barre is not typically considered effective.</w:t>
            </w:r>
          </w:p>
          <w:p w14:paraId="289A6F2B" w14:textId="77777777" w:rsidR="00CE7080" w:rsidRPr="00CE7080" w:rsidRDefault="00CE7080" w:rsidP="00CE7080">
            <w:pPr>
              <w:numPr>
                <w:ilvl w:val="0"/>
                <w:numId w:val="128"/>
              </w:numPr>
              <w:spacing w:before="60" w:after="60"/>
              <w:rPr>
                <w:sz w:val="18"/>
                <w:szCs w:val="18"/>
              </w:rPr>
            </w:pPr>
            <w:r w:rsidRPr="00CE7080">
              <w:rPr>
                <w:sz w:val="18"/>
                <w:szCs w:val="18"/>
              </w:rPr>
              <w:t>Patients requiring treatment should be started with IV IG and followed by plasmapheresis if not responsive to IV IG.</w:t>
            </w:r>
          </w:p>
          <w:p w14:paraId="47A79EC2" w14:textId="77777777" w:rsidR="00CE7080" w:rsidRPr="00CE7080" w:rsidRDefault="00CE7080" w:rsidP="00CE7080">
            <w:pPr>
              <w:spacing w:before="60" w:after="60"/>
              <w:rPr>
                <w:b/>
                <w:bCs/>
                <w:sz w:val="18"/>
                <w:szCs w:val="18"/>
              </w:rPr>
            </w:pPr>
          </w:p>
        </w:tc>
      </w:tr>
      <w:tr w:rsidR="00CE7080" w:rsidRPr="00CE7080" w14:paraId="1739F681" w14:textId="77777777" w:rsidTr="00CF7A38">
        <w:tc>
          <w:tcPr>
            <w:tcW w:w="1648" w:type="dxa"/>
          </w:tcPr>
          <w:p w14:paraId="1990BD16" w14:textId="77777777" w:rsidR="00CE7080" w:rsidRPr="00CE7080" w:rsidRDefault="00CE7080" w:rsidP="00CE7080">
            <w:pPr>
              <w:spacing w:before="60" w:after="60"/>
              <w:rPr>
                <w:sz w:val="18"/>
              </w:rPr>
            </w:pPr>
            <w:r w:rsidRPr="00CE7080">
              <w:rPr>
                <w:b/>
                <w:sz w:val="18"/>
              </w:rPr>
              <w:t>Myocarditis</w:t>
            </w:r>
          </w:p>
        </w:tc>
        <w:tc>
          <w:tcPr>
            <w:tcW w:w="2127" w:type="dxa"/>
          </w:tcPr>
          <w:p w14:paraId="60B2C4B7" w14:textId="77777777" w:rsidR="00CE7080" w:rsidRPr="00CE7080" w:rsidRDefault="00CE7080" w:rsidP="00CE7080">
            <w:pPr>
              <w:spacing w:before="60" w:after="60"/>
              <w:rPr>
                <w:b/>
                <w:sz w:val="18"/>
              </w:rPr>
            </w:pPr>
            <w:r w:rsidRPr="00CE7080">
              <w:rPr>
                <w:b/>
                <w:sz w:val="18"/>
              </w:rPr>
              <w:t>Any Grade</w:t>
            </w:r>
          </w:p>
        </w:tc>
        <w:tc>
          <w:tcPr>
            <w:tcW w:w="3330" w:type="dxa"/>
          </w:tcPr>
          <w:p w14:paraId="45318482" w14:textId="77777777" w:rsidR="00CE7080" w:rsidRPr="00CE7080" w:rsidRDefault="00CE7080" w:rsidP="00CE7080">
            <w:pPr>
              <w:spacing w:before="60" w:after="60"/>
              <w:rPr>
                <w:b/>
                <w:sz w:val="18"/>
              </w:rPr>
            </w:pPr>
            <w:r w:rsidRPr="00CE7080">
              <w:rPr>
                <w:b/>
                <w:sz w:val="18"/>
              </w:rPr>
              <w:t>General Guidance</w:t>
            </w:r>
          </w:p>
          <w:p w14:paraId="17B55BE0" w14:textId="77777777" w:rsidR="00CE7080" w:rsidRPr="00CE7080" w:rsidRDefault="00CE7080" w:rsidP="00CE7080">
            <w:pPr>
              <w:spacing w:before="60" w:after="60"/>
              <w:rPr>
                <w:sz w:val="18"/>
              </w:rPr>
            </w:pPr>
            <w:r w:rsidRPr="00CE7080">
              <w:rPr>
                <w:sz w:val="18"/>
              </w:rPr>
              <w:t>Discontinue drug permanently if biopsy-proven immune-mediated myocarditis.</w:t>
            </w:r>
          </w:p>
        </w:tc>
        <w:tc>
          <w:tcPr>
            <w:tcW w:w="5845" w:type="dxa"/>
          </w:tcPr>
          <w:p w14:paraId="23926264" w14:textId="77777777" w:rsidR="00CE7080" w:rsidRPr="00CE7080" w:rsidRDefault="00CE7080" w:rsidP="00CE7080">
            <w:pPr>
              <w:spacing w:before="60" w:after="60"/>
              <w:rPr>
                <w:b/>
                <w:sz w:val="18"/>
              </w:rPr>
            </w:pPr>
            <w:r w:rsidRPr="00CE7080">
              <w:rPr>
                <w:b/>
                <w:sz w:val="18"/>
              </w:rPr>
              <w:t>For Any Grade:</w:t>
            </w:r>
          </w:p>
          <w:p w14:paraId="41D54AC7" w14:textId="77777777" w:rsidR="00CE7080" w:rsidRPr="00CE7080" w:rsidRDefault="00CE7080" w:rsidP="00CE7080">
            <w:pPr>
              <w:numPr>
                <w:ilvl w:val="0"/>
                <w:numId w:val="95"/>
              </w:numPr>
              <w:spacing w:before="60" w:after="60"/>
              <w:rPr>
                <w:sz w:val="18"/>
              </w:rPr>
            </w:pPr>
            <w:r w:rsidRPr="00CE7080">
              <w:rPr>
                <w:sz w:val="18"/>
              </w:rPr>
              <w:t xml:space="preserve">The prompt diagnosis of immune-mediated myocarditis is important, particularly in </w:t>
            </w:r>
            <w:r w:rsidRPr="00CE7080">
              <w:rPr>
                <w:sz w:val="18"/>
              </w:rPr>
              <w:lastRenderedPageBreak/>
              <w:t xml:space="preserve">patients with baseline cardiopulmonary disease and reduced cardiac function. </w:t>
            </w:r>
          </w:p>
          <w:p w14:paraId="2EA293D4" w14:textId="77777777" w:rsidR="00CE7080" w:rsidRPr="00CE7080" w:rsidRDefault="00CE7080" w:rsidP="00CE7080">
            <w:pPr>
              <w:numPr>
                <w:ilvl w:val="0"/>
                <w:numId w:val="95"/>
              </w:numPr>
              <w:spacing w:before="60" w:after="60"/>
              <w:rPr>
                <w:sz w:val="18"/>
              </w:rPr>
            </w:pPr>
            <w:r w:rsidRPr="00CE7080">
              <w:rPr>
                <w:sz w:val="18"/>
              </w:rPr>
              <w:t>Consider, as necessary, discussing with the study physician.</w:t>
            </w:r>
          </w:p>
          <w:p w14:paraId="2E0DF632" w14:textId="77777777" w:rsidR="00CE7080" w:rsidRPr="00CE7080" w:rsidRDefault="00CE7080" w:rsidP="00CE7080">
            <w:pPr>
              <w:numPr>
                <w:ilvl w:val="0"/>
                <w:numId w:val="95"/>
              </w:numPr>
              <w:spacing w:before="60" w:after="60"/>
              <w:rPr>
                <w:sz w:val="18"/>
              </w:rPr>
            </w:pPr>
            <w:r w:rsidRPr="00CE7080">
              <w:rPr>
                <w:sz w:val="18"/>
              </w:rPr>
              <w:t>Monitor patients for signs and symptoms of myocarditis (new onset or worsening chest pain, arrhythmia, shortness of breath, peripheral edema). As some symptoms can overlap with lung toxicities, simultaneously evaluate for and rule out pulmonary toxicity as well as other causes (e.g., pulmonary embolism, congestive heart failure, malignant pericardial effusion). A Cardiology consultation should be obtained early, with prompt assessment of whether and when to complete a cardiac biopsy, including any other diagnostic procedures.</w:t>
            </w:r>
          </w:p>
          <w:p w14:paraId="68AAAF42" w14:textId="77777777" w:rsidR="00CE7080" w:rsidRPr="00CE7080" w:rsidRDefault="00CE7080" w:rsidP="00CE7080">
            <w:pPr>
              <w:numPr>
                <w:ilvl w:val="0"/>
                <w:numId w:val="95"/>
              </w:numPr>
              <w:spacing w:before="60" w:after="60"/>
              <w:rPr>
                <w:sz w:val="18"/>
              </w:rPr>
            </w:pPr>
            <w:r w:rsidRPr="00CE7080">
              <w:rPr>
                <w:sz w:val="18"/>
              </w:rPr>
              <w:t>Initial work-up should include clinical evaluation, BNP, cardiac enzymes, ECG, echocardiogram (ECHO), monitoring of oxygenation via pulse oximetry (resting and exertion), and additional laboratory work-up as indicated. Spiral CT or cardiac MRI can complement ECHO to assess wall motion abnormalities when needed.</w:t>
            </w:r>
          </w:p>
          <w:p w14:paraId="771261AC" w14:textId="77777777" w:rsidR="00CE7080" w:rsidRPr="00CE7080" w:rsidRDefault="00CE7080" w:rsidP="00CE7080">
            <w:pPr>
              <w:spacing w:before="60" w:after="60"/>
              <w:rPr>
                <w:b/>
                <w:sz w:val="18"/>
              </w:rPr>
            </w:pPr>
            <w:r w:rsidRPr="00CE7080">
              <w:rPr>
                <w:sz w:val="18"/>
              </w:rPr>
              <w:t>Patients should be thoroughly evaluated to rule out any alternative etiology (e.g., disease progression, other medications, or infections)</w:t>
            </w:r>
          </w:p>
        </w:tc>
      </w:tr>
    </w:tbl>
    <w:p w14:paraId="25B25F73" w14:textId="77777777" w:rsidR="00CE7080" w:rsidRPr="00CE7080" w:rsidRDefault="00CE7080" w:rsidP="00CE7080">
      <w:pPr>
        <w:rPr>
          <w:rFonts w:eastAsia="Calibri"/>
        </w:rPr>
      </w:pPr>
    </w:p>
    <w:tbl>
      <w:tblPr>
        <w:tblStyle w:val="TableGrid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47"/>
        <w:gridCol w:w="2175"/>
        <w:gridCol w:w="3643"/>
      </w:tblGrid>
      <w:tr w:rsidR="00CE7080" w:rsidRPr="00CE7080" w14:paraId="0827DCF5" w14:textId="77777777" w:rsidTr="00CF7A38">
        <w:tc>
          <w:tcPr>
            <w:tcW w:w="2138" w:type="dxa"/>
            <w:tcBorders>
              <w:top w:val="single" w:sz="4" w:space="0" w:color="auto"/>
              <w:left w:val="single" w:sz="4" w:space="0" w:color="auto"/>
              <w:bottom w:val="single" w:sz="4" w:space="0" w:color="auto"/>
              <w:right w:val="single" w:sz="4" w:space="0" w:color="auto"/>
            </w:tcBorders>
          </w:tcPr>
          <w:p w14:paraId="4704752D" w14:textId="77777777" w:rsidR="00CE7080" w:rsidRPr="00CE7080" w:rsidRDefault="00CE7080" w:rsidP="00CE7080">
            <w:pPr>
              <w:spacing w:before="60" w:after="60"/>
              <w:rPr>
                <w:sz w:val="18"/>
              </w:rPr>
            </w:pPr>
          </w:p>
        </w:tc>
        <w:tc>
          <w:tcPr>
            <w:tcW w:w="1954" w:type="dxa"/>
            <w:tcBorders>
              <w:top w:val="single" w:sz="6" w:space="0" w:color="auto"/>
              <w:left w:val="single" w:sz="4" w:space="0" w:color="auto"/>
              <w:bottom w:val="single" w:sz="6" w:space="0" w:color="auto"/>
              <w:right w:val="single" w:sz="4" w:space="0" w:color="auto"/>
            </w:tcBorders>
          </w:tcPr>
          <w:p w14:paraId="1110143F" w14:textId="77777777" w:rsidR="00CE7080" w:rsidRPr="00CE7080" w:rsidRDefault="00CE7080" w:rsidP="00CE7080">
            <w:pPr>
              <w:spacing w:before="60" w:after="60"/>
              <w:rPr>
                <w:b/>
                <w:sz w:val="18"/>
              </w:rPr>
            </w:pPr>
            <w:r w:rsidRPr="00CE7080">
              <w:rPr>
                <w:b/>
                <w:sz w:val="18"/>
              </w:rPr>
              <w:t>Grade 1</w:t>
            </w:r>
          </w:p>
          <w:p w14:paraId="30E560A5" w14:textId="77777777" w:rsidR="00CE7080" w:rsidRPr="00CE7080" w:rsidRDefault="00CE7080" w:rsidP="00CE7080">
            <w:pPr>
              <w:spacing w:before="60" w:after="60"/>
              <w:rPr>
                <w:sz w:val="18"/>
              </w:rPr>
            </w:pPr>
            <w:r w:rsidRPr="00CE7080">
              <w:rPr>
                <w:sz w:val="18"/>
              </w:rPr>
              <w:t>(asymptomatic or mild symptoms*; clinical or diagnostic observations only; intervention not indicated)</w:t>
            </w:r>
          </w:p>
          <w:p w14:paraId="6AB976C6" w14:textId="77777777" w:rsidR="00CE7080" w:rsidRPr="00CE7080" w:rsidRDefault="00CE7080" w:rsidP="00CE7080">
            <w:pPr>
              <w:spacing w:before="60" w:after="60"/>
              <w:rPr>
                <w:b/>
                <w:sz w:val="18"/>
              </w:rPr>
            </w:pPr>
            <w:r w:rsidRPr="00CE7080">
              <w:rPr>
                <w:sz w:val="18"/>
              </w:rPr>
              <w:t>*Treat myocarditis with mild symptoms as Grade 2.</w:t>
            </w:r>
          </w:p>
        </w:tc>
        <w:tc>
          <w:tcPr>
            <w:tcW w:w="3287" w:type="dxa"/>
            <w:tcBorders>
              <w:top w:val="single" w:sz="4" w:space="0" w:color="auto"/>
              <w:left w:val="single" w:sz="4" w:space="0" w:color="auto"/>
              <w:bottom w:val="single" w:sz="4" w:space="0" w:color="auto"/>
              <w:right w:val="single" w:sz="4" w:space="0" w:color="auto"/>
            </w:tcBorders>
          </w:tcPr>
          <w:p w14:paraId="680E8C27" w14:textId="77777777" w:rsidR="00CE7080" w:rsidRPr="00CE7080" w:rsidRDefault="00CE7080" w:rsidP="00CE7080">
            <w:pPr>
              <w:spacing w:before="60" w:after="60"/>
              <w:rPr>
                <w:sz w:val="18"/>
              </w:rPr>
            </w:pPr>
            <w:r w:rsidRPr="00CE7080">
              <w:rPr>
                <w:sz w:val="18"/>
              </w:rPr>
              <w:t>No dose modifications required unless clinical suspicion is high, in which case hold study drug/study regimen dose during diagnostic work-up for other etiologies.</w:t>
            </w:r>
            <w:r w:rsidRPr="00CE7080">
              <w:t xml:space="preserve"> </w:t>
            </w:r>
            <w:r w:rsidRPr="00CE7080">
              <w:rPr>
                <w:sz w:val="18"/>
              </w:rPr>
              <w:t>If study drug/study regimen is held, resume after complete resolution to Grade 0.</w:t>
            </w:r>
          </w:p>
          <w:p w14:paraId="1123A889" w14:textId="77777777" w:rsidR="00CE7080" w:rsidRPr="00CE7080" w:rsidRDefault="00CE7080" w:rsidP="00CE7080">
            <w:pPr>
              <w:spacing w:before="60" w:after="60"/>
              <w:rPr>
                <w:b/>
                <w:sz w:val="18"/>
              </w:rPr>
            </w:pPr>
          </w:p>
        </w:tc>
        <w:tc>
          <w:tcPr>
            <w:tcW w:w="5538" w:type="dxa"/>
            <w:tcBorders>
              <w:top w:val="single" w:sz="4" w:space="0" w:color="auto"/>
              <w:left w:val="single" w:sz="4" w:space="0" w:color="auto"/>
              <w:bottom w:val="single" w:sz="4" w:space="0" w:color="auto"/>
              <w:right w:val="single" w:sz="4" w:space="0" w:color="auto"/>
            </w:tcBorders>
          </w:tcPr>
          <w:p w14:paraId="2005469F" w14:textId="77777777" w:rsidR="00CE7080" w:rsidRPr="00CE7080" w:rsidRDefault="00CE7080" w:rsidP="00CE7080">
            <w:pPr>
              <w:spacing w:before="60" w:after="60"/>
              <w:rPr>
                <w:b/>
                <w:sz w:val="18"/>
              </w:rPr>
            </w:pPr>
            <w:r w:rsidRPr="00CE7080">
              <w:rPr>
                <w:b/>
                <w:sz w:val="18"/>
              </w:rPr>
              <w:t>For Grade 1 (no definitive findings):</w:t>
            </w:r>
          </w:p>
          <w:p w14:paraId="0572F3BE" w14:textId="77777777" w:rsidR="00CE7080" w:rsidRPr="00CE7080" w:rsidRDefault="00CE7080" w:rsidP="00CE7080">
            <w:pPr>
              <w:numPr>
                <w:ilvl w:val="0"/>
                <w:numId w:val="134"/>
              </w:numPr>
              <w:spacing w:before="60" w:after="60"/>
              <w:rPr>
                <w:b/>
                <w:sz w:val="18"/>
              </w:rPr>
            </w:pPr>
            <w:r w:rsidRPr="00CE7080">
              <w:rPr>
                <w:sz w:val="18"/>
              </w:rPr>
              <w:t>Monitor and closely follow up in 2 to 4 days for clinical symptoms, BNP, cardiac enzymes, ECG, ECHO, pulse oximetry (resting and exertion), and laboratory work-up as clinically indicated.</w:t>
            </w:r>
          </w:p>
          <w:p w14:paraId="25FD796C" w14:textId="77777777" w:rsidR="00CE7080" w:rsidRPr="00CE7080" w:rsidRDefault="00CE7080" w:rsidP="00CE7080">
            <w:pPr>
              <w:numPr>
                <w:ilvl w:val="0"/>
                <w:numId w:val="134"/>
              </w:numPr>
              <w:spacing w:before="60" w:after="60"/>
              <w:rPr>
                <w:b/>
                <w:sz w:val="18"/>
              </w:rPr>
            </w:pPr>
            <w:r w:rsidRPr="00CE7080">
              <w:rPr>
                <w:sz w:val="18"/>
              </w:rPr>
              <w:t>Consider using steroids if clinical suspicion is high.</w:t>
            </w:r>
          </w:p>
        </w:tc>
      </w:tr>
      <w:tr w:rsidR="00CE7080" w:rsidRPr="00CE7080" w14:paraId="0499FD62" w14:textId="77777777" w:rsidTr="00CF7A38">
        <w:tc>
          <w:tcPr>
            <w:tcW w:w="2138" w:type="dxa"/>
            <w:tcBorders>
              <w:top w:val="single" w:sz="4" w:space="0" w:color="auto"/>
              <w:left w:val="single" w:sz="4" w:space="0" w:color="auto"/>
              <w:bottom w:val="single" w:sz="4" w:space="0" w:color="auto"/>
              <w:right w:val="single" w:sz="4" w:space="0" w:color="auto"/>
            </w:tcBorders>
          </w:tcPr>
          <w:p w14:paraId="7C5469BC" w14:textId="77777777" w:rsidR="00CE7080" w:rsidRPr="00CE7080" w:rsidRDefault="00CE7080" w:rsidP="00CE7080">
            <w:pPr>
              <w:spacing w:before="60" w:after="60"/>
              <w:rPr>
                <w:sz w:val="18"/>
              </w:rPr>
            </w:pPr>
          </w:p>
        </w:tc>
        <w:tc>
          <w:tcPr>
            <w:tcW w:w="1954" w:type="dxa"/>
            <w:tcBorders>
              <w:top w:val="single" w:sz="6" w:space="0" w:color="auto"/>
              <w:left w:val="single" w:sz="4" w:space="0" w:color="auto"/>
              <w:bottom w:val="single" w:sz="4" w:space="0" w:color="auto"/>
              <w:right w:val="single" w:sz="4" w:space="0" w:color="auto"/>
            </w:tcBorders>
          </w:tcPr>
          <w:p w14:paraId="4D693D1E" w14:textId="77777777" w:rsidR="00CE7080" w:rsidRPr="00CE7080" w:rsidRDefault="00CE7080" w:rsidP="00CE7080">
            <w:pPr>
              <w:spacing w:before="60" w:after="60"/>
              <w:rPr>
                <w:b/>
                <w:sz w:val="18"/>
              </w:rPr>
            </w:pPr>
            <w:r w:rsidRPr="00CE7080">
              <w:rPr>
                <w:b/>
                <w:sz w:val="18"/>
              </w:rPr>
              <w:t>Grade 2, 3 or 4</w:t>
            </w:r>
          </w:p>
          <w:p w14:paraId="595A906C" w14:textId="77777777" w:rsidR="00CE7080" w:rsidRPr="00CE7080" w:rsidRDefault="00CE7080" w:rsidP="00CE7080">
            <w:pPr>
              <w:autoSpaceDE w:val="0"/>
              <w:autoSpaceDN w:val="0"/>
              <w:adjustRightInd w:val="0"/>
              <w:spacing w:before="60" w:after="0" w:line="260" w:lineRule="atLeast"/>
              <w:rPr>
                <w:sz w:val="18"/>
              </w:rPr>
            </w:pPr>
            <w:r w:rsidRPr="00CE7080">
              <w:rPr>
                <w:sz w:val="18"/>
              </w:rPr>
              <w:t>(Grade 2: Symptoms with moderate activity or exertion)</w:t>
            </w:r>
          </w:p>
          <w:p w14:paraId="026367FD" w14:textId="77777777" w:rsidR="00CE7080" w:rsidRPr="00CE7080" w:rsidRDefault="00CE7080" w:rsidP="00CE7080">
            <w:pPr>
              <w:autoSpaceDE w:val="0"/>
              <w:autoSpaceDN w:val="0"/>
              <w:adjustRightInd w:val="0"/>
              <w:spacing w:before="60" w:after="0" w:line="260" w:lineRule="atLeast"/>
              <w:rPr>
                <w:sz w:val="18"/>
              </w:rPr>
            </w:pPr>
            <w:r w:rsidRPr="00CE7080">
              <w:rPr>
                <w:sz w:val="18"/>
              </w:rPr>
              <w:t xml:space="preserve"> (Grade 3: Severe with symptoms at rest or with minimal activity or exertion; </w:t>
            </w:r>
            <w:r w:rsidRPr="00CE7080">
              <w:rPr>
                <w:sz w:val="18"/>
                <w:szCs w:val="18"/>
              </w:rPr>
              <w:t>inter-vention</w:t>
            </w:r>
            <w:r w:rsidRPr="00CE7080">
              <w:rPr>
                <w:sz w:val="18"/>
              </w:rPr>
              <w:t xml:space="preserve"> indicated; new onset of symptoms*)</w:t>
            </w:r>
          </w:p>
          <w:p w14:paraId="3A9905D7" w14:textId="77777777" w:rsidR="00CE7080" w:rsidRPr="00CE7080" w:rsidRDefault="00CE7080" w:rsidP="00CE7080">
            <w:pPr>
              <w:autoSpaceDE w:val="0"/>
              <w:autoSpaceDN w:val="0"/>
              <w:adjustRightInd w:val="0"/>
              <w:spacing w:before="60" w:after="0" w:line="260" w:lineRule="atLeast"/>
              <w:rPr>
                <w:sz w:val="18"/>
              </w:rPr>
            </w:pPr>
            <w:r w:rsidRPr="00CE7080">
              <w:rPr>
                <w:sz w:val="18"/>
              </w:rPr>
              <w:t xml:space="preserve">(Grade 4: Life-threatening </w:t>
            </w:r>
            <w:r w:rsidRPr="00CE7080">
              <w:rPr>
                <w:sz w:val="18"/>
                <w:szCs w:val="18"/>
              </w:rPr>
              <w:t>conse-quences</w:t>
            </w:r>
            <w:r w:rsidRPr="00CE7080">
              <w:rPr>
                <w:sz w:val="18"/>
              </w:rPr>
              <w:t>; urgent</w:t>
            </w:r>
          </w:p>
          <w:p w14:paraId="1B81D40A" w14:textId="77777777" w:rsidR="00CE7080" w:rsidRPr="00CE7080" w:rsidRDefault="00CE7080" w:rsidP="00CE7080">
            <w:pPr>
              <w:spacing w:before="60" w:after="0" w:line="260" w:lineRule="atLeast"/>
              <w:rPr>
                <w:sz w:val="18"/>
              </w:rPr>
            </w:pPr>
            <w:r w:rsidRPr="00CE7080">
              <w:rPr>
                <w:sz w:val="18"/>
              </w:rPr>
              <w:t>intervention indicated (e.g., continuous IV therapy or mechanical hemodynamic support))</w:t>
            </w:r>
          </w:p>
          <w:p w14:paraId="5EB04053" w14:textId="77777777" w:rsidR="00CE7080" w:rsidRPr="00CE7080" w:rsidRDefault="00CE7080" w:rsidP="00CE7080">
            <w:pPr>
              <w:spacing w:after="0"/>
              <w:rPr>
                <w:sz w:val="8"/>
              </w:rPr>
            </w:pPr>
          </w:p>
          <w:p w14:paraId="2AA08EF0" w14:textId="77777777" w:rsidR="00CE7080" w:rsidRPr="00CE7080" w:rsidRDefault="00CE7080" w:rsidP="00CE7080">
            <w:pPr>
              <w:spacing w:before="60" w:after="60"/>
              <w:rPr>
                <w:b/>
                <w:sz w:val="18"/>
              </w:rPr>
            </w:pPr>
            <w:r w:rsidRPr="00CE7080">
              <w:rPr>
                <w:sz w:val="18"/>
              </w:rPr>
              <w:t>* Consider “new onset of symptoms” as referring to patients with prior episode of myocarditis.</w:t>
            </w:r>
          </w:p>
        </w:tc>
        <w:tc>
          <w:tcPr>
            <w:tcW w:w="3287" w:type="dxa"/>
            <w:tcBorders>
              <w:top w:val="single" w:sz="4" w:space="0" w:color="auto"/>
              <w:left w:val="single" w:sz="4" w:space="0" w:color="auto"/>
              <w:bottom w:val="single" w:sz="4" w:space="0" w:color="auto"/>
              <w:right w:val="single" w:sz="4" w:space="0" w:color="auto"/>
            </w:tcBorders>
          </w:tcPr>
          <w:p w14:paraId="6C985E68" w14:textId="77777777" w:rsidR="00CE7080" w:rsidRPr="00CE7080" w:rsidRDefault="00CE7080" w:rsidP="00CE7080">
            <w:pPr>
              <w:numPr>
                <w:ilvl w:val="0"/>
                <w:numId w:val="135"/>
              </w:numPr>
              <w:spacing w:before="60" w:after="60"/>
              <w:ind w:left="210" w:hanging="180"/>
              <w:rPr>
                <w:sz w:val="18"/>
              </w:rPr>
            </w:pPr>
            <w:r w:rsidRPr="00CE7080">
              <w:rPr>
                <w:sz w:val="18"/>
              </w:rPr>
              <w:t>If Grade 2 -- Hold study drug/study regimen dose until resolution to Grade 0. If toxicity rapidly improves to Grade 0, then the decision to reinitiate study drug/study regimen will be based upon treating physician’s clinical judgment and after completion of steroid taper. If toxicity does not rapidly improve, permanently. discontinue study drug/study regimen.</w:t>
            </w:r>
          </w:p>
          <w:p w14:paraId="2C6AB817" w14:textId="77777777" w:rsidR="00CE7080" w:rsidRPr="00CE7080" w:rsidRDefault="00CE7080" w:rsidP="00CE7080">
            <w:pPr>
              <w:spacing w:before="60" w:after="60"/>
              <w:rPr>
                <w:b/>
                <w:sz w:val="18"/>
              </w:rPr>
            </w:pPr>
            <w:r w:rsidRPr="00CE7080">
              <w:rPr>
                <w:sz w:val="18"/>
              </w:rPr>
              <w:t>If Grade 3-4, permanently discontinue study drug/study regimen.</w:t>
            </w:r>
          </w:p>
        </w:tc>
        <w:tc>
          <w:tcPr>
            <w:tcW w:w="5538" w:type="dxa"/>
            <w:tcBorders>
              <w:top w:val="single" w:sz="4" w:space="0" w:color="auto"/>
              <w:left w:val="single" w:sz="4" w:space="0" w:color="auto"/>
              <w:bottom w:val="single" w:sz="4" w:space="0" w:color="auto"/>
              <w:right w:val="single" w:sz="4" w:space="0" w:color="auto"/>
            </w:tcBorders>
          </w:tcPr>
          <w:p w14:paraId="15250B06" w14:textId="77777777" w:rsidR="00CE7080" w:rsidRPr="00CE7080" w:rsidRDefault="00CE7080" w:rsidP="00CE7080">
            <w:pPr>
              <w:spacing w:before="60" w:after="60"/>
              <w:rPr>
                <w:b/>
                <w:sz w:val="18"/>
              </w:rPr>
            </w:pPr>
            <w:r w:rsidRPr="00CE7080">
              <w:rPr>
                <w:b/>
                <w:sz w:val="18"/>
              </w:rPr>
              <w:t>For Grade 2-4:</w:t>
            </w:r>
          </w:p>
          <w:p w14:paraId="49248F4A" w14:textId="77777777" w:rsidR="00CE7080" w:rsidRPr="00CE7080" w:rsidRDefault="00CE7080" w:rsidP="00CE7080">
            <w:pPr>
              <w:numPr>
                <w:ilvl w:val="0"/>
                <w:numId w:val="87"/>
              </w:numPr>
              <w:spacing w:before="60" w:after="60"/>
              <w:rPr>
                <w:sz w:val="18"/>
              </w:rPr>
            </w:pPr>
            <w:r w:rsidRPr="00CE7080">
              <w:rPr>
                <w:sz w:val="18"/>
              </w:rPr>
              <w:t>Monitor symptoms daily, hospitalize.</w:t>
            </w:r>
          </w:p>
          <w:p w14:paraId="1A99E6DF" w14:textId="77777777" w:rsidR="00CE7080" w:rsidRPr="00CE7080" w:rsidRDefault="00CE7080" w:rsidP="00CE7080">
            <w:pPr>
              <w:numPr>
                <w:ilvl w:val="0"/>
                <w:numId w:val="87"/>
              </w:numPr>
              <w:spacing w:before="60" w:after="60"/>
              <w:rPr>
                <w:sz w:val="18"/>
              </w:rPr>
            </w:pPr>
            <w:r w:rsidRPr="00CE7080">
              <w:rPr>
                <w:sz w:val="18"/>
              </w:rPr>
              <w:t>Promptly start IV methylprednisolone 2 to 4 mg/kg/day or equivalent after Cardiology consultation has determined whether and when to complete diagnostic procedures including a cardiac biopsy.</w:t>
            </w:r>
          </w:p>
          <w:p w14:paraId="1D3ABC73" w14:textId="77777777" w:rsidR="00CE7080" w:rsidRPr="00CE7080" w:rsidRDefault="00CE7080" w:rsidP="00CE7080">
            <w:pPr>
              <w:numPr>
                <w:ilvl w:val="0"/>
                <w:numId w:val="87"/>
              </w:numPr>
              <w:spacing w:before="60" w:after="60"/>
              <w:rPr>
                <w:sz w:val="18"/>
              </w:rPr>
            </w:pPr>
            <w:r w:rsidRPr="00CE7080">
              <w:rPr>
                <w:sz w:val="18"/>
              </w:rPr>
              <w:t>Supportive care (e.g., oxygen).</w:t>
            </w:r>
          </w:p>
          <w:p w14:paraId="715C4D88" w14:textId="77777777" w:rsidR="00CE7080" w:rsidRPr="00CE7080" w:rsidRDefault="00CE7080" w:rsidP="00CE7080">
            <w:pPr>
              <w:numPr>
                <w:ilvl w:val="0"/>
                <w:numId w:val="87"/>
              </w:numPr>
              <w:spacing w:before="60" w:after="60"/>
              <w:rPr>
                <w:sz w:val="18"/>
              </w:rPr>
            </w:pPr>
            <w:r w:rsidRPr="00CE7080">
              <w:rPr>
                <w:sz w:val="18"/>
              </w:rPr>
              <w:t>If no improvement within 2 to 3 days despite IV methylprednisolone at 2 to 4 mg/kg/day, promptly start immunosuppressive therapy such as TNF inhibitors (e.g., infliximab at 5 mg/kg IV, may be repeated at 2 and 6 weeks after initial dose at the discretion of the treating provider ). Caution: It is important to rule out sepsis and refer to infliximab label for general guidance before using infliximab. Infliximab is contraindicated for patients who have heart failure.</w:t>
            </w:r>
          </w:p>
          <w:p w14:paraId="7D175EBA" w14:textId="77777777" w:rsidR="00CE7080" w:rsidRPr="00CE7080" w:rsidRDefault="00CE7080" w:rsidP="00CE7080">
            <w:pPr>
              <w:numPr>
                <w:ilvl w:val="0"/>
                <w:numId w:val="87"/>
              </w:numPr>
              <w:spacing w:before="60" w:after="60"/>
              <w:rPr>
                <w:sz w:val="18"/>
              </w:rPr>
            </w:pPr>
            <w:r w:rsidRPr="00CE7080">
              <w:rPr>
                <w:sz w:val="18"/>
              </w:rPr>
              <w:t>Once the patient is improving, gradually taper steroids over ≥28 days and consider prophylactic antibiotics, antifungals, or anti-PJP treatment (refer to current NCCN guidelines for treatment of cancer-related infections</w:t>
            </w:r>
            <w:r w:rsidRPr="00CE7080">
              <w:rPr>
                <w:sz w:val="18"/>
                <w:szCs w:val="18"/>
              </w:rPr>
              <w:t>).</w:t>
            </w:r>
            <w:r w:rsidRPr="00CE7080">
              <w:rPr>
                <w:sz w:val="18"/>
                <w:szCs w:val="18"/>
                <w:vertAlign w:val="superscript"/>
              </w:rPr>
              <w:t>a</w:t>
            </w:r>
          </w:p>
        </w:tc>
      </w:tr>
      <w:tr w:rsidR="00CE7080" w:rsidRPr="00CE7080" w14:paraId="72F906DA" w14:textId="77777777" w:rsidTr="00CF7A38">
        <w:trPr>
          <w:trHeight w:val="12"/>
        </w:trPr>
        <w:tc>
          <w:tcPr>
            <w:tcW w:w="2138" w:type="dxa"/>
            <w:vMerge w:val="restart"/>
            <w:tcBorders>
              <w:top w:val="single" w:sz="4" w:space="0" w:color="auto"/>
              <w:left w:val="single" w:sz="4" w:space="0" w:color="auto"/>
              <w:bottom w:val="single" w:sz="4" w:space="0" w:color="auto"/>
              <w:right w:val="single" w:sz="4" w:space="0" w:color="auto"/>
            </w:tcBorders>
          </w:tcPr>
          <w:p w14:paraId="229A5D2A" w14:textId="77777777" w:rsidR="00CE7080" w:rsidRPr="00CE7080" w:rsidRDefault="00CE7080" w:rsidP="00CE7080">
            <w:pPr>
              <w:spacing w:before="60" w:after="60"/>
              <w:rPr>
                <w:b/>
                <w:sz w:val="18"/>
              </w:rPr>
            </w:pPr>
            <w:r w:rsidRPr="00CE7080">
              <w:rPr>
                <w:b/>
                <w:sz w:val="18"/>
              </w:rPr>
              <w:t>Myositis/Polymyositis (“Poly/myositis”)</w:t>
            </w:r>
          </w:p>
        </w:tc>
        <w:tc>
          <w:tcPr>
            <w:tcW w:w="1954" w:type="dxa"/>
            <w:vMerge w:val="restart"/>
            <w:tcBorders>
              <w:top w:val="single" w:sz="4" w:space="0" w:color="auto"/>
              <w:left w:val="single" w:sz="4" w:space="0" w:color="auto"/>
              <w:bottom w:val="single" w:sz="4" w:space="0" w:color="auto"/>
              <w:right w:val="single" w:sz="4" w:space="0" w:color="auto"/>
            </w:tcBorders>
          </w:tcPr>
          <w:p w14:paraId="16F4CF74" w14:textId="77777777" w:rsidR="00CE7080" w:rsidRPr="00CE7080" w:rsidRDefault="00CE7080" w:rsidP="00CE7080">
            <w:pPr>
              <w:spacing w:before="60" w:after="60"/>
              <w:rPr>
                <w:b/>
                <w:sz w:val="18"/>
              </w:rPr>
            </w:pPr>
            <w:r w:rsidRPr="00CE7080">
              <w:rPr>
                <w:b/>
                <w:sz w:val="18"/>
              </w:rPr>
              <w:t>Any Grade</w:t>
            </w:r>
          </w:p>
        </w:tc>
        <w:tc>
          <w:tcPr>
            <w:tcW w:w="3287" w:type="dxa"/>
            <w:vMerge w:val="restart"/>
            <w:tcBorders>
              <w:top w:val="single" w:sz="4" w:space="0" w:color="auto"/>
              <w:left w:val="single" w:sz="4" w:space="0" w:color="auto"/>
              <w:bottom w:val="single" w:sz="4" w:space="0" w:color="auto"/>
              <w:right w:val="single" w:sz="4" w:space="0" w:color="auto"/>
            </w:tcBorders>
          </w:tcPr>
          <w:p w14:paraId="48C75BA6" w14:textId="77777777" w:rsidR="00CE7080" w:rsidRPr="00CE7080" w:rsidRDefault="00CE7080" w:rsidP="00CE7080">
            <w:pPr>
              <w:spacing w:before="60" w:after="60"/>
              <w:rPr>
                <w:b/>
                <w:sz w:val="18"/>
              </w:rPr>
            </w:pPr>
            <w:r w:rsidRPr="00CE7080">
              <w:rPr>
                <w:b/>
                <w:sz w:val="18"/>
              </w:rPr>
              <w:t>General Guidance</w:t>
            </w:r>
          </w:p>
        </w:tc>
        <w:tc>
          <w:tcPr>
            <w:tcW w:w="5538" w:type="dxa"/>
            <w:tcBorders>
              <w:top w:val="single" w:sz="4" w:space="0" w:color="auto"/>
              <w:left w:val="single" w:sz="4" w:space="0" w:color="auto"/>
              <w:bottom w:val="single" w:sz="4" w:space="0" w:color="auto"/>
              <w:right w:val="single" w:sz="4" w:space="0" w:color="auto"/>
            </w:tcBorders>
          </w:tcPr>
          <w:p w14:paraId="2313C639" w14:textId="77777777" w:rsidR="00CE7080" w:rsidRPr="00CE7080" w:rsidRDefault="00CE7080" w:rsidP="00CE7080">
            <w:pPr>
              <w:spacing w:before="60" w:after="60"/>
              <w:rPr>
                <w:b/>
                <w:sz w:val="18"/>
              </w:rPr>
            </w:pPr>
            <w:r w:rsidRPr="00CE7080">
              <w:rPr>
                <w:b/>
                <w:sz w:val="18"/>
              </w:rPr>
              <w:t>For Any Grade:</w:t>
            </w:r>
          </w:p>
          <w:p w14:paraId="48A84728" w14:textId="77777777" w:rsidR="00CE7080" w:rsidRPr="00CE7080" w:rsidRDefault="00CE7080" w:rsidP="00CE7080">
            <w:pPr>
              <w:numPr>
                <w:ilvl w:val="0"/>
                <w:numId w:val="95"/>
              </w:numPr>
              <w:spacing w:before="60" w:after="60"/>
              <w:rPr>
                <w:sz w:val="18"/>
              </w:rPr>
            </w:pPr>
            <w:r w:rsidRPr="00CE7080">
              <w:rPr>
                <w:sz w:val="18"/>
              </w:rPr>
              <w:t xml:space="preserve">Monitor patients for signs and symptoms of poly/myositis. Typically, muscle weakness/pain occurs in proximal muscles including upper arms, thighs, shoulders, hips, neck and back, but rarely affects the extremities including hands and fingers; also difficulty breathing and/or trouble swallowing can occur and progress rapidly. Increased general feelings of tiredness and fatigue may occur, and there can be new-onset falling, difficulty getting up from a fall, and </w:t>
            </w:r>
            <w:r w:rsidRPr="00CE7080">
              <w:rPr>
                <w:sz w:val="18"/>
              </w:rPr>
              <w:lastRenderedPageBreak/>
              <w:t>trouble climbing stairs, standing up from a seated position, and/or reaching up.</w:t>
            </w:r>
          </w:p>
          <w:p w14:paraId="7ABEAA2F" w14:textId="77777777" w:rsidR="00CE7080" w:rsidRPr="00CE7080" w:rsidRDefault="00CE7080" w:rsidP="00CE7080">
            <w:pPr>
              <w:numPr>
                <w:ilvl w:val="0"/>
                <w:numId w:val="95"/>
              </w:numPr>
              <w:spacing w:before="60" w:after="60"/>
              <w:rPr>
                <w:sz w:val="18"/>
              </w:rPr>
            </w:pPr>
            <w:r w:rsidRPr="00CE7080">
              <w:rPr>
                <w:sz w:val="18"/>
              </w:rPr>
              <w:t xml:space="preserve">If poly/myositis is suspected, a Neurology consultation should be obtained early, with prompt guidance on diagnostic procedures. Myocarditis may co-occur with poly/myositis; refer to guidance under Myocarditis. Given breathing complications, refer to guidance under Pneumonitis/ILD. </w:t>
            </w:r>
            <w:r w:rsidRPr="00CE7080">
              <w:rPr>
                <w:sz w:val="18"/>
              </w:rPr>
              <w:br/>
              <w:t>Given possibility of an existent (but previously unknown) autoimmune disorder, consider Rheumatology consultation.</w:t>
            </w:r>
          </w:p>
          <w:p w14:paraId="7F93D969" w14:textId="77777777" w:rsidR="00CE7080" w:rsidRPr="00CE7080" w:rsidRDefault="00CE7080" w:rsidP="00CE7080">
            <w:pPr>
              <w:numPr>
                <w:ilvl w:val="0"/>
                <w:numId w:val="95"/>
              </w:numPr>
              <w:spacing w:before="60" w:after="60"/>
              <w:rPr>
                <w:sz w:val="18"/>
              </w:rPr>
            </w:pPr>
            <w:r w:rsidRPr="00CE7080">
              <w:rPr>
                <w:sz w:val="18"/>
              </w:rPr>
              <w:t>Consider, as necessary, discussing with the study physician.</w:t>
            </w:r>
          </w:p>
          <w:p w14:paraId="66089996" w14:textId="77777777" w:rsidR="00CE7080" w:rsidRPr="00CE7080" w:rsidRDefault="00CE7080" w:rsidP="00CE7080">
            <w:pPr>
              <w:numPr>
                <w:ilvl w:val="0"/>
                <w:numId w:val="95"/>
              </w:numPr>
              <w:spacing w:before="60" w:after="60"/>
              <w:rPr>
                <w:b/>
                <w:sz w:val="18"/>
              </w:rPr>
            </w:pPr>
            <w:r w:rsidRPr="00CE7080">
              <w:rPr>
                <w:sz w:val="18"/>
              </w:rPr>
              <w:t>Initial work-up should include clinical evaluation, creatine kinase, aldolase, LDH, BUN/creatinine, e</w:t>
            </w:r>
            <w:r w:rsidRPr="00CE7080">
              <w:rPr>
                <w:sz w:val="18"/>
                <w:lang w:val="en"/>
              </w:rPr>
              <w:t>rythrocyte sedimentation rate or C-reactive protein level</w:t>
            </w:r>
            <w:r w:rsidRPr="00CE7080">
              <w:rPr>
                <w:sz w:val="18"/>
              </w:rPr>
              <w:t>, urine myoglobin, and additional laboratory work-up as indicated, including a number of possible r</w:t>
            </w:r>
            <w:r w:rsidRPr="00CE7080">
              <w:rPr>
                <w:sz w:val="18"/>
                <w:lang w:val="en"/>
              </w:rPr>
              <w:t>heumatological/antibody tests (i.e., consider whether a rheumatologist consultation is indicated and could guide need for rheumatoid factor, antinuclear antibody, anti-smooth muscle, antisynthetase [such as anti-Jo-1], and/or signal-recognition particle antibodies).</w:t>
            </w:r>
            <w:r w:rsidRPr="00CE7080">
              <w:rPr>
                <w:sz w:val="18"/>
              </w:rPr>
              <w:t xml:space="preserve"> Confirmatory testing may include electromyography, nerve conduction studies, MRI of the muscles, and/or a muscle biopsy. </w:t>
            </w:r>
            <w:r w:rsidRPr="00CE7080">
              <w:rPr>
                <w:sz w:val="18"/>
                <w:lang w:val="en"/>
              </w:rPr>
              <w:t xml:space="preserve">Consider Barium </w:t>
            </w:r>
          </w:p>
        </w:tc>
      </w:tr>
      <w:tr w:rsidR="00CE7080" w:rsidRPr="00CE7080" w14:paraId="06D27E47" w14:textId="77777777" w:rsidTr="00CF7A38">
        <w:trPr>
          <w:trHeight w:val="1224"/>
        </w:trPr>
        <w:tc>
          <w:tcPr>
            <w:tcW w:w="2138" w:type="dxa"/>
            <w:vMerge/>
            <w:tcBorders>
              <w:top w:val="single" w:sz="4" w:space="0" w:color="auto"/>
              <w:left w:val="single" w:sz="4" w:space="0" w:color="auto"/>
              <w:bottom w:val="single" w:sz="4" w:space="0" w:color="auto"/>
              <w:right w:val="single" w:sz="4" w:space="0" w:color="auto"/>
            </w:tcBorders>
          </w:tcPr>
          <w:p w14:paraId="5688C098" w14:textId="77777777" w:rsidR="00CE7080" w:rsidRPr="00CE7080" w:rsidRDefault="00CE7080" w:rsidP="00CE7080">
            <w:pPr>
              <w:spacing w:before="60" w:after="60"/>
              <w:rPr>
                <w:b/>
                <w:sz w:val="18"/>
              </w:rPr>
            </w:pPr>
          </w:p>
        </w:tc>
        <w:tc>
          <w:tcPr>
            <w:tcW w:w="1954" w:type="dxa"/>
            <w:vMerge/>
            <w:tcBorders>
              <w:top w:val="single" w:sz="4" w:space="0" w:color="auto"/>
              <w:left w:val="single" w:sz="4" w:space="0" w:color="auto"/>
              <w:bottom w:val="single" w:sz="4" w:space="0" w:color="auto"/>
              <w:right w:val="single" w:sz="4" w:space="0" w:color="auto"/>
            </w:tcBorders>
          </w:tcPr>
          <w:p w14:paraId="57517A88" w14:textId="77777777" w:rsidR="00CE7080" w:rsidRPr="00CE7080" w:rsidRDefault="00CE7080" w:rsidP="00CE7080">
            <w:pPr>
              <w:spacing w:before="60" w:after="60"/>
              <w:rPr>
                <w:b/>
                <w:sz w:val="18"/>
              </w:rPr>
            </w:pPr>
          </w:p>
        </w:tc>
        <w:tc>
          <w:tcPr>
            <w:tcW w:w="3287" w:type="dxa"/>
            <w:vMerge/>
            <w:tcBorders>
              <w:top w:val="single" w:sz="4" w:space="0" w:color="auto"/>
              <w:left w:val="single" w:sz="4" w:space="0" w:color="auto"/>
              <w:bottom w:val="single" w:sz="4" w:space="0" w:color="auto"/>
              <w:right w:val="single" w:sz="4" w:space="0" w:color="auto"/>
            </w:tcBorders>
          </w:tcPr>
          <w:p w14:paraId="6BD6A226" w14:textId="77777777" w:rsidR="00CE7080" w:rsidRPr="00CE7080" w:rsidRDefault="00CE7080" w:rsidP="00CE7080">
            <w:pPr>
              <w:spacing w:before="60" w:after="60"/>
              <w:rPr>
                <w:b/>
                <w:sz w:val="18"/>
              </w:rPr>
            </w:pPr>
          </w:p>
        </w:tc>
        <w:tc>
          <w:tcPr>
            <w:tcW w:w="5538" w:type="dxa"/>
            <w:tcBorders>
              <w:top w:val="single" w:sz="4" w:space="0" w:color="auto"/>
              <w:left w:val="single" w:sz="4" w:space="0" w:color="auto"/>
              <w:bottom w:val="single" w:sz="4" w:space="0" w:color="auto"/>
              <w:right w:val="single" w:sz="4" w:space="0" w:color="auto"/>
            </w:tcBorders>
          </w:tcPr>
          <w:p w14:paraId="2417777B" w14:textId="77777777" w:rsidR="00CE7080" w:rsidRPr="00CE7080" w:rsidRDefault="00CE7080" w:rsidP="00CE7080">
            <w:pPr>
              <w:numPr>
                <w:ilvl w:val="0"/>
                <w:numId w:val="95"/>
              </w:numPr>
              <w:spacing w:before="60" w:after="60"/>
              <w:rPr>
                <w:sz w:val="18"/>
              </w:rPr>
            </w:pPr>
            <w:r w:rsidRPr="00CE7080">
              <w:rPr>
                <w:sz w:val="18"/>
                <w:lang w:val="en"/>
              </w:rPr>
              <w:t>swallow for evaluation of dysphagia or dysphonia</w:t>
            </w:r>
            <w:r w:rsidRPr="00CE7080">
              <w:rPr>
                <w:sz w:val="18"/>
              </w:rPr>
              <w:t>.</w:t>
            </w:r>
          </w:p>
          <w:p w14:paraId="334F5DE9" w14:textId="77777777" w:rsidR="00CE7080" w:rsidRPr="00CE7080" w:rsidRDefault="00CE7080" w:rsidP="00CE7080">
            <w:pPr>
              <w:spacing w:before="60" w:after="60"/>
              <w:rPr>
                <w:b/>
                <w:sz w:val="18"/>
              </w:rPr>
            </w:pPr>
            <w:r w:rsidRPr="00CE7080">
              <w:rPr>
                <w:sz w:val="18"/>
              </w:rPr>
              <w:t>Patients should be thoroughly evaluated to rule out any alternative etiology (e.g., disease progression, other medications, or infections).</w:t>
            </w:r>
          </w:p>
        </w:tc>
      </w:tr>
      <w:tr w:rsidR="00CE7080" w:rsidRPr="00CE7080" w14:paraId="64F7E5B6" w14:textId="77777777" w:rsidTr="00CF7A38">
        <w:tc>
          <w:tcPr>
            <w:tcW w:w="2138" w:type="dxa"/>
            <w:tcBorders>
              <w:top w:val="single" w:sz="4" w:space="0" w:color="auto"/>
              <w:left w:val="single" w:sz="4" w:space="0" w:color="auto"/>
              <w:bottom w:val="single" w:sz="4" w:space="0" w:color="auto"/>
              <w:right w:val="single" w:sz="4" w:space="0" w:color="auto"/>
            </w:tcBorders>
          </w:tcPr>
          <w:p w14:paraId="544319F9" w14:textId="77777777" w:rsidR="00CE7080" w:rsidRPr="00CE7080" w:rsidRDefault="00CE7080" w:rsidP="00CE7080">
            <w:pPr>
              <w:spacing w:before="60" w:after="60"/>
              <w:rPr>
                <w:sz w:val="18"/>
              </w:rPr>
            </w:pPr>
          </w:p>
        </w:tc>
        <w:tc>
          <w:tcPr>
            <w:tcW w:w="1954" w:type="dxa"/>
            <w:tcBorders>
              <w:top w:val="single" w:sz="4" w:space="0" w:color="auto"/>
              <w:left w:val="single" w:sz="4" w:space="0" w:color="auto"/>
              <w:bottom w:val="single" w:sz="4" w:space="0" w:color="auto"/>
              <w:right w:val="single" w:sz="4" w:space="0" w:color="auto"/>
            </w:tcBorders>
          </w:tcPr>
          <w:p w14:paraId="2D48376E" w14:textId="77777777" w:rsidR="00CE7080" w:rsidRPr="00CE7080" w:rsidRDefault="00CE7080" w:rsidP="00CE7080">
            <w:pPr>
              <w:spacing w:before="60" w:after="60"/>
              <w:rPr>
                <w:b/>
                <w:sz w:val="18"/>
              </w:rPr>
            </w:pPr>
            <w:r w:rsidRPr="00CE7080">
              <w:rPr>
                <w:b/>
                <w:sz w:val="18"/>
              </w:rPr>
              <w:t>Grade 1</w:t>
            </w:r>
          </w:p>
          <w:p w14:paraId="468345DC" w14:textId="77777777" w:rsidR="00CE7080" w:rsidRPr="00CE7080" w:rsidRDefault="00CE7080" w:rsidP="00CE7080">
            <w:pPr>
              <w:spacing w:before="60" w:after="60"/>
              <w:rPr>
                <w:b/>
                <w:sz w:val="18"/>
              </w:rPr>
            </w:pPr>
            <w:r w:rsidRPr="00CE7080">
              <w:rPr>
                <w:sz w:val="18"/>
              </w:rPr>
              <w:t>(mild pain)</w:t>
            </w:r>
          </w:p>
        </w:tc>
        <w:tc>
          <w:tcPr>
            <w:tcW w:w="3287" w:type="dxa"/>
            <w:tcBorders>
              <w:top w:val="single" w:sz="4" w:space="0" w:color="auto"/>
              <w:left w:val="single" w:sz="4" w:space="0" w:color="auto"/>
              <w:bottom w:val="single" w:sz="4" w:space="0" w:color="auto"/>
              <w:right w:val="single" w:sz="4" w:space="0" w:color="auto"/>
            </w:tcBorders>
          </w:tcPr>
          <w:p w14:paraId="351BED07" w14:textId="77777777" w:rsidR="00CE7080" w:rsidRPr="00CE7080" w:rsidRDefault="00CE7080" w:rsidP="00CE7080">
            <w:pPr>
              <w:numPr>
                <w:ilvl w:val="0"/>
                <w:numId w:val="135"/>
              </w:numPr>
              <w:spacing w:before="60" w:after="60"/>
              <w:ind w:left="210" w:hanging="180"/>
              <w:rPr>
                <w:sz w:val="18"/>
              </w:rPr>
            </w:pPr>
            <w:r w:rsidRPr="00CE7080">
              <w:rPr>
                <w:sz w:val="18"/>
              </w:rPr>
              <w:t>No dose modifications.</w:t>
            </w:r>
          </w:p>
        </w:tc>
        <w:tc>
          <w:tcPr>
            <w:tcW w:w="5538" w:type="dxa"/>
            <w:tcBorders>
              <w:top w:val="single" w:sz="4" w:space="0" w:color="auto"/>
              <w:left w:val="single" w:sz="4" w:space="0" w:color="auto"/>
              <w:bottom w:val="single" w:sz="4" w:space="0" w:color="auto"/>
              <w:right w:val="single" w:sz="4" w:space="0" w:color="auto"/>
            </w:tcBorders>
          </w:tcPr>
          <w:p w14:paraId="0B60F2CC" w14:textId="77777777" w:rsidR="00CE7080" w:rsidRPr="00CE7080" w:rsidRDefault="00CE7080" w:rsidP="00CE7080">
            <w:pPr>
              <w:spacing w:before="60" w:after="60"/>
              <w:rPr>
                <w:b/>
                <w:sz w:val="18"/>
              </w:rPr>
            </w:pPr>
            <w:r w:rsidRPr="00CE7080">
              <w:rPr>
                <w:b/>
                <w:sz w:val="18"/>
              </w:rPr>
              <w:t>For Grade 1:</w:t>
            </w:r>
          </w:p>
          <w:p w14:paraId="214F3A01" w14:textId="77777777" w:rsidR="00CE7080" w:rsidRPr="00CE7080" w:rsidRDefault="00CE7080" w:rsidP="00CE7080">
            <w:pPr>
              <w:numPr>
                <w:ilvl w:val="0"/>
                <w:numId w:val="126"/>
              </w:numPr>
              <w:spacing w:before="60" w:after="60"/>
              <w:rPr>
                <w:sz w:val="18"/>
              </w:rPr>
            </w:pPr>
            <w:r w:rsidRPr="00CE7080">
              <w:rPr>
                <w:sz w:val="18"/>
              </w:rPr>
              <w:lastRenderedPageBreak/>
              <w:t>Monitor and closely follow up in 2 to 4 days for clinical symptoms and initiate evaluation as clinically indicated.</w:t>
            </w:r>
          </w:p>
          <w:p w14:paraId="7770ED2F" w14:textId="77777777" w:rsidR="00CE7080" w:rsidRPr="00CE7080" w:rsidRDefault="00CE7080" w:rsidP="00CE7080">
            <w:pPr>
              <w:numPr>
                <w:ilvl w:val="0"/>
                <w:numId w:val="126"/>
              </w:numPr>
              <w:spacing w:before="60" w:after="60"/>
              <w:rPr>
                <w:sz w:val="18"/>
              </w:rPr>
            </w:pPr>
            <w:r w:rsidRPr="00CE7080">
              <w:rPr>
                <w:sz w:val="18"/>
              </w:rPr>
              <w:t>Consider Neurology consult.</w:t>
            </w:r>
          </w:p>
          <w:p w14:paraId="42482673" w14:textId="77777777" w:rsidR="00CE7080" w:rsidRPr="00CE7080" w:rsidRDefault="00CE7080" w:rsidP="00CE7080">
            <w:pPr>
              <w:numPr>
                <w:ilvl w:val="0"/>
                <w:numId w:val="126"/>
              </w:numPr>
              <w:spacing w:before="60" w:after="60"/>
              <w:rPr>
                <w:sz w:val="18"/>
              </w:rPr>
            </w:pPr>
            <w:r w:rsidRPr="00CE7080">
              <w:rPr>
                <w:sz w:val="18"/>
              </w:rPr>
              <w:t>Consider, as necessary, discussing with the study physician.</w:t>
            </w:r>
          </w:p>
        </w:tc>
      </w:tr>
      <w:tr w:rsidR="00CE7080" w:rsidRPr="00CE7080" w14:paraId="7A367974" w14:textId="77777777" w:rsidTr="00CF7A38">
        <w:trPr>
          <w:trHeight w:val="12"/>
        </w:trPr>
        <w:tc>
          <w:tcPr>
            <w:tcW w:w="2138" w:type="dxa"/>
            <w:vMerge w:val="restart"/>
            <w:tcBorders>
              <w:top w:val="single" w:sz="4" w:space="0" w:color="auto"/>
              <w:left w:val="single" w:sz="4" w:space="0" w:color="auto"/>
              <w:bottom w:val="single" w:sz="4" w:space="0" w:color="auto"/>
              <w:right w:val="single" w:sz="4" w:space="0" w:color="auto"/>
            </w:tcBorders>
          </w:tcPr>
          <w:p w14:paraId="15347274" w14:textId="77777777" w:rsidR="00CE7080" w:rsidRPr="00CE7080" w:rsidRDefault="00CE7080" w:rsidP="00CE7080">
            <w:pPr>
              <w:spacing w:before="60" w:after="60"/>
              <w:rPr>
                <w:sz w:val="18"/>
              </w:rPr>
            </w:pPr>
          </w:p>
        </w:tc>
        <w:tc>
          <w:tcPr>
            <w:tcW w:w="1954" w:type="dxa"/>
            <w:vMerge w:val="restart"/>
            <w:tcBorders>
              <w:top w:val="single" w:sz="4" w:space="0" w:color="auto"/>
              <w:left w:val="single" w:sz="4" w:space="0" w:color="auto"/>
              <w:bottom w:val="single" w:sz="4" w:space="0" w:color="auto"/>
              <w:right w:val="single" w:sz="4" w:space="0" w:color="auto"/>
            </w:tcBorders>
          </w:tcPr>
          <w:p w14:paraId="18177EDF" w14:textId="77777777" w:rsidR="00CE7080" w:rsidRPr="00CE7080" w:rsidRDefault="00CE7080" w:rsidP="00CE7080">
            <w:pPr>
              <w:spacing w:before="60" w:after="60"/>
              <w:rPr>
                <w:b/>
                <w:sz w:val="18"/>
              </w:rPr>
            </w:pPr>
            <w:r w:rsidRPr="00CE7080">
              <w:rPr>
                <w:b/>
                <w:sz w:val="18"/>
              </w:rPr>
              <w:t>Grade 2</w:t>
            </w:r>
          </w:p>
          <w:p w14:paraId="586AE35D" w14:textId="77777777" w:rsidR="00CE7080" w:rsidRPr="00CE7080" w:rsidRDefault="00CE7080" w:rsidP="00CE7080">
            <w:pPr>
              <w:autoSpaceDE w:val="0"/>
              <w:autoSpaceDN w:val="0"/>
              <w:adjustRightInd w:val="0"/>
              <w:spacing w:after="0"/>
              <w:rPr>
                <w:sz w:val="18"/>
              </w:rPr>
            </w:pPr>
            <w:r w:rsidRPr="00CE7080">
              <w:rPr>
                <w:sz w:val="18"/>
              </w:rPr>
              <w:t>(moderate pain associated with weakness; pain limiting instrumental activities of daily living [ADLs])</w:t>
            </w:r>
          </w:p>
        </w:tc>
        <w:tc>
          <w:tcPr>
            <w:tcW w:w="3287" w:type="dxa"/>
            <w:vMerge w:val="restart"/>
            <w:tcBorders>
              <w:top w:val="single" w:sz="4" w:space="0" w:color="auto"/>
              <w:left w:val="single" w:sz="4" w:space="0" w:color="auto"/>
              <w:bottom w:val="single" w:sz="4" w:space="0" w:color="auto"/>
              <w:right w:val="single" w:sz="4" w:space="0" w:color="auto"/>
            </w:tcBorders>
          </w:tcPr>
          <w:p w14:paraId="17A14306" w14:textId="77777777" w:rsidR="00CE7080" w:rsidRPr="00CE7080" w:rsidRDefault="00CE7080" w:rsidP="00CE7080">
            <w:pPr>
              <w:spacing w:before="60" w:after="60"/>
              <w:rPr>
                <w:sz w:val="18"/>
              </w:rPr>
            </w:pPr>
            <w:r w:rsidRPr="00CE7080">
              <w:rPr>
                <w:sz w:val="18"/>
              </w:rPr>
              <w:t>Hold study drug/study regimen dose until resolution to Grade ≤1.</w:t>
            </w:r>
          </w:p>
          <w:p w14:paraId="209507A9" w14:textId="77777777" w:rsidR="00CE7080" w:rsidRPr="00CE7080" w:rsidRDefault="00CE7080" w:rsidP="00CE7080">
            <w:pPr>
              <w:numPr>
                <w:ilvl w:val="0"/>
                <w:numId w:val="135"/>
              </w:numPr>
              <w:spacing w:before="60" w:after="60"/>
              <w:ind w:left="210" w:hanging="180"/>
              <w:rPr>
                <w:sz w:val="18"/>
              </w:rPr>
            </w:pPr>
            <w:r w:rsidRPr="00CE7080">
              <w:rPr>
                <w:sz w:val="18"/>
              </w:rPr>
              <w:t>Permanently discontinue study drug/study regimen if it does not resolve to Grade ≤1 within 30 days or if there are signs of respiratory insufficiency.</w:t>
            </w:r>
          </w:p>
        </w:tc>
        <w:tc>
          <w:tcPr>
            <w:tcW w:w="5538" w:type="dxa"/>
            <w:tcBorders>
              <w:top w:val="single" w:sz="4" w:space="0" w:color="auto"/>
              <w:left w:val="single" w:sz="4" w:space="0" w:color="auto"/>
              <w:bottom w:val="single" w:sz="4" w:space="0" w:color="auto"/>
              <w:right w:val="single" w:sz="4" w:space="0" w:color="auto"/>
            </w:tcBorders>
          </w:tcPr>
          <w:p w14:paraId="1053A701" w14:textId="77777777" w:rsidR="00CE7080" w:rsidRPr="00CE7080" w:rsidRDefault="00CE7080" w:rsidP="00CE7080">
            <w:pPr>
              <w:spacing w:before="60" w:after="60"/>
              <w:rPr>
                <w:b/>
                <w:sz w:val="18"/>
              </w:rPr>
            </w:pPr>
            <w:r w:rsidRPr="00CE7080">
              <w:rPr>
                <w:b/>
                <w:sz w:val="18"/>
              </w:rPr>
              <w:t>For Grade 2:</w:t>
            </w:r>
          </w:p>
          <w:p w14:paraId="743A8536" w14:textId="77777777" w:rsidR="00CE7080" w:rsidRPr="00CE7080" w:rsidRDefault="00CE7080" w:rsidP="00CE7080">
            <w:pPr>
              <w:numPr>
                <w:ilvl w:val="0"/>
                <w:numId w:val="127"/>
              </w:numPr>
              <w:spacing w:before="60" w:after="60"/>
              <w:rPr>
                <w:sz w:val="18"/>
              </w:rPr>
            </w:pPr>
            <w:r w:rsidRPr="00CE7080">
              <w:rPr>
                <w:sz w:val="18"/>
              </w:rPr>
              <w:t>Monitor symptoms daily and consider hospitalization.</w:t>
            </w:r>
          </w:p>
          <w:p w14:paraId="04155D22" w14:textId="77777777" w:rsidR="00CE7080" w:rsidRPr="00CE7080" w:rsidRDefault="00CE7080" w:rsidP="00CE7080">
            <w:pPr>
              <w:numPr>
                <w:ilvl w:val="0"/>
                <w:numId w:val="127"/>
              </w:numPr>
              <w:spacing w:before="60" w:after="60"/>
              <w:rPr>
                <w:sz w:val="18"/>
              </w:rPr>
            </w:pPr>
            <w:r w:rsidRPr="00CE7080">
              <w:rPr>
                <w:sz w:val="18"/>
              </w:rPr>
              <w:t>Obtain Neurology consult, and initiate evaluation.</w:t>
            </w:r>
          </w:p>
          <w:p w14:paraId="42A2A636" w14:textId="77777777" w:rsidR="00CE7080" w:rsidRPr="00CE7080" w:rsidRDefault="00CE7080" w:rsidP="00CE7080">
            <w:pPr>
              <w:numPr>
                <w:ilvl w:val="0"/>
                <w:numId w:val="127"/>
              </w:numPr>
              <w:spacing w:before="60" w:after="60"/>
              <w:rPr>
                <w:sz w:val="18"/>
              </w:rPr>
            </w:pPr>
            <w:r w:rsidRPr="00CE7080">
              <w:rPr>
                <w:sz w:val="18"/>
              </w:rPr>
              <w:t>Consider, as necessary, discussing with the study physician.</w:t>
            </w:r>
          </w:p>
          <w:p w14:paraId="74CF3CAE" w14:textId="77777777" w:rsidR="00CE7080" w:rsidRPr="00CE7080" w:rsidRDefault="00CE7080" w:rsidP="00CE7080">
            <w:pPr>
              <w:numPr>
                <w:ilvl w:val="0"/>
                <w:numId w:val="127"/>
              </w:numPr>
              <w:spacing w:before="60" w:after="60"/>
              <w:rPr>
                <w:sz w:val="18"/>
              </w:rPr>
            </w:pPr>
            <w:r w:rsidRPr="00CE7080">
              <w:rPr>
                <w:sz w:val="18"/>
              </w:rPr>
              <w:t xml:space="preserve">If clinical course is rapidly progressive (particularly if difficulty breathing and/or trouble swallowing), promptly start IV methylprednisolone 2 to 4 mg/kg/day systemic steroids </w:t>
            </w:r>
            <w:r w:rsidRPr="00CE7080">
              <w:rPr>
                <w:sz w:val="18"/>
                <w:u w:val="single"/>
              </w:rPr>
              <w:t>along with receiving input</w:t>
            </w:r>
            <w:r w:rsidRPr="00CE7080">
              <w:rPr>
                <w:sz w:val="18"/>
              </w:rPr>
              <w:t xml:space="preserve"> from Neurology consultant </w:t>
            </w:r>
          </w:p>
          <w:p w14:paraId="4D57E1F6" w14:textId="77777777" w:rsidR="00CE7080" w:rsidRPr="00CE7080" w:rsidRDefault="00CE7080" w:rsidP="00CE7080">
            <w:pPr>
              <w:numPr>
                <w:ilvl w:val="0"/>
                <w:numId w:val="127"/>
              </w:numPr>
              <w:spacing w:before="60" w:after="60"/>
              <w:rPr>
                <w:sz w:val="18"/>
              </w:rPr>
            </w:pPr>
            <w:r w:rsidRPr="00CE7080">
              <w:rPr>
                <w:sz w:val="18"/>
              </w:rPr>
              <w:t xml:space="preserve">If clinical course is </w:t>
            </w:r>
            <w:r w:rsidRPr="00CE7080">
              <w:rPr>
                <w:i/>
                <w:sz w:val="18"/>
              </w:rPr>
              <w:t>not</w:t>
            </w:r>
            <w:r w:rsidRPr="00CE7080">
              <w:rPr>
                <w:sz w:val="18"/>
              </w:rPr>
              <w:t xml:space="preserve"> rapidly progressive, start systemic steroids (e.g., prednisone 1 to 2 mg/kg/day PO or IV equivalent); if no improvement within 2 to 3 days, continue additional work up and start treatment with IV methylprednisolone 2 to 4 mg/kg/day</w:t>
            </w:r>
          </w:p>
          <w:p w14:paraId="3F8472DC" w14:textId="77777777" w:rsidR="00CE7080" w:rsidRPr="00CE7080" w:rsidRDefault="00CE7080" w:rsidP="00CE7080">
            <w:pPr>
              <w:numPr>
                <w:ilvl w:val="0"/>
                <w:numId w:val="127"/>
              </w:numPr>
              <w:spacing w:before="60" w:after="60"/>
              <w:rPr>
                <w:sz w:val="18"/>
              </w:rPr>
            </w:pPr>
            <w:r w:rsidRPr="00CE7080">
              <w:rPr>
                <w:sz w:val="18"/>
              </w:rPr>
              <w:t xml:space="preserve">If after start of IV methylprednisolone at 2 to 4 mg/kg/day there is no improvement within 2 to 3 days, consider start of immunosuppressive therapy such as TNF inhibitors (e.g., infliximab at 5 mg/kg </w:t>
            </w:r>
            <w:r w:rsidRPr="00CE7080">
              <w:t xml:space="preserve"> </w:t>
            </w:r>
            <w:r w:rsidRPr="00CE7080">
              <w:rPr>
                <w:sz w:val="18"/>
              </w:rPr>
              <w:t>IV, may be repeated at 2 and 6 weeks after initial dose at the discretion of the treating provider ). Caution: It is important to rule out sepsis and refer to infliximab label for general guidance before using infliximab.</w:t>
            </w:r>
          </w:p>
          <w:p w14:paraId="57372941" w14:textId="77777777" w:rsidR="00CE7080" w:rsidRPr="00CE7080" w:rsidRDefault="00CE7080" w:rsidP="00CE7080">
            <w:pPr>
              <w:numPr>
                <w:ilvl w:val="0"/>
                <w:numId w:val="127"/>
              </w:numPr>
              <w:spacing w:before="60" w:after="60"/>
              <w:rPr>
                <w:sz w:val="18"/>
              </w:rPr>
            </w:pPr>
            <w:r w:rsidRPr="00CE7080">
              <w:rPr>
                <w:sz w:val="18"/>
              </w:rPr>
              <w:t xml:space="preserve">Once the patient is improving, gradually taper steroids over </w:t>
            </w:r>
          </w:p>
        </w:tc>
      </w:tr>
      <w:tr w:rsidR="00CE7080" w:rsidRPr="00CE7080" w14:paraId="46A8888B" w14:textId="77777777" w:rsidTr="00CF7A38">
        <w:trPr>
          <w:trHeight w:val="1164"/>
        </w:trPr>
        <w:tc>
          <w:tcPr>
            <w:tcW w:w="2138" w:type="dxa"/>
            <w:vMerge/>
            <w:tcBorders>
              <w:top w:val="single" w:sz="4" w:space="0" w:color="auto"/>
              <w:left w:val="single" w:sz="4" w:space="0" w:color="auto"/>
              <w:bottom w:val="single" w:sz="4" w:space="0" w:color="auto"/>
              <w:right w:val="single" w:sz="4" w:space="0" w:color="auto"/>
            </w:tcBorders>
          </w:tcPr>
          <w:p w14:paraId="16DE44FD" w14:textId="77777777" w:rsidR="00CE7080" w:rsidRPr="00CE7080" w:rsidRDefault="00CE7080" w:rsidP="00CE7080">
            <w:pPr>
              <w:spacing w:before="60" w:after="60"/>
              <w:rPr>
                <w:sz w:val="18"/>
              </w:rPr>
            </w:pPr>
          </w:p>
        </w:tc>
        <w:tc>
          <w:tcPr>
            <w:tcW w:w="1954" w:type="dxa"/>
            <w:vMerge/>
            <w:tcBorders>
              <w:top w:val="single" w:sz="4" w:space="0" w:color="auto"/>
              <w:left w:val="single" w:sz="4" w:space="0" w:color="auto"/>
              <w:bottom w:val="single" w:sz="4" w:space="0" w:color="auto"/>
              <w:right w:val="single" w:sz="4" w:space="0" w:color="auto"/>
            </w:tcBorders>
          </w:tcPr>
          <w:p w14:paraId="68095C79" w14:textId="77777777" w:rsidR="00CE7080" w:rsidRPr="00CE7080" w:rsidRDefault="00CE7080" w:rsidP="00CE7080">
            <w:pPr>
              <w:spacing w:before="60" w:after="60"/>
              <w:rPr>
                <w:b/>
                <w:sz w:val="18"/>
              </w:rPr>
            </w:pPr>
          </w:p>
        </w:tc>
        <w:tc>
          <w:tcPr>
            <w:tcW w:w="3287" w:type="dxa"/>
            <w:vMerge/>
            <w:tcBorders>
              <w:top w:val="single" w:sz="4" w:space="0" w:color="auto"/>
              <w:left w:val="single" w:sz="4" w:space="0" w:color="auto"/>
              <w:bottom w:val="single" w:sz="4" w:space="0" w:color="auto"/>
              <w:right w:val="single" w:sz="4" w:space="0" w:color="auto"/>
            </w:tcBorders>
          </w:tcPr>
          <w:p w14:paraId="4A2D817F" w14:textId="77777777" w:rsidR="00CE7080" w:rsidRPr="00CE7080" w:rsidRDefault="00CE7080" w:rsidP="00CE7080">
            <w:pPr>
              <w:spacing w:before="60" w:after="60"/>
              <w:rPr>
                <w:sz w:val="18"/>
              </w:rPr>
            </w:pPr>
          </w:p>
        </w:tc>
        <w:tc>
          <w:tcPr>
            <w:tcW w:w="5538" w:type="dxa"/>
            <w:tcBorders>
              <w:top w:val="single" w:sz="4" w:space="0" w:color="auto"/>
              <w:left w:val="single" w:sz="4" w:space="0" w:color="auto"/>
              <w:bottom w:val="single" w:sz="4" w:space="0" w:color="auto"/>
              <w:right w:val="single" w:sz="4" w:space="0" w:color="auto"/>
            </w:tcBorders>
          </w:tcPr>
          <w:p w14:paraId="4ECDC26C" w14:textId="77777777" w:rsidR="00CE7080" w:rsidRPr="00CE7080" w:rsidRDefault="00CE7080" w:rsidP="00CE7080">
            <w:pPr>
              <w:numPr>
                <w:ilvl w:val="0"/>
                <w:numId w:val="127"/>
              </w:numPr>
              <w:spacing w:before="60" w:after="60"/>
              <w:rPr>
                <w:b/>
                <w:sz w:val="18"/>
              </w:rPr>
            </w:pPr>
            <w:r w:rsidRPr="00CE7080">
              <w:rPr>
                <w:sz w:val="18"/>
              </w:rPr>
              <w:t xml:space="preserve">≥28 days and consider prophylactic antibiotics, antifungals, or anti-PJP treatment (refer to current NCCN </w:t>
            </w:r>
            <w:r w:rsidRPr="00CE7080">
              <w:rPr>
                <w:sz w:val="18"/>
              </w:rPr>
              <w:lastRenderedPageBreak/>
              <w:t>guidelines for treatment of cancer-related infections</w:t>
            </w:r>
            <w:r w:rsidRPr="00CE7080">
              <w:rPr>
                <w:sz w:val="18"/>
                <w:szCs w:val="18"/>
              </w:rPr>
              <w:t>).</w:t>
            </w:r>
            <w:r w:rsidRPr="00CE7080">
              <w:rPr>
                <w:sz w:val="18"/>
                <w:szCs w:val="18"/>
                <w:vertAlign w:val="superscript"/>
              </w:rPr>
              <w:t>a</w:t>
            </w:r>
          </w:p>
        </w:tc>
      </w:tr>
      <w:tr w:rsidR="00CE7080" w:rsidRPr="00CE7080" w14:paraId="5C7D3CCB" w14:textId="77777777" w:rsidTr="00CF7A38">
        <w:trPr>
          <w:trHeight w:val="4368"/>
        </w:trPr>
        <w:tc>
          <w:tcPr>
            <w:tcW w:w="2138" w:type="dxa"/>
            <w:tcBorders>
              <w:top w:val="single" w:sz="4" w:space="0" w:color="auto"/>
              <w:left w:val="single" w:sz="4" w:space="0" w:color="auto"/>
              <w:bottom w:val="single" w:sz="4" w:space="0" w:color="auto"/>
              <w:right w:val="single" w:sz="4" w:space="0" w:color="auto"/>
            </w:tcBorders>
          </w:tcPr>
          <w:p w14:paraId="4A8B1822" w14:textId="77777777" w:rsidR="00CE7080" w:rsidRPr="00CE7080" w:rsidRDefault="00CE7080" w:rsidP="00CE7080">
            <w:pPr>
              <w:spacing w:before="60" w:after="60"/>
              <w:rPr>
                <w:sz w:val="18"/>
              </w:rPr>
            </w:pPr>
          </w:p>
        </w:tc>
        <w:tc>
          <w:tcPr>
            <w:tcW w:w="1954" w:type="dxa"/>
            <w:tcBorders>
              <w:top w:val="single" w:sz="4" w:space="0" w:color="auto"/>
              <w:left w:val="single" w:sz="4" w:space="0" w:color="auto"/>
              <w:bottom w:val="single" w:sz="4" w:space="0" w:color="auto"/>
              <w:right w:val="single" w:sz="4" w:space="0" w:color="auto"/>
            </w:tcBorders>
          </w:tcPr>
          <w:p w14:paraId="5529AFCF" w14:textId="77777777" w:rsidR="00CE7080" w:rsidRPr="00CE7080" w:rsidRDefault="00CE7080" w:rsidP="00CE7080">
            <w:pPr>
              <w:spacing w:before="60" w:after="60"/>
              <w:rPr>
                <w:b/>
                <w:sz w:val="18"/>
              </w:rPr>
            </w:pPr>
            <w:r w:rsidRPr="00CE7080">
              <w:rPr>
                <w:b/>
                <w:sz w:val="18"/>
              </w:rPr>
              <w:t>Grade 3 or 4</w:t>
            </w:r>
          </w:p>
          <w:p w14:paraId="3B4A81C6" w14:textId="77777777" w:rsidR="00CE7080" w:rsidRPr="00CE7080" w:rsidRDefault="00CE7080" w:rsidP="00CE7080">
            <w:pPr>
              <w:autoSpaceDE w:val="0"/>
              <w:autoSpaceDN w:val="0"/>
              <w:adjustRightInd w:val="0"/>
              <w:spacing w:after="0"/>
              <w:rPr>
                <w:sz w:val="18"/>
              </w:rPr>
            </w:pPr>
            <w:r w:rsidRPr="00CE7080">
              <w:rPr>
                <w:sz w:val="18"/>
              </w:rPr>
              <w:t>(Grade 3: pain associated with severe weakness; limiting self-care ADLs</w:t>
            </w:r>
          </w:p>
          <w:p w14:paraId="34616026" w14:textId="77777777" w:rsidR="00CE7080" w:rsidRPr="00CE7080" w:rsidRDefault="00CE7080" w:rsidP="00CE7080">
            <w:pPr>
              <w:autoSpaceDE w:val="0"/>
              <w:autoSpaceDN w:val="0"/>
              <w:adjustRightInd w:val="0"/>
              <w:spacing w:after="0"/>
              <w:rPr>
                <w:sz w:val="18"/>
              </w:rPr>
            </w:pPr>
          </w:p>
          <w:p w14:paraId="16B255C4" w14:textId="77777777" w:rsidR="00CE7080" w:rsidRPr="00CE7080" w:rsidRDefault="00CE7080" w:rsidP="00CE7080">
            <w:pPr>
              <w:autoSpaceDE w:val="0"/>
              <w:autoSpaceDN w:val="0"/>
              <w:adjustRightInd w:val="0"/>
              <w:spacing w:after="0"/>
              <w:rPr>
                <w:sz w:val="18"/>
              </w:rPr>
            </w:pPr>
            <w:r w:rsidRPr="00CE7080">
              <w:rPr>
                <w:sz w:val="18"/>
              </w:rPr>
              <w:t>Grade 4: life-threatening consequences; urgent intervention indicated)</w:t>
            </w:r>
          </w:p>
        </w:tc>
        <w:tc>
          <w:tcPr>
            <w:tcW w:w="3287" w:type="dxa"/>
            <w:tcBorders>
              <w:top w:val="single" w:sz="4" w:space="0" w:color="auto"/>
              <w:left w:val="single" w:sz="4" w:space="0" w:color="auto"/>
              <w:bottom w:val="single" w:sz="4" w:space="0" w:color="auto"/>
              <w:right w:val="single" w:sz="4" w:space="0" w:color="auto"/>
            </w:tcBorders>
          </w:tcPr>
          <w:p w14:paraId="52911060" w14:textId="77777777" w:rsidR="00CE7080" w:rsidRPr="00CE7080" w:rsidRDefault="00CE7080" w:rsidP="00CE7080">
            <w:pPr>
              <w:spacing w:before="60" w:after="60"/>
              <w:rPr>
                <w:b/>
                <w:sz w:val="18"/>
              </w:rPr>
            </w:pPr>
            <w:r w:rsidRPr="00CE7080">
              <w:rPr>
                <w:b/>
                <w:sz w:val="18"/>
              </w:rPr>
              <w:t>For Grade 3:</w:t>
            </w:r>
          </w:p>
          <w:p w14:paraId="222E1A5A" w14:textId="77777777" w:rsidR="00CE7080" w:rsidRPr="00CE7080" w:rsidRDefault="00CE7080" w:rsidP="00CE7080">
            <w:pPr>
              <w:spacing w:before="60" w:after="60"/>
              <w:rPr>
                <w:sz w:val="18"/>
              </w:rPr>
            </w:pPr>
            <w:r w:rsidRPr="00CE7080">
              <w:rPr>
                <w:sz w:val="18"/>
              </w:rPr>
              <w:t>Hold study drug/study regimen dose until resolution to Grade ≤1.</w:t>
            </w:r>
          </w:p>
          <w:p w14:paraId="5DB5C29D" w14:textId="77777777" w:rsidR="00CE7080" w:rsidRPr="00CE7080" w:rsidRDefault="00CE7080" w:rsidP="00CE7080">
            <w:pPr>
              <w:spacing w:before="60" w:after="60"/>
              <w:rPr>
                <w:sz w:val="18"/>
              </w:rPr>
            </w:pPr>
            <w:r w:rsidRPr="00CE7080">
              <w:rPr>
                <w:sz w:val="18"/>
              </w:rPr>
              <w:t>Permanently discontinue study drug/study regimen if Grade 3 imAE does not resolve to Grade ≤1 within 30 days or if there are signs of respiratory insufficiency.</w:t>
            </w:r>
          </w:p>
          <w:p w14:paraId="20F7EBA9" w14:textId="77777777" w:rsidR="00CE7080" w:rsidRPr="00CE7080" w:rsidRDefault="00CE7080" w:rsidP="00CE7080">
            <w:pPr>
              <w:spacing w:before="60" w:after="60"/>
              <w:rPr>
                <w:sz w:val="18"/>
              </w:rPr>
            </w:pPr>
          </w:p>
          <w:p w14:paraId="62187813" w14:textId="77777777" w:rsidR="00CE7080" w:rsidRPr="00CE7080" w:rsidRDefault="00CE7080" w:rsidP="00CE7080">
            <w:pPr>
              <w:spacing w:before="60" w:after="60"/>
              <w:rPr>
                <w:b/>
                <w:sz w:val="18"/>
              </w:rPr>
            </w:pPr>
            <w:r w:rsidRPr="00CE7080">
              <w:rPr>
                <w:b/>
                <w:sz w:val="18"/>
              </w:rPr>
              <w:t>For Grade 4:</w:t>
            </w:r>
          </w:p>
          <w:p w14:paraId="5FC36E41" w14:textId="77777777" w:rsidR="00CE7080" w:rsidRPr="00CE7080" w:rsidRDefault="00CE7080" w:rsidP="00CE7080">
            <w:pPr>
              <w:numPr>
                <w:ilvl w:val="0"/>
                <w:numId w:val="135"/>
              </w:numPr>
              <w:spacing w:before="60" w:after="60"/>
              <w:ind w:left="210" w:hanging="180"/>
              <w:rPr>
                <w:sz w:val="18"/>
              </w:rPr>
            </w:pPr>
            <w:r w:rsidRPr="00CE7080">
              <w:rPr>
                <w:sz w:val="18"/>
              </w:rPr>
              <w:t>Permanently discontinue study drug/study regimen.</w:t>
            </w:r>
          </w:p>
        </w:tc>
        <w:tc>
          <w:tcPr>
            <w:tcW w:w="5538" w:type="dxa"/>
            <w:tcBorders>
              <w:top w:val="single" w:sz="4" w:space="0" w:color="auto"/>
              <w:left w:val="single" w:sz="4" w:space="0" w:color="auto"/>
              <w:bottom w:val="single" w:sz="4" w:space="0" w:color="auto"/>
              <w:right w:val="single" w:sz="4" w:space="0" w:color="auto"/>
            </w:tcBorders>
          </w:tcPr>
          <w:p w14:paraId="6769AF65" w14:textId="77777777" w:rsidR="00CE7080" w:rsidRPr="00CE7080" w:rsidRDefault="00CE7080" w:rsidP="00CE7080">
            <w:pPr>
              <w:spacing w:before="60" w:after="60"/>
              <w:rPr>
                <w:b/>
                <w:sz w:val="18"/>
              </w:rPr>
            </w:pPr>
            <w:r w:rsidRPr="00CE7080">
              <w:rPr>
                <w:b/>
                <w:sz w:val="18"/>
              </w:rPr>
              <w:t>For Grade 3 or 4 (severe or life-threatening events):</w:t>
            </w:r>
          </w:p>
          <w:p w14:paraId="5C7A923A" w14:textId="77777777" w:rsidR="00CE7080" w:rsidRPr="00CE7080" w:rsidRDefault="00CE7080" w:rsidP="00CE7080">
            <w:pPr>
              <w:numPr>
                <w:ilvl w:val="0"/>
                <w:numId w:val="128"/>
              </w:numPr>
              <w:spacing w:before="0" w:after="0"/>
              <w:rPr>
                <w:sz w:val="18"/>
              </w:rPr>
            </w:pPr>
            <w:r w:rsidRPr="00CE7080">
              <w:rPr>
                <w:sz w:val="18"/>
              </w:rPr>
              <w:t>Monitor symptoms closely; recommend hospitalization.</w:t>
            </w:r>
          </w:p>
          <w:p w14:paraId="6548A16C" w14:textId="77777777" w:rsidR="00CE7080" w:rsidRPr="00CE7080" w:rsidRDefault="00CE7080" w:rsidP="00CE7080">
            <w:pPr>
              <w:numPr>
                <w:ilvl w:val="0"/>
                <w:numId w:val="128"/>
              </w:numPr>
              <w:spacing w:before="0" w:after="0"/>
              <w:rPr>
                <w:sz w:val="18"/>
              </w:rPr>
            </w:pPr>
            <w:r w:rsidRPr="00CE7080">
              <w:rPr>
                <w:sz w:val="18"/>
              </w:rPr>
              <w:t>Obtain Neurology consult, and complete full evaluation.</w:t>
            </w:r>
          </w:p>
          <w:p w14:paraId="2E658AB8" w14:textId="77777777" w:rsidR="00CE7080" w:rsidRPr="00CE7080" w:rsidRDefault="00CE7080" w:rsidP="00CE7080">
            <w:pPr>
              <w:numPr>
                <w:ilvl w:val="0"/>
                <w:numId w:val="128"/>
              </w:numPr>
              <w:spacing w:before="0" w:after="0"/>
              <w:rPr>
                <w:sz w:val="18"/>
              </w:rPr>
            </w:pPr>
            <w:r w:rsidRPr="00CE7080">
              <w:rPr>
                <w:sz w:val="18"/>
              </w:rPr>
              <w:t>Consider, as necessary, discussing with the study physician.</w:t>
            </w:r>
          </w:p>
          <w:p w14:paraId="0887908F" w14:textId="77777777" w:rsidR="00CE7080" w:rsidRPr="00CE7080" w:rsidRDefault="00CE7080" w:rsidP="00CE7080">
            <w:pPr>
              <w:numPr>
                <w:ilvl w:val="0"/>
                <w:numId w:val="128"/>
              </w:numPr>
              <w:spacing w:before="0" w:after="0" w:line="180" w:lineRule="exact"/>
              <w:rPr>
                <w:sz w:val="18"/>
              </w:rPr>
            </w:pPr>
            <w:r w:rsidRPr="00CE7080">
              <w:rPr>
                <w:sz w:val="18"/>
              </w:rPr>
              <w:t xml:space="preserve">Promptly start IV methylprednisolone 2 to 4 mg/kg/day systemic steroids </w:t>
            </w:r>
            <w:r w:rsidRPr="00CE7080">
              <w:rPr>
                <w:sz w:val="18"/>
                <w:u w:val="single"/>
              </w:rPr>
              <w:t>along with receiving input</w:t>
            </w:r>
            <w:r w:rsidRPr="00CE7080">
              <w:rPr>
                <w:sz w:val="18"/>
              </w:rPr>
              <w:t xml:space="preserve"> from Neurology consultant.</w:t>
            </w:r>
          </w:p>
          <w:p w14:paraId="53C17E03" w14:textId="77777777" w:rsidR="00CE7080" w:rsidRPr="00CE7080" w:rsidRDefault="00CE7080" w:rsidP="00CE7080">
            <w:pPr>
              <w:numPr>
                <w:ilvl w:val="0"/>
                <w:numId w:val="128"/>
              </w:numPr>
              <w:spacing w:before="60" w:after="0" w:line="180" w:lineRule="exact"/>
              <w:rPr>
                <w:sz w:val="18"/>
              </w:rPr>
            </w:pPr>
            <w:r w:rsidRPr="00CE7080">
              <w:rPr>
                <w:sz w:val="18"/>
              </w:rPr>
              <w:t xml:space="preserve">If after start of IV methylprednisolone at 2 to 4 mg/kg/day there is no improvement within 2 to 3 days, consider start of immunosuppressive therapy such as TNF inhibitors (e.g., infliximab at 5 mg/kg </w:t>
            </w:r>
            <w:r w:rsidRPr="00CE7080">
              <w:t xml:space="preserve"> </w:t>
            </w:r>
            <w:r w:rsidRPr="00CE7080">
              <w:rPr>
                <w:sz w:val="18"/>
              </w:rPr>
              <w:t>IV, may be repeated at 2 and 6 weeks after initial dose at the discretion of the treating provider ). Caution: It is important to rule out sepsis and refer to infliximab label for general guidance before using infliximab.</w:t>
            </w:r>
          </w:p>
          <w:p w14:paraId="410C1E8B" w14:textId="77777777" w:rsidR="00CE7080" w:rsidRPr="00CE7080" w:rsidRDefault="00CE7080" w:rsidP="00CE7080">
            <w:pPr>
              <w:numPr>
                <w:ilvl w:val="0"/>
                <w:numId w:val="128"/>
              </w:numPr>
              <w:spacing w:before="60" w:after="60"/>
              <w:rPr>
                <w:sz w:val="18"/>
              </w:rPr>
            </w:pPr>
            <w:r w:rsidRPr="00CE7080">
              <w:rPr>
                <w:sz w:val="18"/>
              </w:rPr>
              <w:t>Consider whether patient may require IV IG, plasmapheresis.</w:t>
            </w:r>
          </w:p>
          <w:p w14:paraId="08FC9217" w14:textId="77777777" w:rsidR="00CE7080" w:rsidRPr="00CE7080" w:rsidRDefault="00CE7080" w:rsidP="00CE7080">
            <w:pPr>
              <w:numPr>
                <w:ilvl w:val="0"/>
                <w:numId w:val="128"/>
              </w:numPr>
              <w:spacing w:before="60" w:after="0" w:line="180" w:lineRule="exact"/>
              <w:rPr>
                <w:sz w:val="18"/>
              </w:rPr>
            </w:pPr>
            <w:r w:rsidRPr="00CE7080">
              <w:rPr>
                <w:sz w:val="18"/>
              </w:rPr>
              <w:t>Once the patient is improving, gradually taper steroids over ≥28 days and consider prophylactic antibiotics, antifungals, or anti-PJP treatment (refer to current NCCN guidelines for treatment of cancer-related infections</w:t>
            </w:r>
            <w:r w:rsidRPr="00CE7080">
              <w:rPr>
                <w:sz w:val="18"/>
                <w:szCs w:val="18"/>
              </w:rPr>
              <w:t>).</w:t>
            </w:r>
            <w:r w:rsidRPr="00CE7080">
              <w:rPr>
                <w:sz w:val="18"/>
                <w:szCs w:val="18"/>
                <w:vertAlign w:val="superscript"/>
              </w:rPr>
              <w:t>a</w:t>
            </w:r>
          </w:p>
        </w:tc>
      </w:tr>
      <w:tr w:rsidR="00CE7080" w:rsidRPr="00CE7080" w14:paraId="22870552" w14:textId="77777777" w:rsidTr="00CF7A38">
        <w:trPr>
          <w:trHeight w:val="1019"/>
        </w:trPr>
        <w:tc>
          <w:tcPr>
            <w:tcW w:w="2138" w:type="dxa"/>
            <w:tcBorders>
              <w:top w:val="single" w:sz="4" w:space="0" w:color="auto"/>
              <w:left w:val="single" w:sz="4" w:space="0" w:color="auto"/>
              <w:bottom w:val="single" w:sz="4" w:space="0" w:color="auto"/>
              <w:right w:val="single" w:sz="4" w:space="0" w:color="auto"/>
            </w:tcBorders>
          </w:tcPr>
          <w:p w14:paraId="4B9219AD" w14:textId="77777777" w:rsidR="00CE7080" w:rsidRPr="00CE7080" w:rsidRDefault="00CE7080" w:rsidP="00CE7080">
            <w:pPr>
              <w:spacing w:before="60" w:after="60"/>
              <w:rPr>
                <w:sz w:val="18"/>
              </w:rPr>
            </w:pPr>
            <w:r w:rsidRPr="00CE7080">
              <w:rPr>
                <w:sz w:val="18"/>
              </w:rPr>
              <w:t>Other Immune Mediated Reactions</w:t>
            </w:r>
          </w:p>
        </w:tc>
        <w:tc>
          <w:tcPr>
            <w:tcW w:w="1954" w:type="dxa"/>
            <w:tcBorders>
              <w:top w:val="single" w:sz="4" w:space="0" w:color="auto"/>
              <w:left w:val="single" w:sz="4" w:space="0" w:color="auto"/>
              <w:bottom w:val="single" w:sz="4" w:space="0" w:color="auto"/>
              <w:right w:val="single" w:sz="4" w:space="0" w:color="auto"/>
            </w:tcBorders>
          </w:tcPr>
          <w:p w14:paraId="3EEFEB32" w14:textId="77777777" w:rsidR="00CE7080" w:rsidRPr="00CE7080" w:rsidRDefault="00CE7080" w:rsidP="00CE7080">
            <w:pPr>
              <w:spacing w:before="60" w:after="60"/>
              <w:rPr>
                <w:sz w:val="18"/>
              </w:rPr>
            </w:pPr>
          </w:p>
        </w:tc>
        <w:tc>
          <w:tcPr>
            <w:tcW w:w="3287" w:type="dxa"/>
            <w:tcBorders>
              <w:top w:val="single" w:sz="4" w:space="0" w:color="auto"/>
              <w:left w:val="single" w:sz="4" w:space="0" w:color="auto"/>
              <w:bottom w:val="single" w:sz="4" w:space="0" w:color="auto"/>
              <w:right w:val="single" w:sz="4" w:space="0" w:color="auto"/>
            </w:tcBorders>
          </w:tcPr>
          <w:p w14:paraId="151EC5D8" w14:textId="77777777" w:rsidR="00CE7080" w:rsidRPr="00CE7080" w:rsidRDefault="00CE7080" w:rsidP="00CE7080">
            <w:pPr>
              <w:spacing w:before="60" w:after="60"/>
              <w:rPr>
                <w:sz w:val="18"/>
              </w:rPr>
            </w:pPr>
            <w:r w:rsidRPr="00CE7080">
              <w:rPr>
                <w:sz w:val="18"/>
              </w:rPr>
              <w:t>Dose Modifications (Any Grade): *Note it is possible that events with an inflammatory or immune mediated mechanism could occur in nearly all organs, some of them are not noted specifically in these guidelines</w:t>
            </w:r>
          </w:p>
          <w:p w14:paraId="5898996D" w14:textId="77777777" w:rsidR="00CE7080" w:rsidRPr="00CE7080" w:rsidRDefault="00CE7080" w:rsidP="00CE7080">
            <w:pPr>
              <w:spacing w:before="60" w:after="60"/>
              <w:rPr>
                <w:sz w:val="18"/>
              </w:rPr>
            </w:pPr>
            <w:r w:rsidRPr="00CE7080">
              <w:rPr>
                <w:sz w:val="18"/>
              </w:rPr>
              <w:t>Dose Modifications (Grade 1): No dose modifications</w:t>
            </w:r>
          </w:p>
          <w:p w14:paraId="7142E002" w14:textId="77777777" w:rsidR="00CE7080" w:rsidRPr="00CE7080" w:rsidRDefault="00CE7080" w:rsidP="00CE7080">
            <w:pPr>
              <w:spacing w:before="60" w:after="60"/>
              <w:rPr>
                <w:sz w:val="18"/>
              </w:rPr>
            </w:pPr>
            <w:r w:rsidRPr="00CE7080">
              <w:rPr>
                <w:sz w:val="18"/>
              </w:rPr>
              <w:t xml:space="preserve">Dose Modifications (Grade 2): Hold study drug/study regimen until </w:t>
            </w:r>
            <w:r w:rsidRPr="00CE7080">
              <w:rPr>
                <w:sz w:val="18"/>
              </w:rPr>
              <w:lastRenderedPageBreak/>
              <w:t>resolution to ≤Grade 1 or baseline. If toxicity worsens, then treat as Grade 3 or Grade 4. Study drug/study regimen can be resumed once event stabilizes to Grade ≤1 after completion of steroid taper. Consider whether study drug/study regimen should be permanently discontinued in Grade 2 events with high likelihood for morbidity and/or mortality when they do not rapidly improve to Grade &lt;1 upon treatment with systemic steroids and following full taper</w:t>
            </w:r>
          </w:p>
          <w:p w14:paraId="2D989EC5" w14:textId="77777777" w:rsidR="00CE7080" w:rsidRPr="00CE7080" w:rsidRDefault="00CE7080" w:rsidP="00CE7080">
            <w:pPr>
              <w:spacing w:before="60" w:after="60"/>
              <w:rPr>
                <w:sz w:val="18"/>
              </w:rPr>
            </w:pPr>
            <w:r w:rsidRPr="00CE7080">
              <w:rPr>
                <w:sz w:val="18"/>
              </w:rPr>
              <w:t>Dose Modification (Grade 3): Hold study drug/study regimen</w:t>
            </w:r>
          </w:p>
          <w:p w14:paraId="530FB0B9" w14:textId="77777777" w:rsidR="00CE7080" w:rsidRPr="00CE7080" w:rsidRDefault="00CE7080" w:rsidP="00CE7080">
            <w:pPr>
              <w:spacing w:before="60" w:after="60"/>
              <w:rPr>
                <w:sz w:val="18"/>
              </w:rPr>
            </w:pPr>
            <w:r w:rsidRPr="00CE7080">
              <w:rPr>
                <w:sz w:val="18"/>
              </w:rPr>
              <w:t xml:space="preserve"> Dose Modification (Grade 4): Discontinue study drug/study regimen</w:t>
            </w:r>
          </w:p>
        </w:tc>
        <w:tc>
          <w:tcPr>
            <w:tcW w:w="5538" w:type="dxa"/>
            <w:tcBorders>
              <w:top w:val="single" w:sz="4" w:space="0" w:color="auto"/>
              <w:left w:val="single" w:sz="4" w:space="0" w:color="auto"/>
              <w:bottom w:val="single" w:sz="4" w:space="0" w:color="auto"/>
              <w:right w:val="single" w:sz="4" w:space="0" w:color="auto"/>
            </w:tcBorders>
          </w:tcPr>
          <w:p w14:paraId="1BFB9C26" w14:textId="77777777" w:rsidR="00CE7080" w:rsidRPr="00CE7080" w:rsidRDefault="00CE7080" w:rsidP="00CE7080">
            <w:pPr>
              <w:spacing w:before="60" w:after="60"/>
              <w:rPr>
                <w:sz w:val="18"/>
              </w:rPr>
            </w:pPr>
            <w:r w:rsidRPr="00CE7080">
              <w:rPr>
                <w:sz w:val="18"/>
              </w:rPr>
              <w:lastRenderedPageBreak/>
              <w:t>Any Grade</w:t>
            </w:r>
          </w:p>
          <w:p w14:paraId="1EA229B6" w14:textId="77777777" w:rsidR="00CE7080" w:rsidRPr="00CE7080" w:rsidRDefault="00CE7080" w:rsidP="00CE7080">
            <w:pPr>
              <w:spacing w:before="60" w:after="60"/>
              <w:rPr>
                <w:sz w:val="18"/>
              </w:rPr>
            </w:pPr>
            <w:r w:rsidRPr="00CE7080">
              <w:rPr>
                <w:sz w:val="18"/>
              </w:rPr>
              <w:t>-</w:t>
            </w:r>
            <w:r w:rsidRPr="00CE7080">
              <w:rPr>
                <w:sz w:val="18"/>
              </w:rPr>
              <w:tab/>
              <w:t>Thorough evaluation to rule out any alternative etiology (e.g. disease progression, concomitant medications and infections)</w:t>
            </w:r>
          </w:p>
          <w:p w14:paraId="4E26DEAB" w14:textId="77777777" w:rsidR="00CE7080" w:rsidRPr="00CE7080" w:rsidRDefault="00CE7080" w:rsidP="00CE7080">
            <w:pPr>
              <w:spacing w:before="60" w:after="60"/>
              <w:rPr>
                <w:sz w:val="18"/>
              </w:rPr>
            </w:pPr>
            <w:r w:rsidRPr="00CE7080">
              <w:rPr>
                <w:sz w:val="18"/>
              </w:rPr>
              <w:t>-</w:t>
            </w:r>
            <w:r w:rsidRPr="00CE7080">
              <w:rPr>
                <w:sz w:val="18"/>
              </w:rPr>
              <w:tab/>
              <w:t>Consultation with relevant specialist</w:t>
            </w:r>
          </w:p>
          <w:p w14:paraId="44391EC3" w14:textId="77777777" w:rsidR="00CE7080" w:rsidRPr="00CE7080" w:rsidRDefault="00CE7080" w:rsidP="00CE7080">
            <w:pPr>
              <w:spacing w:before="60" w:after="60"/>
              <w:rPr>
                <w:sz w:val="18"/>
              </w:rPr>
            </w:pPr>
            <w:r w:rsidRPr="00CE7080">
              <w:rPr>
                <w:sz w:val="18"/>
              </w:rPr>
              <w:t>-</w:t>
            </w:r>
            <w:r w:rsidRPr="00CE7080">
              <w:rPr>
                <w:sz w:val="18"/>
              </w:rPr>
              <w:tab/>
              <w:t>Treat accordingly, as per institutional standard</w:t>
            </w:r>
          </w:p>
          <w:p w14:paraId="5E5DF41B" w14:textId="77777777" w:rsidR="00CE7080" w:rsidRPr="00CE7080" w:rsidRDefault="00CE7080" w:rsidP="00CE7080">
            <w:pPr>
              <w:spacing w:before="60" w:after="60"/>
              <w:rPr>
                <w:sz w:val="18"/>
              </w:rPr>
            </w:pPr>
            <w:r w:rsidRPr="00CE7080">
              <w:rPr>
                <w:sz w:val="18"/>
              </w:rPr>
              <w:t>Grade 1</w:t>
            </w:r>
          </w:p>
          <w:p w14:paraId="556AA4C5" w14:textId="77777777" w:rsidR="00CE7080" w:rsidRPr="00CE7080" w:rsidRDefault="00CE7080" w:rsidP="00CE7080">
            <w:pPr>
              <w:spacing w:before="60" w:after="60"/>
              <w:rPr>
                <w:sz w:val="18"/>
              </w:rPr>
            </w:pPr>
            <w:r w:rsidRPr="00CE7080">
              <w:rPr>
                <w:sz w:val="18"/>
              </w:rPr>
              <w:t>-</w:t>
            </w:r>
            <w:r w:rsidRPr="00CE7080">
              <w:rPr>
                <w:sz w:val="18"/>
              </w:rPr>
              <w:tab/>
              <w:t>Monitor as clinically indicated</w:t>
            </w:r>
          </w:p>
          <w:p w14:paraId="77400828" w14:textId="77777777" w:rsidR="00CE7080" w:rsidRPr="00CE7080" w:rsidRDefault="00CE7080" w:rsidP="00CE7080">
            <w:pPr>
              <w:spacing w:before="60" w:after="60"/>
              <w:rPr>
                <w:sz w:val="18"/>
              </w:rPr>
            </w:pPr>
            <w:r w:rsidRPr="00CE7080">
              <w:rPr>
                <w:sz w:val="18"/>
              </w:rPr>
              <w:t>Grade 2,3,4</w:t>
            </w:r>
          </w:p>
          <w:p w14:paraId="6E85EAA1" w14:textId="77777777" w:rsidR="00CE7080" w:rsidRPr="00CE7080" w:rsidRDefault="00CE7080" w:rsidP="00CE7080">
            <w:pPr>
              <w:spacing w:before="60" w:after="60"/>
              <w:rPr>
                <w:sz w:val="18"/>
              </w:rPr>
            </w:pPr>
            <w:r w:rsidRPr="00CE7080">
              <w:rPr>
                <w:sz w:val="18"/>
              </w:rPr>
              <w:t>-</w:t>
            </w:r>
            <w:r w:rsidRPr="00CE7080">
              <w:rPr>
                <w:sz w:val="18"/>
              </w:rPr>
              <w:tab/>
              <w:t>Treat accordingly as per institutional standard, appropriate clinical practice guidelines, and other society guidelines (e.g., NCCN, ESMO)</w:t>
            </w:r>
          </w:p>
        </w:tc>
      </w:tr>
    </w:tbl>
    <w:p w14:paraId="30E3E4BF" w14:textId="77777777" w:rsidR="00CE7080" w:rsidRPr="00CE7080" w:rsidRDefault="00CE7080" w:rsidP="00CE7080">
      <w:pPr>
        <w:tabs>
          <w:tab w:val="left" w:pos="432"/>
        </w:tabs>
        <w:spacing w:after="0"/>
        <w:ind w:left="432" w:hanging="432"/>
        <w:rPr>
          <w:rFonts w:eastAsia="Calibri"/>
          <w:sz w:val="18"/>
        </w:rPr>
      </w:pPr>
      <w:r w:rsidRPr="00CE7080">
        <w:rPr>
          <w:rFonts w:eastAsia="Calibri"/>
          <w:sz w:val="18"/>
          <w:vertAlign w:val="superscript"/>
        </w:rPr>
        <w:t>a</w:t>
      </w:r>
      <w:r w:rsidRPr="00CE7080">
        <w:rPr>
          <w:rFonts w:eastAsia="Calibri"/>
          <w:sz w:val="18"/>
        </w:rPr>
        <w:t>ASCO Educational Book 2015 “Managing Immune Checkpoint Blocking Antibody Side Effects” by Michael Postow MD.</w:t>
      </w:r>
    </w:p>
    <w:p w14:paraId="31CB3194" w14:textId="77777777" w:rsidR="00CE7080" w:rsidRPr="00CE7080" w:rsidRDefault="00CE7080" w:rsidP="00CE7080">
      <w:pPr>
        <w:tabs>
          <w:tab w:val="left" w:pos="432"/>
        </w:tabs>
        <w:spacing w:after="0"/>
        <w:ind w:left="432" w:hanging="432"/>
        <w:rPr>
          <w:rFonts w:eastAsia="Calibri"/>
          <w:sz w:val="18"/>
        </w:rPr>
      </w:pPr>
      <w:r w:rsidRPr="00CE7080">
        <w:rPr>
          <w:rFonts w:eastAsia="Calibri"/>
          <w:sz w:val="18"/>
          <w:vertAlign w:val="superscript"/>
        </w:rPr>
        <w:t>b</w:t>
      </w:r>
      <w:r w:rsidRPr="00CE7080">
        <w:rPr>
          <w:rFonts w:eastAsia="Calibri"/>
          <w:sz w:val="18"/>
        </w:rPr>
        <w:t>FDA Liver Guidance Document 2009 Guidance for Industry: Drug Induced Liver Injury – Premarketing Clinical Evaluation.</w:t>
      </w:r>
    </w:p>
    <w:p w14:paraId="5B39CB76" w14:textId="77777777" w:rsidR="00CE7080" w:rsidRPr="00CE7080" w:rsidRDefault="00CE7080" w:rsidP="00CE7080">
      <w:pPr>
        <w:tabs>
          <w:tab w:val="left" w:pos="432"/>
        </w:tabs>
        <w:spacing w:after="0"/>
        <w:ind w:left="432" w:hanging="432"/>
        <w:rPr>
          <w:rFonts w:eastAsia="Calibri"/>
          <w:sz w:val="18"/>
        </w:rPr>
      </w:pPr>
      <w:r w:rsidRPr="00CE7080">
        <w:rPr>
          <w:rFonts w:eastAsia="Calibri"/>
          <w:sz w:val="18"/>
        </w:rPr>
        <w:t>AChE Acetylcholine esterase; ADL Activities of daily living; AE Adverse event; ALP Alkaline phosphatase test; ALT Alanine aminotransferase; AST Aspartate aminotransferase; BUN Blood urea nitrogen; CT Computed tomography; CTCAE Common Terminology Criteria for Adverse Events; ILD Interstitial lung disease; imAE immune-mediated adverse event; IG Immunoglobulin; IV Intravenous; GI Gastrointestinal; LFT Liver function tests; LLN Lower limit of normal; MRI Magnetic resonance imaging; NCI National Cancer Institute; NCCN National Comprehensive Cancer Network; PJP </w:t>
      </w:r>
      <w:r w:rsidRPr="00CE7080">
        <w:rPr>
          <w:rFonts w:eastAsia="Calibri"/>
          <w:i/>
          <w:sz w:val="18"/>
        </w:rPr>
        <w:t>Pneumocystis jirovecii</w:t>
      </w:r>
      <w:r w:rsidRPr="00CE7080">
        <w:rPr>
          <w:rFonts w:eastAsia="Calibri"/>
          <w:sz w:val="18"/>
        </w:rPr>
        <w:t xml:space="preserve"> pneumonia (formerly known as </w:t>
      </w:r>
      <w:r w:rsidRPr="00CE7080">
        <w:rPr>
          <w:rFonts w:eastAsia="Calibri"/>
          <w:i/>
          <w:sz w:val="18"/>
        </w:rPr>
        <w:t>Pneumocystis carinii</w:t>
      </w:r>
      <w:r w:rsidRPr="00CE7080">
        <w:rPr>
          <w:rFonts w:eastAsia="Calibri"/>
          <w:sz w:val="18"/>
        </w:rPr>
        <w:t xml:space="preserve"> pneumonia); PO By mouth; T3 Triiodothyronine; T4 Thyroxine; TB Total bilirubin; TNF Tumor necrosis factor; TSH Thyroid-stimulating hormone; ULN Upper limit of normal.</w:t>
      </w:r>
    </w:p>
    <w:p w14:paraId="533F5FC2" w14:textId="77777777" w:rsidR="00CE7080" w:rsidRPr="00CE7080" w:rsidRDefault="00CE7080" w:rsidP="00CE7080">
      <w:pPr>
        <w:spacing w:after="160" w:line="259" w:lineRule="auto"/>
        <w:rPr>
          <w:rFonts w:eastAsia="Calibri"/>
        </w:rPr>
      </w:pPr>
      <w:r w:rsidRPr="00CE7080">
        <w:rPr>
          <w:rFonts w:eastAsia="Calibri"/>
        </w:rPr>
        <w:br w:type="page"/>
      </w: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959"/>
        <w:gridCol w:w="4722"/>
      </w:tblGrid>
      <w:tr w:rsidR="00CE7080" w:rsidRPr="00CE7080" w14:paraId="39CA41E4" w14:textId="77777777" w:rsidTr="00CF7A38">
        <w:trPr>
          <w:tblHeader/>
        </w:trPr>
        <w:tc>
          <w:tcPr>
            <w:tcW w:w="12701" w:type="dxa"/>
            <w:gridSpan w:val="3"/>
          </w:tcPr>
          <w:p w14:paraId="414972EA" w14:textId="77777777" w:rsidR="00CE7080" w:rsidRPr="00CE7080" w:rsidRDefault="00CE7080" w:rsidP="00CE7080">
            <w:pPr>
              <w:keepNext/>
              <w:pageBreakBefore/>
              <w:tabs>
                <w:tab w:val="left" w:pos="1800"/>
              </w:tabs>
              <w:spacing w:before="60" w:after="60"/>
              <w:ind w:left="1800" w:hanging="1800"/>
            </w:pPr>
            <w:r w:rsidRPr="00CE7080">
              <w:rPr>
                <w:b/>
              </w:rPr>
              <w:lastRenderedPageBreak/>
              <w:t>Infusion-Related Reactions</w:t>
            </w:r>
          </w:p>
        </w:tc>
      </w:tr>
      <w:tr w:rsidR="00CE7080" w:rsidRPr="00CE7080" w14:paraId="09520A81" w14:textId="77777777" w:rsidTr="00CF7A38">
        <w:trPr>
          <w:tblHeader/>
        </w:trPr>
        <w:tc>
          <w:tcPr>
            <w:tcW w:w="2064" w:type="dxa"/>
          </w:tcPr>
          <w:p w14:paraId="1F4E9B3A" w14:textId="77777777" w:rsidR="00CE7080" w:rsidRPr="00CE7080" w:rsidRDefault="00CE7080" w:rsidP="00CE7080">
            <w:pPr>
              <w:keepNext/>
              <w:spacing w:before="60" w:after="60"/>
              <w:rPr>
                <w:sz w:val="18"/>
              </w:rPr>
            </w:pPr>
            <w:r w:rsidRPr="00CE7080">
              <w:rPr>
                <w:b/>
                <w:sz w:val="18"/>
              </w:rPr>
              <w:t>Severity Grade of the Event (NCI CTCAE version 5.0)</w:t>
            </w:r>
          </w:p>
        </w:tc>
        <w:tc>
          <w:tcPr>
            <w:tcW w:w="4141" w:type="dxa"/>
          </w:tcPr>
          <w:p w14:paraId="25A5B9EB" w14:textId="77777777" w:rsidR="00CE7080" w:rsidRPr="00CE7080" w:rsidRDefault="00CE7080" w:rsidP="00CE7080">
            <w:pPr>
              <w:keepNext/>
              <w:spacing w:before="60" w:after="60"/>
              <w:rPr>
                <w:sz w:val="18"/>
              </w:rPr>
            </w:pPr>
            <w:r w:rsidRPr="00CE7080">
              <w:rPr>
                <w:b/>
                <w:sz w:val="18"/>
              </w:rPr>
              <w:t>Dose Modifications</w:t>
            </w:r>
          </w:p>
        </w:tc>
        <w:tc>
          <w:tcPr>
            <w:tcW w:w="6496" w:type="dxa"/>
          </w:tcPr>
          <w:p w14:paraId="61DA2889" w14:textId="77777777" w:rsidR="00CE7080" w:rsidRPr="00CE7080" w:rsidRDefault="00CE7080" w:rsidP="00CE7080">
            <w:pPr>
              <w:keepNext/>
              <w:spacing w:before="60" w:after="60"/>
              <w:rPr>
                <w:sz w:val="18"/>
              </w:rPr>
            </w:pPr>
            <w:r w:rsidRPr="00CE7080">
              <w:rPr>
                <w:b/>
                <w:sz w:val="18"/>
              </w:rPr>
              <w:t>Toxicity Management</w:t>
            </w:r>
          </w:p>
        </w:tc>
      </w:tr>
      <w:tr w:rsidR="00CE7080" w:rsidRPr="00CE7080" w14:paraId="61431C49" w14:textId="77777777" w:rsidTr="00CF7A38">
        <w:tc>
          <w:tcPr>
            <w:tcW w:w="2064" w:type="dxa"/>
          </w:tcPr>
          <w:p w14:paraId="2B69BE92" w14:textId="77777777" w:rsidR="00CE7080" w:rsidRPr="00CE7080" w:rsidRDefault="00CE7080" w:rsidP="00CE7080">
            <w:pPr>
              <w:spacing w:before="60" w:after="60"/>
              <w:rPr>
                <w:b/>
                <w:sz w:val="18"/>
              </w:rPr>
            </w:pPr>
            <w:r w:rsidRPr="00CE7080">
              <w:rPr>
                <w:b/>
                <w:sz w:val="18"/>
              </w:rPr>
              <w:t>Any Grade</w:t>
            </w:r>
          </w:p>
        </w:tc>
        <w:tc>
          <w:tcPr>
            <w:tcW w:w="4141" w:type="dxa"/>
          </w:tcPr>
          <w:p w14:paraId="12C0BA5D" w14:textId="77777777" w:rsidR="00CE7080" w:rsidRPr="00CE7080" w:rsidRDefault="00CE7080" w:rsidP="00CE7080">
            <w:pPr>
              <w:spacing w:before="60" w:after="60"/>
              <w:rPr>
                <w:sz w:val="18"/>
              </w:rPr>
            </w:pPr>
            <w:r w:rsidRPr="00CE7080">
              <w:rPr>
                <w:sz w:val="18"/>
              </w:rPr>
              <w:t>General Guidance</w:t>
            </w:r>
          </w:p>
        </w:tc>
        <w:tc>
          <w:tcPr>
            <w:tcW w:w="6496" w:type="dxa"/>
          </w:tcPr>
          <w:p w14:paraId="06BA34AA" w14:textId="77777777" w:rsidR="00CE7080" w:rsidRPr="00CE7080" w:rsidRDefault="00CE7080" w:rsidP="00CE7080">
            <w:pPr>
              <w:spacing w:before="60" w:after="60"/>
              <w:rPr>
                <w:b/>
                <w:sz w:val="18"/>
              </w:rPr>
            </w:pPr>
            <w:r w:rsidRPr="00CE7080">
              <w:rPr>
                <w:b/>
                <w:sz w:val="18"/>
              </w:rPr>
              <w:t>For Any Grade:</w:t>
            </w:r>
          </w:p>
          <w:p w14:paraId="30831E0C" w14:textId="77777777" w:rsidR="00CE7080" w:rsidRPr="00CE7080" w:rsidRDefault="00CE7080" w:rsidP="00CE7080">
            <w:pPr>
              <w:numPr>
                <w:ilvl w:val="0"/>
                <w:numId w:val="129"/>
              </w:numPr>
              <w:spacing w:before="60" w:after="60"/>
              <w:rPr>
                <w:sz w:val="18"/>
              </w:rPr>
            </w:pPr>
            <w:r w:rsidRPr="00CE7080">
              <w:rPr>
                <w:sz w:val="18"/>
              </w:rPr>
              <w:t>Manage per institutional standard at the discretion of investigator.</w:t>
            </w:r>
          </w:p>
          <w:p w14:paraId="3124865B" w14:textId="77777777" w:rsidR="00CE7080" w:rsidRPr="00CE7080" w:rsidRDefault="00CE7080" w:rsidP="00CE7080">
            <w:pPr>
              <w:numPr>
                <w:ilvl w:val="0"/>
                <w:numId w:val="129"/>
              </w:numPr>
              <w:spacing w:before="60" w:after="60"/>
              <w:rPr>
                <w:sz w:val="18"/>
              </w:rPr>
            </w:pPr>
            <w:r w:rsidRPr="00CE7080">
              <w:rPr>
                <w:sz w:val="18"/>
              </w:rPr>
              <w:t>Monitor patients for signs and symptoms of infusion-related reactions (e.g., fever and/or shaking chills, flushing and/or itching, alterations in heart rate and blood pressure, dyspnea or chest discomfort, or skin rashes) and anaphylaxis (e.g., generalized urticaria, angioedema, wheezing, hypotension, or tachycardia).</w:t>
            </w:r>
          </w:p>
        </w:tc>
      </w:tr>
      <w:tr w:rsidR="00CE7080" w:rsidRPr="00CE7080" w14:paraId="4C99840E" w14:textId="77777777" w:rsidTr="00CF7A38">
        <w:trPr>
          <w:trHeight w:val="262"/>
        </w:trPr>
        <w:tc>
          <w:tcPr>
            <w:tcW w:w="2064" w:type="dxa"/>
          </w:tcPr>
          <w:p w14:paraId="66A10471" w14:textId="77777777" w:rsidR="00CE7080" w:rsidRPr="00CE7080" w:rsidRDefault="00CE7080" w:rsidP="00CE7080">
            <w:pPr>
              <w:spacing w:before="60" w:after="60"/>
              <w:rPr>
                <w:b/>
                <w:sz w:val="18"/>
              </w:rPr>
            </w:pPr>
            <w:r w:rsidRPr="00CE7080">
              <w:rPr>
                <w:b/>
                <w:sz w:val="18"/>
              </w:rPr>
              <w:t>Grade 1 or 2</w:t>
            </w:r>
          </w:p>
        </w:tc>
        <w:tc>
          <w:tcPr>
            <w:tcW w:w="4141" w:type="dxa"/>
          </w:tcPr>
          <w:p w14:paraId="4A3460C8" w14:textId="77777777" w:rsidR="00CE7080" w:rsidRPr="00CE7080" w:rsidRDefault="00CE7080" w:rsidP="00CE7080">
            <w:pPr>
              <w:spacing w:before="60" w:after="60"/>
              <w:rPr>
                <w:b/>
                <w:sz w:val="18"/>
              </w:rPr>
            </w:pPr>
            <w:r w:rsidRPr="00CE7080">
              <w:rPr>
                <w:b/>
                <w:sz w:val="18"/>
              </w:rPr>
              <w:t>For Grade 1:</w:t>
            </w:r>
          </w:p>
          <w:p w14:paraId="5671AA8D" w14:textId="77777777" w:rsidR="00CE7080" w:rsidRPr="00CE7080" w:rsidRDefault="00CE7080" w:rsidP="00CE7080">
            <w:pPr>
              <w:spacing w:before="60" w:after="60"/>
              <w:rPr>
                <w:sz w:val="18"/>
              </w:rPr>
            </w:pPr>
            <w:r w:rsidRPr="00CE7080">
              <w:rPr>
                <w:sz w:val="18"/>
              </w:rPr>
              <w:t>The infusion rate of study drug/study regimen may be decreased by 50% or temporarily interrupted until resolution of the event.</w:t>
            </w:r>
          </w:p>
          <w:p w14:paraId="61A8D184" w14:textId="77777777" w:rsidR="00CE7080" w:rsidRPr="00CE7080" w:rsidRDefault="00CE7080" w:rsidP="00CE7080">
            <w:pPr>
              <w:spacing w:before="60" w:after="60"/>
              <w:rPr>
                <w:sz w:val="18"/>
              </w:rPr>
            </w:pPr>
          </w:p>
          <w:p w14:paraId="247A9D2E" w14:textId="77777777" w:rsidR="00CE7080" w:rsidRPr="00CE7080" w:rsidRDefault="00CE7080" w:rsidP="00CE7080">
            <w:pPr>
              <w:spacing w:before="60" w:after="60"/>
              <w:rPr>
                <w:b/>
                <w:sz w:val="18"/>
              </w:rPr>
            </w:pPr>
            <w:r w:rsidRPr="00CE7080">
              <w:rPr>
                <w:b/>
                <w:sz w:val="18"/>
              </w:rPr>
              <w:t>For Grade 2:</w:t>
            </w:r>
          </w:p>
          <w:p w14:paraId="0EECBA97" w14:textId="77777777" w:rsidR="00CE7080" w:rsidRPr="00CE7080" w:rsidRDefault="00CE7080" w:rsidP="00CE7080">
            <w:pPr>
              <w:spacing w:before="60" w:after="60"/>
              <w:rPr>
                <w:sz w:val="18"/>
              </w:rPr>
            </w:pPr>
            <w:r w:rsidRPr="00CE7080">
              <w:rPr>
                <w:sz w:val="18"/>
              </w:rPr>
              <w:t>The infusion rate of study drug/study regimen may be decreased 50% or temporarily interrupted until resolution of the event.</w:t>
            </w:r>
          </w:p>
          <w:p w14:paraId="2ABEF445" w14:textId="77777777" w:rsidR="00CE7080" w:rsidRPr="00CE7080" w:rsidRDefault="00CE7080" w:rsidP="00CE7080">
            <w:pPr>
              <w:spacing w:before="60" w:after="60"/>
              <w:rPr>
                <w:sz w:val="18"/>
              </w:rPr>
            </w:pPr>
            <w:r w:rsidRPr="00CE7080">
              <w:rPr>
                <w:sz w:val="18"/>
              </w:rPr>
              <w:t>Subsequent infusions may be given at 50% of the initial infusion rate.</w:t>
            </w:r>
          </w:p>
        </w:tc>
        <w:tc>
          <w:tcPr>
            <w:tcW w:w="6496" w:type="dxa"/>
          </w:tcPr>
          <w:p w14:paraId="7AADC47E" w14:textId="77777777" w:rsidR="00CE7080" w:rsidRPr="00CE7080" w:rsidRDefault="00CE7080" w:rsidP="00CE7080">
            <w:pPr>
              <w:spacing w:before="60" w:after="60"/>
              <w:rPr>
                <w:b/>
                <w:sz w:val="18"/>
              </w:rPr>
            </w:pPr>
            <w:r w:rsidRPr="00CE7080">
              <w:rPr>
                <w:b/>
                <w:sz w:val="18"/>
              </w:rPr>
              <w:t>For Grade 1 or 2:</w:t>
            </w:r>
          </w:p>
          <w:p w14:paraId="77581646" w14:textId="77777777" w:rsidR="00CE7080" w:rsidRPr="00CE7080" w:rsidRDefault="00CE7080" w:rsidP="00CE7080">
            <w:pPr>
              <w:numPr>
                <w:ilvl w:val="0"/>
                <w:numId w:val="130"/>
              </w:numPr>
              <w:spacing w:before="60" w:after="60"/>
              <w:rPr>
                <w:sz w:val="18"/>
              </w:rPr>
            </w:pPr>
            <w:r w:rsidRPr="00CE7080">
              <w:rPr>
                <w:sz w:val="18"/>
              </w:rPr>
              <w:t>Acetaminophen and/or antihistamines may be administered per institutional standard at the discretion of the investigator.</w:t>
            </w:r>
          </w:p>
          <w:p w14:paraId="095B690E" w14:textId="77777777" w:rsidR="00CE7080" w:rsidRPr="00CE7080" w:rsidRDefault="00CE7080" w:rsidP="00CE7080">
            <w:pPr>
              <w:numPr>
                <w:ilvl w:val="0"/>
                <w:numId w:val="130"/>
              </w:numPr>
              <w:spacing w:before="60" w:after="60"/>
              <w:rPr>
                <w:sz w:val="18"/>
              </w:rPr>
            </w:pPr>
            <w:r w:rsidRPr="00CE7080">
              <w:rPr>
                <w:sz w:val="18"/>
              </w:rPr>
              <w:t>Consider premedication per institutional standard prior to subsequent doses.</w:t>
            </w:r>
          </w:p>
          <w:p w14:paraId="12D9E7AD" w14:textId="77777777" w:rsidR="00CE7080" w:rsidRPr="00CE7080" w:rsidRDefault="00CE7080" w:rsidP="00CE7080">
            <w:pPr>
              <w:numPr>
                <w:ilvl w:val="0"/>
                <w:numId w:val="130"/>
              </w:numPr>
              <w:spacing w:before="60" w:after="60"/>
              <w:rPr>
                <w:sz w:val="18"/>
              </w:rPr>
            </w:pPr>
            <w:r w:rsidRPr="00CE7080">
              <w:rPr>
                <w:sz w:val="18"/>
              </w:rPr>
              <w:t>Steroids should not be used for routine premedication of Grade ≤2 infusion reactions.</w:t>
            </w:r>
          </w:p>
        </w:tc>
      </w:tr>
      <w:tr w:rsidR="00CE7080" w:rsidRPr="00CE7080" w14:paraId="4B47445E" w14:textId="77777777" w:rsidTr="00CF7A38">
        <w:tc>
          <w:tcPr>
            <w:tcW w:w="2064" w:type="dxa"/>
          </w:tcPr>
          <w:p w14:paraId="386BED5F" w14:textId="77777777" w:rsidR="00CE7080" w:rsidRPr="00CE7080" w:rsidRDefault="00CE7080" w:rsidP="00CE7080">
            <w:pPr>
              <w:spacing w:before="60" w:after="60"/>
              <w:rPr>
                <w:b/>
                <w:sz w:val="18"/>
              </w:rPr>
            </w:pPr>
            <w:r w:rsidRPr="00CE7080">
              <w:rPr>
                <w:b/>
                <w:sz w:val="18"/>
              </w:rPr>
              <w:t>Grade 3 or 4</w:t>
            </w:r>
          </w:p>
        </w:tc>
        <w:tc>
          <w:tcPr>
            <w:tcW w:w="4141" w:type="dxa"/>
          </w:tcPr>
          <w:p w14:paraId="1F7E18A6" w14:textId="77777777" w:rsidR="00CE7080" w:rsidRPr="00CE7080" w:rsidRDefault="00CE7080" w:rsidP="00CE7080">
            <w:pPr>
              <w:spacing w:before="60" w:after="60"/>
              <w:rPr>
                <w:b/>
                <w:sz w:val="18"/>
              </w:rPr>
            </w:pPr>
            <w:r w:rsidRPr="00CE7080">
              <w:rPr>
                <w:b/>
                <w:sz w:val="18"/>
              </w:rPr>
              <w:t>For Grade 3 or 4:</w:t>
            </w:r>
          </w:p>
          <w:p w14:paraId="4384688E" w14:textId="77777777" w:rsidR="00CE7080" w:rsidRPr="00CE7080" w:rsidRDefault="00CE7080" w:rsidP="00CE7080">
            <w:pPr>
              <w:spacing w:before="60" w:after="60"/>
              <w:rPr>
                <w:sz w:val="18"/>
              </w:rPr>
            </w:pPr>
            <w:r w:rsidRPr="00CE7080">
              <w:rPr>
                <w:sz w:val="18"/>
              </w:rPr>
              <w:t>Permanently discontinue study drug/study regimen.</w:t>
            </w:r>
          </w:p>
        </w:tc>
        <w:tc>
          <w:tcPr>
            <w:tcW w:w="6496" w:type="dxa"/>
          </w:tcPr>
          <w:p w14:paraId="49ABD7AB" w14:textId="77777777" w:rsidR="00CE7080" w:rsidRPr="00CE7080" w:rsidRDefault="00CE7080" w:rsidP="00CE7080">
            <w:pPr>
              <w:spacing w:before="60" w:after="60"/>
              <w:rPr>
                <w:b/>
                <w:sz w:val="18"/>
              </w:rPr>
            </w:pPr>
            <w:r w:rsidRPr="00CE7080">
              <w:rPr>
                <w:b/>
                <w:sz w:val="18"/>
              </w:rPr>
              <w:t>For Grade 3 or 4:</w:t>
            </w:r>
          </w:p>
          <w:p w14:paraId="607D8AEB" w14:textId="77777777" w:rsidR="00CE7080" w:rsidRPr="00CE7080" w:rsidRDefault="00CE7080" w:rsidP="00CE7080">
            <w:pPr>
              <w:numPr>
                <w:ilvl w:val="0"/>
                <w:numId w:val="131"/>
              </w:numPr>
              <w:spacing w:before="60" w:after="60"/>
              <w:rPr>
                <w:sz w:val="18"/>
              </w:rPr>
            </w:pPr>
            <w:r w:rsidRPr="00CE7080">
              <w:rPr>
                <w:sz w:val="18"/>
              </w:rPr>
              <w:t>Manage severe infusion-related reactions per institutional standards (e.g., IM epinephrine, followed by IV diphenhydramine and famotidine, and IV glucocorticoid).</w:t>
            </w:r>
          </w:p>
        </w:tc>
      </w:tr>
    </w:tbl>
    <w:p w14:paraId="0816B2AD" w14:textId="77777777" w:rsidR="00CE7080" w:rsidRPr="00CE7080" w:rsidRDefault="00CE7080" w:rsidP="00CE7080">
      <w:pPr>
        <w:tabs>
          <w:tab w:val="left" w:pos="432"/>
        </w:tabs>
        <w:spacing w:after="0"/>
        <w:ind w:left="432" w:hanging="432"/>
        <w:jc w:val="center"/>
        <w:rPr>
          <w:rFonts w:eastAsia="Calibri"/>
        </w:rPr>
      </w:pPr>
      <w:r w:rsidRPr="00CE7080">
        <w:rPr>
          <w:rFonts w:eastAsia="Calibri"/>
          <w:sz w:val="18"/>
        </w:rPr>
        <w:t>CTCAE Common Terminology Criteria for Adverse Events; IM intramuscular; IV intravenous; NCI National Cancer Institute.</w:t>
      </w:r>
    </w:p>
    <w:p w14:paraId="69D1593B" w14:textId="77777777" w:rsidR="00CE7080" w:rsidRPr="00CE7080" w:rsidRDefault="00CE7080" w:rsidP="00CE7080">
      <w:pPr>
        <w:spacing w:after="160" w:line="259" w:lineRule="auto"/>
        <w:rPr>
          <w:rFonts w:eastAsia="Calibri"/>
        </w:rPr>
      </w:pPr>
      <w:r w:rsidRPr="00CE7080">
        <w:rPr>
          <w:rFonts w:eastAsia="Calibri"/>
        </w:rPr>
        <w:br w:type="page"/>
      </w: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3631"/>
        <w:gridCol w:w="3682"/>
      </w:tblGrid>
      <w:tr w:rsidR="00CE7080" w:rsidRPr="00CE7080" w14:paraId="3AB07F49" w14:textId="77777777" w:rsidTr="00CF7A38">
        <w:trPr>
          <w:tblHeader/>
        </w:trPr>
        <w:tc>
          <w:tcPr>
            <w:tcW w:w="12701" w:type="dxa"/>
            <w:gridSpan w:val="3"/>
          </w:tcPr>
          <w:p w14:paraId="1F592A17" w14:textId="77777777" w:rsidR="00CE7080" w:rsidRPr="00CE7080" w:rsidRDefault="00CE7080" w:rsidP="00CE7080">
            <w:pPr>
              <w:keepNext/>
              <w:pageBreakBefore/>
              <w:tabs>
                <w:tab w:val="left" w:pos="1800"/>
              </w:tabs>
              <w:spacing w:before="60" w:after="60"/>
              <w:ind w:left="1800" w:hanging="1800"/>
            </w:pPr>
            <w:r w:rsidRPr="00CE7080">
              <w:rPr>
                <w:b/>
              </w:rPr>
              <w:lastRenderedPageBreak/>
              <w:t>Non</w:t>
            </w:r>
            <w:r w:rsidRPr="00CE7080">
              <w:rPr>
                <w:rFonts w:ascii="Arial" w:eastAsia="Arial" w:hAnsi="Arial"/>
                <w:b/>
              </w:rPr>
              <w:t>–</w:t>
            </w:r>
            <w:r w:rsidRPr="00CE7080">
              <w:rPr>
                <w:b/>
              </w:rPr>
              <w:t>Immune</w:t>
            </w:r>
            <w:r w:rsidRPr="00CE7080">
              <w:rPr>
                <w:rFonts w:ascii="Arial" w:eastAsia="Arial" w:hAnsi="Arial"/>
                <w:b/>
              </w:rPr>
              <w:t>-</w:t>
            </w:r>
            <w:r w:rsidRPr="00CE7080">
              <w:rPr>
                <w:b/>
              </w:rPr>
              <w:t>Mediated Reactions</w:t>
            </w:r>
          </w:p>
        </w:tc>
      </w:tr>
      <w:tr w:rsidR="00CE7080" w:rsidRPr="00CE7080" w14:paraId="7BE71916" w14:textId="77777777" w:rsidTr="00CF7A38">
        <w:trPr>
          <w:tblHeader/>
        </w:trPr>
        <w:tc>
          <w:tcPr>
            <w:tcW w:w="2594" w:type="dxa"/>
          </w:tcPr>
          <w:p w14:paraId="200FDF93" w14:textId="77777777" w:rsidR="00CE7080" w:rsidRPr="00CE7080" w:rsidRDefault="00CE7080" w:rsidP="00CE7080">
            <w:pPr>
              <w:keepNext/>
              <w:spacing w:before="60" w:after="60"/>
              <w:rPr>
                <w:sz w:val="18"/>
              </w:rPr>
            </w:pPr>
            <w:r w:rsidRPr="00CE7080">
              <w:rPr>
                <w:b/>
                <w:sz w:val="18"/>
              </w:rPr>
              <w:t>Severity Grade of the Event (NCI CTCAE version 5.0)</w:t>
            </w:r>
          </w:p>
        </w:tc>
        <w:tc>
          <w:tcPr>
            <w:tcW w:w="4954" w:type="dxa"/>
          </w:tcPr>
          <w:p w14:paraId="1C00CBE4" w14:textId="77777777" w:rsidR="00CE7080" w:rsidRPr="00CE7080" w:rsidRDefault="00CE7080" w:rsidP="00CE7080">
            <w:pPr>
              <w:keepNext/>
              <w:spacing w:before="60" w:after="60"/>
              <w:rPr>
                <w:sz w:val="18"/>
              </w:rPr>
            </w:pPr>
            <w:r w:rsidRPr="00CE7080">
              <w:rPr>
                <w:b/>
                <w:sz w:val="18"/>
              </w:rPr>
              <w:t>Dose Modifications</w:t>
            </w:r>
          </w:p>
        </w:tc>
        <w:tc>
          <w:tcPr>
            <w:tcW w:w="5153" w:type="dxa"/>
          </w:tcPr>
          <w:p w14:paraId="659ABA39" w14:textId="77777777" w:rsidR="00CE7080" w:rsidRPr="00CE7080" w:rsidRDefault="00CE7080" w:rsidP="00CE7080">
            <w:pPr>
              <w:keepNext/>
              <w:spacing w:before="60" w:after="60"/>
              <w:rPr>
                <w:sz w:val="18"/>
              </w:rPr>
            </w:pPr>
            <w:r w:rsidRPr="00CE7080">
              <w:rPr>
                <w:b/>
                <w:sz w:val="18"/>
              </w:rPr>
              <w:t>Toxicity Management</w:t>
            </w:r>
          </w:p>
        </w:tc>
      </w:tr>
      <w:tr w:rsidR="00CE7080" w:rsidRPr="00CE7080" w14:paraId="4A8309DD" w14:textId="77777777" w:rsidTr="00CF7A38">
        <w:tc>
          <w:tcPr>
            <w:tcW w:w="2594" w:type="dxa"/>
          </w:tcPr>
          <w:p w14:paraId="6BBA4EE9" w14:textId="77777777" w:rsidR="00CE7080" w:rsidRPr="00CE7080" w:rsidRDefault="00CE7080" w:rsidP="00CE7080">
            <w:pPr>
              <w:spacing w:before="60" w:after="60"/>
              <w:rPr>
                <w:b/>
                <w:sz w:val="18"/>
              </w:rPr>
            </w:pPr>
            <w:r w:rsidRPr="00CE7080">
              <w:rPr>
                <w:b/>
                <w:sz w:val="18"/>
              </w:rPr>
              <w:t>Any Grade</w:t>
            </w:r>
          </w:p>
        </w:tc>
        <w:tc>
          <w:tcPr>
            <w:tcW w:w="4954" w:type="dxa"/>
          </w:tcPr>
          <w:p w14:paraId="65722C77" w14:textId="77777777" w:rsidR="00CE7080" w:rsidRPr="00CE7080" w:rsidRDefault="00CE7080" w:rsidP="00CE7080">
            <w:pPr>
              <w:tabs>
                <w:tab w:val="left" w:pos="972"/>
              </w:tabs>
              <w:spacing w:before="60" w:after="60"/>
              <w:rPr>
                <w:sz w:val="18"/>
              </w:rPr>
            </w:pPr>
            <w:r w:rsidRPr="00CE7080">
              <w:rPr>
                <w:sz w:val="18"/>
              </w:rPr>
              <w:t>Note: Dose modifications are not required for AEs not deemed to be related to study treatment (i.e., events due to underlying disease) or for laboratory abnormalities not deemed to be clinically significant.</w:t>
            </w:r>
          </w:p>
        </w:tc>
        <w:tc>
          <w:tcPr>
            <w:tcW w:w="5153" w:type="dxa"/>
          </w:tcPr>
          <w:p w14:paraId="6820B9C1" w14:textId="77777777" w:rsidR="00CE7080" w:rsidRPr="00CE7080" w:rsidRDefault="00CE7080" w:rsidP="00CE7080">
            <w:pPr>
              <w:spacing w:before="60" w:after="60"/>
              <w:rPr>
                <w:sz w:val="18"/>
              </w:rPr>
            </w:pPr>
            <w:r w:rsidRPr="00CE7080">
              <w:rPr>
                <w:sz w:val="18"/>
              </w:rPr>
              <w:t>Treat accordingly, as per institutional standard.</w:t>
            </w:r>
          </w:p>
        </w:tc>
      </w:tr>
      <w:tr w:rsidR="00CE7080" w:rsidRPr="00CE7080" w14:paraId="07C2C656" w14:textId="77777777" w:rsidTr="00CF7A38">
        <w:tc>
          <w:tcPr>
            <w:tcW w:w="2594" w:type="dxa"/>
          </w:tcPr>
          <w:p w14:paraId="201E3A94" w14:textId="77777777" w:rsidR="00CE7080" w:rsidRPr="00CE7080" w:rsidRDefault="00CE7080" w:rsidP="00CE7080">
            <w:pPr>
              <w:spacing w:before="60" w:after="60"/>
              <w:rPr>
                <w:b/>
                <w:sz w:val="18"/>
              </w:rPr>
            </w:pPr>
            <w:r w:rsidRPr="00CE7080">
              <w:rPr>
                <w:b/>
                <w:sz w:val="18"/>
              </w:rPr>
              <w:t>Grade 1</w:t>
            </w:r>
          </w:p>
        </w:tc>
        <w:tc>
          <w:tcPr>
            <w:tcW w:w="4954" w:type="dxa"/>
          </w:tcPr>
          <w:p w14:paraId="42BA0AB2" w14:textId="77777777" w:rsidR="00CE7080" w:rsidRPr="00CE7080" w:rsidRDefault="00CE7080" w:rsidP="00CE7080">
            <w:pPr>
              <w:tabs>
                <w:tab w:val="left" w:pos="972"/>
              </w:tabs>
              <w:spacing w:before="60" w:after="60"/>
              <w:rPr>
                <w:sz w:val="18"/>
              </w:rPr>
            </w:pPr>
            <w:r w:rsidRPr="00CE7080">
              <w:rPr>
                <w:sz w:val="18"/>
              </w:rPr>
              <w:t>No dose modifications.</w:t>
            </w:r>
          </w:p>
        </w:tc>
        <w:tc>
          <w:tcPr>
            <w:tcW w:w="5153" w:type="dxa"/>
          </w:tcPr>
          <w:p w14:paraId="76391AB7" w14:textId="77777777" w:rsidR="00CE7080" w:rsidRPr="00CE7080" w:rsidRDefault="00CE7080" w:rsidP="00CE7080">
            <w:pPr>
              <w:spacing w:before="60" w:after="60"/>
              <w:rPr>
                <w:sz w:val="18"/>
              </w:rPr>
            </w:pPr>
            <w:r w:rsidRPr="00CE7080">
              <w:rPr>
                <w:sz w:val="18"/>
              </w:rPr>
              <w:t>Treat accordingly, as per institutional standard.</w:t>
            </w:r>
          </w:p>
        </w:tc>
      </w:tr>
      <w:tr w:rsidR="00CE7080" w:rsidRPr="00CE7080" w14:paraId="0FCBBA0E" w14:textId="77777777" w:rsidTr="00CF7A38">
        <w:tc>
          <w:tcPr>
            <w:tcW w:w="2594" w:type="dxa"/>
          </w:tcPr>
          <w:p w14:paraId="563F7B6D" w14:textId="77777777" w:rsidR="00CE7080" w:rsidRPr="00CE7080" w:rsidRDefault="00CE7080" w:rsidP="00CE7080">
            <w:pPr>
              <w:spacing w:before="60" w:after="60"/>
              <w:rPr>
                <w:b/>
                <w:sz w:val="18"/>
              </w:rPr>
            </w:pPr>
            <w:r w:rsidRPr="00CE7080">
              <w:rPr>
                <w:b/>
                <w:sz w:val="18"/>
              </w:rPr>
              <w:t>Grade 2</w:t>
            </w:r>
          </w:p>
        </w:tc>
        <w:tc>
          <w:tcPr>
            <w:tcW w:w="4954" w:type="dxa"/>
          </w:tcPr>
          <w:p w14:paraId="5C6EE88D" w14:textId="77777777" w:rsidR="00CE7080" w:rsidRPr="00CE7080" w:rsidRDefault="00CE7080" w:rsidP="00CE7080">
            <w:pPr>
              <w:tabs>
                <w:tab w:val="left" w:pos="972"/>
              </w:tabs>
              <w:spacing w:before="60" w:after="60"/>
              <w:rPr>
                <w:sz w:val="18"/>
              </w:rPr>
            </w:pPr>
            <w:r w:rsidRPr="00CE7080">
              <w:rPr>
                <w:sz w:val="18"/>
              </w:rPr>
              <w:t>Hold study drug/study regimen until resolution to ≤Grade 1 or baseline.</w:t>
            </w:r>
          </w:p>
        </w:tc>
        <w:tc>
          <w:tcPr>
            <w:tcW w:w="5153" w:type="dxa"/>
          </w:tcPr>
          <w:p w14:paraId="25DC4EE7" w14:textId="77777777" w:rsidR="00CE7080" w:rsidRPr="00CE7080" w:rsidRDefault="00CE7080" w:rsidP="00CE7080">
            <w:pPr>
              <w:spacing w:before="60" w:after="60"/>
              <w:rPr>
                <w:sz w:val="18"/>
              </w:rPr>
            </w:pPr>
            <w:r w:rsidRPr="00CE7080">
              <w:rPr>
                <w:sz w:val="18"/>
              </w:rPr>
              <w:t>Treat accordingly, as per institutional standard.</w:t>
            </w:r>
          </w:p>
        </w:tc>
      </w:tr>
      <w:tr w:rsidR="00CE7080" w:rsidRPr="00CE7080" w14:paraId="62F12D36" w14:textId="77777777" w:rsidTr="00CF7A38">
        <w:tc>
          <w:tcPr>
            <w:tcW w:w="2594" w:type="dxa"/>
          </w:tcPr>
          <w:p w14:paraId="15AD5F2A" w14:textId="77777777" w:rsidR="00CE7080" w:rsidRPr="00CE7080" w:rsidRDefault="00CE7080" w:rsidP="00CE7080">
            <w:pPr>
              <w:spacing w:before="60" w:after="60"/>
              <w:rPr>
                <w:b/>
                <w:sz w:val="18"/>
              </w:rPr>
            </w:pPr>
            <w:r w:rsidRPr="00CE7080">
              <w:rPr>
                <w:b/>
                <w:sz w:val="18"/>
              </w:rPr>
              <w:t>Grade 3</w:t>
            </w:r>
          </w:p>
        </w:tc>
        <w:tc>
          <w:tcPr>
            <w:tcW w:w="4954" w:type="dxa"/>
          </w:tcPr>
          <w:p w14:paraId="37288AF3" w14:textId="77777777" w:rsidR="00CE7080" w:rsidRPr="00CE7080" w:rsidRDefault="00CE7080" w:rsidP="00CE7080">
            <w:pPr>
              <w:tabs>
                <w:tab w:val="left" w:pos="972"/>
              </w:tabs>
              <w:spacing w:before="60" w:after="60"/>
              <w:rPr>
                <w:sz w:val="18"/>
              </w:rPr>
            </w:pPr>
            <w:r w:rsidRPr="00CE7080">
              <w:rPr>
                <w:sz w:val="18"/>
              </w:rPr>
              <w:t>Hold study drug/study regimen until resolution to ≤Grade 1 or baseline.</w:t>
            </w:r>
          </w:p>
          <w:p w14:paraId="29676B10" w14:textId="77777777" w:rsidR="00CE7080" w:rsidRPr="00CE7080" w:rsidRDefault="00CE7080" w:rsidP="00CE7080">
            <w:pPr>
              <w:tabs>
                <w:tab w:val="left" w:pos="972"/>
              </w:tabs>
              <w:spacing w:before="60" w:after="60"/>
              <w:rPr>
                <w:sz w:val="18"/>
              </w:rPr>
            </w:pPr>
            <w:r w:rsidRPr="00CE7080">
              <w:rPr>
                <w:sz w:val="18"/>
              </w:rPr>
              <w:t>For AEs that downgrade to ≤Grade 2 within 7 days or resolve to ≤Grade 1 or baseline within 14 days, resume study drug/study regimen administration. Otherwise, discontinue study drug/study regimen.</w:t>
            </w:r>
          </w:p>
        </w:tc>
        <w:tc>
          <w:tcPr>
            <w:tcW w:w="5153" w:type="dxa"/>
          </w:tcPr>
          <w:p w14:paraId="7F831608" w14:textId="77777777" w:rsidR="00CE7080" w:rsidRPr="00CE7080" w:rsidRDefault="00CE7080" w:rsidP="00CE7080">
            <w:pPr>
              <w:spacing w:before="60" w:after="60"/>
              <w:rPr>
                <w:sz w:val="18"/>
              </w:rPr>
            </w:pPr>
            <w:r w:rsidRPr="00CE7080">
              <w:rPr>
                <w:sz w:val="18"/>
              </w:rPr>
              <w:t>Treat accordingly, as per institutional standard.</w:t>
            </w:r>
          </w:p>
        </w:tc>
      </w:tr>
      <w:tr w:rsidR="00CE7080" w:rsidRPr="00CE7080" w14:paraId="659A3C29" w14:textId="77777777" w:rsidTr="00CF7A38">
        <w:tc>
          <w:tcPr>
            <w:tcW w:w="2594" w:type="dxa"/>
          </w:tcPr>
          <w:p w14:paraId="596057A4" w14:textId="77777777" w:rsidR="00CE7080" w:rsidRPr="00CE7080" w:rsidRDefault="00CE7080" w:rsidP="00CE7080">
            <w:pPr>
              <w:spacing w:before="60" w:after="60"/>
              <w:rPr>
                <w:b/>
                <w:sz w:val="18"/>
              </w:rPr>
            </w:pPr>
            <w:r w:rsidRPr="00CE7080">
              <w:rPr>
                <w:b/>
                <w:sz w:val="18"/>
              </w:rPr>
              <w:t>Grade 4</w:t>
            </w:r>
          </w:p>
          <w:p w14:paraId="600F256A" w14:textId="77777777" w:rsidR="00CE7080" w:rsidRPr="00CE7080" w:rsidRDefault="00CE7080" w:rsidP="00CE7080">
            <w:pPr>
              <w:spacing w:before="60" w:after="60"/>
              <w:rPr>
                <w:b/>
                <w:sz w:val="18"/>
              </w:rPr>
            </w:pPr>
          </w:p>
        </w:tc>
        <w:tc>
          <w:tcPr>
            <w:tcW w:w="4954" w:type="dxa"/>
          </w:tcPr>
          <w:p w14:paraId="401B307F" w14:textId="77777777" w:rsidR="00CE7080" w:rsidRPr="00CE7080" w:rsidRDefault="00CE7080" w:rsidP="00CE7080">
            <w:pPr>
              <w:tabs>
                <w:tab w:val="left" w:pos="972"/>
              </w:tabs>
              <w:spacing w:before="60" w:after="60"/>
              <w:rPr>
                <w:sz w:val="18"/>
              </w:rPr>
            </w:pPr>
            <w:r w:rsidRPr="00CE7080">
              <w:rPr>
                <w:sz w:val="18"/>
              </w:rPr>
              <w:t>Discontinue study drug/study regimen (Note: For Grade 4 labs, decision to discontinue should be based on accompanying clinical signs/symptoms, the Investigator’s clinical judgment, and consultation with the Sponsor.).</w:t>
            </w:r>
          </w:p>
        </w:tc>
        <w:tc>
          <w:tcPr>
            <w:tcW w:w="5153" w:type="dxa"/>
          </w:tcPr>
          <w:p w14:paraId="6E203B92" w14:textId="77777777" w:rsidR="00CE7080" w:rsidRPr="00CE7080" w:rsidRDefault="00CE7080" w:rsidP="00CE7080">
            <w:pPr>
              <w:spacing w:before="60" w:after="60"/>
              <w:rPr>
                <w:sz w:val="18"/>
              </w:rPr>
            </w:pPr>
            <w:r w:rsidRPr="00CE7080">
              <w:rPr>
                <w:sz w:val="18"/>
              </w:rPr>
              <w:t>Treat accordingly, as per institutional standard.</w:t>
            </w:r>
          </w:p>
        </w:tc>
      </w:tr>
    </w:tbl>
    <w:p w14:paraId="6902CEED" w14:textId="77777777" w:rsidR="00CE7080" w:rsidRPr="00CE7080" w:rsidRDefault="00CE7080" w:rsidP="00CE7080">
      <w:pPr>
        <w:tabs>
          <w:tab w:val="left" w:pos="432"/>
        </w:tabs>
        <w:spacing w:after="0"/>
        <w:ind w:left="432" w:hanging="432"/>
        <w:jc w:val="center"/>
        <w:rPr>
          <w:rFonts w:eastAsia="Calibri"/>
          <w:sz w:val="18"/>
        </w:rPr>
      </w:pPr>
      <w:r w:rsidRPr="00CE7080">
        <w:rPr>
          <w:rFonts w:eastAsia="Calibri"/>
          <w:sz w:val="18"/>
        </w:rPr>
        <w:t>Note: As applicable, for early phase studies, the following sentence may be added: “Any event greater than or equal to Grade 2, please discuss with Study Physician.”</w:t>
      </w:r>
    </w:p>
    <w:p w14:paraId="2BC958BA" w14:textId="77777777" w:rsidR="00CE7080" w:rsidRPr="00CE7080" w:rsidRDefault="00CE7080" w:rsidP="00CE7080">
      <w:pPr>
        <w:tabs>
          <w:tab w:val="left" w:pos="432"/>
        </w:tabs>
        <w:spacing w:after="0"/>
        <w:ind w:left="432" w:hanging="432"/>
        <w:jc w:val="center"/>
        <w:rPr>
          <w:rFonts w:eastAsia="Calibri"/>
        </w:rPr>
      </w:pPr>
      <w:r w:rsidRPr="00CE7080">
        <w:rPr>
          <w:rFonts w:eastAsia="Calibri"/>
          <w:sz w:val="18"/>
        </w:rPr>
        <w:t>AE Adverse event; CTCAE Common Terminology Criteria for Adverse Events; NCI National Cancer Institute.</w:t>
      </w:r>
    </w:p>
    <w:p w14:paraId="665DB05C" w14:textId="77777777" w:rsidR="00CE7080" w:rsidRPr="00CE7080" w:rsidRDefault="00CE7080" w:rsidP="00CE7080">
      <w:pPr>
        <w:rPr>
          <w:rFonts w:eastAsia="Calibri"/>
        </w:rPr>
      </w:pPr>
    </w:p>
    <w:p w14:paraId="5C21FD2F" w14:textId="15A21E55" w:rsidR="00E21E1A" w:rsidRPr="00BC0B9C" w:rsidRDefault="00E21E1A" w:rsidP="00BC0B9C">
      <w:pPr>
        <w:spacing w:before="0" w:after="0"/>
        <w:rPr>
          <w:rFonts w:eastAsia="Calibri"/>
          <w:sz w:val="20"/>
          <w:szCs w:val="20"/>
        </w:rPr>
      </w:pPr>
    </w:p>
    <w:sectPr w:rsidR="00E21E1A" w:rsidRPr="00BC0B9C" w:rsidSect="00A00EE9">
      <w:headerReference w:type="even" r:id="rId85"/>
      <w:headerReference w:type="default" r:id="rId86"/>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A0C2C" w14:textId="77777777" w:rsidR="0045176A" w:rsidRDefault="0045176A" w:rsidP="00435648">
      <w:pPr>
        <w:spacing w:after="0"/>
      </w:pPr>
      <w:r>
        <w:separator/>
      </w:r>
    </w:p>
  </w:endnote>
  <w:endnote w:type="continuationSeparator" w:id="0">
    <w:p w14:paraId="1F7383D2" w14:textId="77777777" w:rsidR="0045176A" w:rsidRDefault="0045176A" w:rsidP="00435648">
      <w:pPr>
        <w:spacing w:after="0"/>
      </w:pPr>
      <w:r>
        <w:continuationSeparator/>
      </w:r>
    </w:p>
  </w:endnote>
  <w:endnote w:type="continuationNotice" w:id="1">
    <w:p w14:paraId="43CEF386" w14:textId="77777777" w:rsidR="0045176A" w:rsidRDefault="004517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
    <w:altName w:val="Yu Gothic UI"/>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neva">
    <w:charset w:val="00"/>
    <w:family w:val="auto"/>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0ÚøªñÈ">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AB6DB" w14:textId="77777777" w:rsidR="0045176A" w:rsidRDefault="0045176A" w:rsidP="00435648">
      <w:pPr>
        <w:spacing w:after="0"/>
      </w:pPr>
      <w:r>
        <w:separator/>
      </w:r>
    </w:p>
  </w:footnote>
  <w:footnote w:type="continuationSeparator" w:id="0">
    <w:p w14:paraId="7042B2DD" w14:textId="77777777" w:rsidR="0045176A" w:rsidRDefault="0045176A" w:rsidP="00435648">
      <w:pPr>
        <w:spacing w:after="0"/>
      </w:pPr>
      <w:r>
        <w:continuationSeparator/>
      </w:r>
    </w:p>
  </w:footnote>
  <w:footnote w:type="continuationNotice" w:id="1">
    <w:p w14:paraId="02757CA9" w14:textId="77777777" w:rsidR="0045176A" w:rsidRDefault="004517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0951" w14:textId="69F58601" w:rsidR="0045176A" w:rsidRDefault="0045176A">
    <w:pPr>
      <w:pStyle w:val="Header"/>
    </w:pPr>
  </w:p>
  <w:p w14:paraId="25C64C4F" w14:textId="77777777" w:rsidR="0045176A" w:rsidRDefault="0045176A"/>
  <w:p w14:paraId="436A2B1F" w14:textId="77777777" w:rsidR="0045176A" w:rsidRDefault="0045176A"/>
  <w:p w14:paraId="5B05157C" w14:textId="77777777" w:rsidR="0045176A" w:rsidRDefault="0045176A"/>
  <w:p w14:paraId="6D160BFD" w14:textId="77777777" w:rsidR="0045176A" w:rsidRDefault="004517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1AF1" w14:textId="0B22BB9E" w:rsidR="0045176A" w:rsidRPr="00FE5A3D" w:rsidRDefault="0045176A">
    <w:pPr>
      <w:pStyle w:val="Header"/>
      <w:jc w:val="right"/>
      <w:rPr>
        <w:rFonts w:ascii="Times New Roman" w:hAnsi="Times New Roman"/>
        <w:sz w:val="20"/>
      </w:rPr>
    </w:pPr>
    <w:r w:rsidRPr="00FE5A3D">
      <w:rPr>
        <w:rFonts w:ascii="Times New Roman" w:hAnsi="Times New Roman"/>
        <w:sz w:val="20"/>
      </w:rPr>
      <w:fldChar w:fldCharType="begin"/>
    </w:r>
    <w:r w:rsidRPr="00FE5A3D">
      <w:rPr>
        <w:rFonts w:ascii="Times New Roman" w:hAnsi="Times New Roman"/>
        <w:sz w:val="20"/>
      </w:rPr>
      <w:instrText xml:space="preserve"> PAGE   \* MERGEFORMAT </w:instrText>
    </w:r>
    <w:r w:rsidRPr="00FE5A3D">
      <w:rPr>
        <w:rFonts w:ascii="Times New Roman" w:hAnsi="Times New Roman"/>
        <w:sz w:val="20"/>
      </w:rPr>
      <w:fldChar w:fldCharType="separate"/>
    </w:r>
    <w:r>
      <w:rPr>
        <w:rFonts w:ascii="Times New Roman" w:hAnsi="Times New Roman"/>
        <w:noProof/>
        <w:sz w:val="20"/>
      </w:rPr>
      <w:t>120</w:t>
    </w:r>
    <w:r w:rsidRPr="00FE5A3D">
      <w:rPr>
        <w:rFonts w:ascii="Times New Roman" w:hAnsi="Times New Roman"/>
        <w:noProof/>
        <w:sz w:val="20"/>
      </w:rPr>
      <w:fldChar w:fldCharType="end"/>
    </w:r>
  </w:p>
  <w:p w14:paraId="44A3583C" w14:textId="484C9D64" w:rsidR="0045176A" w:rsidRPr="00FE5A3D" w:rsidRDefault="0045176A" w:rsidP="006570B8">
    <w:pPr>
      <w:pStyle w:val="Header"/>
      <w:spacing w:before="0"/>
      <w:rPr>
        <w:rFonts w:ascii="Times New Roman" w:hAnsi="Times New Roman"/>
        <w:b/>
        <w:i/>
        <w:sz w:val="20"/>
        <w:lang w:val="en-US"/>
      </w:rPr>
    </w:pPr>
    <w:r w:rsidRPr="00FE5A3D">
      <w:rPr>
        <w:rFonts w:ascii="Times New Roman" w:hAnsi="Times New Roman"/>
        <w:b/>
        <w:i/>
        <w:sz w:val="20"/>
        <w:lang w:val="en-US"/>
      </w:rPr>
      <w:t>Abbreviated Title:</w:t>
    </w:r>
    <w:r>
      <w:rPr>
        <w:rFonts w:ascii="Times New Roman" w:hAnsi="Times New Roman"/>
        <w:b/>
        <w:i/>
        <w:sz w:val="20"/>
        <w:lang w:val="en-US"/>
      </w:rPr>
      <w:t xml:space="preserve"> </w:t>
    </w:r>
    <w:r w:rsidRPr="00E525E5">
      <w:rPr>
        <w:i/>
        <w:sz w:val="20"/>
        <w:lang w:val="en-US"/>
      </w:rPr>
      <w:t>Ph I/II Durvalumab +O/+C/+OC</w:t>
    </w:r>
  </w:p>
  <w:p w14:paraId="497CC79E" w14:textId="3E3EEE01" w:rsidR="0045176A" w:rsidRDefault="0045176A" w:rsidP="006570B8">
    <w:pPr>
      <w:pStyle w:val="Header"/>
      <w:spacing w:before="0"/>
      <w:rPr>
        <w:rFonts w:ascii="Times New Roman" w:hAnsi="Times New Roman"/>
        <w:i/>
        <w:sz w:val="20"/>
        <w:lang w:val="en-US"/>
      </w:rPr>
    </w:pPr>
    <w:r w:rsidRPr="00FE5A3D">
      <w:rPr>
        <w:rFonts w:ascii="Times New Roman" w:hAnsi="Times New Roman"/>
        <w:b/>
        <w:i/>
        <w:sz w:val="20"/>
        <w:lang w:val="en-US"/>
      </w:rPr>
      <w:t xml:space="preserve">Version Date: </w:t>
    </w:r>
    <w:r>
      <w:rPr>
        <w:rFonts w:ascii="Times New Roman" w:hAnsi="Times New Roman"/>
        <w:i/>
        <w:sz w:val="20"/>
        <w:lang w:val="en-US"/>
      </w:rPr>
      <w:t>09/09/2021</w:t>
    </w:r>
  </w:p>
  <w:p w14:paraId="4BC4F68F" w14:textId="77777777" w:rsidR="0045176A" w:rsidRDefault="0045176A" w:rsidP="006570B8">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47F9"/>
    <w:multiLevelType w:val="hybridMultilevel"/>
    <w:tmpl w:val="A5CC3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FB5D6A"/>
    <w:multiLevelType w:val="hybridMultilevel"/>
    <w:tmpl w:val="92FC5B08"/>
    <w:lvl w:ilvl="0" w:tplc="F0CC80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75585"/>
    <w:multiLevelType w:val="hybridMultilevel"/>
    <w:tmpl w:val="7758F02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D6587F3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3F0C54"/>
    <w:multiLevelType w:val="hybridMultilevel"/>
    <w:tmpl w:val="D8F6F5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309B0"/>
    <w:multiLevelType w:val="hybridMultilevel"/>
    <w:tmpl w:val="C99609EC"/>
    <w:lvl w:ilvl="0" w:tplc="35C6577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626E0"/>
    <w:multiLevelType w:val="hybridMultilevel"/>
    <w:tmpl w:val="2EE0A71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7AB4D43"/>
    <w:multiLevelType w:val="hybridMultilevel"/>
    <w:tmpl w:val="C2ACD892"/>
    <w:lvl w:ilvl="0" w:tplc="0122BD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313F1"/>
    <w:multiLevelType w:val="hybridMultilevel"/>
    <w:tmpl w:val="93D6E482"/>
    <w:lvl w:ilvl="0" w:tplc="35C6577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3028E"/>
    <w:multiLevelType w:val="hybridMultilevel"/>
    <w:tmpl w:val="471686A6"/>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7C411A"/>
    <w:multiLevelType w:val="hybridMultilevel"/>
    <w:tmpl w:val="D60E85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C8F0214"/>
    <w:multiLevelType w:val="hybridMultilevel"/>
    <w:tmpl w:val="B394A8CE"/>
    <w:lvl w:ilvl="0" w:tplc="35C65778">
      <w:start w:val="1"/>
      <w:numFmt w:val="bullet"/>
      <w:lvlText w:val="−"/>
      <w:lvlJc w:val="left"/>
      <w:pPr>
        <w:ind w:left="720" w:hanging="360"/>
      </w:pPr>
      <w:rPr>
        <w:rFonts w:ascii="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C4354"/>
    <w:multiLevelType w:val="hybridMultilevel"/>
    <w:tmpl w:val="F4E48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E4A77"/>
    <w:multiLevelType w:val="hybridMultilevel"/>
    <w:tmpl w:val="E0F0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360825"/>
    <w:multiLevelType w:val="hybridMultilevel"/>
    <w:tmpl w:val="24E2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C5ED1"/>
    <w:multiLevelType w:val="hybridMultilevel"/>
    <w:tmpl w:val="400A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6562D4"/>
    <w:multiLevelType w:val="multilevel"/>
    <w:tmpl w:val="32DA269A"/>
    <w:name w:val="TableFootnotes"/>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16" w15:restartNumberingAfterBreak="0">
    <w:nsid w:val="13A26817"/>
    <w:multiLevelType w:val="hybridMultilevel"/>
    <w:tmpl w:val="2678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3108B"/>
    <w:multiLevelType w:val="hybridMultilevel"/>
    <w:tmpl w:val="C79C4974"/>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EF7E51"/>
    <w:multiLevelType w:val="hybridMultilevel"/>
    <w:tmpl w:val="67D0E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0640B5"/>
    <w:multiLevelType w:val="hybridMultilevel"/>
    <w:tmpl w:val="34A2AC1A"/>
    <w:lvl w:ilvl="0" w:tplc="6548F900">
      <w:start w:val="1"/>
      <w:numFmt w:val="bullet"/>
      <w:pStyle w:val="A-ListSubsidiary"/>
      <w:lvlText w:val=""/>
      <w:lvlJc w:val="left"/>
      <w:pPr>
        <w:tabs>
          <w:tab w:val="num" w:pos="1410"/>
        </w:tabs>
        <w:ind w:left="1410" w:hanging="420"/>
      </w:pPr>
      <w:rPr>
        <w:rFonts w:ascii="Symbol" w:hAnsi="Symbol" w:hint="default"/>
      </w:rPr>
    </w:lvl>
    <w:lvl w:ilvl="1" w:tplc="FFAE4DC0">
      <w:start w:val="1"/>
      <w:numFmt w:val="bullet"/>
      <w:lvlText w:val="o"/>
      <w:lvlJc w:val="left"/>
      <w:pPr>
        <w:tabs>
          <w:tab w:val="num" w:pos="1440"/>
        </w:tabs>
        <w:ind w:left="1440" w:hanging="360"/>
      </w:pPr>
      <w:rPr>
        <w:rFonts w:ascii="Courier New" w:hAnsi="Courier New" w:hint="default"/>
      </w:rPr>
    </w:lvl>
    <w:lvl w:ilvl="2" w:tplc="58449958" w:tentative="1">
      <w:start w:val="1"/>
      <w:numFmt w:val="bullet"/>
      <w:lvlText w:val=""/>
      <w:lvlJc w:val="left"/>
      <w:pPr>
        <w:tabs>
          <w:tab w:val="num" w:pos="2160"/>
        </w:tabs>
        <w:ind w:left="2160" w:hanging="360"/>
      </w:pPr>
      <w:rPr>
        <w:rFonts w:ascii="Wingdings" w:hAnsi="Wingdings" w:hint="default"/>
      </w:rPr>
    </w:lvl>
    <w:lvl w:ilvl="3" w:tplc="6E9020D6" w:tentative="1">
      <w:start w:val="1"/>
      <w:numFmt w:val="bullet"/>
      <w:lvlText w:val=""/>
      <w:lvlJc w:val="left"/>
      <w:pPr>
        <w:tabs>
          <w:tab w:val="num" w:pos="2880"/>
        </w:tabs>
        <w:ind w:left="2880" w:hanging="360"/>
      </w:pPr>
      <w:rPr>
        <w:rFonts w:ascii="Symbol" w:hAnsi="Symbol" w:hint="default"/>
      </w:rPr>
    </w:lvl>
    <w:lvl w:ilvl="4" w:tplc="FF3C5B6A" w:tentative="1">
      <w:start w:val="1"/>
      <w:numFmt w:val="bullet"/>
      <w:lvlText w:val="o"/>
      <w:lvlJc w:val="left"/>
      <w:pPr>
        <w:tabs>
          <w:tab w:val="num" w:pos="3600"/>
        </w:tabs>
        <w:ind w:left="3600" w:hanging="360"/>
      </w:pPr>
      <w:rPr>
        <w:rFonts w:ascii="Courier New" w:hAnsi="Courier New" w:hint="default"/>
      </w:rPr>
    </w:lvl>
    <w:lvl w:ilvl="5" w:tplc="74766344" w:tentative="1">
      <w:start w:val="1"/>
      <w:numFmt w:val="bullet"/>
      <w:lvlText w:val=""/>
      <w:lvlJc w:val="left"/>
      <w:pPr>
        <w:tabs>
          <w:tab w:val="num" w:pos="4320"/>
        </w:tabs>
        <w:ind w:left="4320" w:hanging="360"/>
      </w:pPr>
      <w:rPr>
        <w:rFonts w:ascii="Wingdings" w:hAnsi="Wingdings" w:hint="default"/>
      </w:rPr>
    </w:lvl>
    <w:lvl w:ilvl="6" w:tplc="81866B52" w:tentative="1">
      <w:start w:val="1"/>
      <w:numFmt w:val="bullet"/>
      <w:lvlText w:val=""/>
      <w:lvlJc w:val="left"/>
      <w:pPr>
        <w:tabs>
          <w:tab w:val="num" w:pos="5040"/>
        </w:tabs>
        <w:ind w:left="5040" w:hanging="360"/>
      </w:pPr>
      <w:rPr>
        <w:rFonts w:ascii="Symbol" w:hAnsi="Symbol" w:hint="default"/>
      </w:rPr>
    </w:lvl>
    <w:lvl w:ilvl="7" w:tplc="B2BA28F4" w:tentative="1">
      <w:start w:val="1"/>
      <w:numFmt w:val="bullet"/>
      <w:lvlText w:val="o"/>
      <w:lvlJc w:val="left"/>
      <w:pPr>
        <w:tabs>
          <w:tab w:val="num" w:pos="5760"/>
        </w:tabs>
        <w:ind w:left="5760" w:hanging="360"/>
      </w:pPr>
      <w:rPr>
        <w:rFonts w:ascii="Courier New" w:hAnsi="Courier New" w:hint="default"/>
      </w:rPr>
    </w:lvl>
    <w:lvl w:ilvl="8" w:tplc="7BE8DFC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24C10"/>
    <w:multiLevelType w:val="hybridMultilevel"/>
    <w:tmpl w:val="745C5F52"/>
    <w:lvl w:ilvl="0" w:tplc="35C6577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2F78CC"/>
    <w:multiLevelType w:val="hybridMultilevel"/>
    <w:tmpl w:val="06E0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B13834"/>
    <w:multiLevelType w:val="hybridMultilevel"/>
    <w:tmpl w:val="C9D0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D50468"/>
    <w:multiLevelType w:val="hybridMultilevel"/>
    <w:tmpl w:val="8A882324"/>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275C48"/>
    <w:multiLevelType w:val="hybridMultilevel"/>
    <w:tmpl w:val="312CD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F8205D"/>
    <w:multiLevelType w:val="hybridMultilevel"/>
    <w:tmpl w:val="CAF8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504436"/>
    <w:multiLevelType w:val="hybridMultilevel"/>
    <w:tmpl w:val="0AACDB32"/>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8E17E6"/>
    <w:multiLevelType w:val="hybridMultilevel"/>
    <w:tmpl w:val="F40A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516A09"/>
    <w:multiLevelType w:val="hybridMultilevel"/>
    <w:tmpl w:val="7864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533460"/>
    <w:multiLevelType w:val="hybridMultilevel"/>
    <w:tmpl w:val="078E2820"/>
    <w:lvl w:ilvl="0" w:tplc="35C6577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5F7C1F"/>
    <w:multiLevelType w:val="hybridMultilevel"/>
    <w:tmpl w:val="F07C8000"/>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35062D4"/>
    <w:multiLevelType w:val="hybridMultilevel"/>
    <w:tmpl w:val="5C74543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4BF6D71"/>
    <w:multiLevelType w:val="hybridMultilevel"/>
    <w:tmpl w:val="9DBA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D83E44"/>
    <w:multiLevelType w:val="hybridMultilevel"/>
    <w:tmpl w:val="011AAD3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FF6CD2"/>
    <w:multiLevelType w:val="hybridMultilevel"/>
    <w:tmpl w:val="E564E4D0"/>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D7C90"/>
    <w:multiLevelType w:val="hybridMultilevel"/>
    <w:tmpl w:val="0DA8604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EC2CB7"/>
    <w:multiLevelType w:val="hybridMultilevel"/>
    <w:tmpl w:val="3A7C2CC2"/>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A2B6AB8"/>
    <w:multiLevelType w:val="hybridMultilevel"/>
    <w:tmpl w:val="E846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5E1910"/>
    <w:multiLevelType w:val="hybridMultilevel"/>
    <w:tmpl w:val="5034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E72109"/>
    <w:multiLevelType w:val="hybridMultilevel"/>
    <w:tmpl w:val="2FC8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BA4902"/>
    <w:multiLevelType w:val="hybridMultilevel"/>
    <w:tmpl w:val="4E5C7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BA692C"/>
    <w:multiLevelType w:val="hybridMultilevel"/>
    <w:tmpl w:val="3B78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1D3936"/>
    <w:multiLevelType w:val="singleLevel"/>
    <w:tmpl w:val="18ACD6AC"/>
    <w:lvl w:ilvl="0">
      <w:start w:val="4"/>
      <w:numFmt w:val="decimal"/>
      <w:lvlRestart w:val="0"/>
      <w:pStyle w:val="A-ListNumber"/>
      <w:lvlText w:val="%1."/>
      <w:lvlJc w:val="left"/>
      <w:pPr>
        <w:tabs>
          <w:tab w:val="num" w:pos="994"/>
        </w:tabs>
        <w:ind w:left="994" w:hanging="994"/>
      </w:pPr>
      <w:rPr>
        <w:rFonts w:hint="default"/>
      </w:rPr>
    </w:lvl>
  </w:abstractNum>
  <w:abstractNum w:abstractNumId="43" w15:restartNumberingAfterBreak="0">
    <w:nsid w:val="2E5C3B0C"/>
    <w:multiLevelType w:val="hybridMultilevel"/>
    <w:tmpl w:val="FA845960"/>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BB6D0B"/>
    <w:multiLevelType w:val="hybridMultilevel"/>
    <w:tmpl w:val="19AC4B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F231601"/>
    <w:multiLevelType w:val="hybridMultilevel"/>
    <w:tmpl w:val="A344D450"/>
    <w:lvl w:ilvl="0" w:tplc="35C6577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F2B539C"/>
    <w:multiLevelType w:val="hybridMultilevel"/>
    <w:tmpl w:val="9CACE740"/>
    <w:lvl w:ilvl="0" w:tplc="35C6577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BD78D7"/>
    <w:multiLevelType w:val="hybridMultilevel"/>
    <w:tmpl w:val="1FC055BC"/>
    <w:lvl w:ilvl="0" w:tplc="35C6577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8334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25B1B27"/>
    <w:multiLevelType w:val="hybridMultilevel"/>
    <w:tmpl w:val="9C166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4F126F"/>
    <w:multiLevelType w:val="hybridMultilevel"/>
    <w:tmpl w:val="AE4E54BA"/>
    <w:lvl w:ilvl="0" w:tplc="35C6577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3766FA9"/>
    <w:multiLevelType w:val="hybridMultilevel"/>
    <w:tmpl w:val="13B8C3EA"/>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316D9D"/>
    <w:multiLevelType w:val="hybridMultilevel"/>
    <w:tmpl w:val="E1C8772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445FAF"/>
    <w:multiLevelType w:val="singleLevel"/>
    <w:tmpl w:val="2AEACF48"/>
    <w:lvl w:ilvl="0">
      <w:start w:val="1"/>
      <w:numFmt w:val="bullet"/>
      <w:pStyle w:val="AI-ListBullet"/>
      <w:lvlText w:val=""/>
      <w:lvlJc w:val="left"/>
      <w:pPr>
        <w:tabs>
          <w:tab w:val="num" w:pos="709"/>
        </w:tabs>
        <w:ind w:left="709" w:hanging="709"/>
      </w:pPr>
      <w:rPr>
        <w:rFonts w:ascii="Symbol" w:hAnsi="Symbol" w:hint="default"/>
      </w:rPr>
    </w:lvl>
  </w:abstractNum>
  <w:abstractNum w:abstractNumId="54" w15:restartNumberingAfterBreak="0">
    <w:nsid w:val="35664686"/>
    <w:multiLevelType w:val="hybridMultilevel"/>
    <w:tmpl w:val="E90E4488"/>
    <w:lvl w:ilvl="0" w:tplc="C630A466">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850CC162">
      <w:numFmt w:val="bullet"/>
      <w:lvlText w:val="•"/>
      <w:lvlJc w:val="left"/>
      <w:pPr>
        <w:ind w:left="2160" w:hanging="720"/>
      </w:pPr>
      <w:rPr>
        <w:rFonts w:ascii="Times New Roman" w:eastAsia="Calibri" w:hAnsi="Times New Roman"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61D3800"/>
    <w:multiLevelType w:val="hybridMultilevel"/>
    <w:tmpl w:val="27A65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CE20A9"/>
    <w:multiLevelType w:val="multilevel"/>
    <w:tmpl w:val="16368E48"/>
    <w:lvl w:ilvl="0">
      <w:start w:val="1"/>
      <w:numFmt w:val="decimal"/>
      <w:pStyle w:val="SynopsisListNumb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7" w15:restartNumberingAfterBreak="0">
    <w:nsid w:val="38AD16F8"/>
    <w:multiLevelType w:val="hybridMultilevel"/>
    <w:tmpl w:val="D8A6058E"/>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BC3E1E"/>
    <w:multiLevelType w:val="hybridMultilevel"/>
    <w:tmpl w:val="6A384C10"/>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92329F3"/>
    <w:multiLevelType w:val="hybridMultilevel"/>
    <w:tmpl w:val="BBD2F1D8"/>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9258CA"/>
    <w:multiLevelType w:val="hybridMultilevel"/>
    <w:tmpl w:val="6E901696"/>
    <w:lvl w:ilvl="0" w:tplc="8C12F714">
      <w:numFmt w:val="bullet"/>
      <w:lvlText w:val="-"/>
      <w:lvlJc w:val="left"/>
      <w:pPr>
        <w:ind w:left="360" w:hanging="360"/>
      </w:pPr>
      <w:rPr>
        <w:rFonts w:ascii="TimesNewRoman" w:eastAsia="TimesNewRoman" w:hAnsi="Times New Roman" w:cs="TimesNewRoman"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9942BBB"/>
    <w:multiLevelType w:val="hybridMultilevel"/>
    <w:tmpl w:val="603404DA"/>
    <w:lvl w:ilvl="0" w:tplc="2D881E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9B75E18"/>
    <w:multiLevelType w:val="hybridMultilevel"/>
    <w:tmpl w:val="D1E837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A3A706B"/>
    <w:multiLevelType w:val="hybridMultilevel"/>
    <w:tmpl w:val="D60E85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A4E7F91"/>
    <w:multiLevelType w:val="hybridMultilevel"/>
    <w:tmpl w:val="1478976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3A712E5C"/>
    <w:multiLevelType w:val="hybridMultilevel"/>
    <w:tmpl w:val="514C2728"/>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1473D7"/>
    <w:multiLevelType w:val="hybridMultilevel"/>
    <w:tmpl w:val="BDA8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7641A9"/>
    <w:multiLevelType w:val="multilevel"/>
    <w:tmpl w:val="094041E4"/>
    <w:lvl w:ilvl="0">
      <w:start w:val="1"/>
      <w:numFmt w:val="decimal"/>
      <w:pStyle w:val="C-Heading1"/>
      <w:lvlText w:val="%1."/>
      <w:lvlJc w:val="left"/>
      <w:pPr>
        <w:tabs>
          <w:tab w:val="num" w:pos="1080"/>
        </w:tabs>
        <w:ind w:left="1080" w:hanging="1080"/>
      </w:pPr>
      <w:rPr>
        <w:rFonts w:cs="Times New Roman" w:hint="default"/>
      </w:rPr>
    </w:lvl>
    <w:lvl w:ilvl="1">
      <w:start w:val="1"/>
      <w:numFmt w:val="decimal"/>
      <w:pStyle w:val="C-Heading2"/>
      <w:lvlText w:val="%1.%2."/>
      <w:lvlJc w:val="left"/>
      <w:pPr>
        <w:tabs>
          <w:tab w:val="num" w:pos="1080"/>
        </w:tabs>
        <w:ind w:left="1080" w:hanging="1080"/>
      </w:pPr>
      <w:rPr>
        <w:rFonts w:cs="Times New Roman" w:hint="default"/>
      </w:rPr>
    </w:lvl>
    <w:lvl w:ilvl="2">
      <w:start w:val="1"/>
      <w:numFmt w:val="decimal"/>
      <w:pStyle w:val="C-Heading3"/>
      <w:lvlText w:val="%1.%2.%3."/>
      <w:lvlJc w:val="left"/>
      <w:pPr>
        <w:tabs>
          <w:tab w:val="num" w:pos="1080"/>
        </w:tabs>
        <w:ind w:left="1080" w:hanging="1080"/>
      </w:pPr>
      <w:rPr>
        <w:rFonts w:cs="Times New Roman" w:hint="default"/>
      </w:rPr>
    </w:lvl>
    <w:lvl w:ilvl="3">
      <w:start w:val="1"/>
      <w:numFmt w:val="decimal"/>
      <w:pStyle w:val="C-Heading4"/>
      <w:lvlText w:val="%1.%2.%3.%4."/>
      <w:lvlJc w:val="left"/>
      <w:pPr>
        <w:tabs>
          <w:tab w:val="num" w:pos="1080"/>
        </w:tabs>
        <w:ind w:left="1080" w:hanging="1080"/>
      </w:pPr>
      <w:rPr>
        <w:rFonts w:cs="Times New Roman" w:hint="default"/>
      </w:rPr>
    </w:lvl>
    <w:lvl w:ilvl="4">
      <w:start w:val="1"/>
      <w:numFmt w:val="decimal"/>
      <w:pStyle w:val="C-Heading5"/>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68" w15:restartNumberingAfterBreak="0">
    <w:nsid w:val="4010752C"/>
    <w:multiLevelType w:val="hybridMultilevel"/>
    <w:tmpl w:val="C0C6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836E6E"/>
    <w:multiLevelType w:val="hybridMultilevel"/>
    <w:tmpl w:val="94FC0A42"/>
    <w:lvl w:ilvl="0" w:tplc="F7645A3E">
      <w:start w:val="1"/>
      <w:numFmt w:val="bullet"/>
      <w:lvlText w:val=""/>
      <w:lvlJc w:val="left"/>
      <w:pPr>
        <w:ind w:left="720" w:hanging="360"/>
      </w:pPr>
      <w:rPr>
        <w:rFonts w:ascii="Symbol" w:hAnsi="Symbol" w:hint="default"/>
        <w:u w:val="none"/>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66B3159"/>
    <w:multiLevelType w:val="hybridMultilevel"/>
    <w:tmpl w:val="DB0C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6B226F"/>
    <w:multiLevelType w:val="hybridMultilevel"/>
    <w:tmpl w:val="4E1E2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0A784A"/>
    <w:multiLevelType w:val="hybridMultilevel"/>
    <w:tmpl w:val="E38A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7C0AD1"/>
    <w:multiLevelType w:val="hybridMultilevel"/>
    <w:tmpl w:val="62D0646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020A9F"/>
    <w:multiLevelType w:val="hybridMultilevel"/>
    <w:tmpl w:val="3B1625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5B7304"/>
    <w:multiLevelType w:val="hybridMultilevel"/>
    <w:tmpl w:val="6D92FB4A"/>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613F7A"/>
    <w:multiLevelType w:val="hybridMultilevel"/>
    <w:tmpl w:val="BA90A3A8"/>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A7D6A54"/>
    <w:multiLevelType w:val="hybridMultilevel"/>
    <w:tmpl w:val="D054A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B041972"/>
    <w:multiLevelType w:val="hybridMultilevel"/>
    <w:tmpl w:val="DA685C6E"/>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3557DF"/>
    <w:multiLevelType w:val="hybridMultilevel"/>
    <w:tmpl w:val="84FAF0A0"/>
    <w:lvl w:ilvl="0" w:tplc="7DC8C146">
      <w:start w:val="1"/>
      <w:numFmt w:val="bullet"/>
      <w:pStyle w:val="List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671477"/>
    <w:multiLevelType w:val="hybridMultilevel"/>
    <w:tmpl w:val="B23E9C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E972E11"/>
    <w:multiLevelType w:val="hybridMultilevel"/>
    <w:tmpl w:val="0AAE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163734"/>
    <w:multiLevelType w:val="hybridMultilevel"/>
    <w:tmpl w:val="FB40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371606"/>
    <w:multiLevelType w:val="hybridMultilevel"/>
    <w:tmpl w:val="15688666"/>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1CD7ED7"/>
    <w:multiLevelType w:val="hybridMultilevel"/>
    <w:tmpl w:val="815658AE"/>
    <w:lvl w:ilvl="0" w:tplc="04090001">
      <w:start w:val="1"/>
      <w:numFmt w:val="bullet"/>
      <w:lvlText w:val=""/>
      <w:lvlJc w:val="left"/>
      <w:pPr>
        <w:ind w:left="542" w:hanging="87"/>
      </w:pPr>
      <w:rPr>
        <w:rFonts w:ascii="Symbol" w:hAnsi="Symbol" w:hint="default"/>
        <w:u w:val="none"/>
      </w:rPr>
    </w:lvl>
    <w:lvl w:ilvl="1" w:tplc="4B9C120C">
      <w:start w:val="1"/>
      <w:numFmt w:val="bullet"/>
      <w:lvlText w:val="•"/>
      <w:lvlJc w:val="left"/>
      <w:pPr>
        <w:ind w:left="1241" w:hanging="87"/>
      </w:pPr>
      <w:rPr>
        <w:rFonts w:hint="default"/>
      </w:rPr>
    </w:lvl>
    <w:lvl w:ilvl="2" w:tplc="CC7413B6">
      <w:start w:val="1"/>
      <w:numFmt w:val="bullet"/>
      <w:lvlText w:val="•"/>
      <w:lvlJc w:val="left"/>
      <w:pPr>
        <w:ind w:left="1941" w:hanging="87"/>
      </w:pPr>
      <w:rPr>
        <w:rFonts w:hint="default"/>
      </w:rPr>
    </w:lvl>
    <w:lvl w:ilvl="3" w:tplc="69F085FC">
      <w:start w:val="1"/>
      <w:numFmt w:val="bullet"/>
      <w:lvlText w:val="•"/>
      <w:lvlJc w:val="left"/>
      <w:pPr>
        <w:ind w:left="2640" w:hanging="87"/>
      </w:pPr>
      <w:rPr>
        <w:rFonts w:hint="default"/>
      </w:rPr>
    </w:lvl>
    <w:lvl w:ilvl="4" w:tplc="9E909ED0">
      <w:start w:val="1"/>
      <w:numFmt w:val="bullet"/>
      <w:lvlText w:val="•"/>
      <w:lvlJc w:val="left"/>
      <w:pPr>
        <w:ind w:left="3340" w:hanging="87"/>
      </w:pPr>
      <w:rPr>
        <w:rFonts w:hint="default"/>
      </w:rPr>
    </w:lvl>
    <w:lvl w:ilvl="5" w:tplc="1198402E">
      <w:start w:val="1"/>
      <w:numFmt w:val="bullet"/>
      <w:lvlText w:val="•"/>
      <w:lvlJc w:val="left"/>
      <w:pPr>
        <w:ind w:left="4039" w:hanging="87"/>
      </w:pPr>
      <w:rPr>
        <w:rFonts w:hint="default"/>
      </w:rPr>
    </w:lvl>
    <w:lvl w:ilvl="6" w:tplc="83447054">
      <w:start w:val="1"/>
      <w:numFmt w:val="bullet"/>
      <w:lvlText w:val="•"/>
      <w:lvlJc w:val="left"/>
      <w:pPr>
        <w:ind w:left="4739" w:hanging="87"/>
      </w:pPr>
      <w:rPr>
        <w:rFonts w:hint="default"/>
      </w:rPr>
    </w:lvl>
    <w:lvl w:ilvl="7" w:tplc="CFAEDC80">
      <w:start w:val="1"/>
      <w:numFmt w:val="bullet"/>
      <w:lvlText w:val="•"/>
      <w:lvlJc w:val="left"/>
      <w:pPr>
        <w:ind w:left="5438" w:hanging="87"/>
      </w:pPr>
      <w:rPr>
        <w:rFonts w:hint="default"/>
      </w:rPr>
    </w:lvl>
    <w:lvl w:ilvl="8" w:tplc="D0780748">
      <w:start w:val="1"/>
      <w:numFmt w:val="bullet"/>
      <w:lvlText w:val="•"/>
      <w:lvlJc w:val="left"/>
      <w:pPr>
        <w:ind w:left="6138" w:hanging="87"/>
      </w:pPr>
      <w:rPr>
        <w:rFonts w:hint="default"/>
      </w:rPr>
    </w:lvl>
  </w:abstractNum>
  <w:abstractNum w:abstractNumId="85" w15:restartNumberingAfterBreak="0">
    <w:nsid w:val="51EF7E15"/>
    <w:multiLevelType w:val="hybridMultilevel"/>
    <w:tmpl w:val="9C0848A2"/>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2D87110"/>
    <w:multiLevelType w:val="hybridMultilevel"/>
    <w:tmpl w:val="73C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983FE0"/>
    <w:multiLevelType w:val="hybridMultilevel"/>
    <w:tmpl w:val="7C182D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3FC23C7"/>
    <w:multiLevelType w:val="hybridMultilevel"/>
    <w:tmpl w:val="04E87D48"/>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41202D7"/>
    <w:multiLevelType w:val="multilevel"/>
    <w:tmpl w:val="202E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4126BA3"/>
    <w:multiLevelType w:val="hybridMultilevel"/>
    <w:tmpl w:val="17E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ED560C"/>
    <w:multiLevelType w:val="hybridMultilevel"/>
    <w:tmpl w:val="A7B8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C5355F"/>
    <w:multiLevelType w:val="hybridMultilevel"/>
    <w:tmpl w:val="8BAE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F42BBB"/>
    <w:multiLevelType w:val="hybridMultilevel"/>
    <w:tmpl w:val="D450A6E8"/>
    <w:lvl w:ilvl="0" w:tplc="5B1CA8E0">
      <w:start w:val="1"/>
      <w:numFmt w:val="bullet"/>
      <w:lvlText w:val="–"/>
      <w:lvlJc w:val="left"/>
      <w:pPr>
        <w:ind w:left="720" w:hanging="360"/>
      </w:pPr>
      <w:rPr>
        <w:rFonts w:ascii="Times New Roman" w:hAnsi="Times New Roman" w:cs="Times New Roman"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2712F1"/>
    <w:multiLevelType w:val="hybridMultilevel"/>
    <w:tmpl w:val="53788E4C"/>
    <w:lvl w:ilvl="0" w:tplc="7DC8C146">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8241D4"/>
    <w:multiLevelType w:val="hybridMultilevel"/>
    <w:tmpl w:val="5CD8481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59625788"/>
    <w:multiLevelType w:val="hybridMultilevel"/>
    <w:tmpl w:val="A63600B0"/>
    <w:lvl w:ilvl="0" w:tplc="35C6577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A37828"/>
    <w:multiLevelType w:val="hybridMultilevel"/>
    <w:tmpl w:val="DF5C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77555C"/>
    <w:multiLevelType w:val="hybridMultilevel"/>
    <w:tmpl w:val="6D3ADC7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9" w15:restartNumberingAfterBreak="0">
    <w:nsid w:val="5C4D4CCA"/>
    <w:multiLevelType w:val="hybridMultilevel"/>
    <w:tmpl w:val="621AF9FC"/>
    <w:lvl w:ilvl="0" w:tplc="04090001">
      <w:start w:val="1"/>
      <w:numFmt w:val="bullet"/>
      <w:pStyle w:val="ListBullet2"/>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D4E323F"/>
    <w:multiLevelType w:val="hybridMultilevel"/>
    <w:tmpl w:val="8C7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EF7723"/>
    <w:multiLevelType w:val="hybridMultilevel"/>
    <w:tmpl w:val="71E027E2"/>
    <w:lvl w:ilvl="0" w:tplc="5B1CA8E0">
      <w:start w:val="1"/>
      <w:numFmt w:val="bullet"/>
      <w:lvlText w:val="–"/>
      <w:lvlJc w:val="left"/>
      <w:pPr>
        <w:ind w:left="720" w:hanging="360"/>
      </w:pPr>
      <w:rPr>
        <w:rFonts w:ascii="Times New Roman" w:hAnsi="Times New Roman" w:cs="Times New Roman"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2C2FE5"/>
    <w:multiLevelType w:val="hybridMultilevel"/>
    <w:tmpl w:val="39362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3840CF9"/>
    <w:multiLevelType w:val="hybridMultilevel"/>
    <w:tmpl w:val="CB66AEBC"/>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49160FF"/>
    <w:multiLevelType w:val="hybridMultilevel"/>
    <w:tmpl w:val="CA1E5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4E210C0"/>
    <w:multiLevelType w:val="hybridMultilevel"/>
    <w:tmpl w:val="ABB24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EC7117"/>
    <w:multiLevelType w:val="hybridMultilevel"/>
    <w:tmpl w:val="31F61A1C"/>
    <w:lvl w:ilvl="0" w:tplc="18D4ED6A">
      <w:start w:val="1"/>
      <w:numFmt w:val="bullet"/>
      <w:pStyle w:val="A-ListBullet"/>
      <w:lvlText w:val=""/>
      <w:lvlJc w:val="left"/>
      <w:pPr>
        <w:tabs>
          <w:tab w:val="num" w:pos="2438"/>
        </w:tabs>
        <w:ind w:left="2438" w:hanging="998"/>
      </w:pPr>
      <w:rPr>
        <w:rFonts w:ascii="Symbol" w:hAnsi="Symbol" w:hint="default"/>
      </w:rPr>
    </w:lvl>
    <w:lvl w:ilvl="1" w:tplc="C16A78CC">
      <w:start w:val="1"/>
      <w:numFmt w:val="bullet"/>
      <w:lvlText w:val=""/>
      <w:lvlJc w:val="left"/>
      <w:pPr>
        <w:tabs>
          <w:tab w:val="num" w:pos="2880"/>
        </w:tabs>
        <w:ind w:left="2880" w:hanging="360"/>
      </w:pPr>
      <w:rPr>
        <w:rFonts w:ascii="Symbol" w:hAnsi="Symbol" w:hint="default"/>
      </w:rPr>
    </w:lvl>
    <w:lvl w:ilvl="2" w:tplc="965CE3EE">
      <w:start w:val="1"/>
      <w:numFmt w:val="bullet"/>
      <w:lvlText w:val=""/>
      <w:lvlJc w:val="left"/>
      <w:pPr>
        <w:tabs>
          <w:tab w:val="num" w:pos="3600"/>
        </w:tabs>
        <w:ind w:left="3600" w:hanging="360"/>
      </w:pPr>
      <w:rPr>
        <w:rFonts w:ascii="Wingdings" w:hAnsi="Wingdings" w:hint="default"/>
      </w:rPr>
    </w:lvl>
    <w:lvl w:ilvl="3" w:tplc="CF487266" w:tentative="1">
      <w:start w:val="1"/>
      <w:numFmt w:val="bullet"/>
      <w:lvlText w:val=""/>
      <w:lvlJc w:val="left"/>
      <w:pPr>
        <w:tabs>
          <w:tab w:val="num" w:pos="4320"/>
        </w:tabs>
        <w:ind w:left="4320" w:hanging="360"/>
      </w:pPr>
      <w:rPr>
        <w:rFonts w:ascii="Symbol" w:hAnsi="Symbol" w:hint="default"/>
      </w:rPr>
    </w:lvl>
    <w:lvl w:ilvl="4" w:tplc="2F5E889E" w:tentative="1">
      <w:start w:val="1"/>
      <w:numFmt w:val="bullet"/>
      <w:lvlText w:val="o"/>
      <w:lvlJc w:val="left"/>
      <w:pPr>
        <w:tabs>
          <w:tab w:val="num" w:pos="5040"/>
        </w:tabs>
        <w:ind w:left="5040" w:hanging="360"/>
      </w:pPr>
      <w:rPr>
        <w:rFonts w:ascii="Courier New" w:hAnsi="Courier New" w:hint="default"/>
      </w:rPr>
    </w:lvl>
    <w:lvl w:ilvl="5" w:tplc="87E6FA8A" w:tentative="1">
      <w:start w:val="1"/>
      <w:numFmt w:val="bullet"/>
      <w:lvlText w:val=""/>
      <w:lvlJc w:val="left"/>
      <w:pPr>
        <w:tabs>
          <w:tab w:val="num" w:pos="5760"/>
        </w:tabs>
        <w:ind w:left="5760" w:hanging="360"/>
      </w:pPr>
      <w:rPr>
        <w:rFonts w:ascii="Wingdings" w:hAnsi="Wingdings" w:hint="default"/>
      </w:rPr>
    </w:lvl>
    <w:lvl w:ilvl="6" w:tplc="4314BC62" w:tentative="1">
      <w:start w:val="1"/>
      <w:numFmt w:val="bullet"/>
      <w:lvlText w:val=""/>
      <w:lvlJc w:val="left"/>
      <w:pPr>
        <w:tabs>
          <w:tab w:val="num" w:pos="6480"/>
        </w:tabs>
        <w:ind w:left="6480" w:hanging="360"/>
      </w:pPr>
      <w:rPr>
        <w:rFonts w:ascii="Symbol" w:hAnsi="Symbol" w:hint="default"/>
      </w:rPr>
    </w:lvl>
    <w:lvl w:ilvl="7" w:tplc="9E3AA98E" w:tentative="1">
      <w:start w:val="1"/>
      <w:numFmt w:val="bullet"/>
      <w:lvlText w:val="o"/>
      <w:lvlJc w:val="left"/>
      <w:pPr>
        <w:tabs>
          <w:tab w:val="num" w:pos="7200"/>
        </w:tabs>
        <w:ind w:left="7200" w:hanging="360"/>
      </w:pPr>
      <w:rPr>
        <w:rFonts w:ascii="Courier New" w:hAnsi="Courier New" w:hint="default"/>
      </w:rPr>
    </w:lvl>
    <w:lvl w:ilvl="8" w:tplc="4AEA7F4E" w:tentative="1">
      <w:start w:val="1"/>
      <w:numFmt w:val="bullet"/>
      <w:lvlText w:val=""/>
      <w:lvlJc w:val="left"/>
      <w:pPr>
        <w:tabs>
          <w:tab w:val="num" w:pos="7920"/>
        </w:tabs>
        <w:ind w:left="7920" w:hanging="360"/>
      </w:pPr>
      <w:rPr>
        <w:rFonts w:ascii="Wingdings" w:hAnsi="Wingdings" w:hint="default"/>
      </w:rPr>
    </w:lvl>
  </w:abstractNum>
  <w:abstractNum w:abstractNumId="107" w15:restartNumberingAfterBreak="0">
    <w:nsid w:val="661618ED"/>
    <w:multiLevelType w:val="hybridMultilevel"/>
    <w:tmpl w:val="9A9A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1D0CDC"/>
    <w:multiLevelType w:val="hybridMultilevel"/>
    <w:tmpl w:val="860C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79626F5"/>
    <w:multiLevelType w:val="hybridMultilevel"/>
    <w:tmpl w:val="864CA5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8512AD5"/>
    <w:multiLevelType w:val="hybridMultilevel"/>
    <w:tmpl w:val="C76C30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D1A3FC5"/>
    <w:multiLevelType w:val="hybridMultilevel"/>
    <w:tmpl w:val="487AC8C4"/>
    <w:lvl w:ilvl="0" w:tplc="CC2E754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001E2D"/>
    <w:multiLevelType w:val="hybridMultilevel"/>
    <w:tmpl w:val="A04C0F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F8E5EB8"/>
    <w:multiLevelType w:val="hybridMultilevel"/>
    <w:tmpl w:val="6A0477F6"/>
    <w:lvl w:ilvl="0" w:tplc="35C65778">
      <w:start w:val="1"/>
      <w:numFmt w:val="bullet"/>
      <w:lvlText w:val="−"/>
      <w:lvlJc w:val="left"/>
      <w:pPr>
        <w:ind w:left="361" w:hanging="360"/>
      </w:pPr>
      <w:rPr>
        <w:rFonts w:ascii="Times New Roman" w:hAnsi="Times New Roman" w:cs="Times New Roman"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14" w15:restartNumberingAfterBreak="0">
    <w:nsid w:val="702622BB"/>
    <w:multiLevelType w:val="hybridMultilevel"/>
    <w:tmpl w:val="DFD69752"/>
    <w:lvl w:ilvl="0" w:tplc="04090001">
      <w:start w:val="1"/>
      <w:numFmt w:val="bullet"/>
      <w:lvlText w:val=""/>
      <w:lvlJc w:val="left"/>
      <w:pPr>
        <w:ind w:left="1224" w:hanging="360"/>
      </w:pPr>
      <w:rPr>
        <w:rFonts w:ascii="Symbol" w:hAnsi="Symbol" w:hint="default"/>
      </w:rPr>
    </w:lvl>
    <w:lvl w:ilvl="1" w:tplc="04090001">
      <w:start w:val="1"/>
      <w:numFmt w:val="bullet"/>
      <w:lvlText w:val=""/>
      <w:lvlJc w:val="left"/>
      <w:pPr>
        <w:ind w:left="2304" w:hanging="360"/>
      </w:pPr>
      <w:rPr>
        <w:rFonts w:ascii="Symbol" w:hAnsi="Symbol"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5" w15:restartNumberingAfterBreak="0">
    <w:nsid w:val="70332794"/>
    <w:multiLevelType w:val="hybridMultilevel"/>
    <w:tmpl w:val="CC7AD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0C74554"/>
    <w:multiLevelType w:val="hybridMultilevel"/>
    <w:tmpl w:val="24E2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BE5455"/>
    <w:multiLevelType w:val="hybridMultilevel"/>
    <w:tmpl w:val="2D9C0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20C7461"/>
    <w:multiLevelType w:val="hybridMultilevel"/>
    <w:tmpl w:val="F5CAE42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9" w15:restartNumberingAfterBreak="0">
    <w:nsid w:val="7221219F"/>
    <w:multiLevelType w:val="hybridMultilevel"/>
    <w:tmpl w:val="2B9A1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3D6F82"/>
    <w:multiLevelType w:val="hybridMultilevel"/>
    <w:tmpl w:val="3B38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DE60F8"/>
    <w:multiLevelType w:val="hybridMultilevel"/>
    <w:tmpl w:val="9A24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2E6C71"/>
    <w:multiLevelType w:val="hybridMultilevel"/>
    <w:tmpl w:val="CE02A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4F4BF9"/>
    <w:multiLevelType w:val="multilevel"/>
    <w:tmpl w:val="DC425EE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4" w15:restartNumberingAfterBreak="0">
    <w:nsid w:val="75312403"/>
    <w:multiLevelType w:val="hybridMultilevel"/>
    <w:tmpl w:val="80361808"/>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6074A9F"/>
    <w:multiLevelType w:val="hybridMultilevel"/>
    <w:tmpl w:val="F31A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223E64"/>
    <w:multiLevelType w:val="hybridMultilevel"/>
    <w:tmpl w:val="27461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2774B7"/>
    <w:multiLevelType w:val="multilevel"/>
    <w:tmpl w:val="E466D17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bullet"/>
      <w:lvlText w:val=""/>
      <w:lvlJc w:val="left"/>
      <w:pPr>
        <w:tabs>
          <w:tab w:val="num" w:pos="2160"/>
        </w:tabs>
        <w:ind w:left="2160" w:hanging="360"/>
      </w:pPr>
      <w:rPr>
        <w:rFonts w:ascii="Symbol" w:hAnsi="Symbol"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8" w15:restartNumberingAfterBreak="0">
    <w:nsid w:val="77A70B90"/>
    <w:multiLevelType w:val="hybridMultilevel"/>
    <w:tmpl w:val="AE7EC6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8A34F9D"/>
    <w:multiLevelType w:val="hybridMultilevel"/>
    <w:tmpl w:val="1FFA24CA"/>
    <w:lvl w:ilvl="0" w:tplc="04090001">
      <w:start w:val="1"/>
      <w:numFmt w:val="bullet"/>
      <w:lvlText w:val=""/>
      <w:lvlJc w:val="left"/>
      <w:pPr>
        <w:ind w:left="720" w:hanging="360"/>
      </w:pPr>
      <w:rPr>
        <w:rFonts w:ascii="Symbol" w:hAnsi="Symbol" w:hint="default"/>
      </w:rPr>
    </w:lvl>
    <w:lvl w:ilvl="1" w:tplc="C50A915C">
      <w:start w:val="3"/>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5D65DB"/>
    <w:multiLevelType w:val="hybridMultilevel"/>
    <w:tmpl w:val="7EAE5A76"/>
    <w:lvl w:ilvl="0" w:tplc="35C6577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BCA3FEF"/>
    <w:multiLevelType w:val="hybridMultilevel"/>
    <w:tmpl w:val="E864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0E7FC1"/>
    <w:multiLevelType w:val="hybridMultilevel"/>
    <w:tmpl w:val="D0DAD15A"/>
    <w:lvl w:ilvl="0" w:tplc="35C6577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C5F0EBB"/>
    <w:multiLevelType w:val="hybridMultilevel"/>
    <w:tmpl w:val="ECDA1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C6A5366"/>
    <w:multiLevelType w:val="hybridMultilevel"/>
    <w:tmpl w:val="92263C30"/>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start w:val="1"/>
      <w:numFmt w:val="bullet"/>
      <w:lvlText w:val=""/>
      <w:lvlJc w:val="left"/>
      <w:pPr>
        <w:ind w:left="2924" w:hanging="360"/>
      </w:pPr>
      <w:rPr>
        <w:rFonts w:ascii="Symbol" w:hAnsi="Symbol" w:hint="default"/>
      </w:rPr>
    </w:lvl>
    <w:lvl w:ilvl="4" w:tplc="04090003">
      <w:start w:val="1"/>
      <w:numFmt w:val="bullet"/>
      <w:lvlText w:val="o"/>
      <w:lvlJc w:val="left"/>
      <w:pPr>
        <w:ind w:left="3644" w:hanging="360"/>
      </w:pPr>
      <w:rPr>
        <w:rFonts w:ascii="Courier New" w:hAnsi="Courier New" w:cs="Courier New" w:hint="default"/>
      </w:rPr>
    </w:lvl>
    <w:lvl w:ilvl="5" w:tplc="04090005">
      <w:start w:val="1"/>
      <w:numFmt w:val="bullet"/>
      <w:lvlText w:val=""/>
      <w:lvlJc w:val="left"/>
      <w:pPr>
        <w:ind w:left="4364" w:hanging="360"/>
      </w:pPr>
      <w:rPr>
        <w:rFonts w:ascii="Wingdings" w:hAnsi="Wingdings" w:hint="default"/>
      </w:rPr>
    </w:lvl>
    <w:lvl w:ilvl="6" w:tplc="04090001">
      <w:start w:val="1"/>
      <w:numFmt w:val="bullet"/>
      <w:lvlText w:val=""/>
      <w:lvlJc w:val="left"/>
      <w:pPr>
        <w:ind w:left="5084" w:hanging="360"/>
      </w:pPr>
      <w:rPr>
        <w:rFonts w:ascii="Symbol" w:hAnsi="Symbol" w:hint="default"/>
      </w:rPr>
    </w:lvl>
    <w:lvl w:ilvl="7" w:tplc="04090003">
      <w:start w:val="1"/>
      <w:numFmt w:val="bullet"/>
      <w:lvlText w:val="o"/>
      <w:lvlJc w:val="left"/>
      <w:pPr>
        <w:ind w:left="5804" w:hanging="360"/>
      </w:pPr>
      <w:rPr>
        <w:rFonts w:ascii="Courier New" w:hAnsi="Courier New" w:cs="Courier New" w:hint="default"/>
      </w:rPr>
    </w:lvl>
    <w:lvl w:ilvl="8" w:tplc="04090005">
      <w:start w:val="1"/>
      <w:numFmt w:val="bullet"/>
      <w:lvlText w:val=""/>
      <w:lvlJc w:val="left"/>
      <w:pPr>
        <w:ind w:left="6524" w:hanging="360"/>
      </w:pPr>
      <w:rPr>
        <w:rFonts w:ascii="Wingdings" w:hAnsi="Wingdings" w:hint="default"/>
      </w:rPr>
    </w:lvl>
  </w:abstractNum>
  <w:abstractNum w:abstractNumId="135" w15:restartNumberingAfterBreak="0">
    <w:nsid w:val="7C884192"/>
    <w:multiLevelType w:val="hybridMultilevel"/>
    <w:tmpl w:val="7A7C5D28"/>
    <w:lvl w:ilvl="0" w:tplc="0409000F">
      <w:start w:val="1"/>
      <w:numFmt w:val="decimal"/>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EC220A"/>
    <w:multiLevelType w:val="hybridMultilevel"/>
    <w:tmpl w:val="C05C414C"/>
    <w:lvl w:ilvl="0" w:tplc="04090019">
      <w:start w:val="1"/>
      <w:numFmt w:val="lowerLetter"/>
      <w:lvlText w:val="%1."/>
      <w:lvlJc w:val="left"/>
      <w:pPr>
        <w:tabs>
          <w:tab w:val="num" w:pos="1080"/>
        </w:tabs>
        <w:ind w:left="1080" w:hanging="360"/>
      </w:pPr>
    </w:lvl>
    <w:lvl w:ilvl="1" w:tplc="69708A78">
      <w:start w:val="1"/>
      <w:numFmt w:val="upperLetter"/>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962886536">
    <w:abstractNumId w:val="54"/>
  </w:num>
  <w:num w:numId="2" w16cid:durableId="759369929">
    <w:abstractNumId w:val="48"/>
  </w:num>
  <w:num w:numId="3" w16cid:durableId="801651273">
    <w:abstractNumId w:val="136"/>
  </w:num>
  <w:num w:numId="4" w16cid:durableId="760834902">
    <w:abstractNumId w:val="2"/>
  </w:num>
  <w:num w:numId="5" w16cid:durableId="464083576">
    <w:abstractNumId w:val="3"/>
  </w:num>
  <w:num w:numId="6" w16cid:durableId="738135388">
    <w:abstractNumId w:val="98"/>
  </w:num>
  <w:num w:numId="7" w16cid:durableId="466048312">
    <w:abstractNumId w:val="129"/>
  </w:num>
  <w:num w:numId="8" w16cid:durableId="267859952">
    <w:abstractNumId w:val="69"/>
  </w:num>
  <w:num w:numId="9" w16cid:durableId="1777098598">
    <w:abstractNumId w:val="0"/>
  </w:num>
  <w:num w:numId="10" w16cid:durableId="2134708696">
    <w:abstractNumId w:val="133"/>
  </w:num>
  <w:num w:numId="11" w16cid:durableId="343678957">
    <w:abstractNumId w:val="40"/>
  </w:num>
  <w:num w:numId="12" w16cid:durableId="2140878625">
    <w:abstractNumId w:val="1"/>
  </w:num>
  <w:num w:numId="13" w16cid:durableId="1428965446">
    <w:abstractNumId w:val="18"/>
  </w:num>
  <w:num w:numId="14" w16cid:durableId="698819453">
    <w:abstractNumId w:val="77"/>
  </w:num>
  <w:num w:numId="15" w16cid:durableId="609901540">
    <w:abstractNumId w:val="68"/>
  </w:num>
  <w:num w:numId="16" w16cid:durableId="315378953">
    <w:abstractNumId w:val="93"/>
  </w:num>
  <w:num w:numId="17" w16cid:durableId="21253797">
    <w:abstractNumId w:val="101"/>
  </w:num>
  <w:num w:numId="18" w16cid:durableId="1648514610">
    <w:abstractNumId w:val="62"/>
  </w:num>
  <w:num w:numId="19" w16cid:durableId="1533493281">
    <w:abstractNumId w:val="102"/>
  </w:num>
  <w:num w:numId="20" w16cid:durableId="42293615">
    <w:abstractNumId w:val="117"/>
  </w:num>
  <w:num w:numId="21" w16cid:durableId="928081199">
    <w:abstractNumId w:val="105"/>
  </w:num>
  <w:num w:numId="22" w16cid:durableId="1119644271">
    <w:abstractNumId w:val="55"/>
  </w:num>
  <w:num w:numId="23" w16cid:durableId="411511305">
    <w:abstractNumId w:val="41"/>
  </w:num>
  <w:num w:numId="24" w16cid:durableId="316300693">
    <w:abstractNumId w:val="66"/>
  </w:num>
  <w:num w:numId="25" w16cid:durableId="2116365091">
    <w:abstractNumId w:val="114"/>
  </w:num>
  <w:num w:numId="26" w16cid:durableId="1076706212">
    <w:abstractNumId w:val="5"/>
  </w:num>
  <w:num w:numId="27" w16cid:durableId="326329729">
    <w:abstractNumId w:val="120"/>
  </w:num>
  <w:num w:numId="28" w16cid:durableId="520969450">
    <w:abstractNumId w:val="126"/>
  </w:num>
  <w:num w:numId="29" w16cid:durableId="136725867">
    <w:abstractNumId w:val="104"/>
  </w:num>
  <w:num w:numId="30" w16cid:durableId="483203180">
    <w:abstractNumId w:val="12"/>
  </w:num>
  <w:num w:numId="31" w16cid:durableId="406344856">
    <w:abstractNumId w:val="100"/>
  </w:num>
  <w:num w:numId="32" w16cid:durableId="1852180982">
    <w:abstractNumId w:val="115"/>
  </w:num>
  <w:num w:numId="33" w16cid:durableId="863514826">
    <w:abstractNumId w:val="71"/>
  </w:num>
  <w:num w:numId="34" w16cid:durableId="1906378946">
    <w:abstractNumId w:val="90"/>
  </w:num>
  <w:num w:numId="35" w16cid:durableId="1848863652">
    <w:abstractNumId w:val="39"/>
  </w:num>
  <w:num w:numId="36" w16cid:durableId="685714862">
    <w:abstractNumId w:val="32"/>
  </w:num>
  <w:num w:numId="37" w16cid:durableId="49619207">
    <w:abstractNumId w:val="121"/>
  </w:num>
  <w:num w:numId="38" w16cid:durableId="672030710">
    <w:abstractNumId w:val="6"/>
  </w:num>
  <w:num w:numId="39" w16cid:durableId="195242467">
    <w:abstractNumId w:val="72"/>
  </w:num>
  <w:num w:numId="40" w16cid:durableId="1579554233">
    <w:abstractNumId w:val="59"/>
  </w:num>
  <w:num w:numId="41" w16cid:durableId="1249539996">
    <w:abstractNumId w:val="128"/>
  </w:num>
  <w:num w:numId="42" w16cid:durableId="1110779065">
    <w:abstractNumId w:val="25"/>
  </w:num>
  <w:num w:numId="43" w16cid:durableId="416513404">
    <w:abstractNumId w:val="107"/>
  </w:num>
  <w:num w:numId="44" w16cid:durableId="1520387449">
    <w:abstractNumId w:val="81"/>
  </w:num>
  <w:num w:numId="45" w16cid:durableId="1815101366">
    <w:abstractNumId w:val="11"/>
  </w:num>
  <w:num w:numId="46" w16cid:durableId="35157554">
    <w:abstractNumId w:val="19"/>
  </w:num>
  <w:num w:numId="47" w16cid:durableId="1231766716">
    <w:abstractNumId w:val="42"/>
  </w:num>
  <w:num w:numId="48" w16cid:durableId="992372097">
    <w:abstractNumId w:val="79"/>
  </w:num>
  <w:num w:numId="49" w16cid:durableId="1172262697">
    <w:abstractNumId w:val="99"/>
  </w:num>
  <w:num w:numId="50" w16cid:durableId="270748493">
    <w:abstractNumId w:val="94"/>
  </w:num>
  <w:num w:numId="51" w16cid:durableId="796797868">
    <w:abstractNumId w:val="106"/>
  </w:num>
  <w:num w:numId="52" w16cid:durableId="206451577">
    <w:abstractNumId w:val="64"/>
  </w:num>
  <w:num w:numId="53" w16cid:durableId="866451721">
    <w:abstractNumId w:val="110"/>
  </w:num>
  <w:num w:numId="54" w16cid:durableId="310331109">
    <w:abstractNumId w:val="28"/>
  </w:num>
  <w:num w:numId="55" w16cid:durableId="1780490805">
    <w:abstractNumId w:val="70"/>
  </w:num>
  <w:num w:numId="56" w16cid:durableId="1076198716">
    <w:abstractNumId w:val="108"/>
  </w:num>
  <w:num w:numId="57" w16cid:durableId="2026520670">
    <w:abstractNumId w:val="80"/>
  </w:num>
  <w:num w:numId="58" w16cid:durableId="1834758011">
    <w:abstractNumId w:val="56"/>
  </w:num>
  <w:num w:numId="59" w16cid:durableId="1524782243">
    <w:abstractNumId w:val="127"/>
  </w:num>
  <w:num w:numId="60" w16cid:durableId="152189314">
    <w:abstractNumId w:val="44"/>
  </w:num>
  <w:num w:numId="61" w16cid:durableId="1659920864">
    <w:abstractNumId w:val="87"/>
  </w:num>
  <w:num w:numId="62" w16cid:durableId="1895893527">
    <w:abstractNumId w:val="24"/>
  </w:num>
  <w:num w:numId="63" w16cid:durableId="637690969">
    <w:abstractNumId w:val="131"/>
  </w:num>
  <w:num w:numId="64" w16cid:durableId="575676437">
    <w:abstractNumId w:val="109"/>
  </w:num>
  <w:num w:numId="65" w16cid:durableId="4436939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02836764">
    <w:abstractNumId w:val="49"/>
  </w:num>
  <w:num w:numId="67" w16cid:durableId="1939822998">
    <w:abstractNumId w:val="84"/>
  </w:num>
  <w:num w:numId="68" w16cid:durableId="2014381962">
    <w:abstractNumId w:val="122"/>
  </w:num>
  <w:num w:numId="69" w16cid:durableId="1586844645">
    <w:abstractNumId w:val="112"/>
  </w:num>
  <w:num w:numId="70" w16cid:durableId="629823964">
    <w:abstractNumId w:val="95"/>
  </w:num>
  <w:num w:numId="71" w16cid:durableId="1540819968">
    <w:abstractNumId w:val="119"/>
  </w:num>
  <w:num w:numId="72" w16cid:durableId="980842185">
    <w:abstractNumId w:val="89"/>
  </w:num>
  <w:num w:numId="73" w16cid:durableId="1411543776">
    <w:abstractNumId w:val="134"/>
  </w:num>
  <w:num w:numId="74" w16cid:durableId="755370281">
    <w:abstractNumId w:val="123"/>
  </w:num>
  <w:num w:numId="75" w16cid:durableId="1211915219">
    <w:abstractNumId w:val="91"/>
  </w:num>
  <w:num w:numId="76" w16cid:durableId="1475174337">
    <w:abstractNumId w:val="9"/>
  </w:num>
  <w:num w:numId="77" w16cid:durableId="1701586428">
    <w:abstractNumId w:val="74"/>
  </w:num>
  <w:num w:numId="78" w16cid:durableId="681202976">
    <w:abstractNumId w:val="82"/>
  </w:num>
  <w:num w:numId="79" w16cid:durableId="962813208">
    <w:abstractNumId w:val="38"/>
  </w:num>
  <w:num w:numId="80" w16cid:durableId="866677852">
    <w:abstractNumId w:val="15"/>
  </w:num>
  <w:num w:numId="81" w16cid:durableId="17234018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00496331">
    <w:abstractNumId w:val="22"/>
  </w:num>
  <w:num w:numId="83" w16cid:durableId="1137794884">
    <w:abstractNumId w:val="135"/>
  </w:num>
  <w:num w:numId="84" w16cid:durableId="1353650187">
    <w:abstractNumId w:val="20"/>
  </w:num>
  <w:num w:numId="85" w16cid:durableId="1891527583">
    <w:abstractNumId w:val="52"/>
  </w:num>
  <w:num w:numId="86" w16cid:durableId="1095785478">
    <w:abstractNumId w:val="21"/>
  </w:num>
  <w:num w:numId="87" w16cid:durableId="1800761175">
    <w:abstractNumId w:val="75"/>
  </w:num>
  <w:num w:numId="88" w16cid:durableId="2111855538">
    <w:abstractNumId w:val="58"/>
  </w:num>
  <w:num w:numId="89" w16cid:durableId="347949743">
    <w:abstractNumId w:val="103"/>
  </w:num>
  <w:num w:numId="90" w16cid:durableId="48656394">
    <w:abstractNumId w:val="35"/>
  </w:num>
  <w:num w:numId="91" w16cid:durableId="2073428804">
    <w:abstractNumId w:val="85"/>
  </w:num>
  <w:num w:numId="92" w16cid:durableId="815727635">
    <w:abstractNumId w:val="37"/>
  </w:num>
  <w:num w:numId="93" w16cid:durableId="556934110">
    <w:abstractNumId w:val="124"/>
  </w:num>
  <w:num w:numId="94" w16cid:durableId="188224170">
    <w:abstractNumId w:val="26"/>
  </w:num>
  <w:num w:numId="95" w16cid:durableId="31851772">
    <w:abstractNumId w:val="45"/>
  </w:num>
  <w:num w:numId="96" w16cid:durableId="976832937">
    <w:abstractNumId w:val="60"/>
  </w:num>
  <w:num w:numId="97" w16cid:durableId="700016261">
    <w:abstractNumId w:val="83"/>
  </w:num>
  <w:num w:numId="98" w16cid:durableId="1853833721">
    <w:abstractNumId w:val="14"/>
  </w:num>
  <w:num w:numId="99" w16cid:durableId="175000563">
    <w:abstractNumId w:val="88"/>
  </w:num>
  <w:num w:numId="100" w16cid:durableId="761755432">
    <w:abstractNumId w:val="86"/>
  </w:num>
  <w:num w:numId="101" w16cid:durableId="2108036840">
    <w:abstractNumId w:val="130"/>
  </w:num>
  <w:num w:numId="102" w16cid:durableId="255287316">
    <w:abstractNumId w:val="125"/>
  </w:num>
  <w:num w:numId="103" w16cid:durableId="791360642">
    <w:abstractNumId w:val="65"/>
  </w:num>
  <w:num w:numId="104" w16cid:durableId="194463464">
    <w:abstractNumId w:val="33"/>
  </w:num>
  <w:num w:numId="105" w16cid:durableId="1195770360">
    <w:abstractNumId w:val="46"/>
  </w:num>
  <w:num w:numId="106" w16cid:durableId="1325473410">
    <w:abstractNumId w:val="10"/>
  </w:num>
  <w:num w:numId="107" w16cid:durableId="911698105">
    <w:abstractNumId w:val="92"/>
  </w:num>
  <w:num w:numId="108" w16cid:durableId="1838645200">
    <w:abstractNumId w:val="78"/>
  </w:num>
  <w:num w:numId="109" w16cid:durableId="1580600637">
    <w:abstractNumId w:val="17"/>
  </w:num>
  <w:num w:numId="110" w16cid:durableId="1727409466">
    <w:abstractNumId w:val="73"/>
  </w:num>
  <w:num w:numId="111" w16cid:durableId="1245064769">
    <w:abstractNumId w:val="113"/>
  </w:num>
  <w:num w:numId="112" w16cid:durableId="1476533979">
    <w:abstractNumId w:val="118"/>
  </w:num>
  <w:num w:numId="113" w16cid:durableId="1233848999">
    <w:abstractNumId w:val="43"/>
  </w:num>
  <w:num w:numId="114" w16cid:durableId="1602293938">
    <w:abstractNumId w:val="8"/>
  </w:num>
  <w:num w:numId="115" w16cid:durableId="521630470">
    <w:abstractNumId w:val="47"/>
  </w:num>
  <w:num w:numId="116" w16cid:durableId="981470501">
    <w:abstractNumId w:val="36"/>
  </w:num>
  <w:num w:numId="117" w16cid:durableId="706873568">
    <w:abstractNumId w:val="31"/>
  </w:num>
  <w:num w:numId="118" w16cid:durableId="1745369701">
    <w:abstractNumId w:val="16"/>
  </w:num>
  <w:num w:numId="119" w16cid:durableId="913977004">
    <w:abstractNumId w:val="13"/>
  </w:num>
  <w:num w:numId="120" w16cid:durableId="967275814">
    <w:abstractNumId w:val="30"/>
  </w:num>
  <w:num w:numId="121" w16cid:durableId="713044399">
    <w:abstractNumId w:val="23"/>
  </w:num>
  <w:num w:numId="122" w16cid:durableId="228806763">
    <w:abstractNumId w:val="57"/>
  </w:num>
  <w:num w:numId="123" w16cid:durableId="2075929786">
    <w:abstractNumId w:val="51"/>
  </w:num>
  <w:num w:numId="124" w16cid:durableId="1827476260">
    <w:abstractNumId w:val="76"/>
  </w:num>
  <w:num w:numId="125" w16cid:durableId="1993215424">
    <w:abstractNumId w:val="50"/>
  </w:num>
  <w:num w:numId="126" w16cid:durableId="88352758">
    <w:abstractNumId w:val="34"/>
  </w:num>
  <w:num w:numId="127" w16cid:durableId="1396048256">
    <w:abstractNumId w:val="132"/>
  </w:num>
  <w:num w:numId="128" w16cid:durableId="1218281023">
    <w:abstractNumId w:val="29"/>
  </w:num>
  <w:num w:numId="129" w16cid:durableId="487795362">
    <w:abstractNumId w:val="7"/>
  </w:num>
  <w:num w:numId="130" w16cid:durableId="2084721255">
    <w:abstractNumId w:val="4"/>
  </w:num>
  <w:num w:numId="131" w16cid:durableId="504129694">
    <w:abstractNumId w:val="96"/>
  </w:num>
  <w:num w:numId="132" w16cid:durableId="1476602909">
    <w:abstractNumId w:val="97"/>
  </w:num>
  <w:num w:numId="133" w16cid:durableId="2032295551">
    <w:abstractNumId w:val="27"/>
  </w:num>
  <w:num w:numId="134" w16cid:durableId="1916550308">
    <w:abstractNumId w:val="61"/>
  </w:num>
  <w:num w:numId="135" w16cid:durableId="1555434367">
    <w:abstractNumId w:val="111"/>
  </w:num>
  <w:num w:numId="136" w16cid:durableId="1999067079">
    <w:abstractNumId w:val="116"/>
  </w:num>
  <w:num w:numId="137" w16cid:durableId="1163593537">
    <w:abstractNumId w:val="67"/>
  </w:num>
  <w:num w:numId="138" w16cid:durableId="2101438690">
    <w:abstractNumId w:val="53"/>
  </w:num>
  <w:num w:numId="139" w16cid:durableId="2131893333">
    <w:abstractNumId w:val="12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20"/>
  <w:displayHorizontalDrawingGridEvery w:val="2"/>
  <w:characterSpacingControl w:val="doNotCompress"/>
  <w:hdrShapeDefaults>
    <o:shapedefaults v:ext="edit" spidmax="120833"/>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New England J Medicine&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Libraries&gt;"/>
  </w:docVars>
  <w:rsids>
    <w:rsidRoot w:val="003B7C78"/>
    <w:rsid w:val="0000022D"/>
    <w:rsid w:val="00000A96"/>
    <w:rsid w:val="00000D91"/>
    <w:rsid w:val="000011CE"/>
    <w:rsid w:val="000012B8"/>
    <w:rsid w:val="00001601"/>
    <w:rsid w:val="00001B69"/>
    <w:rsid w:val="00001F15"/>
    <w:rsid w:val="00002349"/>
    <w:rsid w:val="00002C49"/>
    <w:rsid w:val="00003376"/>
    <w:rsid w:val="0000356A"/>
    <w:rsid w:val="00003810"/>
    <w:rsid w:val="00003C62"/>
    <w:rsid w:val="00003FA0"/>
    <w:rsid w:val="000040D9"/>
    <w:rsid w:val="00004145"/>
    <w:rsid w:val="00004CF3"/>
    <w:rsid w:val="00005439"/>
    <w:rsid w:val="000055CA"/>
    <w:rsid w:val="000057C5"/>
    <w:rsid w:val="00005F0D"/>
    <w:rsid w:val="00005F44"/>
    <w:rsid w:val="0000626E"/>
    <w:rsid w:val="000067CF"/>
    <w:rsid w:val="000069B1"/>
    <w:rsid w:val="00006CDD"/>
    <w:rsid w:val="00006DB8"/>
    <w:rsid w:val="00007311"/>
    <w:rsid w:val="0000781B"/>
    <w:rsid w:val="00007F15"/>
    <w:rsid w:val="00010077"/>
    <w:rsid w:val="00011315"/>
    <w:rsid w:val="00012000"/>
    <w:rsid w:val="00012143"/>
    <w:rsid w:val="00012779"/>
    <w:rsid w:val="00012945"/>
    <w:rsid w:val="00012AAE"/>
    <w:rsid w:val="00012B77"/>
    <w:rsid w:val="00012C12"/>
    <w:rsid w:val="00013325"/>
    <w:rsid w:val="0001360E"/>
    <w:rsid w:val="00013E02"/>
    <w:rsid w:val="0001436A"/>
    <w:rsid w:val="00014627"/>
    <w:rsid w:val="0001528B"/>
    <w:rsid w:val="000152D3"/>
    <w:rsid w:val="0001620E"/>
    <w:rsid w:val="00016396"/>
    <w:rsid w:val="00016F68"/>
    <w:rsid w:val="00017420"/>
    <w:rsid w:val="0001772D"/>
    <w:rsid w:val="00017822"/>
    <w:rsid w:val="000179B0"/>
    <w:rsid w:val="00020CA5"/>
    <w:rsid w:val="000214A5"/>
    <w:rsid w:val="00021AD0"/>
    <w:rsid w:val="00021C7F"/>
    <w:rsid w:val="00022913"/>
    <w:rsid w:val="000229C5"/>
    <w:rsid w:val="000232A0"/>
    <w:rsid w:val="000233BD"/>
    <w:rsid w:val="000238FE"/>
    <w:rsid w:val="000239EE"/>
    <w:rsid w:val="00023A98"/>
    <w:rsid w:val="00023C9C"/>
    <w:rsid w:val="00023D36"/>
    <w:rsid w:val="000242AE"/>
    <w:rsid w:val="0002445F"/>
    <w:rsid w:val="0002512E"/>
    <w:rsid w:val="00025513"/>
    <w:rsid w:val="000256D5"/>
    <w:rsid w:val="000256F2"/>
    <w:rsid w:val="00025FC2"/>
    <w:rsid w:val="00027716"/>
    <w:rsid w:val="000300B4"/>
    <w:rsid w:val="00030913"/>
    <w:rsid w:val="000315E2"/>
    <w:rsid w:val="00031798"/>
    <w:rsid w:val="00031E40"/>
    <w:rsid w:val="000324D3"/>
    <w:rsid w:val="00032535"/>
    <w:rsid w:val="0003254A"/>
    <w:rsid w:val="0003284A"/>
    <w:rsid w:val="000329D7"/>
    <w:rsid w:val="00032B4A"/>
    <w:rsid w:val="00032DC0"/>
    <w:rsid w:val="000332B0"/>
    <w:rsid w:val="00034812"/>
    <w:rsid w:val="00034A4B"/>
    <w:rsid w:val="00034CC9"/>
    <w:rsid w:val="00035097"/>
    <w:rsid w:val="000356DC"/>
    <w:rsid w:val="00035993"/>
    <w:rsid w:val="0003669E"/>
    <w:rsid w:val="000366FA"/>
    <w:rsid w:val="00036B4F"/>
    <w:rsid w:val="00036C36"/>
    <w:rsid w:val="00036CFF"/>
    <w:rsid w:val="00036F29"/>
    <w:rsid w:val="0003720F"/>
    <w:rsid w:val="000375FB"/>
    <w:rsid w:val="000375FE"/>
    <w:rsid w:val="000376E4"/>
    <w:rsid w:val="00040431"/>
    <w:rsid w:val="000407EA"/>
    <w:rsid w:val="00040B92"/>
    <w:rsid w:val="0004153B"/>
    <w:rsid w:val="00041C18"/>
    <w:rsid w:val="00042157"/>
    <w:rsid w:val="0004265C"/>
    <w:rsid w:val="00042AE3"/>
    <w:rsid w:val="00042D3D"/>
    <w:rsid w:val="00042F8E"/>
    <w:rsid w:val="00043131"/>
    <w:rsid w:val="00043158"/>
    <w:rsid w:val="00043472"/>
    <w:rsid w:val="00043843"/>
    <w:rsid w:val="00043BE4"/>
    <w:rsid w:val="00044313"/>
    <w:rsid w:val="00044B11"/>
    <w:rsid w:val="000464F8"/>
    <w:rsid w:val="00046556"/>
    <w:rsid w:val="0004696F"/>
    <w:rsid w:val="0004723B"/>
    <w:rsid w:val="000472BD"/>
    <w:rsid w:val="000475AA"/>
    <w:rsid w:val="000477AE"/>
    <w:rsid w:val="00047A8C"/>
    <w:rsid w:val="00050241"/>
    <w:rsid w:val="000502E9"/>
    <w:rsid w:val="000508B9"/>
    <w:rsid w:val="000509BE"/>
    <w:rsid w:val="00051503"/>
    <w:rsid w:val="00051967"/>
    <w:rsid w:val="00051B0A"/>
    <w:rsid w:val="0005222F"/>
    <w:rsid w:val="0005251F"/>
    <w:rsid w:val="00052615"/>
    <w:rsid w:val="000528C0"/>
    <w:rsid w:val="00052CE2"/>
    <w:rsid w:val="0005346F"/>
    <w:rsid w:val="00053797"/>
    <w:rsid w:val="00053BF9"/>
    <w:rsid w:val="000542B2"/>
    <w:rsid w:val="000542F6"/>
    <w:rsid w:val="00054451"/>
    <w:rsid w:val="0005473B"/>
    <w:rsid w:val="00054A4E"/>
    <w:rsid w:val="00054D7F"/>
    <w:rsid w:val="00054F9B"/>
    <w:rsid w:val="00054F9C"/>
    <w:rsid w:val="00055720"/>
    <w:rsid w:val="00055C86"/>
    <w:rsid w:val="00056223"/>
    <w:rsid w:val="00056247"/>
    <w:rsid w:val="0005655B"/>
    <w:rsid w:val="00056568"/>
    <w:rsid w:val="00056B48"/>
    <w:rsid w:val="000572F0"/>
    <w:rsid w:val="0005770D"/>
    <w:rsid w:val="00057944"/>
    <w:rsid w:val="00057ADE"/>
    <w:rsid w:val="00060002"/>
    <w:rsid w:val="00060138"/>
    <w:rsid w:val="00060698"/>
    <w:rsid w:val="00060964"/>
    <w:rsid w:val="00060F05"/>
    <w:rsid w:val="000614E9"/>
    <w:rsid w:val="000616E6"/>
    <w:rsid w:val="00061E0E"/>
    <w:rsid w:val="000626D2"/>
    <w:rsid w:val="0006299B"/>
    <w:rsid w:val="00062CC7"/>
    <w:rsid w:val="00062F03"/>
    <w:rsid w:val="00063326"/>
    <w:rsid w:val="000635C6"/>
    <w:rsid w:val="00063F08"/>
    <w:rsid w:val="000642E5"/>
    <w:rsid w:val="00064B8D"/>
    <w:rsid w:val="00064FE8"/>
    <w:rsid w:val="00065046"/>
    <w:rsid w:val="000660B8"/>
    <w:rsid w:val="0006612D"/>
    <w:rsid w:val="000661D4"/>
    <w:rsid w:val="00066B63"/>
    <w:rsid w:val="00066EC3"/>
    <w:rsid w:val="00067304"/>
    <w:rsid w:val="0006758E"/>
    <w:rsid w:val="00067995"/>
    <w:rsid w:val="00067FA0"/>
    <w:rsid w:val="00070021"/>
    <w:rsid w:val="000705D8"/>
    <w:rsid w:val="0007061A"/>
    <w:rsid w:val="000707FA"/>
    <w:rsid w:val="00070ED1"/>
    <w:rsid w:val="000717C4"/>
    <w:rsid w:val="000718A0"/>
    <w:rsid w:val="000723F1"/>
    <w:rsid w:val="00073191"/>
    <w:rsid w:val="000744F2"/>
    <w:rsid w:val="00074EEF"/>
    <w:rsid w:val="0007557E"/>
    <w:rsid w:val="00075B1E"/>
    <w:rsid w:val="00075DAC"/>
    <w:rsid w:val="00076987"/>
    <w:rsid w:val="000772F7"/>
    <w:rsid w:val="000800E0"/>
    <w:rsid w:val="000807F5"/>
    <w:rsid w:val="00080CAE"/>
    <w:rsid w:val="00081210"/>
    <w:rsid w:val="0008155E"/>
    <w:rsid w:val="00082BE7"/>
    <w:rsid w:val="00082E67"/>
    <w:rsid w:val="000830A1"/>
    <w:rsid w:val="00083614"/>
    <w:rsid w:val="0008460C"/>
    <w:rsid w:val="0008506A"/>
    <w:rsid w:val="00085975"/>
    <w:rsid w:val="000866A5"/>
    <w:rsid w:val="00086DF2"/>
    <w:rsid w:val="000875C9"/>
    <w:rsid w:val="00087B27"/>
    <w:rsid w:val="00090642"/>
    <w:rsid w:val="000910A9"/>
    <w:rsid w:val="0009197F"/>
    <w:rsid w:val="000919D4"/>
    <w:rsid w:val="00091DB1"/>
    <w:rsid w:val="00092566"/>
    <w:rsid w:val="0009306D"/>
    <w:rsid w:val="000930F6"/>
    <w:rsid w:val="000935F0"/>
    <w:rsid w:val="000937C4"/>
    <w:rsid w:val="0009475E"/>
    <w:rsid w:val="00094A00"/>
    <w:rsid w:val="00094E1A"/>
    <w:rsid w:val="00095364"/>
    <w:rsid w:val="00095474"/>
    <w:rsid w:val="00095A87"/>
    <w:rsid w:val="00096362"/>
    <w:rsid w:val="000963E3"/>
    <w:rsid w:val="00096537"/>
    <w:rsid w:val="000966FE"/>
    <w:rsid w:val="00097111"/>
    <w:rsid w:val="00097792"/>
    <w:rsid w:val="0009785E"/>
    <w:rsid w:val="00097B2C"/>
    <w:rsid w:val="00097BB2"/>
    <w:rsid w:val="000A043E"/>
    <w:rsid w:val="000A0AA8"/>
    <w:rsid w:val="000A0C7D"/>
    <w:rsid w:val="000A17E2"/>
    <w:rsid w:val="000A1850"/>
    <w:rsid w:val="000A2603"/>
    <w:rsid w:val="000A2723"/>
    <w:rsid w:val="000A2871"/>
    <w:rsid w:val="000A32C6"/>
    <w:rsid w:val="000A39BA"/>
    <w:rsid w:val="000A3C1B"/>
    <w:rsid w:val="000A41BE"/>
    <w:rsid w:val="000A44B9"/>
    <w:rsid w:val="000A45CD"/>
    <w:rsid w:val="000A524C"/>
    <w:rsid w:val="000A55E0"/>
    <w:rsid w:val="000A5908"/>
    <w:rsid w:val="000A592B"/>
    <w:rsid w:val="000A6EB9"/>
    <w:rsid w:val="000A70E2"/>
    <w:rsid w:val="000A72AA"/>
    <w:rsid w:val="000A77C0"/>
    <w:rsid w:val="000A7B1E"/>
    <w:rsid w:val="000B05E6"/>
    <w:rsid w:val="000B09F0"/>
    <w:rsid w:val="000B0A44"/>
    <w:rsid w:val="000B0B76"/>
    <w:rsid w:val="000B19F7"/>
    <w:rsid w:val="000B1ED7"/>
    <w:rsid w:val="000B228A"/>
    <w:rsid w:val="000B245C"/>
    <w:rsid w:val="000B2593"/>
    <w:rsid w:val="000B2F79"/>
    <w:rsid w:val="000B34F1"/>
    <w:rsid w:val="000B369F"/>
    <w:rsid w:val="000B3A14"/>
    <w:rsid w:val="000B3CCC"/>
    <w:rsid w:val="000B3D63"/>
    <w:rsid w:val="000B4508"/>
    <w:rsid w:val="000B45F0"/>
    <w:rsid w:val="000B46C7"/>
    <w:rsid w:val="000B4AF4"/>
    <w:rsid w:val="000B4B39"/>
    <w:rsid w:val="000B55B8"/>
    <w:rsid w:val="000B5D38"/>
    <w:rsid w:val="000B5DB6"/>
    <w:rsid w:val="000B6191"/>
    <w:rsid w:val="000B7092"/>
    <w:rsid w:val="000B7306"/>
    <w:rsid w:val="000B74D2"/>
    <w:rsid w:val="000B7960"/>
    <w:rsid w:val="000B7CA0"/>
    <w:rsid w:val="000B7E5B"/>
    <w:rsid w:val="000B7FA0"/>
    <w:rsid w:val="000C01F3"/>
    <w:rsid w:val="000C0EBA"/>
    <w:rsid w:val="000C0FD6"/>
    <w:rsid w:val="000C1092"/>
    <w:rsid w:val="000C113E"/>
    <w:rsid w:val="000C116D"/>
    <w:rsid w:val="000C152D"/>
    <w:rsid w:val="000C1677"/>
    <w:rsid w:val="000C1A92"/>
    <w:rsid w:val="000C1D10"/>
    <w:rsid w:val="000C21A6"/>
    <w:rsid w:val="000C2326"/>
    <w:rsid w:val="000C25E8"/>
    <w:rsid w:val="000C296A"/>
    <w:rsid w:val="000C2CDE"/>
    <w:rsid w:val="000C3228"/>
    <w:rsid w:val="000C3284"/>
    <w:rsid w:val="000C4214"/>
    <w:rsid w:val="000C432D"/>
    <w:rsid w:val="000C4960"/>
    <w:rsid w:val="000C49F9"/>
    <w:rsid w:val="000C4C48"/>
    <w:rsid w:val="000C5719"/>
    <w:rsid w:val="000C5AE8"/>
    <w:rsid w:val="000C5C7C"/>
    <w:rsid w:val="000C70DB"/>
    <w:rsid w:val="000C72DB"/>
    <w:rsid w:val="000C7A4E"/>
    <w:rsid w:val="000C7CAA"/>
    <w:rsid w:val="000C7E30"/>
    <w:rsid w:val="000D0A12"/>
    <w:rsid w:val="000D16A6"/>
    <w:rsid w:val="000D1842"/>
    <w:rsid w:val="000D1A84"/>
    <w:rsid w:val="000D1B26"/>
    <w:rsid w:val="000D1F74"/>
    <w:rsid w:val="000D209E"/>
    <w:rsid w:val="000D21F3"/>
    <w:rsid w:val="000D2DE0"/>
    <w:rsid w:val="000D3215"/>
    <w:rsid w:val="000D3602"/>
    <w:rsid w:val="000D3847"/>
    <w:rsid w:val="000D3D18"/>
    <w:rsid w:val="000D43DE"/>
    <w:rsid w:val="000D46A1"/>
    <w:rsid w:val="000D4C42"/>
    <w:rsid w:val="000D4E8F"/>
    <w:rsid w:val="000D51B4"/>
    <w:rsid w:val="000D5A94"/>
    <w:rsid w:val="000D6002"/>
    <w:rsid w:val="000D6078"/>
    <w:rsid w:val="000D643E"/>
    <w:rsid w:val="000D6863"/>
    <w:rsid w:val="000D6DA9"/>
    <w:rsid w:val="000D71CB"/>
    <w:rsid w:val="000D7746"/>
    <w:rsid w:val="000D79A7"/>
    <w:rsid w:val="000D7C42"/>
    <w:rsid w:val="000E042D"/>
    <w:rsid w:val="000E0FAB"/>
    <w:rsid w:val="000E1297"/>
    <w:rsid w:val="000E193E"/>
    <w:rsid w:val="000E1A6A"/>
    <w:rsid w:val="000E2135"/>
    <w:rsid w:val="000E228E"/>
    <w:rsid w:val="000E25A5"/>
    <w:rsid w:val="000E2DC9"/>
    <w:rsid w:val="000E2DE9"/>
    <w:rsid w:val="000E30F8"/>
    <w:rsid w:val="000E3581"/>
    <w:rsid w:val="000E3A58"/>
    <w:rsid w:val="000E3EE1"/>
    <w:rsid w:val="000E4A2C"/>
    <w:rsid w:val="000E4AFA"/>
    <w:rsid w:val="000E4C95"/>
    <w:rsid w:val="000E50E5"/>
    <w:rsid w:val="000E51AF"/>
    <w:rsid w:val="000E53E6"/>
    <w:rsid w:val="000E5DA1"/>
    <w:rsid w:val="000E608B"/>
    <w:rsid w:val="000E60DD"/>
    <w:rsid w:val="000E6331"/>
    <w:rsid w:val="000E65A2"/>
    <w:rsid w:val="000E67AB"/>
    <w:rsid w:val="000E67EF"/>
    <w:rsid w:val="000E6800"/>
    <w:rsid w:val="000E6BE7"/>
    <w:rsid w:val="000E6D5A"/>
    <w:rsid w:val="000E6F36"/>
    <w:rsid w:val="000E75E4"/>
    <w:rsid w:val="000E7D85"/>
    <w:rsid w:val="000F0CFA"/>
    <w:rsid w:val="000F1134"/>
    <w:rsid w:val="000F1221"/>
    <w:rsid w:val="000F136B"/>
    <w:rsid w:val="000F16B3"/>
    <w:rsid w:val="000F1792"/>
    <w:rsid w:val="000F1BA9"/>
    <w:rsid w:val="000F1C9D"/>
    <w:rsid w:val="000F2044"/>
    <w:rsid w:val="000F27BE"/>
    <w:rsid w:val="000F32F8"/>
    <w:rsid w:val="000F3352"/>
    <w:rsid w:val="000F3B7C"/>
    <w:rsid w:val="000F3CDA"/>
    <w:rsid w:val="000F49B4"/>
    <w:rsid w:val="000F4D0F"/>
    <w:rsid w:val="000F5316"/>
    <w:rsid w:val="000F5967"/>
    <w:rsid w:val="000F60C0"/>
    <w:rsid w:val="000F6CAC"/>
    <w:rsid w:val="000F708F"/>
    <w:rsid w:val="000F7149"/>
    <w:rsid w:val="000F7512"/>
    <w:rsid w:val="000F7BBB"/>
    <w:rsid w:val="00101036"/>
    <w:rsid w:val="001014D4"/>
    <w:rsid w:val="0010178D"/>
    <w:rsid w:val="00102438"/>
    <w:rsid w:val="00103CC0"/>
    <w:rsid w:val="00104BBA"/>
    <w:rsid w:val="00104CC2"/>
    <w:rsid w:val="00104D67"/>
    <w:rsid w:val="00104FB8"/>
    <w:rsid w:val="00105726"/>
    <w:rsid w:val="0010610E"/>
    <w:rsid w:val="00106621"/>
    <w:rsid w:val="00106BBA"/>
    <w:rsid w:val="0010774A"/>
    <w:rsid w:val="00107769"/>
    <w:rsid w:val="00107DC9"/>
    <w:rsid w:val="00110354"/>
    <w:rsid w:val="00110977"/>
    <w:rsid w:val="00110D91"/>
    <w:rsid w:val="00111398"/>
    <w:rsid w:val="00111942"/>
    <w:rsid w:val="00111BAC"/>
    <w:rsid w:val="001123D9"/>
    <w:rsid w:val="00112950"/>
    <w:rsid w:val="00112A77"/>
    <w:rsid w:val="00112FBD"/>
    <w:rsid w:val="00113445"/>
    <w:rsid w:val="00113817"/>
    <w:rsid w:val="00113CFE"/>
    <w:rsid w:val="001141AC"/>
    <w:rsid w:val="001154EF"/>
    <w:rsid w:val="001156D6"/>
    <w:rsid w:val="00115727"/>
    <w:rsid w:val="00115F00"/>
    <w:rsid w:val="00116BF3"/>
    <w:rsid w:val="00116C14"/>
    <w:rsid w:val="00116C22"/>
    <w:rsid w:val="00116F73"/>
    <w:rsid w:val="00117206"/>
    <w:rsid w:val="00117314"/>
    <w:rsid w:val="001209D4"/>
    <w:rsid w:val="0012135E"/>
    <w:rsid w:val="00121F24"/>
    <w:rsid w:val="00122A7B"/>
    <w:rsid w:val="001231F7"/>
    <w:rsid w:val="00123733"/>
    <w:rsid w:val="00123BAF"/>
    <w:rsid w:val="00123BB1"/>
    <w:rsid w:val="00123C93"/>
    <w:rsid w:val="001243CB"/>
    <w:rsid w:val="0012467A"/>
    <w:rsid w:val="00124DDD"/>
    <w:rsid w:val="00124E1B"/>
    <w:rsid w:val="00124EC9"/>
    <w:rsid w:val="00125213"/>
    <w:rsid w:val="0012543E"/>
    <w:rsid w:val="00125476"/>
    <w:rsid w:val="00125DAE"/>
    <w:rsid w:val="00125DED"/>
    <w:rsid w:val="00126543"/>
    <w:rsid w:val="00127CCD"/>
    <w:rsid w:val="00130DB0"/>
    <w:rsid w:val="00131130"/>
    <w:rsid w:val="001315B8"/>
    <w:rsid w:val="00131606"/>
    <w:rsid w:val="0013191B"/>
    <w:rsid w:val="00131A83"/>
    <w:rsid w:val="00131F4B"/>
    <w:rsid w:val="00131FA1"/>
    <w:rsid w:val="001326DC"/>
    <w:rsid w:val="0013325F"/>
    <w:rsid w:val="001333D2"/>
    <w:rsid w:val="00133E28"/>
    <w:rsid w:val="00134378"/>
    <w:rsid w:val="001347B6"/>
    <w:rsid w:val="001349CB"/>
    <w:rsid w:val="00134BB5"/>
    <w:rsid w:val="001354A9"/>
    <w:rsid w:val="001355B3"/>
    <w:rsid w:val="00135972"/>
    <w:rsid w:val="00135C23"/>
    <w:rsid w:val="0013614B"/>
    <w:rsid w:val="0013618E"/>
    <w:rsid w:val="001363DF"/>
    <w:rsid w:val="001371B8"/>
    <w:rsid w:val="00137278"/>
    <w:rsid w:val="001372DB"/>
    <w:rsid w:val="001374E9"/>
    <w:rsid w:val="00137914"/>
    <w:rsid w:val="00137DBA"/>
    <w:rsid w:val="0014056E"/>
    <w:rsid w:val="00140C80"/>
    <w:rsid w:val="00140CF1"/>
    <w:rsid w:val="00140D00"/>
    <w:rsid w:val="001411D9"/>
    <w:rsid w:val="00141446"/>
    <w:rsid w:val="00141D80"/>
    <w:rsid w:val="00141DE1"/>
    <w:rsid w:val="00142131"/>
    <w:rsid w:val="001426DB"/>
    <w:rsid w:val="001429FE"/>
    <w:rsid w:val="0014301E"/>
    <w:rsid w:val="00143301"/>
    <w:rsid w:val="00143813"/>
    <w:rsid w:val="00143B47"/>
    <w:rsid w:val="001442F7"/>
    <w:rsid w:val="001445EA"/>
    <w:rsid w:val="001446CF"/>
    <w:rsid w:val="001449FD"/>
    <w:rsid w:val="00144F8D"/>
    <w:rsid w:val="0014583A"/>
    <w:rsid w:val="00145DA4"/>
    <w:rsid w:val="00146A52"/>
    <w:rsid w:val="00146C60"/>
    <w:rsid w:val="00147852"/>
    <w:rsid w:val="0015026B"/>
    <w:rsid w:val="00150389"/>
    <w:rsid w:val="00150763"/>
    <w:rsid w:val="001509C1"/>
    <w:rsid w:val="00150EC0"/>
    <w:rsid w:val="00150F27"/>
    <w:rsid w:val="001516AC"/>
    <w:rsid w:val="00151AF8"/>
    <w:rsid w:val="00151C79"/>
    <w:rsid w:val="00151F20"/>
    <w:rsid w:val="0015219F"/>
    <w:rsid w:val="001527B9"/>
    <w:rsid w:val="0015296F"/>
    <w:rsid w:val="00152C93"/>
    <w:rsid w:val="0015341D"/>
    <w:rsid w:val="00153B3A"/>
    <w:rsid w:val="00153E0E"/>
    <w:rsid w:val="0015489F"/>
    <w:rsid w:val="001548FB"/>
    <w:rsid w:val="00154D59"/>
    <w:rsid w:val="00154D97"/>
    <w:rsid w:val="00154EC4"/>
    <w:rsid w:val="001550CC"/>
    <w:rsid w:val="0015588B"/>
    <w:rsid w:val="0015588E"/>
    <w:rsid w:val="00155D35"/>
    <w:rsid w:val="00156240"/>
    <w:rsid w:val="00156CF3"/>
    <w:rsid w:val="00156D6A"/>
    <w:rsid w:val="00157089"/>
    <w:rsid w:val="001572EE"/>
    <w:rsid w:val="00157509"/>
    <w:rsid w:val="00157700"/>
    <w:rsid w:val="00157E2E"/>
    <w:rsid w:val="00157E71"/>
    <w:rsid w:val="001603F2"/>
    <w:rsid w:val="0016079F"/>
    <w:rsid w:val="00162678"/>
    <w:rsid w:val="001627E5"/>
    <w:rsid w:val="0016285E"/>
    <w:rsid w:val="00162A39"/>
    <w:rsid w:val="00162A64"/>
    <w:rsid w:val="00162C43"/>
    <w:rsid w:val="00162DAB"/>
    <w:rsid w:val="00162E3F"/>
    <w:rsid w:val="00162E55"/>
    <w:rsid w:val="001633AA"/>
    <w:rsid w:val="00163BA1"/>
    <w:rsid w:val="00164193"/>
    <w:rsid w:val="001643D6"/>
    <w:rsid w:val="001647DF"/>
    <w:rsid w:val="001651AA"/>
    <w:rsid w:val="0016568C"/>
    <w:rsid w:val="00165923"/>
    <w:rsid w:val="00165B82"/>
    <w:rsid w:val="00165DD7"/>
    <w:rsid w:val="001662DA"/>
    <w:rsid w:val="001668C4"/>
    <w:rsid w:val="00166E95"/>
    <w:rsid w:val="00166F2C"/>
    <w:rsid w:val="00167021"/>
    <w:rsid w:val="001677BA"/>
    <w:rsid w:val="00167A35"/>
    <w:rsid w:val="00167D2F"/>
    <w:rsid w:val="00170075"/>
    <w:rsid w:val="001700D3"/>
    <w:rsid w:val="001700D4"/>
    <w:rsid w:val="00170702"/>
    <w:rsid w:val="00170B18"/>
    <w:rsid w:val="00170B46"/>
    <w:rsid w:val="001714ED"/>
    <w:rsid w:val="00171823"/>
    <w:rsid w:val="00171D8D"/>
    <w:rsid w:val="00171E75"/>
    <w:rsid w:val="00172953"/>
    <w:rsid w:val="001729DB"/>
    <w:rsid w:val="00173F68"/>
    <w:rsid w:val="00174380"/>
    <w:rsid w:val="00174DFC"/>
    <w:rsid w:val="00175041"/>
    <w:rsid w:val="00175436"/>
    <w:rsid w:val="00175665"/>
    <w:rsid w:val="00175C89"/>
    <w:rsid w:val="00175C9D"/>
    <w:rsid w:val="00175D03"/>
    <w:rsid w:val="00175F25"/>
    <w:rsid w:val="00176065"/>
    <w:rsid w:val="001760D8"/>
    <w:rsid w:val="00176383"/>
    <w:rsid w:val="00176B44"/>
    <w:rsid w:val="00176D73"/>
    <w:rsid w:val="00177952"/>
    <w:rsid w:val="00177D10"/>
    <w:rsid w:val="00180629"/>
    <w:rsid w:val="00180E30"/>
    <w:rsid w:val="001824DF"/>
    <w:rsid w:val="001825BE"/>
    <w:rsid w:val="0018288D"/>
    <w:rsid w:val="001833FA"/>
    <w:rsid w:val="00183476"/>
    <w:rsid w:val="0018358C"/>
    <w:rsid w:val="00183CCB"/>
    <w:rsid w:val="0018475D"/>
    <w:rsid w:val="00184BC1"/>
    <w:rsid w:val="00184C36"/>
    <w:rsid w:val="00184FA9"/>
    <w:rsid w:val="001855DC"/>
    <w:rsid w:val="00185822"/>
    <w:rsid w:val="00185846"/>
    <w:rsid w:val="00185CF7"/>
    <w:rsid w:val="00185D3D"/>
    <w:rsid w:val="0018611D"/>
    <w:rsid w:val="0018672C"/>
    <w:rsid w:val="00186B27"/>
    <w:rsid w:val="00186BEA"/>
    <w:rsid w:val="00186DB9"/>
    <w:rsid w:val="00187CAB"/>
    <w:rsid w:val="00187EC9"/>
    <w:rsid w:val="001901F8"/>
    <w:rsid w:val="00190830"/>
    <w:rsid w:val="001913E1"/>
    <w:rsid w:val="00192D0E"/>
    <w:rsid w:val="001931A9"/>
    <w:rsid w:val="00193552"/>
    <w:rsid w:val="001941CC"/>
    <w:rsid w:val="00196193"/>
    <w:rsid w:val="001965B4"/>
    <w:rsid w:val="00197597"/>
    <w:rsid w:val="00197723"/>
    <w:rsid w:val="001978BF"/>
    <w:rsid w:val="001979C1"/>
    <w:rsid w:val="00197A45"/>
    <w:rsid w:val="00197DCF"/>
    <w:rsid w:val="00197EDC"/>
    <w:rsid w:val="001A087E"/>
    <w:rsid w:val="001A10A8"/>
    <w:rsid w:val="001A3C46"/>
    <w:rsid w:val="001A3F72"/>
    <w:rsid w:val="001A4C0C"/>
    <w:rsid w:val="001A4ED8"/>
    <w:rsid w:val="001A54BD"/>
    <w:rsid w:val="001A5726"/>
    <w:rsid w:val="001A5B3A"/>
    <w:rsid w:val="001A5B93"/>
    <w:rsid w:val="001A63E3"/>
    <w:rsid w:val="001A668B"/>
    <w:rsid w:val="001A6859"/>
    <w:rsid w:val="001A6CE7"/>
    <w:rsid w:val="001A75E6"/>
    <w:rsid w:val="001B006B"/>
    <w:rsid w:val="001B019B"/>
    <w:rsid w:val="001B0659"/>
    <w:rsid w:val="001B1C76"/>
    <w:rsid w:val="001B1F77"/>
    <w:rsid w:val="001B43DC"/>
    <w:rsid w:val="001B4EA6"/>
    <w:rsid w:val="001B5569"/>
    <w:rsid w:val="001B55E6"/>
    <w:rsid w:val="001B560E"/>
    <w:rsid w:val="001B564F"/>
    <w:rsid w:val="001B56F2"/>
    <w:rsid w:val="001B57C4"/>
    <w:rsid w:val="001B633D"/>
    <w:rsid w:val="001B66C1"/>
    <w:rsid w:val="001B6CBE"/>
    <w:rsid w:val="001B6D04"/>
    <w:rsid w:val="001B7025"/>
    <w:rsid w:val="001B7815"/>
    <w:rsid w:val="001C02A0"/>
    <w:rsid w:val="001C123C"/>
    <w:rsid w:val="001C2033"/>
    <w:rsid w:val="001C2291"/>
    <w:rsid w:val="001C2295"/>
    <w:rsid w:val="001C2836"/>
    <w:rsid w:val="001C28FB"/>
    <w:rsid w:val="001C2945"/>
    <w:rsid w:val="001C2BD9"/>
    <w:rsid w:val="001C2E35"/>
    <w:rsid w:val="001C39CD"/>
    <w:rsid w:val="001C46CC"/>
    <w:rsid w:val="001C46D3"/>
    <w:rsid w:val="001C4A32"/>
    <w:rsid w:val="001C5D86"/>
    <w:rsid w:val="001C5F65"/>
    <w:rsid w:val="001C653D"/>
    <w:rsid w:val="001C7A85"/>
    <w:rsid w:val="001D0205"/>
    <w:rsid w:val="001D0783"/>
    <w:rsid w:val="001D0E27"/>
    <w:rsid w:val="001D112D"/>
    <w:rsid w:val="001D12B0"/>
    <w:rsid w:val="001D1C91"/>
    <w:rsid w:val="001D20B8"/>
    <w:rsid w:val="001D2251"/>
    <w:rsid w:val="001D2665"/>
    <w:rsid w:val="001D33A8"/>
    <w:rsid w:val="001D52C8"/>
    <w:rsid w:val="001D69C1"/>
    <w:rsid w:val="001D74DC"/>
    <w:rsid w:val="001D7557"/>
    <w:rsid w:val="001D7E7C"/>
    <w:rsid w:val="001D7FCD"/>
    <w:rsid w:val="001E02F5"/>
    <w:rsid w:val="001E09CB"/>
    <w:rsid w:val="001E0FBE"/>
    <w:rsid w:val="001E1276"/>
    <w:rsid w:val="001E178C"/>
    <w:rsid w:val="001E184E"/>
    <w:rsid w:val="001E1928"/>
    <w:rsid w:val="001E197F"/>
    <w:rsid w:val="001E1ACD"/>
    <w:rsid w:val="001E1B53"/>
    <w:rsid w:val="001E1F38"/>
    <w:rsid w:val="001E2C5C"/>
    <w:rsid w:val="001E2D9B"/>
    <w:rsid w:val="001E3A41"/>
    <w:rsid w:val="001E4378"/>
    <w:rsid w:val="001E4538"/>
    <w:rsid w:val="001E4BCC"/>
    <w:rsid w:val="001E5790"/>
    <w:rsid w:val="001E598B"/>
    <w:rsid w:val="001E6877"/>
    <w:rsid w:val="001E6A5D"/>
    <w:rsid w:val="001E6EBE"/>
    <w:rsid w:val="001E7127"/>
    <w:rsid w:val="001E7D75"/>
    <w:rsid w:val="001E7F84"/>
    <w:rsid w:val="001F0601"/>
    <w:rsid w:val="001F065D"/>
    <w:rsid w:val="001F0B71"/>
    <w:rsid w:val="001F0B8E"/>
    <w:rsid w:val="001F0F0F"/>
    <w:rsid w:val="001F11C6"/>
    <w:rsid w:val="001F1353"/>
    <w:rsid w:val="001F15D3"/>
    <w:rsid w:val="001F1FC3"/>
    <w:rsid w:val="001F211F"/>
    <w:rsid w:val="001F23DD"/>
    <w:rsid w:val="001F2447"/>
    <w:rsid w:val="001F25A0"/>
    <w:rsid w:val="001F2F9D"/>
    <w:rsid w:val="001F309A"/>
    <w:rsid w:val="001F422B"/>
    <w:rsid w:val="001F43F8"/>
    <w:rsid w:val="001F4EC2"/>
    <w:rsid w:val="001F5922"/>
    <w:rsid w:val="001F5CF0"/>
    <w:rsid w:val="001F60AE"/>
    <w:rsid w:val="001F62BE"/>
    <w:rsid w:val="001F634C"/>
    <w:rsid w:val="001F68FF"/>
    <w:rsid w:val="001F69B2"/>
    <w:rsid w:val="001F6FBC"/>
    <w:rsid w:val="00200413"/>
    <w:rsid w:val="002004F2"/>
    <w:rsid w:val="0020053E"/>
    <w:rsid w:val="00200980"/>
    <w:rsid w:val="00200A12"/>
    <w:rsid w:val="002010C3"/>
    <w:rsid w:val="0020182C"/>
    <w:rsid w:val="00202221"/>
    <w:rsid w:val="00202384"/>
    <w:rsid w:val="0020282A"/>
    <w:rsid w:val="00203261"/>
    <w:rsid w:val="002033F2"/>
    <w:rsid w:val="0020347B"/>
    <w:rsid w:val="00203A68"/>
    <w:rsid w:val="00203DEB"/>
    <w:rsid w:val="0020452B"/>
    <w:rsid w:val="00204AD3"/>
    <w:rsid w:val="00204F3B"/>
    <w:rsid w:val="00205DF1"/>
    <w:rsid w:val="00206319"/>
    <w:rsid w:val="002064B7"/>
    <w:rsid w:val="00206704"/>
    <w:rsid w:val="00206D87"/>
    <w:rsid w:val="002074EA"/>
    <w:rsid w:val="00207779"/>
    <w:rsid w:val="002102A1"/>
    <w:rsid w:val="0021078E"/>
    <w:rsid w:val="002107DB"/>
    <w:rsid w:val="00210EA4"/>
    <w:rsid w:val="00211937"/>
    <w:rsid w:val="00211AB5"/>
    <w:rsid w:val="00211D29"/>
    <w:rsid w:val="00212604"/>
    <w:rsid w:val="0021274D"/>
    <w:rsid w:val="00213594"/>
    <w:rsid w:val="002135A1"/>
    <w:rsid w:val="00214143"/>
    <w:rsid w:val="00214464"/>
    <w:rsid w:val="0021455B"/>
    <w:rsid w:val="002145CD"/>
    <w:rsid w:val="00214C3D"/>
    <w:rsid w:val="00215488"/>
    <w:rsid w:val="002155F3"/>
    <w:rsid w:val="00215742"/>
    <w:rsid w:val="00216628"/>
    <w:rsid w:val="002166CF"/>
    <w:rsid w:val="00216A56"/>
    <w:rsid w:val="00216A86"/>
    <w:rsid w:val="00216E76"/>
    <w:rsid w:val="00216ED1"/>
    <w:rsid w:val="0021701C"/>
    <w:rsid w:val="002178B6"/>
    <w:rsid w:val="002208F7"/>
    <w:rsid w:val="00221DA6"/>
    <w:rsid w:val="00222312"/>
    <w:rsid w:val="00222333"/>
    <w:rsid w:val="00222FB3"/>
    <w:rsid w:val="002233D2"/>
    <w:rsid w:val="00223AC1"/>
    <w:rsid w:val="00223BA5"/>
    <w:rsid w:val="00223FC2"/>
    <w:rsid w:val="0022446D"/>
    <w:rsid w:val="00224536"/>
    <w:rsid w:val="0022462C"/>
    <w:rsid w:val="00224827"/>
    <w:rsid w:val="00224A7D"/>
    <w:rsid w:val="0022515A"/>
    <w:rsid w:val="002251C9"/>
    <w:rsid w:val="0022686B"/>
    <w:rsid w:val="00226EED"/>
    <w:rsid w:val="00227165"/>
    <w:rsid w:val="002277DB"/>
    <w:rsid w:val="002279EB"/>
    <w:rsid w:val="00227DE1"/>
    <w:rsid w:val="00230585"/>
    <w:rsid w:val="0023197F"/>
    <w:rsid w:val="00232B98"/>
    <w:rsid w:val="00232F6B"/>
    <w:rsid w:val="00233038"/>
    <w:rsid w:val="0023351D"/>
    <w:rsid w:val="00234192"/>
    <w:rsid w:val="0023447B"/>
    <w:rsid w:val="00234A21"/>
    <w:rsid w:val="00234B58"/>
    <w:rsid w:val="00234B88"/>
    <w:rsid w:val="00235383"/>
    <w:rsid w:val="00235434"/>
    <w:rsid w:val="0023595A"/>
    <w:rsid w:val="00236142"/>
    <w:rsid w:val="00236215"/>
    <w:rsid w:val="00236322"/>
    <w:rsid w:val="0023645D"/>
    <w:rsid w:val="002369B6"/>
    <w:rsid w:val="00236A25"/>
    <w:rsid w:val="00236C5D"/>
    <w:rsid w:val="00236EC3"/>
    <w:rsid w:val="00237D60"/>
    <w:rsid w:val="00237EB1"/>
    <w:rsid w:val="002408B2"/>
    <w:rsid w:val="00240B97"/>
    <w:rsid w:val="00240D06"/>
    <w:rsid w:val="0024105E"/>
    <w:rsid w:val="002410AE"/>
    <w:rsid w:val="00241148"/>
    <w:rsid w:val="0024133C"/>
    <w:rsid w:val="0024174A"/>
    <w:rsid w:val="002419F6"/>
    <w:rsid w:val="00242186"/>
    <w:rsid w:val="002424C6"/>
    <w:rsid w:val="0024283C"/>
    <w:rsid w:val="00243B62"/>
    <w:rsid w:val="00243D36"/>
    <w:rsid w:val="00244551"/>
    <w:rsid w:val="00244A3A"/>
    <w:rsid w:val="00244F81"/>
    <w:rsid w:val="00245292"/>
    <w:rsid w:val="002457B0"/>
    <w:rsid w:val="0024694B"/>
    <w:rsid w:val="00247002"/>
    <w:rsid w:val="0024714A"/>
    <w:rsid w:val="00247221"/>
    <w:rsid w:val="0024743D"/>
    <w:rsid w:val="0024753D"/>
    <w:rsid w:val="002501D9"/>
    <w:rsid w:val="0025061D"/>
    <w:rsid w:val="00250665"/>
    <w:rsid w:val="00250696"/>
    <w:rsid w:val="002506B3"/>
    <w:rsid w:val="0025147C"/>
    <w:rsid w:val="002514E7"/>
    <w:rsid w:val="00252180"/>
    <w:rsid w:val="00252232"/>
    <w:rsid w:val="00252595"/>
    <w:rsid w:val="0025262A"/>
    <w:rsid w:val="002528AA"/>
    <w:rsid w:val="00252EB4"/>
    <w:rsid w:val="00253FED"/>
    <w:rsid w:val="00254289"/>
    <w:rsid w:val="002545EF"/>
    <w:rsid w:val="00254950"/>
    <w:rsid w:val="00254DD8"/>
    <w:rsid w:val="002557F6"/>
    <w:rsid w:val="002558F9"/>
    <w:rsid w:val="002559BE"/>
    <w:rsid w:val="00255C19"/>
    <w:rsid w:val="002561E2"/>
    <w:rsid w:val="00256493"/>
    <w:rsid w:val="002567CB"/>
    <w:rsid w:val="002567E8"/>
    <w:rsid w:val="00256D83"/>
    <w:rsid w:val="00256FE3"/>
    <w:rsid w:val="00257898"/>
    <w:rsid w:val="002579BF"/>
    <w:rsid w:val="00257B95"/>
    <w:rsid w:val="0026040E"/>
    <w:rsid w:val="002615E7"/>
    <w:rsid w:val="002616D4"/>
    <w:rsid w:val="00261B84"/>
    <w:rsid w:val="00261C39"/>
    <w:rsid w:val="00261DA5"/>
    <w:rsid w:val="002625CF"/>
    <w:rsid w:val="00262DCF"/>
    <w:rsid w:val="00263259"/>
    <w:rsid w:val="0026339C"/>
    <w:rsid w:val="002635A4"/>
    <w:rsid w:val="0026365B"/>
    <w:rsid w:val="002636CB"/>
    <w:rsid w:val="002637C9"/>
    <w:rsid w:val="00263E4E"/>
    <w:rsid w:val="00264440"/>
    <w:rsid w:val="00264597"/>
    <w:rsid w:val="002647C2"/>
    <w:rsid w:val="002655D7"/>
    <w:rsid w:val="0026598F"/>
    <w:rsid w:val="0026622B"/>
    <w:rsid w:val="0026622F"/>
    <w:rsid w:val="00266274"/>
    <w:rsid w:val="00266299"/>
    <w:rsid w:val="00266864"/>
    <w:rsid w:val="00267178"/>
    <w:rsid w:val="0026720E"/>
    <w:rsid w:val="00267272"/>
    <w:rsid w:val="00267B01"/>
    <w:rsid w:val="00267C46"/>
    <w:rsid w:val="002703BC"/>
    <w:rsid w:val="00270DE3"/>
    <w:rsid w:val="00270F90"/>
    <w:rsid w:val="00271287"/>
    <w:rsid w:val="002718D6"/>
    <w:rsid w:val="00271A15"/>
    <w:rsid w:val="00271FAA"/>
    <w:rsid w:val="00272663"/>
    <w:rsid w:val="00273D08"/>
    <w:rsid w:val="00273F29"/>
    <w:rsid w:val="00273F2F"/>
    <w:rsid w:val="0027414C"/>
    <w:rsid w:val="002749B1"/>
    <w:rsid w:val="00274B43"/>
    <w:rsid w:val="00274D9F"/>
    <w:rsid w:val="00274E21"/>
    <w:rsid w:val="0027553C"/>
    <w:rsid w:val="00275C86"/>
    <w:rsid w:val="00275CF7"/>
    <w:rsid w:val="002763D4"/>
    <w:rsid w:val="002767B4"/>
    <w:rsid w:val="00276B29"/>
    <w:rsid w:val="00280184"/>
    <w:rsid w:val="00280339"/>
    <w:rsid w:val="00280E4E"/>
    <w:rsid w:val="00281055"/>
    <w:rsid w:val="00281500"/>
    <w:rsid w:val="00281832"/>
    <w:rsid w:val="00282069"/>
    <w:rsid w:val="0028230C"/>
    <w:rsid w:val="00282EC4"/>
    <w:rsid w:val="00283006"/>
    <w:rsid w:val="00283542"/>
    <w:rsid w:val="00283A77"/>
    <w:rsid w:val="0028448F"/>
    <w:rsid w:val="002845AC"/>
    <w:rsid w:val="00284C2D"/>
    <w:rsid w:val="00284CF9"/>
    <w:rsid w:val="0028533D"/>
    <w:rsid w:val="002856A9"/>
    <w:rsid w:val="00285E15"/>
    <w:rsid w:val="002860E1"/>
    <w:rsid w:val="00286465"/>
    <w:rsid w:val="00286D01"/>
    <w:rsid w:val="002873A3"/>
    <w:rsid w:val="002900BD"/>
    <w:rsid w:val="0029034C"/>
    <w:rsid w:val="00290544"/>
    <w:rsid w:val="002909ED"/>
    <w:rsid w:val="00291151"/>
    <w:rsid w:val="002911E1"/>
    <w:rsid w:val="0029128E"/>
    <w:rsid w:val="00292302"/>
    <w:rsid w:val="00292DCA"/>
    <w:rsid w:val="00293768"/>
    <w:rsid w:val="00294BD6"/>
    <w:rsid w:val="00294E8D"/>
    <w:rsid w:val="002956F4"/>
    <w:rsid w:val="00296779"/>
    <w:rsid w:val="00296A58"/>
    <w:rsid w:val="00296B0E"/>
    <w:rsid w:val="00296B5C"/>
    <w:rsid w:val="00296BB4"/>
    <w:rsid w:val="00297887"/>
    <w:rsid w:val="00297917"/>
    <w:rsid w:val="002A00D4"/>
    <w:rsid w:val="002A0EB1"/>
    <w:rsid w:val="002A107C"/>
    <w:rsid w:val="002A1561"/>
    <w:rsid w:val="002A2193"/>
    <w:rsid w:val="002A22CC"/>
    <w:rsid w:val="002A24BF"/>
    <w:rsid w:val="002A331F"/>
    <w:rsid w:val="002A3AA7"/>
    <w:rsid w:val="002A3C44"/>
    <w:rsid w:val="002A3CAB"/>
    <w:rsid w:val="002A4BD1"/>
    <w:rsid w:val="002A562C"/>
    <w:rsid w:val="002A5A38"/>
    <w:rsid w:val="002A6097"/>
    <w:rsid w:val="002A6596"/>
    <w:rsid w:val="002A65DE"/>
    <w:rsid w:val="002A67B5"/>
    <w:rsid w:val="002A68DA"/>
    <w:rsid w:val="002A6E51"/>
    <w:rsid w:val="002A7FC2"/>
    <w:rsid w:val="002B05A4"/>
    <w:rsid w:val="002B1499"/>
    <w:rsid w:val="002B14BA"/>
    <w:rsid w:val="002B203A"/>
    <w:rsid w:val="002B2966"/>
    <w:rsid w:val="002B2C1C"/>
    <w:rsid w:val="002B3D28"/>
    <w:rsid w:val="002B3D6D"/>
    <w:rsid w:val="002B445F"/>
    <w:rsid w:val="002B4830"/>
    <w:rsid w:val="002B576B"/>
    <w:rsid w:val="002B596D"/>
    <w:rsid w:val="002B59F7"/>
    <w:rsid w:val="002B62C9"/>
    <w:rsid w:val="002B63C2"/>
    <w:rsid w:val="002B6610"/>
    <w:rsid w:val="002B72D0"/>
    <w:rsid w:val="002B7953"/>
    <w:rsid w:val="002C04A4"/>
    <w:rsid w:val="002C0634"/>
    <w:rsid w:val="002C07F8"/>
    <w:rsid w:val="002C0F16"/>
    <w:rsid w:val="002C0F5C"/>
    <w:rsid w:val="002C12D0"/>
    <w:rsid w:val="002C15C3"/>
    <w:rsid w:val="002C1F18"/>
    <w:rsid w:val="002C1F68"/>
    <w:rsid w:val="002C2231"/>
    <w:rsid w:val="002C22F6"/>
    <w:rsid w:val="002C2761"/>
    <w:rsid w:val="002C2812"/>
    <w:rsid w:val="002C2DF2"/>
    <w:rsid w:val="002C3126"/>
    <w:rsid w:val="002C3467"/>
    <w:rsid w:val="002C3761"/>
    <w:rsid w:val="002C39D2"/>
    <w:rsid w:val="002C440C"/>
    <w:rsid w:val="002C46B6"/>
    <w:rsid w:val="002C4C8A"/>
    <w:rsid w:val="002C4D26"/>
    <w:rsid w:val="002C58B3"/>
    <w:rsid w:val="002C5F9D"/>
    <w:rsid w:val="002C6502"/>
    <w:rsid w:val="002C654C"/>
    <w:rsid w:val="002C66F5"/>
    <w:rsid w:val="002C6706"/>
    <w:rsid w:val="002C677F"/>
    <w:rsid w:val="002C6861"/>
    <w:rsid w:val="002C7010"/>
    <w:rsid w:val="002C701C"/>
    <w:rsid w:val="002C7302"/>
    <w:rsid w:val="002C73F5"/>
    <w:rsid w:val="002C74B8"/>
    <w:rsid w:val="002C778B"/>
    <w:rsid w:val="002C7AA2"/>
    <w:rsid w:val="002C7C58"/>
    <w:rsid w:val="002D00DC"/>
    <w:rsid w:val="002D0586"/>
    <w:rsid w:val="002D0965"/>
    <w:rsid w:val="002D1465"/>
    <w:rsid w:val="002D1740"/>
    <w:rsid w:val="002D22FF"/>
    <w:rsid w:val="002D23F7"/>
    <w:rsid w:val="002D24C0"/>
    <w:rsid w:val="002D2602"/>
    <w:rsid w:val="002D2A74"/>
    <w:rsid w:val="002D3012"/>
    <w:rsid w:val="002D3A69"/>
    <w:rsid w:val="002D4BD0"/>
    <w:rsid w:val="002D4D63"/>
    <w:rsid w:val="002D5091"/>
    <w:rsid w:val="002D54E8"/>
    <w:rsid w:val="002D5B7A"/>
    <w:rsid w:val="002D6642"/>
    <w:rsid w:val="002D6D9D"/>
    <w:rsid w:val="002D71C2"/>
    <w:rsid w:val="002D74CF"/>
    <w:rsid w:val="002D757A"/>
    <w:rsid w:val="002D7F3C"/>
    <w:rsid w:val="002E0A60"/>
    <w:rsid w:val="002E1492"/>
    <w:rsid w:val="002E1697"/>
    <w:rsid w:val="002E1B21"/>
    <w:rsid w:val="002E1C00"/>
    <w:rsid w:val="002E2E8D"/>
    <w:rsid w:val="002E3696"/>
    <w:rsid w:val="002E39DB"/>
    <w:rsid w:val="002E503A"/>
    <w:rsid w:val="002E509B"/>
    <w:rsid w:val="002E5486"/>
    <w:rsid w:val="002E5650"/>
    <w:rsid w:val="002E57D6"/>
    <w:rsid w:val="002E5815"/>
    <w:rsid w:val="002E6881"/>
    <w:rsid w:val="002E729F"/>
    <w:rsid w:val="002E7614"/>
    <w:rsid w:val="002E77A6"/>
    <w:rsid w:val="002E7868"/>
    <w:rsid w:val="002F0411"/>
    <w:rsid w:val="002F06DA"/>
    <w:rsid w:val="002F1CB5"/>
    <w:rsid w:val="002F1E99"/>
    <w:rsid w:val="002F1F44"/>
    <w:rsid w:val="002F2013"/>
    <w:rsid w:val="002F2771"/>
    <w:rsid w:val="002F2BD0"/>
    <w:rsid w:val="002F3363"/>
    <w:rsid w:val="002F34EB"/>
    <w:rsid w:val="002F40E9"/>
    <w:rsid w:val="002F43EB"/>
    <w:rsid w:val="002F5261"/>
    <w:rsid w:val="002F5445"/>
    <w:rsid w:val="002F5D44"/>
    <w:rsid w:val="002F5D6E"/>
    <w:rsid w:val="002F5DCD"/>
    <w:rsid w:val="002F66D8"/>
    <w:rsid w:val="002F6D24"/>
    <w:rsid w:val="002F79FD"/>
    <w:rsid w:val="002F7B4E"/>
    <w:rsid w:val="00300203"/>
    <w:rsid w:val="003009D9"/>
    <w:rsid w:val="003017BC"/>
    <w:rsid w:val="00302530"/>
    <w:rsid w:val="00302873"/>
    <w:rsid w:val="00302C8C"/>
    <w:rsid w:val="003030F8"/>
    <w:rsid w:val="00303563"/>
    <w:rsid w:val="003038D9"/>
    <w:rsid w:val="00304004"/>
    <w:rsid w:val="0030401B"/>
    <w:rsid w:val="003042DE"/>
    <w:rsid w:val="003045FC"/>
    <w:rsid w:val="003048F9"/>
    <w:rsid w:val="003048FE"/>
    <w:rsid w:val="00304963"/>
    <w:rsid w:val="00304C4C"/>
    <w:rsid w:val="00304CBD"/>
    <w:rsid w:val="00304D09"/>
    <w:rsid w:val="00304D44"/>
    <w:rsid w:val="00305007"/>
    <w:rsid w:val="00305794"/>
    <w:rsid w:val="0030649A"/>
    <w:rsid w:val="00306A47"/>
    <w:rsid w:val="00307B04"/>
    <w:rsid w:val="00307BFF"/>
    <w:rsid w:val="00307CE4"/>
    <w:rsid w:val="003100C2"/>
    <w:rsid w:val="003101BD"/>
    <w:rsid w:val="00310593"/>
    <w:rsid w:val="00310C9C"/>
    <w:rsid w:val="00310F15"/>
    <w:rsid w:val="00311289"/>
    <w:rsid w:val="003115EF"/>
    <w:rsid w:val="00311C07"/>
    <w:rsid w:val="0031212C"/>
    <w:rsid w:val="00312202"/>
    <w:rsid w:val="003126BD"/>
    <w:rsid w:val="003126CB"/>
    <w:rsid w:val="00312805"/>
    <w:rsid w:val="00312902"/>
    <w:rsid w:val="00312BEA"/>
    <w:rsid w:val="00312C1E"/>
    <w:rsid w:val="003141CC"/>
    <w:rsid w:val="00314620"/>
    <w:rsid w:val="00314CC5"/>
    <w:rsid w:val="00315290"/>
    <w:rsid w:val="0031573E"/>
    <w:rsid w:val="003162F5"/>
    <w:rsid w:val="003166DC"/>
    <w:rsid w:val="00316B66"/>
    <w:rsid w:val="00317131"/>
    <w:rsid w:val="003175C9"/>
    <w:rsid w:val="00320160"/>
    <w:rsid w:val="00320DF6"/>
    <w:rsid w:val="00321660"/>
    <w:rsid w:val="00321878"/>
    <w:rsid w:val="00321F9A"/>
    <w:rsid w:val="00322958"/>
    <w:rsid w:val="003231E5"/>
    <w:rsid w:val="00323245"/>
    <w:rsid w:val="00324585"/>
    <w:rsid w:val="003256A9"/>
    <w:rsid w:val="00325F91"/>
    <w:rsid w:val="003261D7"/>
    <w:rsid w:val="0032635A"/>
    <w:rsid w:val="003265EB"/>
    <w:rsid w:val="003266D2"/>
    <w:rsid w:val="0032673D"/>
    <w:rsid w:val="003269EB"/>
    <w:rsid w:val="00326C23"/>
    <w:rsid w:val="003279E8"/>
    <w:rsid w:val="003303BD"/>
    <w:rsid w:val="00330789"/>
    <w:rsid w:val="00331817"/>
    <w:rsid w:val="00332044"/>
    <w:rsid w:val="003320B7"/>
    <w:rsid w:val="003324BC"/>
    <w:rsid w:val="00332672"/>
    <w:rsid w:val="00333959"/>
    <w:rsid w:val="00334341"/>
    <w:rsid w:val="003351CD"/>
    <w:rsid w:val="0033563F"/>
    <w:rsid w:val="0033572B"/>
    <w:rsid w:val="003361C8"/>
    <w:rsid w:val="003367B9"/>
    <w:rsid w:val="003375C0"/>
    <w:rsid w:val="00337613"/>
    <w:rsid w:val="003379D7"/>
    <w:rsid w:val="003400AC"/>
    <w:rsid w:val="00340203"/>
    <w:rsid w:val="00340642"/>
    <w:rsid w:val="003407F9"/>
    <w:rsid w:val="00340F76"/>
    <w:rsid w:val="003414B0"/>
    <w:rsid w:val="00341AB9"/>
    <w:rsid w:val="00341BC2"/>
    <w:rsid w:val="0034281A"/>
    <w:rsid w:val="00342D84"/>
    <w:rsid w:val="003433C9"/>
    <w:rsid w:val="0034385E"/>
    <w:rsid w:val="00344853"/>
    <w:rsid w:val="00344A4A"/>
    <w:rsid w:val="00344C5C"/>
    <w:rsid w:val="0034502F"/>
    <w:rsid w:val="00345493"/>
    <w:rsid w:val="003456E4"/>
    <w:rsid w:val="003458D3"/>
    <w:rsid w:val="00345DF6"/>
    <w:rsid w:val="00345FB5"/>
    <w:rsid w:val="00346332"/>
    <w:rsid w:val="003468E3"/>
    <w:rsid w:val="0034744C"/>
    <w:rsid w:val="003502E6"/>
    <w:rsid w:val="00350331"/>
    <w:rsid w:val="0035055B"/>
    <w:rsid w:val="0035083F"/>
    <w:rsid w:val="00350888"/>
    <w:rsid w:val="003508B2"/>
    <w:rsid w:val="003514FB"/>
    <w:rsid w:val="003517EE"/>
    <w:rsid w:val="00351B4D"/>
    <w:rsid w:val="00351D6F"/>
    <w:rsid w:val="003528A5"/>
    <w:rsid w:val="00352927"/>
    <w:rsid w:val="00352A79"/>
    <w:rsid w:val="003534DD"/>
    <w:rsid w:val="00353CD9"/>
    <w:rsid w:val="003542B5"/>
    <w:rsid w:val="003546CB"/>
    <w:rsid w:val="00354F68"/>
    <w:rsid w:val="00355072"/>
    <w:rsid w:val="003550E2"/>
    <w:rsid w:val="00355943"/>
    <w:rsid w:val="00355ED3"/>
    <w:rsid w:val="00356E4A"/>
    <w:rsid w:val="00356F08"/>
    <w:rsid w:val="00357666"/>
    <w:rsid w:val="00357F82"/>
    <w:rsid w:val="00360888"/>
    <w:rsid w:val="00360E7A"/>
    <w:rsid w:val="00361314"/>
    <w:rsid w:val="00361555"/>
    <w:rsid w:val="003617C2"/>
    <w:rsid w:val="0036184E"/>
    <w:rsid w:val="003625DB"/>
    <w:rsid w:val="003626BA"/>
    <w:rsid w:val="00363758"/>
    <w:rsid w:val="003639A6"/>
    <w:rsid w:val="00363BFB"/>
    <w:rsid w:val="003640F5"/>
    <w:rsid w:val="003641C1"/>
    <w:rsid w:val="003644F3"/>
    <w:rsid w:val="0036461E"/>
    <w:rsid w:val="003663DE"/>
    <w:rsid w:val="00366887"/>
    <w:rsid w:val="00367339"/>
    <w:rsid w:val="00367357"/>
    <w:rsid w:val="003673BB"/>
    <w:rsid w:val="00367549"/>
    <w:rsid w:val="00367935"/>
    <w:rsid w:val="00367A39"/>
    <w:rsid w:val="00367C5E"/>
    <w:rsid w:val="0037007B"/>
    <w:rsid w:val="00370461"/>
    <w:rsid w:val="00370A12"/>
    <w:rsid w:val="00370C87"/>
    <w:rsid w:val="00370D56"/>
    <w:rsid w:val="0037100C"/>
    <w:rsid w:val="0037140D"/>
    <w:rsid w:val="00371485"/>
    <w:rsid w:val="00371B44"/>
    <w:rsid w:val="00371ECC"/>
    <w:rsid w:val="003721F8"/>
    <w:rsid w:val="003728EF"/>
    <w:rsid w:val="00373346"/>
    <w:rsid w:val="00373656"/>
    <w:rsid w:val="00373D51"/>
    <w:rsid w:val="00374446"/>
    <w:rsid w:val="003746DD"/>
    <w:rsid w:val="003747C9"/>
    <w:rsid w:val="00374AE2"/>
    <w:rsid w:val="00374B2B"/>
    <w:rsid w:val="00374CAC"/>
    <w:rsid w:val="003754C5"/>
    <w:rsid w:val="003754FF"/>
    <w:rsid w:val="003760B5"/>
    <w:rsid w:val="00376467"/>
    <w:rsid w:val="00376A6D"/>
    <w:rsid w:val="00376C54"/>
    <w:rsid w:val="00377822"/>
    <w:rsid w:val="00377927"/>
    <w:rsid w:val="00377CA8"/>
    <w:rsid w:val="00380080"/>
    <w:rsid w:val="003800FB"/>
    <w:rsid w:val="00380A33"/>
    <w:rsid w:val="0038166F"/>
    <w:rsid w:val="0038172A"/>
    <w:rsid w:val="00381764"/>
    <w:rsid w:val="00381799"/>
    <w:rsid w:val="0038203C"/>
    <w:rsid w:val="003820DA"/>
    <w:rsid w:val="00382667"/>
    <w:rsid w:val="003828FE"/>
    <w:rsid w:val="0038334E"/>
    <w:rsid w:val="00383431"/>
    <w:rsid w:val="003837B6"/>
    <w:rsid w:val="00383880"/>
    <w:rsid w:val="00383881"/>
    <w:rsid w:val="00383B29"/>
    <w:rsid w:val="00383D44"/>
    <w:rsid w:val="00384149"/>
    <w:rsid w:val="003841AA"/>
    <w:rsid w:val="00385D22"/>
    <w:rsid w:val="00385F31"/>
    <w:rsid w:val="003868A5"/>
    <w:rsid w:val="00386FDD"/>
    <w:rsid w:val="00387346"/>
    <w:rsid w:val="00387723"/>
    <w:rsid w:val="0038788E"/>
    <w:rsid w:val="00387FC4"/>
    <w:rsid w:val="003900A1"/>
    <w:rsid w:val="003902E6"/>
    <w:rsid w:val="00390C80"/>
    <w:rsid w:val="00390DE5"/>
    <w:rsid w:val="00390FAE"/>
    <w:rsid w:val="003912D4"/>
    <w:rsid w:val="003924EB"/>
    <w:rsid w:val="003929C0"/>
    <w:rsid w:val="003934C1"/>
    <w:rsid w:val="00393F1A"/>
    <w:rsid w:val="0039400B"/>
    <w:rsid w:val="0039532E"/>
    <w:rsid w:val="003955E2"/>
    <w:rsid w:val="003957C0"/>
    <w:rsid w:val="00395FCF"/>
    <w:rsid w:val="00396A62"/>
    <w:rsid w:val="00396AA0"/>
    <w:rsid w:val="00396FA4"/>
    <w:rsid w:val="003972F3"/>
    <w:rsid w:val="003975DC"/>
    <w:rsid w:val="0039765F"/>
    <w:rsid w:val="003976A2"/>
    <w:rsid w:val="003A0640"/>
    <w:rsid w:val="003A0E6F"/>
    <w:rsid w:val="003A17FE"/>
    <w:rsid w:val="003A222C"/>
    <w:rsid w:val="003A255F"/>
    <w:rsid w:val="003A2ADD"/>
    <w:rsid w:val="003A2B13"/>
    <w:rsid w:val="003A2E1F"/>
    <w:rsid w:val="003A3A5E"/>
    <w:rsid w:val="003A425C"/>
    <w:rsid w:val="003A44ED"/>
    <w:rsid w:val="003A45F6"/>
    <w:rsid w:val="003A496D"/>
    <w:rsid w:val="003A4A3F"/>
    <w:rsid w:val="003A4ED6"/>
    <w:rsid w:val="003A5711"/>
    <w:rsid w:val="003A579D"/>
    <w:rsid w:val="003A63D8"/>
    <w:rsid w:val="003A641E"/>
    <w:rsid w:val="003A6583"/>
    <w:rsid w:val="003A6B41"/>
    <w:rsid w:val="003A6CD9"/>
    <w:rsid w:val="003A75E7"/>
    <w:rsid w:val="003A7D30"/>
    <w:rsid w:val="003A7D7A"/>
    <w:rsid w:val="003A7DEE"/>
    <w:rsid w:val="003A7E53"/>
    <w:rsid w:val="003B05A4"/>
    <w:rsid w:val="003B0E9C"/>
    <w:rsid w:val="003B1128"/>
    <w:rsid w:val="003B159E"/>
    <w:rsid w:val="003B1A85"/>
    <w:rsid w:val="003B28BC"/>
    <w:rsid w:val="003B36D8"/>
    <w:rsid w:val="003B4570"/>
    <w:rsid w:val="003B4805"/>
    <w:rsid w:val="003B4A5B"/>
    <w:rsid w:val="003B4BCC"/>
    <w:rsid w:val="003B581F"/>
    <w:rsid w:val="003B5FBE"/>
    <w:rsid w:val="003B6B93"/>
    <w:rsid w:val="003B6CE5"/>
    <w:rsid w:val="003B6D45"/>
    <w:rsid w:val="003B6E2F"/>
    <w:rsid w:val="003B7B22"/>
    <w:rsid w:val="003B7BBF"/>
    <w:rsid w:val="003B7C78"/>
    <w:rsid w:val="003B7CD4"/>
    <w:rsid w:val="003B7F22"/>
    <w:rsid w:val="003C087E"/>
    <w:rsid w:val="003C0C47"/>
    <w:rsid w:val="003C0F64"/>
    <w:rsid w:val="003C1BB9"/>
    <w:rsid w:val="003C2A51"/>
    <w:rsid w:val="003C358D"/>
    <w:rsid w:val="003C38DA"/>
    <w:rsid w:val="003C408D"/>
    <w:rsid w:val="003C4583"/>
    <w:rsid w:val="003C45F9"/>
    <w:rsid w:val="003C5047"/>
    <w:rsid w:val="003C534E"/>
    <w:rsid w:val="003C56DF"/>
    <w:rsid w:val="003C6303"/>
    <w:rsid w:val="003C71B4"/>
    <w:rsid w:val="003C7301"/>
    <w:rsid w:val="003C735B"/>
    <w:rsid w:val="003C7A6E"/>
    <w:rsid w:val="003C7D1C"/>
    <w:rsid w:val="003C7D8E"/>
    <w:rsid w:val="003D00AA"/>
    <w:rsid w:val="003D059A"/>
    <w:rsid w:val="003D1238"/>
    <w:rsid w:val="003D1B38"/>
    <w:rsid w:val="003D1D57"/>
    <w:rsid w:val="003D1F6C"/>
    <w:rsid w:val="003D2896"/>
    <w:rsid w:val="003D2AD0"/>
    <w:rsid w:val="003D2B21"/>
    <w:rsid w:val="003D2F3F"/>
    <w:rsid w:val="003D3470"/>
    <w:rsid w:val="003D35BF"/>
    <w:rsid w:val="003D40D0"/>
    <w:rsid w:val="003D5506"/>
    <w:rsid w:val="003D5CC9"/>
    <w:rsid w:val="003D6212"/>
    <w:rsid w:val="003D6301"/>
    <w:rsid w:val="003D743A"/>
    <w:rsid w:val="003D7801"/>
    <w:rsid w:val="003D7EC5"/>
    <w:rsid w:val="003E01DE"/>
    <w:rsid w:val="003E0813"/>
    <w:rsid w:val="003E0DCC"/>
    <w:rsid w:val="003E0EAE"/>
    <w:rsid w:val="003E19FC"/>
    <w:rsid w:val="003E1A74"/>
    <w:rsid w:val="003E1D8B"/>
    <w:rsid w:val="003E1D9E"/>
    <w:rsid w:val="003E2B19"/>
    <w:rsid w:val="003E322D"/>
    <w:rsid w:val="003E386F"/>
    <w:rsid w:val="003E3A5B"/>
    <w:rsid w:val="003E47B9"/>
    <w:rsid w:val="003E48CA"/>
    <w:rsid w:val="003E4C84"/>
    <w:rsid w:val="003E51BA"/>
    <w:rsid w:val="003E5789"/>
    <w:rsid w:val="003E57AA"/>
    <w:rsid w:val="003E68A4"/>
    <w:rsid w:val="003E6A71"/>
    <w:rsid w:val="003E77A8"/>
    <w:rsid w:val="003F00C4"/>
    <w:rsid w:val="003F0513"/>
    <w:rsid w:val="003F0978"/>
    <w:rsid w:val="003F0DC9"/>
    <w:rsid w:val="003F104A"/>
    <w:rsid w:val="003F105D"/>
    <w:rsid w:val="003F1236"/>
    <w:rsid w:val="003F1843"/>
    <w:rsid w:val="003F185E"/>
    <w:rsid w:val="003F232F"/>
    <w:rsid w:val="003F2754"/>
    <w:rsid w:val="003F2E09"/>
    <w:rsid w:val="003F375B"/>
    <w:rsid w:val="003F378E"/>
    <w:rsid w:val="003F37EE"/>
    <w:rsid w:val="003F439F"/>
    <w:rsid w:val="003F482B"/>
    <w:rsid w:val="003F5884"/>
    <w:rsid w:val="003F5CA8"/>
    <w:rsid w:val="003F6A6D"/>
    <w:rsid w:val="003F6B2E"/>
    <w:rsid w:val="003F6DB2"/>
    <w:rsid w:val="003F719F"/>
    <w:rsid w:val="003F7677"/>
    <w:rsid w:val="003F775B"/>
    <w:rsid w:val="003F7A6B"/>
    <w:rsid w:val="003F7ADE"/>
    <w:rsid w:val="00400E8A"/>
    <w:rsid w:val="004015F3"/>
    <w:rsid w:val="00401BBF"/>
    <w:rsid w:val="00401E4A"/>
    <w:rsid w:val="0040222E"/>
    <w:rsid w:val="00402533"/>
    <w:rsid w:val="00402652"/>
    <w:rsid w:val="0040277F"/>
    <w:rsid w:val="00403109"/>
    <w:rsid w:val="004031C9"/>
    <w:rsid w:val="00403449"/>
    <w:rsid w:val="00403544"/>
    <w:rsid w:val="00403AA9"/>
    <w:rsid w:val="00404847"/>
    <w:rsid w:val="00404894"/>
    <w:rsid w:val="004048C5"/>
    <w:rsid w:val="00405188"/>
    <w:rsid w:val="004051D4"/>
    <w:rsid w:val="0040520A"/>
    <w:rsid w:val="004052F4"/>
    <w:rsid w:val="004055AF"/>
    <w:rsid w:val="00405669"/>
    <w:rsid w:val="0040571F"/>
    <w:rsid w:val="00405BF8"/>
    <w:rsid w:val="00405C9C"/>
    <w:rsid w:val="00405F35"/>
    <w:rsid w:val="004066ED"/>
    <w:rsid w:val="004067E3"/>
    <w:rsid w:val="00406AA7"/>
    <w:rsid w:val="00406B43"/>
    <w:rsid w:val="00406DBC"/>
    <w:rsid w:val="00406E36"/>
    <w:rsid w:val="00407503"/>
    <w:rsid w:val="0040757F"/>
    <w:rsid w:val="00407E1F"/>
    <w:rsid w:val="00411495"/>
    <w:rsid w:val="004114A7"/>
    <w:rsid w:val="004116D2"/>
    <w:rsid w:val="004117AB"/>
    <w:rsid w:val="0041243A"/>
    <w:rsid w:val="00412532"/>
    <w:rsid w:val="004127A0"/>
    <w:rsid w:val="00412839"/>
    <w:rsid w:val="00412C72"/>
    <w:rsid w:val="00413881"/>
    <w:rsid w:val="00413DD3"/>
    <w:rsid w:val="00413F2E"/>
    <w:rsid w:val="004144E6"/>
    <w:rsid w:val="00414591"/>
    <w:rsid w:val="004149C1"/>
    <w:rsid w:val="00414DCF"/>
    <w:rsid w:val="00414EAF"/>
    <w:rsid w:val="00414EB2"/>
    <w:rsid w:val="00415161"/>
    <w:rsid w:val="004153A7"/>
    <w:rsid w:val="004154D0"/>
    <w:rsid w:val="004158C7"/>
    <w:rsid w:val="00415B14"/>
    <w:rsid w:val="004160E7"/>
    <w:rsid w:val="004163A2"/>
    <w:rsid w:val="00416C6B"/>
    <w:rsid w:val="00416D1A"/>
    <w:rsid w:val="0041760F"/>
    <w:rsid w:val="00417C3A"/>
    <w:rsid w:val="004203CA"/>
    <w:rsid w:val="0042054F"/>
    <w:rsid w:val="0042056D"/>
    <w:rsid w:val="0042095C"/>
    <w:rsid w:val="00421190"/>
    <w:rsid w:val="0042188B"/>
    <w:rsid w:val="00421A7B"/>
    <w:rsid w:val="004220BD"/>
    <w:rsid w:val="0042215C"/>
    <w:rsid w:val="00422291"/>
    <w:rsid w:val="0042288D"/>
    <w:rsid w:val="00422938"/>
    <w:rsid w:val="00422BB4"/>
    <w:rsid w:val="00422E5E"/>
    <w:rsid w:val="0042314F"/>
    <w:rsid w:val="004234F7"/>
    <w:rsid w:val="00423838"/>
    <w:rsid w:val="00423B05"/>
    <w:rsid w:val="00423C5D"/>
    <w:rsid w:val="00424398"/>
    <w:rsid w:val="00424DF8"/>
    <w:rsid w:val="004256EB"/>
    <w:rsid w:val="00425A7C"/>
    <w:rsid w:val="00425C7F"/>
    <w:rsid w:val="0042668C"/>
    <w:rsid w:val="004269C3"/>
    <w:rsid w:val="00426BCC"/>
    <w:rsid w:val="00426E00"/>
    <w:rsid w:val="00430113"/>
    <w:rsid w:val="004303B0"/>
    <w:rsid w:val="004304F3"/>
    <w:rsid w:val="00430942"/>
    <w:rsid w:val="00430A73"/>
    <w:rsid w:val="00430FAB"/>
    <w:rsid w:val="00431D7E"/>
    <w:rsid w:val="00431EEC"/>
    <w:rsid w:val="0043200A"/>
    <w:rsid w:val="00432097"/>
    <w:rsid w:val="00432FD9"/>
    <w:rsid w:val="00433318"/>
    <w:rsid w:val="00433623"/>
    <w:rsid w:val="00433BBD"/>
    <w:rsid w:val="00433C7B"/>
    <w:rsid w:val="00433D3A"/>
    <w:rsid w:val="00434582"/>
    <w:rsid w:val="00434744"/>
    <w:rsid w:val="004353A1"/>
    <w:rsid w:val="00435648"/>
    <w:rsid w:val="00435E13"/>
    <w:rsid w:val="00436190"/>
    <w:rsid w:val="00436B9D"/>
    <w:rsid w:val="00436C90"/>
    <w:rsid w:val="0043760D"/>
    <w:rsid w:val="004379A3"/>
    <w:rsid w:val="00437B29"/>
    <w:rsid w:val="00437CB9"/>
    <w:rsid w:val="004407B0"/>
    <w:rsid w:val="00440B60"/>
    <w:rsid w:val="004410EF"/>
    <w:rsid w:val="0044155C"/>
    <w:rsid w:val="00441ADC"/>
    <w:rsid w:val="00441C7B"/>
    <w:rsid w:val="00441D0D"/>
    <w:rsid w:val="00441DCC"/>
    <w:rsid w:val="00441F81"/>
    <w:rsid w:val="00442281"/>
    <w:rsid w:val="004426E2"/>
    <w:rsid w:val="00443146"/>
    <w:rsid w:val="00443260"/>
    <w:rsid w:val="004437E4"/>
    <w:rsid w:val="00443C13"/>
    <w:rsid w:val="00444881"/>
    <w:rsid w:val="00444A62"/>
    <w:rsid w:val="00444A7B"/>
    <w:rsid w:val="00444BE4"/>
    <w:rsid w:val="00444E7D"/>
    <w:rsid w:val="00445007"/>
    <w:rsid w:val="0044567D"/>
    <w:rsid w:val="00445935"/>
    <w:rsid w:val="00445DDA"/>
    <w:rsid w:val="00445FA1"/>
    <w:rsid w:val="0044615A"/>
    <w:rsid w:val="0044668B"/>
    <w:rsid w:val="00446AA4"/>
    <w:rsid w:val="00447035"/>
    <w:rsid w:val="0044715A"/>
    <w:rsid w:val="00447346"/>
    <w:rsid w:val="00450550"/>
    <w:rsid w:val="00450553"/>
    <w:rsid w:val="004506F1"/>
    <w:rsid w:val="0045080E"/>
    <w:rsid w:val="00450C14"/>
    <w:rsid w:val="00450F04"/>
    <w:rsid w:val="00451127"/>
    <w:rsid w:val="0045176A"/>
    <w:rsid w:val="00451878"/>
    <w:rsid w:val="00451998"/>
    <w:rsid w:val="00452247"/>
    <w:rsid w:val="00452874"/>
    <w:rsid w:val="004530E0"/>
    <w:rsid w:val="00453C3A"/>
    <w:rsid w:val="00453D45"/>
    <w:rsid w:val="00453ECF"/>
    <w:rsid w:val="00453F34"/>
    <w:rsid w:val="00454095"/>
    <w:rsid w:val="004546B7"/>
    <w:rsid w:val="00454DBE"/>
    <w:rsid w:val="00454DFE"/>
    <w:rsid w:val="00454EE4"/>
    <w:rsid w:val="004556C0"/>
    <w:rsid w:val="00455EBA"/>
    <w:rsid w:val="00456DD8"/>
    <w:rsid w:val="00457081"/>
    <w:rsid w:val="00457188"/>
    <w:rsid w:val="004573B0"/>
    <w:rsid w:val="00457AD4"/>
    <w:rsid w:val="00457F9A"/>
    <w:rsid w:val="004610D7"/>
    <w:rsid w:val="00461565"/>
    <w:rsid w:val="00461A2F"/>
    <w:rsid w:val="00462500"/>
    <w:rsid w:val="00462CBB"/>
    <w:rsid w:val="00462CF0"/>
    <w:rsid w:val="004630EC"/>
    <w:rsid w:val="00463245"/>
    <w:rsid w:val="0046352F"/>
    <w:rsid w:val="00463B58"/>
    <w:rsid w:val="00464277"/>
    <w:rsid w:val="004643B7"/>
    <w:rsid w:val="0046455A"/>
    <w:rsid w:val="00464905"/>
    <w:rsid w:val="004656D1"/>
    <w:rsid w:val="0046571C"/>
    <w:rsid w:val="00465E7A"/>
    <w:rsid w:val="00465ECC"/>
    <w:rsid w:val="00465EFF"/>
    <w:rsid w:val="00465F8E"/>
    <w:rsid w:val="00467562"/>
    <w:rsid w:val="00467A49"/>
    <w:rsid w:val="00467C4B"/>
    <w:rsid w:val="004705E4"/>
    <w:rsid w:val="00470773"/>
    <w:rsid w:val="004709E0"/>
    <w:rsid w:val="00470C18"/>
    <w:rsid w:val="00471462"/>
    <w:rsid w:val="00471522"/>
    <w:rsid w:val="00471DC8"/>
    <w:rsid w:val="00471FB0"/>
    <w:rsid w:val="004727B1"/>
    <w:rsid w:val="00473189"/>
    <w:rsid w:val="004732F5"/>
    <w:rsid w:val="004735F1"/>
    <w:rsid w:val="00473777"/>
    <w:rsid w:val="00474B2C"/>
    <w:rsid w:val="00474D74"/>
    <w:rsid w:val="004752D4"/>
    <w:rsid w:val="0047569E"/>
    <w:rsid w:val="00475830"/>
    <w:rsid w:val="00476513"/>
    <w:rsid w:val="004768AE"/>
    <w:rsid w:val="00477136"/>
    <w:rsid w:val="00477A9E"/>
    <w:rsid w:val="00477AC1"/>
    <w:rsid w:val="00477B88"/>
    <w:rsid w:val="00480515"/>
    <w:rsid w:val="004806C2"/>
    <w:rsid w:val="00480836"/>
    <w:rsid w:val="00481064"/>
    <w:rsid w:val="00481355"/>
    <w:rsid w:val="00481DC1"/>
    <w:rsid w:val="004824A6"/>
    <w:rsid w:val="0048356B"/>
    <w:rsid w:val="004849D9"/>
    <w:rsid w:val="00484D3D"/>
    <w:rsid w:val="0048582F"/>
    <w:rsid w:val="00485A3C"/>
    <w:rsid w:val="00485CDE"/>
    <w:rsid w:val="00485D3C"/>
    <w:rsid w:val="00486516"/>
    <w:rsid w:val="0048682F"/>
    <w:rsid w:val="0048748D"/>
    <w:rsid w:val="004875FB"/>
    <w:rsid w:val="0048790B"/>
    <w:rsid w:val="00487C01"/>
    <w:rsid w:val="00487F09"/>
    <w:rsid w:val="004904C8"/>
    <w:rsid w:val="00490747"/>
    <w:rsid w:val="004909F6"/>
    <w:rsid w:val="00490AC7"/>
    <w:rsid w:val="004917FE"/>
    <w:rsid w:val="004924D6"/>
    <w:rsid w:val="0049254C"/>
    <w:rsid w:val="00492617"/>
    <w:rsid w:val="004928D1"/>
    <w:rsid w:val="00492B03"/>
    <w:rsid w:val="004934D4"/>
    <w:rsid w:val="004937E9"/>
    <w:rsid w:val="00493998"/>
    <w:rsid w:val="00493AFE"/>
    <w:rsid w:val="00494798"/>
    <w:rsid w:val="00494A53"/>
    <w:rsid w:val="00494EAA"/>
    <w:rsid w:val="00494F31"/>
    <w:rsid w:val="004955E6"/>
    <w:rsid w:val="0049649B"/>
    <w:rsid w:val="004969B1"/>
    <w:rsid w:val="00496D64"/>
    <w:rsid w:val="00497789"/>
    <w:rsid w:val="00497A44"/>
    <w:rsid w:val="00497E7C"/>
    <w:rsid w:val="004A0031"/>
    <w:rsid w:val="004A08F7"/>
    <w:rsid w:val="004A0C3C"/>
    <w:rsid w:val="004A0F3E"/>
    <w:rsid w:val="004A10D9"/>
    <w:rsid w:val="004A10E1"/>
    <w:rsid w:val="004A1576"/>
    <w:rsid w:val="004A1603"/>
    <w:rsid w:val="004A1DC4"/>
    <w:rsid w:val="004A2060"/>
    <w:rsid w:val="004A2308"/>
    <w:rsid w:val="004A2D00"/>
    <w:rsid w:val="004A30A7"/>
    <w:rsid w:val="004A3104"/>
    <w:rsid w:val="004A3BAB"/>
    <w:rsid w:val="004A47B8"/>
    <w:rsid w:val="004A4D4D"/>
    <w:rsid w:val="004A4EEA"/>
    <w:rsid w:val="004A56FA"/>
    <w:rsid w:val="004A597E"/>
    <w:rsid w:val="004A5A51"/>
    <w:rsid w:val="004A5D10"/>
    <w:rsid w:val="004A678A"/>
    <w:rsid w:val="004A7C54"/>
    <w:rsid w:val="004B01E4"/>
    <w:rsid w:val="004B1A17"/>
    <w:rsid w:val="004B2ADC"/>
    <w:rsid w:val="004B30B3"/>
    <w:rsid w:val="004B33C3"/>
    <w:rsid w:val="004B38CE"/>
    <w:rsid w:val="004B3CC1"/>
    <w:rsid w:val="004B3DE2"/>
    <w:rsid w:val="004B48D7"/>
    <w:rsid w:val="004B48F8"/>
    <w:rsid w:val="004B4D7B"/>
    <w:rsid w:val="004B51A0"/>
    <w:rsid w:val="004B583A"/>
    <w:rsid w:val="004B5D21"/>
    <w:rsid w:val="004B5D41"/>
    <w:rsid w:val="004B6373"/>
    <w:rsid w:val="004B6B16"/>
    <w:rsid w:val="004B712C"/>
    <w:rsid w:val="004B7515"/>
    <w:rsid w:val="004B7601"/>
    <w:rsid w:val="004B7732"/>
    <w:rsid w:val="004B77CD"/>
    <w:rsid w:val="004C03C8"/>
    <w:rsid w:val="004C12B9"/>
    <w:rsid w:val="004C15C5"/>
    <w:rsid w:val="004C1A9A"/>
    <w:rsid w:val="004C1C4F"/>
    <w:rsid w:val="004C2DCF"/>
    <w:rsid w:val="004C2F39"/>
    <w:rsid w:val="004C2FE3"/>
    <w:rsid w:val="004C2FE6"/>
    <w:rsid w:val="004C31B2"/>
    <w:rsid w:val="004C3649"/>
    <w:rsid w:val="004C390D"/>
    <w:rsid w:val="004C3BDF"/>
    <w:rsid w:val="004C4037"/>
    <w:rsid w:val="004C45AA"/>
    <w:rsid w:val="004C4FED"/>
    <w:rsid w:val="004C517A"/>
    <w:rsid w:val="004C5654"/>
    <w:rsid w:val="004C57E3"/>
    <w:rsid w:val="004C6245"/>
    <w:rsid w:val="004C6C6D"/>
    <w:rsid w:val="004C7388"/>
    <w:rsid w:val="004C74F1"/>
    <w:rsid w:val="004C7E05"/>
    <w:rsid w:val="004D0093"/>
    <w:rsid w:val="004D009E"/>
    <w:rsid w:val="004D0551"/>
    <w:rsid w:val="004D0B8E"/>
    <w:rsid w:val="004D1412"/>
    <w:rsid w:val="004D1EF5"/>
    <w:rsid w:val="004D2248"/>
    <w:rsid w:val="004D23FE"/>
    <w:rsid w:val="004D25BB"/>
    <w:rsid w:val="004D283D"/>
    <w:rsid w:val="004D3107"/>
    <w:rsid w:val="004D36CD"/>
    <w:rsid w:val="004D3C37"/>
    <w:rsid w:val="004D3DD2"/>
    <w:rsid w:val="004D3FB6"/>
    <w:rsid w:val="004D4C46"/>
    <w:rsid w:val="004D4E1E"/>
    <w:rsid w:val="004D53C5"/>
    <w:rsid w:val="004D55A5"/>
    <w:rsid w:val="004D5A2E"/>
    <w:rsid w:val="004D6142"/>
    <w:rsid w:val="004D6374"/>
    <w:rsid w:val="004D650F"/>
    <w:rsid w:val="004D6882"/>
    <w:rsid w:val="004D6977"/>
    <w:rsid w:val="004D6B79"/>
    <w:rsid w:val="004D707A"/>
    <w:rsid w:val="004E00B0"/>
    <w:rsid w:val="004E00BA"/>
    <w:rsid w:val="004E00D9"/>
    <w:rsid w:val="004E05E7"/>
    <w:rsid w:val="004E08CF"/>
    <w:rsid w:val="004E0999"/>
    <w:rsid w:val="004E0D91"/>
    <w:rsid w:val="004E1449"/>
    <w:rsid w:val="004E1504"/>
    <w:rsid w:val="004E1838"/>
    <w:rsid w:val="004E262A"/>
    <w:rsid w:val="004E29CF"/>
    <w:rsid w:val="004E2C7E"/>
    <w:rsid w:val="004E2D8F"/>
    <w:rsid w:val="004E34D3"/>
    <w:rsid w:val="004E3601"/>
    <w:rsid w:val="004E3C6E"/>
    <w:rsid w:val="004E3DF5"/>
    <w:rsid w:val="004E405B"/>
    <w:rsid w:val="004E58A6"/>
    <w:rsid w:val="004E6757"/>
    <w:rsid w:val="004E68B7"/>
    <w:rsid w:val="004E6D0C"/>
    <w:rsid w:val="004E719B"/>
    <w:rsid w:val="004E769C"/>
    <w:rsid w:val="004E793E"/>
    <w:rsid w:val="004E7B09"/>
    <w:rsid w:val="004F0331"/>
    <w:rsid w:val="004F087D"/>
    <w:rsid w:val="004F08F0"/>
    <w:rsid w:val="004F0B3A"/>
    <w:rsid w:val="004F0B5B"/>
    <w:rsid w:val="004F0D8C"/>
    <w:rsid w:val="004F0D9D"/>
    <w:rsid w:val="004F0EF5"/>
    <w:rsid w:val="004F0FDB"/>
    <w:rsid w:val="004F1408"/>
    <w:rsid w:val="004F18E6"/>
    <w:rsid w:val="004F2BB7"/>
    <w:rsid w:val="004F2BFE"/>
    <w:rsid w:val="004F31C4"/>
    <w:rsid w:val="004F4208"/>
    <w:rsid w:val="004F475C"/>
    <w:rsid w:val="004F4CA4"/>
    <w:rsid w:val="004F4E71"/>
    <w:rsid w:val="004F6140"/>
    <w:rsid w:val="004F64AA"/>
    <w:rsid w:val="004F6923"/>
    <w:rsid w:val="004F6B12"/>
    <w:rsid w:val="004F7269"/>
    <w:rsid w:val="004F72A2"/>
    <w:rsid w:val="00500206"/>
    <w:rsid w:val="00500337"/>
    <w:rsid w:val="00500872"/>
    <w:rsid w:val="00501137"/>
    <w:rsid w:val="005013FB"/>
    <w:rsid w:val="00501B23"/>
    <w:rsid w:val="00502313"/>
    <w:rsid w:val="00502500"/>
    <w:rsid w:val="00502923"/>
    <w:rsid w:val="005029A5"/>
    <w:rsid w:val="00502DDB"/>
    <w:rsid w:val="00503EF1"/>
    <w:rsid w:val="00504958"/>
    <w:rsid w:val="00504D95"/>
    <w:rsid w:val="005050DF"/>
    <w:rsid w:val="005051B7"/>
    <w:rsid w:val="00505D3A"/>
    <w:rsid w:val="0050664B"/>
    <w:rsid w:val="00507121"/>
    <w:rsid w:val="0050728E"/>
    <w:rsid w:val="0050730D"/>
    <w:rsid w:val="00507569"/>
    <w:rsid w:val="00507F1D"/>
    <w:rsid w:val="005100C6"/>
    <w:rsid w:val="005100EB"/>
    <w:rsid w:val="005115E2"/>
    <w:rsid w:val="00511735"/>
    <w:rsid w:val="00512112"/>
    <w:rsid w:val="00513728"/>
    <w:rsid w:val="00513CEF"/>
    <w:rsid w:val="00513EE2"/>
    <w:rsid w:val="00514004"/>
    <w:rsid w:val="0051435F"/>
    <w:rsid w:val="005149FC"/>
    <w:rsid w:val="00515393"/>
    <w:rsid w:val="00515460"/>
    <w:rsid w:val="005158C5"/>
    <w:rsid w:val="00515E37"/>
    <w:rsid w:val="00516055"/>
    <w:rsid w:val="005161FA"/>
    <w:rsid w:val="005164F2"/>
    <w:rsid w:val="00516B14"/>
    <w:rsid w:val="00516CAF"/>
    <w:rsid w:val="00516E92"/>
    <w:rsid w:val="0051751D"/>
    <w:rsid w:val="00517808"/>
    <w:rsid w:val="005179ED"/>
    <w:rsid w:val="00517B66"/>
    <w:rsid w:val="00517B69"/>
    <w:rsid w:val="00517CF8"/>
    <w:rsid w:val="00517E60"/>
    <w:rsid w:val="00520404"/>
    <w:rsid w:val="0052066C"/>
    <w:rsid w:val="00520B8D"/>
    <w:rsid w:val="00520BC3"/>
    <w:rsid w:val="00520D4B"/>
    <w:rsid w:val="0052103E"/>
    <w:rsid w:val="00521722"/>
    <w:rsid w:val="00521765"/>
    <w:rsid w:val="0052192E"/>
    <w:rsid w:val="00521942"/>
    <w:rsid w:val="00521CFC"/>
    <w:rsid w:val="00521E9B"/>
    <w:rsid w:val="005221A7"/>
    <w:rsid w:val="005228CC"/>
    <w:rsid w:val="00522C0C"/>
    <w:rsid w:val="00523165"/>
    <w:rsid w:val="005236CF"/>
    <w:rsid w:val="00523982"/>
    <w:rsid w:val="00524641"/>
    <w:rsid w:val="00524C5A"/>
    <w:rsid w:val="005252E8"/>
    <w:rsid w:val="00525907"/>
    <w:rsid w:val="00525A37"/>
    <w:rsid w:val="00525B7A"/>
    <w:rsid w:val="00525CA8"/>
    <w:rsid w:val="00525DD1"/>
    <w:rsid w:val="00525EEF"/>
    <w:rsid w:val="00526652"/>
    <w:rsid w:val="00526D3E"/>
    <w:rsid w:val="00527174"/>
    <w:rsid w:val="005272AD"/>
    <w:rsid w:val="00527A42"/>
    <w:rsid w:val="00527C4A"/>
    <w:rsid w:val="00530293"/>
    <w:rsid w:val="00530394"/>
    <w:rsid w:val="0053127E"/>
    <w:rsid w:val="005313F9"/>
    <w:rsid w:val="00531ABC"/>
    <w:rsid w:val="00531C86"/>
    <w:rsid w:val="00532015"/>
    <w:rsid w:val="00532CD3"/>
    <w:rsid w:val="00532FE1"/>
    <w:rsid w:val="00533629"/>
    <w:rsid w:val="005337E4"/>
    <w:rsid w:val="005339C7"/>
    <w:rsid w:val="00533B57"/>
    <w:rsid w:val="0053426C"/>
    <w:rsid w:val="00534AC2"/>
    <w:rsid w:val="00534D0E"/>
    <w:rsid w:val="00534F6F"/>
    <w:rsid w:val="005353BA"/>
    <w:rsid w:val="005359A6"/>
    <w:rsid w:val="00536CC9"/>
    <w:rsid w:val="00536E45"/>
    <w:rsid w:val="00536F48"/>
    <w:rsid w:val="00537612"/>
    <w:rsid w:val="00537695"/>
    <w:rsid w:val="00537CC2"/>
    <w:rsid w:val="005404D3"/>
    <w:rsid w:val="0054051E"/>
    <w:rsid w:val="0054061B"/>
    <w:rsid w:val="00540C14"/>
    <w:rsid w:val="00541530"/>
    <w:rsid w:val="00541B61"/>
    <w:rsid w:val="00541C2A"/>
    <w:rsid w:val="00541C93"/>
    <w:rsid w:val="00541F6F"/>
    <w:rsid w:val="0054202E"/>
    <w:rsid w:val="00542576"/>
    <w:rsid w:val="005426F4"/>
    <w:rsid w:val="00542BD7"/>
    <w:rsid w:val="00543449"/>
    <w:rsid w:val="00543674"/>
    <w:rsid w:val="00544000"/>
    <w:rsid w:val="005443AC"/>
    <w:rsid w:val="005443F6"/>
    <w:rsid w:val="00545017"/>
    <w:rsid w:val="00545AB9"/>
    <w:rsid w:val="00545E8E"/>
    <w:rsid w:val="005460BB"/>
    <w:rsid w:val="005462C6"/>
    <w:rsid w:val="0054641D"/>
    <w:rsid w:val="0054644C"/>
    <w:rsid w:val="0054707F"/>
    <w:rsid w:val="005474E4"/>
    <w:rsid w:val="005477D4"/>
    <w:rsid w:val="005479FB"/>
    <w:rsid w:val="00547EEF"/>
    <w:rsid w:val="00550977"/>
    <w:rsid w:val="005511E1"/>
    <w:rsid w:val="0055151B"/>
    <w:rsid w:val="005520F0"/>
    <w:rsid w:val="00552629"/>
    <w:rsid w:val="0055278B"/>
    <w:rsid w:val="005529B4"/>
    <w:rsid w:val="00552C32"/>
    <w:rsid w:val="005538C5"/>
    <w:rsid w:val="00553B68"/>
    <w:rsid w:val="00553D1E"/>
    <w:rsid w:val="00554162"/>
    <w:rsid w:val="00554BFA"/>
    <w:rsid w:val="005551C8"/>
    <w:rsid w:val="005551CC"/>
    <w:rsid w:val="00555368"/>
    <w:rsid w:val="0055556D"/>
    <w:rsid w:val="005557AB"/>
    <w:rsid w:val="00555808"/>
    <w:rsid w:val="005564EF"/>
    <w:rsid w:val="00556784"/>
    <w:rsid w:val="00556E17"/>
    <w:rsid w:val="00556EF0"/>
    <w:rsid w:val="00556F9B"/>
    <w:rsid w:val="0055709A"/>
    <w:rsid w:val="0055730C"/>
    <w:rsid w:val="005574D4"/>
    <w:rsid w:val="00557548"/>
    <w:rsid w:val="00557C0D"/>
    <w:rsid w:val="00560090"/>
    <w:rsid w:val="00560370"/>
    <w:rsid w:val="00560A25"/>
    <w:rsid w:val="00560B45"/>
    <w:rsid w:val="0056119E"/>
    <w:rsid w:val="00561B4B"/>
    <w:rsid w:val="00561B91"/>
    <w:rsid w:val="00561D56"/>
    <w:rsid w:val="00561E8B"/>
    <w:rsid w:val="00562057"/>
    <w:rsid w:val="005622D8"/>
    <w:rsid w:val="0056234C"/>
    <w:rsid w:val="005639D3"/>
    <w:rsid w:val="00563E17"/>
    <w:rsid w:val="0056400A"/>
    <w:rsid w:val="00564209"/>
    <w:rsid w:val="00564264"/>
    <w:rsid w:val="00564485"/>
    <w:rsid w:val="005645BD"/>
    <w:rsid w:val="005649C1"/>
    <w:rsid w:val="00564AB9"/>
    <w:rsid w:val="005659C2"/>
    <w:rsid w:val="00565A21"/>
    <w:rsid w:val="00566EA0"/>
    <w:rsid w:val="00566F90"/>
    <w:rsid w:val="00567201"/>
    <w:rsid w:val="0056726F"/>
    <w:rsid w:val="005675AB"/>
    <w:rsid w:val="00567CE0"/>
    <w:rsid w:val="00567F01"/>
    <w:rsid w:val="00567F91"/>
    <w:rsid w:val="005701A0"/>
    <w:rsid w:val="005708A4"/>
    <w:rsid w:val="005711A8"/>
    <w:rsid w:val="00571275"/>
    <w:rsid w:val="005715E6"/>
    <w:rsid w:val="00571A6C"/>
    <w:rsid w:val="00571B99"/>
    <w:rsid w:val="00571C97"/>
    <w:rsid w:val="005722BE"/>
    <w:rsid w:val="0057242F"/>
    <w:rsid w:val="00572586"/>
    <w:rsid w:val="005725D2"/>
    <w:rsid w:val="00572BE3"/>
    <w:rsid w:val="005732DA"/>
    <w:rsid w:val="0057405D"/>
    <w:rsid w:val="0057406B"/>
    <w:rsid w:val="005746C3"/>
    <w:rsid w:val="00574868"/>
    <w:rsid w:val="00574951"/>
    <w:rsid w:val="00574E82"/>
    <w:rsid w:val="0057527E"/>
    <w:rsid w:val="005758D6"/>
    <w:rsid w:val="005758DD"/>
    <w:rsid w:val="005758EC"/>
    <w:rsid w:val="00576BA0"/>
    <w:rsid w:val="00576F15"/>
    <w:rsid w:val="005771C4"/>
    <w:rsid w:val="005772F3"/>
    <w:rsid w:val="00577C33"/>
    <w:rsid w:val="00577E88"/>
    <w:rsid w:val="00580842"/>
    <w:rsid w:val="00581659"/>
    <w:rsid w:val="005826D1"/>
    <w:rsid w:val="0058291E"/>
    <w:rsid w:val="00582944"/>
    <w:rsid w:val="00582CBD"/>
    <w:rsid w:val="0058389B"/>
    <w:rsid w:val="00585405"/>
    <w:rsid w:val="0058589D"/>
    <w:rsid w:val="00585A7F"/>
    <w:rsid w:val="00585CFD"/>
    <w:rsid w:val="00586920"/>
    <w:rsid w:val="00586EB7"/>
    <w:rsid w:val="005872C8"/>
    <w:rsid w:val="005878B7"/>
    <w:rsid w:val="00590270"/>
    <w:rsid w:val="005906DB"/>
    <w:rsid w:val="0059103D"/>
    <w:rsid w:val="005910D9"/>
    <w:rsid w:val="005915DB"/>
    <w:rsid w:val="005915FA"/>
    <w:rsid w:val="005918AC"/>
    <w:rsid w:val="00591BD6"/>
    <w:rsid w:val="005921DF"/>
    <w:rsid w:val="00592487"/>
    <w:rsid w:val="005925C6"/>
    <w:rsid w:val="00592625"/>
    <w:rsid w:val="00592A63"/>
    <w:rsid w:val="0059312A"/>
    <w:rsid w:val="0059360A"/>
    <w:rsid w:val="0059361A"/>
    <w:rsid w:val="00594739"/>
    <w:rsid w:val="005953B4"/>
    <w:rsid w:val="00595A2B"/>
    <w:rsid w:val="00595C7F"/>
    <w:rsid w:val="005968F1"/>
    <w:rsid w:val="005969D1"/>
    <w:rsid w:val="00596AF1"/>
    <w:rsid w:val="00596BB0"/>
    <w:rsid w:val="005972F1"/>
    <w:rsid w:val="005975D4"/>
    <w:rsid w:val="00597F0E"/>
    <w:rsid w:val="005A009B"/>
    <w:rsid w:val="005A0387"/>
    <w:rsid w:val="005A03D6"/>
    <w:rsid w:val="005A09A5"/>
    <w:rsid w:val="005A0B1E"/>
    <w:rsid w:val="005A0CE9"/>
    <w:rsid w:val="005A1382"/>
    <w:rsid w:val="005A1AF1"/>
    <w:rsid w:val="005A272D"/>
    <w:rsid w:val="005A2849"/>
    <w:rsid w:val="005A2D36"/>
    <w:rsid w:val="005A357A"/>
    <w:rsid w:val="005A365B"/>
    <w:rsid w:val="005A3900"/>
    <w:rsid w:val="005A475F"/>
    <w:rsid w:val="005A554E"/>
    <w:rsid w:val="005A561D"/>
    <w:rsid w:val="005A5926"/>
    <w:rsid w:val="005A59A1"/>
    <w:rsid w:val="005A5ACF"/>
    <w:rsid w:val="005A5FFD"/>
    <w:rsid w:val="005A62B1"/>
    <w:rsid w:val="005A64CC"/>
    <w:rsid w:val="005A70F6"/>
    <w:rsid w:val="005A737B"/>
    <w:rsid w:val="005A7896"/>
    <w:rsid w:val="005B08F2"/>
    <w:rsid w:val="005B0B9B"/>
    <w:rsid w:val="005B0C35"/>
    <w:rsid w:val="005B138D"/>
    <w:rsid w:val="005B173F"/>
    <w:rsid w:val="005B23E0"/>
    <w:rsid w:val="005B2B18"/>
    <w:rsid w:val="005B34F9"/>
    <w:rsid w:val="005B362A"/>
    <w:rsid w:val="005B3677"/>
    <w:rsid w:val="005B3BF8"/>
    <w:rsid w:val="005B3CE1"/>
    <w:rsid w:val="005B41A8"/>
    <w:rsid w:val="005B4DD7"/>
    <w:rsid w:val="005B4ED4"/>
    <w:rsid w:val="005B4F4C"/>
    <w:rsid w:val="005B5328"/>
    <w:rsid w:val="005B551D"/>
    <w:rsid w:val="005B5FAC"/>
    <w:rsid w:val="005B7259"/>
    <w:rsid w:val="005B74DB"/>
    <w:rsid w:val="005B75F2"/>
    <w:rsid w:val="005C0BE1"/>
    <w:rsid w:val="005C10DF"/>
    <w:rsid w:val="005C1C22"/>
    <w:rsid w:val="005C262F"/>
    <w:rsid w:val="005C2679"/>
    <w:rsid w:val="005C2CDE"/>
    <w:rsid w:val="005C37D1"/>
    <w:rsid w:val="005C4926"/>
    <w:rsid w:val="005C49C7"/>
    <w:rsid w:val="005C4CB9"/>
    <w:rsid w:val="005C5474"/>
    <w:rsid w:val="005C59B7"/>
    <w:rsid w:val="005C59D3"/>
    <w:rsid w:val="005C5AD6"/>
    <w:rsid w:val="005C6BFF"/>
    <w:rsid w:val="005C744A"/>
    <w:rsid w:val="005C75F7"/>
    <w:rsid w:val="005C7AA5"/>
    <w:rsid w:val="005C7AC3"/>
    <w:rsid w:val="005C7CD3"/>
    <w:rsid w:val="005C7E22"/>
    <w:rsid w:val="005D009B"/>
    <w:rsid w:val="005D020D"/>
    <w:rsid w:val="005D025F"/>
    <w:rsid w:val="005D0497"/>
    <w:rsid w:val="005D0FD5"/>
    <w:rsid w:val="005D2091"/>
    <w:rsid w:val="005D21CF"/>
    <w:rsid w:val="005D273B"/>
    <w:rsid w:val="005D2767"/>
    <w:rsid w:val="005D3320"/>
    <w:rsid w:val="005D3601"/>
    <w:rsid w:val="005D3D8E"/>
    <w:rsid w:val="005D44B4"/>
    <w:rsid w:val="005D46F6"/>
    <w:rsid w:val="005D4847"/>
    <w:rsid w:val="005D4B04"/>
    <w:rsid w:val="005D55C0"/>
    <w:rsid w:val="005D57B0"/>
    <w:rsid w:val="005D58E3"/>
    <w:rsid w:val="005D5EC4"/>
    <w:rsid w:val="005D6009"/>
    <w:rsid w:val="005D66C3"/>
    <w:rsid w:val="005D69D6"/>
    <w:rsid w:val="005D70E6"/>
    <w:rsid w:val="005D727A"/>
    <w:rsid w:val="005D7575"/>
    <w:rsid w:val="005E0A61"/>
    <w:rsid w:val="005E0BD7"/>
    <w:rsid w:val="005E0DC5"/>
    <w:rsid w:val="005E103E"/>
    <w:rsid w:val="005E10E1"/>
    <w:rsid w:val="005E1A08"/>
    <w:rsid w:val="005E217C"/>
    <w:rsid w:val="005E2221"/>
    <w:rsid w:val="005E22F2"/>
    <w:rsid w:val="005E2C34"/>
    <w:rsid w:val="005E2F1F"/>
    <w:rsid w:val="005E3697"/>
    <w:rsid w:val="005E3742"/>
    <w:rsid w:val="005E3DC7"/>
    <w:rsid w:val="005E455D"/>
    <w:rsid w:val="005E4DEA"/>
    <w:rsid w:val="005E5189"/>
    <w:rsid w:val="005E523D"/>
    <w:rsid w:val="005E5392"/>
    <w:rsid w:val="005E5969"/>
    <w:rsid w:val="005E5EBA"/>
    <w:rsid w:val="005E69E5"/>
    <w:rsid w:val="005E6EBD"/>
    <w:rsid w:val="005E7458"/>
    <w:rsid w:val="005E7871"/>
    <w:rsid w:val="005E791D"/>
    <w:rsid w:val="005F04C2"/>
    <w:rsid w:val="005F06F6"/>
    <w:rsid w:val="005F0B37"/>
    <w:rsid w:val="005F0CA4"/>
    <w:rsid w:val="005F1734"/>
    <w:rsid w:val="005F2402"/>
    <w:rsid w:val="005F271B"/>
    <w:rsid w:val="005F2792"/>
    <w:rsid w:val="005F2DA3"/>
    <w:rsid w:val="005F3880"/>
    <w:rsid w:val="005F3F00"/>
    <w:rsid w:val="005F4134"/>
    <w:rsid w:val="005F5522"/>
    <w:rsid w:val="005F5561"/>
    <w:rsid w:val="005F576C"/>
    <w:rsid w:val="005F58EC"/>
    <w:rsid w:val="005F5E15"/>
    <w:rsid w:val="005F606A"/>
    <w:rsid w:val="005F61AD"/>
    <w:rsid w:val="005F6BC3"/>
    <w:rsid w:val="005F7640"/>
    <w:rsid w:val="005F770D"/>
    <w:rsid w:val="005F7E66"/>
    <w:rsid w:val="006001F8"/>
    <w:rsid w:val="0060022F"/>
    <w:rsid w:val="006002D6"/>
    <w:rsid w:val="00601A99"/>
    <w:rsid w:val="00601E3A"/>
    <w:rsid w:val="00601E7A"/>
    <w:rsid w:val="00602052"/>
    <w:rsid w:val="006021AB"/>
    <w:rsid w:val="00602CB3"/>
    <w:rsid w:val="00602DB4"/>
    <w:rsid w:val="00603716"/>
    <w:rsid w:val="00603885"/>
    <w:rsid w:val="00603CEE"/>
    <w:rsid w:val="006041A8"/>
    <w:rsid w:val="0060435B"/>
    <w:rsid w:val="00604D99"/>
    <w:rsid w:val="00604F6E"/>
    <w:rsid w:val="00605B74"/>
    <w:rsid w:val="00605F59"/>
    <w:rsid w:val="006072D5"/>
    <w:rsid w:val="00607A19"/>
    <w:rsid w:val="00607A3E"/>
    <w:rsid w:val="00607EA1"/>
    <w:rsid w:val="006100D6"/>
    <w:rsid w:val="006103DA"/>
    <w:rsid w:val="00611238"/>
    <w:rsid w:val="00611645"/>
    <w:rsid w:val="00611CBB"/>
    <w:rsid w:val="00612092"/>
    <w:rsid w:val="006120B1"/>
    <w:rsid w:val="00612C38"/>
    <w:rsid w:val="00612FF0"/>
    <w:rsid w:val="00613346"/>
    <w:rsid w:val="00613915"/>
    <w:rsid w:val="0061393C"/>
    <w:rsid w:val="00613F83"/>
    <w:rsid w:val="006144A6"/>
    <w:rsid w:val="00614A50"/>
    <w:rsid w:val="00614D72"/>
    <w:rsid w:val="006152D1"/>
    <w:rsid w:val="006153F4"/>
    <w:rsid w:val="006154EE"/>
    <w:rsid w:val="00615C65"/>
    <w:rsid w:val="00615E43"/>
    <w:rsid w:val="006161B6"/>
    <w:rsid w:val="00616243"/>
    <w:rsid w:val="00617529"/>
    <w:rsid w:val="00617E59"/>
    <w:rsid w:val="006208E2"/>
    <w:rsid w:val="0062215F"/>
    <w:rsid w:val="00622294"/>
    <w:rsid w:val="00622778"/>
    <w:rsid w:val="00622862"/>
    <w:rsid w:val="00623159"/>
    <w:rsid w:val="00623403"/>
    <w:rsid w:val="006242FA"/>
    <w:rsid w:val="006250E0"/>
    <w:rsid w:val="006251E5"/>
    <w:rsid w:val="00625B31"/>
    <w:rsid w:val="00625ECB"/>
    <w:rsid w:val="00626138"/>
    <w:rsid w:val="00626229"/>
    <w:rsid w:val="00626510"/>
    <w:rsid w:val="0062652D"/>
    <w:rsid w:val="0062653B"/>
    <w:rsid w:val="0062655C"/>
    <w:rsid w:val="00626A2C"/>
    <w:rsid w:val="00626DF3"/>
    <w:rsid w:val="00627408"/>
    <w:rsid w:val="00627671"/>
    <w:rsid w:val="0062782C"/>
    <w:rsid w:val="00627931"/>
    <w:rsid w:val="006305FE"/>
    <w:rsid w:val="00630745"/>
    <w:rsid w:val="0063091B"/>
    <w:rsid w:val="00630D72"/>
    <w:rsid w:val="00630F43"/>
    <w:rsid w:val="0063218B"/>
    <w:rsid w:val="00632292"/>
    <w:rsid w:val="00632FF0"/>
    <w:rsid w:val="006330D5"/>
    <w:rsid w:val="00634653"/>
    <w:rsid w:val="00635204"/>
    <w:rsid w:val="00635308"/>
    <w:rsid w:val="00635409"/>
    <w:rsid w:val="00635552"/>
    <w:rsid w:val="00635958"/>
    <w:rsid w:val="00635BE6"/>
    <w:rsid w:val="00636288"/>
    <w:rsid w:val="006364CF"/>
    <w:rsid w:val="00636634"/>
    <w:rsid w:val="00636857"/>
    <w:rsid w:val="0063688C"/>
    <w:rsid w:val="00637C48"/>
    <w:rsid w:val="00637EED"/>
    <w:rsid w:val="006402AE"/>
    <w:rsid w:val="00640DFB"/>
    <w:rsid w:val="00641106"/>
    <w:rsid w:val="0064165B"/>
    <w:rsid w:val="0064172C"/>
    <w:rsid w:val="00641AF5"/>
    <w:rsid w:val="00641FC6"/>
    <w:rsid w:val="00642BBD"/>
    <w:rsid w:val="00642CDB"/>
    <w:rsid w:val="00642E6D"/>
    <w:rsid w:val="00644618"/>
    <w:rsid w:val="00644C33"/>
    <w:rsid w:val="00644C82"/>
    <w:rsid w:val="00645972"/>
    <w:rsid w:val="00645C2F"/>
    <w:rsid w:val="0064623F"/>
    <w:rsid w:val="0064648F"/>
    <w:rsid w:val="0064684F"/>
    <w:rsid w:val="00646B38"/>
    <w:rsid w:val="0064717C"/>
    <w:rsid w:val="006474C3"/>
    <w:rsid w:val="00647945"/>
    <w:rsid w:val="006479A2"/>
    <w:rsid w:val="00647CAD"/>
    <w:rsid w:val="006508A7"/>
    <w:rsid w:val="00650971"/>
    <w:rsid w:val="006511D1"/>
    <w:rsid w:val="006511F7"/>
    <w:rsid w:val="0065178F"/>
    <w:rsid w:val="006517FA"/>
    <w:rsid w:val="00651C27"/>
    <w:rsid w:val="00652159"/>
    <w:rsid w:val="006527A1"/>
    <w:rsid w:val="00652824"/>
    <w:rsid w:val="0065296F"/>
    <w:rsid w:val="00652971"/>
    <w:rsid w:val="00652A9A"/>
    <w:rsid w:val="00652E9A"/>
    <w:rsid w:val="0065329B"/>
    <w:rsid w:val="006537A9"/>
    <w:rsid w:val="00653C41"/>
    <w:rsid w:val="00653DA7"/>
    <w:rsid w:val="00654125"/>
    <w:rsid w:val="00654EEA"/>
    <w:rsid w:val="0065534D"/>
    <w:rsid w:val="00655354"/>
    <w:rsid w:val="00655A55"/>
    <w:rsid w:val="006567F3"/>
    <w:rsid w:val="00656890"/>
    <w:rsid w:val="00656AEF"/>
    <w:rsid w:val="006570B8"/>
    <w:rsid w:val="0065752E"/>
    <w:rsid w:val="00657641"/>
    <w:rsid w:val="00657BC6"/>
    <w:rsid w:val="006605B9"/>
    <w:rsid w:val="00660A71"/>
    <w:rsid w:val="00660D25"/>
    <w:rsid w:val="00660D6A"/>
    <w:rsid w:val="00660DBE"/>
    <w:rsid w:val="006613C6"/>
    <w:rsid w:val="006618AA"/>
    <w:rsid w:val="00661A37"/>
    <w:rsid w:val="0066225E"/>
    <w:rsid w:val="00662705"/>
    <w:rsid w:val="00662B60"/>
    <w:rsid w:val="00662E51"/>
    <w:rsid w:val="00662E7F"/>
    <w:rsid w:val="00663345"/>
    <w:rsid w:val="006637E3"/>
    <w:rsid w:val="00663BE4"/>
    <w:rsid w:val="00663DF9"/>
    <w:rsid w:val="00663F94"/>
    <w:rsid w:val="0066537A"/>
    <w:rsid w:val="006654DC"/>
    <w:rsid w:val="006659A9"/>
    <w:rsid w:val="00665B55"/>
    <w:rsid w:val="00665BF9"/>
    <w:rsid w:val="0066648E"/>
    <w:rsid w:val="00666845"/>
    <w:rsid w:val="00666C9E"/>
    <w:rsid w:val="00670214"/>
    <w:rsid w:val="00670618"/>
    <w:rsid w:val="006711D7"/>
    <w:rsid w:val="0067134F"/>
    <w:rsid w:val="0067175D"/>
    <w:rsid w:val="00671B26"/>
    <w:rsid w:val="00672423"/>
    <w:rsid w:val="00672783"/>
    <w:rsid w:val="00672ABE"/>
    <w:rsid w:val="00672D32"/>
    <w:rsid w:val="00672FE8"/>
    <w:rsid w:val="00673467"/>
    <w:rsid w:val="006753CD"/>
    <w:rsid w:val="006757C7"/>
    <w:rsid w:val="00675E23"/>
    <w:rsid w:val="00675EA2"/>
    <w:rsid w:val="0067603F"/>
    <w:rsid w:val="0067617C"/>
    <w:rsid w:val="0067640E"/>
    <w:rsid w:val="00676A1B"/>
    <w:rsid w:val="00676A4E"/>
    <w:rsid w:val="00676D97"/>
    <w:rsid w:val="006770BE"/>
    <w:rsid w:val="006775FB"/>
    <w:rsid w:val="006805D3"/>
    <w:rsid w:val="00680972"/>
    <w:rsid w:val="00681370"/>
    <w:rsid w:val="00681AB7"/>
    <w:rsid w:val="00681B72"/>
    <w:rsid w:val="00682656"/>
    <w:rsid w:val="00682AB9"/>
    <w:rsid w:val="0068325C"/>
    <w:rsid w:val="006841B7"/>
    <w:rsid w:val="00684426"/>
    <w:rsid w:val="00684435"/>
    <w:rsid w:val="00684631"/>
    <w:rsid w:val="006848BD"/>
    <w:rsid w:val="00684A9B"/>
    <w:rsid w:val="00685FDE"/>
    <w:rsid w:val="006860F0"/>
    <w:rsid w:val="0068644C"/>
    <w:rsid w:val="00686E4E"/>
    <w:rsid w:val="006870EE"/>
    <w:rsid w:val="00690367"/>
    <w:rsid w:val="00690AB5"/>
    <w:rsid w:val="006912DB"/>
    <w:rsid w:val="00691529"/>
    <w:rsid w:val="0069176C"/>
    <w:rsid w:val="006917D4"/>
    <w:rsid w:val="00691921"/>
    <w:rsid w:val="0069193A"/>
    <w:rsid w:val="00691DF2"/>
    <w:rsid w:val="00692538"/>
    <w:rsid w:val="0069291A"/>
    <w:rsid w:val="00692C14"/>
    <w:rsid w:val="006939F0"/>
    <w:rsid w:val="00693BF8"/>
    <w:rsid w:val="00693C6A"/>
    <w:rsid w:val="00693C91"/>
    <w:rsid w:val="00693D4E"/>
    <w:rsid w:val="006943A7"/>
    <w:rsid w:val="00694646"/>
    <w:rsid w:val="00694E7B"/>
    <w:rsid w:val="00695191"/>
    <w:rsid w:val="00695B0B"/>
    <w:rsid w:val="00696723"/>
    <w:rsid w:val="00696725"/>
    <w:rsid w:val="00696ED8"/>
    <w:rsid w:val="00697615"/>
    <w:rsid w:val="00697776"/>
    <w:rsid w:val="00697C42"/>
    <w:rsid w:val="00697D79"/>
    <w:rsid w:val="006A0701"/>
    <w:rsid w:val="006A0999"/>
    <w:rsid w:val="006A1AE3"/>
    <w:rsid w:val="006A2211"/>
    <w:rsid w:val="006A26F7"/>
    <w:rsid w:val="006A2787"/>
    <w:rsid w:val="006A34A7"/>
    <w:rsid w:val="006A37C6"/>
    <w:rsid w:val="006A389D"/>
    <w:rsid w:val="006A389E"/>
    <w:rsid w:val="006A3DC8"/>
    <w:rsid w:val="006A47E9"/>
    <w:rsid w:val="006A5280"/>
    <w:rsid w:val="006A542B"/>
    <w:rsid w:val="006A5679"/>
    <w:rsid w:val="006A5AFE"/>
    <w:rsid w:val="006A5F79"/>
    <w:rsid w:val="006A5FBA"/>
    <w:rsid w:val="006A6055"/>
    <w:rsid w:val="006A7009"/>
    <w:rsid w:val="006A7A51"/>
    <w:rsid w:val="006A7C5F"/>
    <w:rsid w:val="006A7D26"/>
    <w:rsid w:val="006A7F07"/>
    <w:rsid w:val="006A7FD7"/>
    <w:rsid w:val="006B00E7"/>
    <w:rsid w:val="006B0F6E"/>
    <w:rsid w:val="006B0FAC"/>
    <w:rsid w:val="006B1040"/>
    <w:rsid w:val="006B1453"/>
    <w:rsid w:val="006B14EE"/>
    <w:rsid w:val="006B1EFE"/>
    <w:rsid w:val="006B1F82"/>
    <w:rsid w:val="006B24BD"/>
    <w:rsid w:val="006B2585"/>
    <w:rsid w:val="006B25A4"/>
    <w:rsid w:val="006B2DD4"/>
    <w:rsid w:val="006B3141"/>
    <w:rsid w:val="006B3757"/>
    <w:rsid w:val="006B38C7"/>
    <w:rsid w:val="006B488E"/>
    <w:rsid w:val="006B4BA0"/>
    <w:rsid w:val="006B4C3C"/>
    <w:rsid w:val="006B5450"/>
    <w:rsid w:val="006B5498"/>
    <w:rsid w:val="006B5C65"/>
    <w:rsid w:val="006B5F43"/>
    <w:rsid w:val="006B60C1"/>
    <w:rsid w:val="006B64F3"/>
    <w:rsid w:val="006B66E4"/>
    <w:rsid w:val="006B67C3"/>
    <w:rsid w:val="006B6C38"/>
    <w:rsid w:val="006B6C91"/>
    <w:rsid w:val="006B6FE9"/>
    <w:rsid w:val="006B71AA"/>
    <w:rsid w:val="006B7AE6"/>
    <w:rsid w:val="006B7B81"/>
    <w:rsid w:val="006C0089"/>
    <w:rsid w:val="006C02AB"/>
    <w:rsid w:val="006C05C9"/>
    <w:rsid w:val="006C0643"/>
    <w:rsid w:val="006C09C6"/>
    <w:rsid w:val="006C0B59"/>
    <w:rsid w:val="006C0D67"/>
    <w:rsid w:val="006C0F1E"/>
    <w:rsid w:val="006C19C5"/>
    <w:rsid w:val="006C1BDA"/>
    <w:rsid w:val="006C2245"/>
    <w:rsid w:val="006C2369"/>
    <w:rsid w:val="006C32BA"/>
    <w:rsid w:val="006C3595"/>
    <w:rsid w:val="006C3A96"/>
    <w:rsid w:val="006C3C82"/>
    <w:rsid w:val="006C4746"/>
    <w:rsid w:val="006C4DCC"/>
    <w:rsid w:val="006C57DE"/>
    <w:rsid w:val="006C6150"/>
    <w:rsid w:val="006C624E"/>
    <w:rsid w:val="006C6A96"/>
    <w:rsid w:val="006C6CAC"/>
    <w:rsid w:val="006C6F40"/>
    <w:rsid w:val="006C738B"/>
    <w:rsid w:val="006C786A"/>
    <w:rsid w:val="006C7985"/>
    <w:rsid w:val="006C7E6D"/>
    <w:rsid w:val="006D03FA"/>
    <w:rsid w:val="006D121C"/>
    <w:rsid w:val="006D1C92"/>
    <w:rsid w:val="006D2CE5"/>
    <w:rsid w:val="006D301D"/>
    <w:rsid w:val="006D30CE"/>
    <w:rsid w:val="006D35B2"/>
    <w:rsid w:val="006D37C3"/>
    <w:rsid w:val="006D3E22"/>
    <w:rsid w:val="006D40D7"/>
    <w:rsid w:val="006D43B3"/>
    <w:rsid w:val="006D4520"/>
    <w:rsid w:val="006D4D85"/>
    <w:rsid w:val="006D4E24"/>
    <w:rsid w:val="006D505B"/>
    <w:rsid w:val="006D54FD"/>
    <w:rsid w:val="006D5B62"/>
    <w:rsid w:val="006D6256"/>
    <w:rsid w:val="006D62B9"/>
    <w:rsid w:val="006D66A3"/>
    <w:rsid w:val="006D69D9"/>
    <w:rsid w:val="006D6BEC"/>
    <w:rsid w:val="006D6DDC"/>
    <w:rsid w:val="006E03DF"/>
    <w:rsid w:val="006E04D1"/>
    <w:rsid w:val="006E07C2"/>
    <w:rsid w:val="006E08F4"/>
    <w:rsid w:val="006E0BFD"/>
    <w:rsid w:val="006E0CC3"/>
    <w:rsid w:val="006E148A"/>
    <w:rsid w:val="006E14C3"/>
    <w:rsid w:val="006E14E6"/>
    <w:rsid w:val="006E20E9"/>
    <w:rsid w:val="006E231B"/>
    <w:rsid w:val="006E2551"/>
    <w:rsid w:val="006E25B8"/>
    <w:rsid w:val="006E25E7"/>
    <w:rsid w:val="006E30F7"/>
    <w:rsid w:val="006E37CD"/>
    <w:rsid w:val="006E4122"/>
    <w:rsid w:val="006E4B2F"/>
    <w:rsid w:val="006E4D91"/>
    <w:rsid w:val="006E58DA"/>
    <w:rsid w:val="006E5A86"/>
    <w:rsid w:val="006E5D27"/>
    <w:rsid w:val="006E6311"/>
    <w:rsid w:val="006E6318"/>
    <w:rsid w:val="006E639C"/>
    <w:rsid w:val="006E6F4A"/>
    <w:rsid w:val="006E76CE"/>
    <w:rsid w:val="006E7B9A"/>
    <w:rsid w:val="006E7B9F"/>
    <w:rsid w:val="006E7C7E"/>
    <w:rsid w:val="006E7D37"/>
    <w:rsid w:val="006E7D5D"/>
    <w:rsid w:val="006F0096"/>
    <w:rsid w:val="006F01CD"/>
    <w:rsid w:val="006F0550"/>
    <w:rsid w:val="006F07FD"/>
    <w:rsid w:val="006F094B"/>
    <w:rsid w:val="006F10B4"/>
    <w:rsid w:val="006F12C6"/>
    <w:rsid w:val="006F1B99"/>
    <w:rsid w:val="006F1DD9"/>
    <w:rsid w:val="006F2234"/>
    <w:rsid w:val="006F28F5"/>
    <w:rsid w:val="006F3101"/>
    <w:rsid w:val="006F343C"/>
    <w:rsid w:val="006F34A8"/>
    <w:rsid w:val="006F35D9"/>
    <w:rsid w:val="006F5046"/>
    <w:rsid w:val="006F522B"/>
    <w:rsid w:val="006F5336"/>
    <w:rsid w:val="006F5420"/>
    <w:rsid w:val="006F548D"/>
    <w:rsid w:val="006F54A8"/>
    <w:rsid w:val="006F575D"/>
    <w:rsid w:val="006F5DB1"/>
    <w:rsid w:val="006F5F25"/>
    <w:rsid w:val="006F60B1"/>
    <w:rsid w:val="006F659B"/>
    <w:rsid w:val="006F65A1"/>
    <w:rsid w:val="006F6793"/>
    <w:rsid w:val="006F7228"/>
    <w:rsid w:val="006F7A98"/>
    <w:rsid w:val="006F7E28"/>
    <w:rsid w:val="007000EC"/>
    <w:rsid w:val="00700630"/>
    <w:rsid w:val="00700D08"/>
    <w:rsid w:val="007018B1"/>
    <w:rsid w:val="00701D42"/>
    <w:rsid w:val="00702B1E"/>
    <w:rsid w:val="007033E2"/>
    <w:rsid w:val="00703E7C"/>
    <w:rsid w:val="00703EC2"/>
    <w:rsid w:val="00704483"/>
    <w:rsid w:val="007048B7"/>
    <w:rsid w:val="00704D0A"/>
    <w:rsid w:val="00704EED"/>
    <w:rsid w:val="0070510F"/>
    <w:rsid w:val="0070527D"/>
    <w:rsid w:val="0070571E"/>
    <w:rsid w:val="007057AE"/>
    <w:rsid w:val="007069B2"/>
    <w:rsid w:val="00706C69"/>
    <w:rsid w:val="00706E63"/>
    <w:rsid w:val="00707126"/>
    <w:rsid w:val="0070730A"/>
    <w:rsid w:val="00707DE6"/>
    <w:rsid w:val="007104FD"/>
    <w:rsid w:val="00710739"/>
    <w:rsid w:val="0071085E"/>
    <w:rsid w:val="00710D74"/>
    <w:rsid w:val="0071151D"/>
    <w:rsid w:val="00711C05"/>
    <w:rsid w:val="00712056"/>
    <w:rsid w:val="00712065"/>
    <w:rsid w:val="00712AF7"/>
    <w:rsid w:val="00712D60"/>
    <w:rsid w:val="0071335F"/>
    <w:rsid w:val="0071374E"/>
    <w:rsid w:val="00714125"/>
    <w:rsid w:val="00714E99"/>
    <w:rsid w:val="00714EAB"/>
    <w:rsid w:val="00714EB0"/>
    <w:rsid w:val="007152A3"/>
    <w:rsid w:val="00715395"/>
    <w:rsid w:val="007155A7"/>
    <w:rsid w:val="00715787"/>
    <w:rsid w:val="00715CF1"/>
    <w:rsid w:val="00716F4A"/>
    <w:rsid w:val="007170E1"/>
    <w:rsid w:val="00717254"/>
    <w:rsid w:val="0071778D"/>
    <w:rsid w:val="007179D7"/>
    <w:rsid w:val="007202D8"/>
    <w:rsid w:val="007207CD"/>
    <w:rsid w:val="007207CF"/>
    <w:rsid w:val="007225DA"/>
    <w:rsid w:val="007229C3"/>
    <w:rsid w:val="00722D56"/>
    <w:rsid w:val="00722FEC"/>
    <w:rsid w:val="00723B25"/>
    <w:rsid w:val="007243D3"/>
    <w:rsid w:val="00724560"/>
    <w:rsid w:val="00724A5D"/>
    <w:rsid w:val="00724A7F"/>
    <w:rsid w:val="00724ACD"/>
    <w:rsid w:val="007252C9"/>
    <w:rsid w:val="0072540E"/>
    <w:rsid w:val="00725CAB"/>
    <w:rsid w:val="0072658B"/>
    <w:rsid w:val="007268FE"/>
    <w:rsid w:val="007271D4"/>
    <w:rsid w:val="00727B02"/>
    <w:rsid w:val="00727C83"/>
    <w:rsid w:val="0073034B"/>
    <w:rsid w:val="00730B55"/>
    <w:rsid w:val="00730E35"/>
    <w:rsid w:val="00731499"/>
    <w:rsid w:val="0073181F"/>
    <w:rsid w:val="007318D6"/>
    <w:rsid w:val="00731BE8"/>
    <w:rsid w:val="00731DF3"/>
    <w:rsid w:val="00732CAF"/>
    <w:rsid w:val="00732D92"/>
    <w:rsid w:val="007331B6"/>
    <w:rsid w:val="007331E4"/>
    <w:rsid w:val="00733545"/>
    <w:rsid w:val="00733610"/>
    <w:rsid w:val="007343E9"/>
    <w:rsid w:val="0073459E"/>
    <w:rsid w:val="00734A93"/>
    <w:rsid w:val="007353B0"/>
    <w:rsid w:val="00735BAD"/>
    <w:rsid w:val="00735D01"/>
    <w:rsid w:val="00735DE6"/>
    <w:rsid w:val="0073601D"/>
    <w:rsid w:val="00736476"/>
    <w:rsid w:val="0073694A"/>
    <w:rsid w:val="0073744A"/>
    <w:rsid w:val="00737C2A"/>
    <w:rsid w:val="00737D0A"/>
    <w:rsid w:val="00737EB1"/>
    <w:rsid w:val="00741127"/>
    <w:rsid w:val="00741C42"/>
    <w:rsid w:val="00741E6B"/>
    <w:rsid w:val="00741E8D"/>
    <w:rsid w:val="00741F4A"/>
    <w:rsid w:val="00742603"/>
    <w:rsid w:val="0074277C"/>
    <w:rsid w:val="00742AD0"/>
    <w:rsid w:val="007430A8"/>
    <w:rsid w:val="00743214"/>
    <w:rsid w:val="00743F44"/>
    <w:rsid w:val="00743FA7"/>
    <w:rsid w:val="0074425A"/>
    <w:rsid w:val="00744832"/>
    <w:rsid w:val="00745143"/>
    <w:rsid w:val="00745406"/>
    <w:rsid w:val="0074557F"/>
    <w:rsid w:val="00745A56"/>
    <w:rsid w:val="00745AAA"/>
    <w:rsid w:val="00745EC2"/>
    <w:rsid w:val="007460A0"/>
    <w:rsid w:val="007463D2"/>
    <w:rsid w:val="00746442"/>
    <w:rsid w:val="007464A2"/>
    <w:rsid w:val="007468B7"/>
    <w:rsid w:val="0074695C"/>
    <w:rsid w:val="00746D1F"/>
    <w:rsid w:val="00746F68"/>
    <w:rsid w:val="007470BA"/>
    <w:rsid w:val="00747232"/>
    <w:rsid w:val="00747755"/>
    <w:rsid w:val="00747A1A"/>
    <w:rsid w:val="0075007C"/>
    <w:rsid w:val="007500D6"/>
    <w:rsid w:val="007503A8"/>
    <w:rsid w:val="0075045C"/>
    <w:rsid w:val="0075083C"/>
    <w:rsid w:val="00750874"/>
    <w:rsid w:val="00750B48"/>
    <w:rsid w:val="00750DCC"/>
    <w:rsid w:val="007515C0"/>
    <w:rsid w:val="0075217F"/>
    <w:rsid w:val="00752289"/>
    <w:rsid w:val="007530B5"/>
    <w:rsid w:val="00753349"/>
    <w:rsid w:val="00753D50"/>
    <w:rsid w:val="007543FD"/>
    <w:rsid w:val="00754E23"/>
    <w:rsid w:val="00755459"/>
    <w:rsid w:val="0075554E"/>
    <w:rsid w:val="0075563D"/>
    <w:rsid w:val="00755773"/>
    <w:rsid w:val="00755BF2"/>
    <w:rsid w:val="00755F5C"/>
    <w:rsid w:val="00756309"/>
    <w:rsid w:val="007569DF"/>
    <w:rsid w:val="00756C5C"/>
    <w:rsid w:val="00756F13"/>
    <w:rsid w:val="007570A9"/>
    <w:rsid w:val="00760412"/>
    <w:rsid w:val="00760BB6"/>
    <w:rsid w:val="00760F97"/>
    <w:rsid w:val="007610B3"/>
    <w:rsid w:val="0076114F"/>
    <w:rsid w:val="00761261"/>
    <w:rsid w:val="00761681"/>
    <w:rsid w:val="00761CE2"/>
    <w:rsid w:val="00761D3B"/>
    <w:rsid w:val="00762828"/>
    <w:rsid w:val="00762FE0"/>
    <w:rsid w:val="007630B2"/>
    <w:rsid w:val="00763AB1"/>
    <w:rsid w:val="00763BF5"/>
    <w:rsid w:val="0076404D"/>
    <w:rsid w:val="0076419F"/>
    <w:rsid w:val="00764CA6"/>
    <w:rsid w:val="00765740"/>
    <w:rsid w:val="00765CB3"/>
    <w:rsid w:val="00766480"/>
    <w:rsid w:val="00766931"/>
    <w:rsid w:val="00766B74"/>
    <w:rsid w:val="00766D71"/>
    <w:rsid w:val="00767766"/>
    <w:rsid w:val="00767E51"/>
    <w:rsid w:val="007704DC"/>
    <w:rsid w:val="00770EF1"/>
    <w:rsid w:val="00770FE7"/>
    <w:rsid w:val="0077153F"/>
    <w:rsid w:val="00771F5A"/>
    <w:rsid w:val="0077206A"/>
    <w:rsid w:val="00772708"/>
    <w:rsid w:val="007727A7"/>
    <w:rsid w:val="00772D43"/>
    <w:rsid w:val="00773FB9"/>
    <w:rsid w:val="007752BF"/>
    <w:rsid w:val="00775513"/>
    <w:rsid w:val="00775B45"/>
    <w:rsid w:val="00775E8C"/>
    <w:rsid w:val="007763FD"/>
    <w:rsid w:val="0077660A"/>
    <w:rsid w:val="0077729D"/>
    <w:rsid w:val="00777804"/>
    <w:rsid w:val="00780B89"/>
    <w:rsid w:val="0078144C"/>
    <w:rsid w:val="00781C8B"/>
    <w:rsid w:val="00782748"/>
    <w:rsid w:val="00782F0F"/>
    <w:rsid w:val="00782F6E"/>
    <w:rsid w:val="00783250"/>
    <w:rsid w:val="007834B1"/>
    <w:rsid w:val="00783690"/>
    <w:rsid w:val="00783B53"/>
    <w:rsid w:val="00783B5F"/>
    <w:rsid w:val="00783BB6"/>
    <w:rsid w:val="00784171"/>
    <w:rsid w:val="00784AD4"/>
    <w:rsid w:val="00784FC9"/>
    <w:rsid w:val="00785952"/>
    <w:rsid w:val="0078643D"/>
    <w:rsid w:val="00786ACA"/>
    <w:rsid w:val="00786C48"/>
    <w:rsid w:val="00786E89"/>
    <w:rsid w:val="00787151"/>
    <w:rsid w:val="00787709"/>
    <w:rsid w:val="007900B4"/>
    <w:rsid w:val="007901C0"/>
    <w:rsid w:val="00790E95"/>
    <w:rsid w:val="00790EE9"/>
    <w:rsid w:val="00791698"/>
    <w:rsid w:val="00791A01"/>
    <w:rsid w:val="00791C63"/>
    <w:rsid w:val="00791DA1"/>
    <w:rsid w:val="007922AD"/>
    <w:rsid w:val="007924F3"/>
    <w:rsid w:val="00792B58"/>
    <w:rsid w:val="00794409"/>
    <w:rsid w:val="007945D1"/>
    <w:rsid w:val="007949D7"/>
    <w:rsid w:val="00794AC5"/>
    <w:rsid w:val="00794FED"/>
    <w:rsid w:val="00795336"/>
    <w:rsid w:val="00795C65"/>
    <w:rsid w:val="00796065"/>
    <w:rsid w:val="0079637A"/>
    <w:rsid w:val="00796562"/>
    <w:rsid w:val="00796637"/>
    <w:rsid w:val="00796818"/>
    <w:rsid w:val="00796E07"/>
    <w:rsid w:val="00796FC4"/>
    <w:rsid w:val="00797335"/>
    <w:rsid w:val="00797620"/>
    <w:rsid w:val="00797E31"/>
    <w:rsid w:val="00797FBC"/>
    <w:rsid w:val="007A01F5"/>
    <w:rsid w:val="007A0E52"/>
    <w:rsid w:val="007A0F03"/>
    <w:rsid w:val="007A18C1"/>
    <w:rsid w:val="007A18CB"/>
    <w:rsid w:val="007A1900"/>
    <w:rsid w:val="007A1B13"/>
    <w:rsid w:val="007A2031"/>
    <w:rsid w:val="007A2BD1"/>
    <w:rsid w:val="007A2D05"/>
    <w:rsid w:val="007A2F26"/>
    <w:rsid w:val="007A3213"/>
    <w:rsid w:val="007A3223"/>
    <w:rsid w:val="007A332C"/>
    <w:rsid w:val="007A3D1A"/>
    <w:rsid w:val="007A422D"/>
    <w:rsid w:val="007A4339"/>
    <w:rsid w:val="007A440B"/>
    <w:rsid w:val="007A44EB"/>
    <w:rsid w:val="007A469B"/>
    <w:rsid w:val="007A4C35"/>
    <w:rsid w:val="007A5260"/>
    <w:rsid w:val="007A569A"/>
    <w:rsid w:val="007A5825"/>
    <w:rsid w:val="007A5D11"/>
    <w:rsid w:val="007A608F"/>
    <w:rsid w:val="007A6D5F"/>
    <w:rsid w:val="007A6E3F"/>
    <w:rsid w:val="007A6E6D"/>
    <w:rsid w:val="007A726A"/>
    <w:rsid w:val="007A7507"/>
    <w:rsid w:val="007A78BC"/>
    <w:rsid w:val="007B0530"/>
    <w:rsid w:val="007B0E0B"/>
    <w:rsid w:val="007B15C3"/>
    <w:rsid w:val="007B16B6"/>
    <w:rsid w:val="007B1CE4"/>
    <w:rsid w:val="007B1E9B"/>
    <w:rsid w:val="007B1EA5"/>
    <w:rsid w:val="007B2097"/>
    <w:rsid w:val="007B229B"/>
    <w:rsid w:val="007B23FF"/>
    <w:rsid w:val="007B2516"/>
    <w:rsid w:val="007B28DD"/>
    <w:rsid w:val="007B3139"/>
    <w:rsid w:val="007B34C4"/>
    <w:rsid w:val="007B35CF"/>
    <w:rsid w:val="007B3B87"/>
    <w:rsid w:val="007B4801"/>
    <w:rsid w:val="007B5E5B"/>
    <w:rsid w:val="007B5FC6"/>
    <w:rsid w:val="007B632C"/>
    <w:rsid w:val="007B63A4"/>
    <w:rsid w:val="007B669E"/>
    <w:rsid w:val="007B6856"/>
    <w:rsid w:val="007B6B14"/>
    <w:rsid w:val="007B71E4"/>
    <w:rsid w:val="007B7F09"/>
    <w:rsid w:val="007B7F45"/>
    <w:rsid w:val="007C0197"/>
    <w:rsid w:val="007C03B1"/>
    <w:rsid w:val="007C06F6"/>
    <w:rsid w:val="007C0C7F"/>
    <w:rsid w:val="007C1234"/>
    <w:rsid w:val="007C16DA"/>
    <w:rsid w:val="007C1869"/>
    <w:rsid w:val="007C18B7"/>
    <w:rsid w:val="007C1995"/>
    <w:rsid w:val="007C2D7C"/>
    <w:rsid w:val="007C35A8"/>
    <w:rsid w:val="007C36FD"/>
    <w:rsid w:val="007C4056"/>
    <w:rsid w:val="007C498E"/>
    <w:rsid w:val="007C4E54"/>
    <w:rsid w:val="007C5AB6"/>
    <w:rsid w:val="007C5C31"/>
    <w:rsid w:val="007C65B2"/>
    <w:rsid w:val="007C6DF0"/>
    <w:rsid w:val="007C7632"/>
    <w:rsid w:val="007C766B"/>
    <w:rsid w:val="007C77D6"/>
    <w:rsid w:val="007C78E3"/>
    <w:rsid w:val="007C7B5A"/>
    <w:rsid w:val="007D0249"/>
    <w:rsid w:val="007D0463"/>
    <w:rsid w:val="007D046C"/>
    <w:rsid w:val="007D0510"/>
    <w:rsid w:val="007D079F"/>
    <w:rsid w:val="007D0CC7"/>
    <w:rsid w:val="007D113F"/>
    <w:rsid w:val="007D11D4"/>
    <w:rsid w:val="007D26DB"/>
    <w:rsid w:val="007D2850"/>
    <w:rsid w:val="007D2D1B"/>
    <w:rsid w:val="007D3024"/>
    <w:rsid w:val="007D3A34"/>
    <w:rsid w:val="007D3A91"/>
    <w:rsid w:val="007D3D76"/>
    <w:rsid w:val="007D3D91"/>
    <w:rsid w:val="007D3E3C"/>
    <w:rsid w:val="007D4174"/>
    <w:rsid w:val="007D558A"/>
    <w:rsid w:val="007D578E"/>
    <w:rsid w:val="007D591B"/>
    <w:rsid w:val="007D6127"/>
    <w:rsid w:val="007D617A"/>
    <w:rsid w:val="007D72AF"/>
    <w:rsid w:val="007D78CE"/>
    <w:rsid w:val="007D7944"/>
    <w:rsid w:val="007D7D02"/>
    <w:rsid w:val="007E008A"/>
    <w:rsid w:val="007E0E59"/>
    <w:rsid w:val="007E0F4D"/>
    <w:rsid w:val="007E15C8"/>
    <w:rsid w:val="007E18E9"/>
    <w:rsid w:val="007E1997"/>
    <w:rsid w:val="007E2667"/>
    <w:rsid w:val="007E345C"/>
    <w:rsid w:val="007E3699"/>
    <w:rsid w:val="007E3C65"/>
    <w:rsid w:val="007E4395"/>
    <w:rsid w:val="007E46A4"/>
    <w:rsid w:val="007E4A9C"/>
    <w:rsid w:val="007E589A"/>
    <w:rsid w:val="007E58A5"/>
    <w:rsid w:val="007E5ACD"/>
    <w:rsid w:val="007E5FFB"/>
    <w:rsid w:val="007E6176"/>
    <w:rsid w:val="007E6892"/>
    <w:rsid w:val="007E6D6A"/>
    <w:rsid w:val="007E715A"/>
    <w:rsid w:val="007E75A4"/>
    <w:rsid w:val="007E789F"/>
    <w:rsid w:val="007E7AEF"/>
    <w:rsid w:val="007E7E6A"/>
    <w:rsid w:val="007F0800"/>
    <w:rsid w:val="007F13EC"/>
    <w:rsid w:val="007F1728"/>
    <w:rsid w:val="007F1C23"/>
    <w:rsid w:val="007F2232"/>
    <w:rsid w:val="007F29BA"/>
    <w:rsid w:val="007F2B57"/>
    <w:rsid w:val="007F3590"/>
    <w:rsid w:val="007F36DD"/>
    <w:rsid w:val="007F372B"/>
    <w:rsid w:val="007F3C37"/>
    <w:rsid w:val="007F474B"/>
    <w:rsid w:val="007F51A4"/>
    <w:rsid w:val="007F6053"/>
    <w:rsid w:val="007F605C"/>
    <w:rsid w:val="007F66BA"/>
    <w:rsid w:val="007F68B9"/>
    <w:rsid w:val="007F6AFA"/>
    <w:rsid w:val="007F79C6"/>
    <w:rsid w:val="007F7B3C"/>
    <w:rsid w:val="0080021A"/>
    <w:rsid w:val="00800327"/>
    <w:rsid w:val="008005A3"/>
    <w:rsid w:val="00800A28"/>
    <w:rsid w:val="00800A5E"/>
    <w:rsid w:val="008010A8"/>
    <w:rsid w:val="00801E66"/>
    <w:rsid w:val="008021FE"/>
    <w:rsid w:val="0080297D"/>
    <w:rsid w:val="00802A15"/>
    <w:rsid w:val="00802A9D"/>
    <w:rsid w:val="00802DA7"/>
    <w:rsid w:val="0080308B"/>
    <w:rsid w:val="00803DB7"/>
    <w:rsid w:val="00803DD8"/>
    <w:rsid w:val="00804049"/>
    <w:rsid w:val="0080411C"/>
    <w:rsid w:val="00804166"/>
    <w:rsid w:val="008042AE"/>
    <w:rsid w:val="00804427"/>
    <w:rsid w:val="00804D4E"/>
    <w:rsid w:val="00805433"/>
    <w:rsid w:val="008055BE"/>
    <w:rsid w:val="00805D34"/>
    <w:rsid w:val="00806283"/>
    <w:rsid w:val="008077A2"/>
    <w:rsid w:val="00807ABB"/>
    <w:rsid w:val="00807F7E"/>
    <w:rsid w:val="0081012A"/>
    <w:rsid w:val="00810D56"/>
    <w:rsid w:val="008111A2"/>
    <w:rsid w:val="008116B5"/>
    <w:rsid w:val="00811743"/>
    <w:rsid w:val="00811A9C"/>
    <w:rsid w:val="008120A2"/>
    <w:rsid w:val="0081221D"/>
    <w:rsid w:val="008122E0"/>
    <w:rsid w:val="008122F2"/>
    <w:rsid w:val="008123B3"/>
    <w:rsid w:val="008126C4"/>
    <w:rsid w:val="0081270F"/>
    <w:rsid w:val="00812B5E"/>
    <w:rsid w:val="00813DFA"/>
    <w:rsid w:val="00813F52"/>
    <w:rsid w:val="00813F89"/>
    <w:rsid w:val="00814084"/>
    <w:rsid w:val="008141E8"/>
    <w:rsid w:val="008141EF"/>
    <w:rsid w:val="008147B6"/>
    <w:rsid w:val="008148DB"/>
    <w:rsid w:val="00814AB8"/>
    <w:rsid w:val="00814C5E"/>
    <w:rsid w:val="008150B2"/>
    <w:rsid w:val="008155AF"/>
    <w:rsid w:val="00815A0D"/>
    <w:rsid w:val="00815CD5"/>
    <w:rsid w:val="00815D6B"/>
    <w:rsid w:val="0081620A"/>
    <w:rsid w:val="0081622A"/>
    <w:rsid w:val="0081732D"/>
    <w:rsid w:val="008173B4"/>
    <w:rsid w:val="00817608"/>
    <w:rsid w:val="008178A2"/>
    <w:rsid w:val="00817D5E"/>
    <w:rsid w:val="00820949"/>
    <w:rsid w:val="0082165B"/>
    <w:rsid w:val="00821A3D"/>
    <w:rsid w:val="00823AC0"/>
    <w:rsid w:val="0082499E"/>
    <w:rsid w:val="0082519B"/>
    <w:rsid w:val="008255D7"/>
    <w:rsid w:val="00825772"/>
    <w:rsid w:val="008267AC"/>
    <w:rsid w:val="00826CBD"/>
    <w:rsid w:val="00826CEC"/>
    <w:rsid w:val="00826DA4"/>
    <w:rsid w:val="00827657"/>
    <w:rsid w:val="00830316"/>
    <w:rsid w:val="00830513"/>
    <w:rsid w:val="008306C5"/>
    <w:rsid w:val="00830882"/>
    <w:rsid w:val="0083090F"/>
    <w:rsid w:val="0083149A"/>
    <w:rsid w:val="00831BE1"/>
    <w:rsid w:val="00831E2D"/>
    <w:rsid w:val="0083243A"/>
    <w:rsid w:val="008329E8"/>
    <w:rsid w:val="00832A97"/>
    <w:rsid w:val="00833455"/>
    <w:rsid w:val="00833495"/>
    <w:rsid w:val="008344F1"/>
    <w:rsid w:val="00834621"/>
    <w:rsid w:val="0083495D"/>
    <w:rsid w:val="00834C1B"/>
    <w:rsid w:val="00834C2E"/>
    <w:rsid w:val="00834C66"/>
    <w:rsid w:val="00835067"/>
    <w:rsid w:val="008352AC"/>
    <w:rsid w:val="008356D2"/>
    <w:rsid w:val="008360D7"/>
    <w:rsid w:val="0083651C"/>
    <w:rsid w:val="00836581"/>
    <w:rsid w:val="00836B8D"/>
    <w:rsid w:val="008378D6"/>
    <w:rsid w:val="008379FD"/>
    <w:rsid w:val="00837AAE"/>
    <w:rsid w:val="00837BF9"/>
    <w:rsid w:val="00837D28"/>
    <w:rsid w:val="0084031C"/>
    <w:rsid w:val="00840525"/>
    <w:rsid w:val="00841259"/>
    <w:rsid w:val="008416D3"/>
    <w:rsid w:val="00841F6D"/>
    <w:rsid w:val="0084276B"/>
    <w:rsid w:val="00842CE3"/>
    <w:rsid w:val="00842D5F"/>
    <w:rsid w:val="00844640"/>
    <w:rsid w:val="00844ADD"/>
    <w:rsid w:val="0084515B"/>
    <w:rsid w:val="008454FE"/>
    <w:rsid w:val="0084557C"/>
    <w:rsid w:val="008456D9"/>
    <w:rsid w:val="00845F8A"/>
    <w:rsid w:val="00846564"/>
    <w:rsid w:val="008466BF"/>
    <w:rsid w:val="008468D7"/>
    <w:rsid w:val="00846945"/>
    <w:rsid w:val="00846F67"/>
    <w:rsid w:val="00846FC3"/>
    <w:rsid w:val="0084778F"/>
    <w:rsid w:val="008478CE"/>
    <w:rsid w:val="008502A1"/>
    <w:rsid w:val="0085083D"/>
    <w:rsid w:val="00850A5C"/>
    <w:rsid w:val="00850C95"/>
    <w:rsid w:val="00850EE9"/>
    <w:rsid w:val="00851293"/>
    <w:rsid w:val="008517CA"/>
    <w:rsid w:val="008518B7"/>
    <w:rsid w:val="008518C6"/>
    <w:rsid w:val="00851A83"/>
    <w:rsid w:val="00851E56"/>
    <w:rsid w:val="0085263E"/>
    <w:rsid w:val="00854907"/>
    <w:rsid w:val="00854EE3"/>
    <w:rsid w:val="00854F3D"/>
    <w:rsid w:val="00854F80"/>
    <w:rsid w:val="00855A93"/>
    <w:rsid w:val="00855ABA"/>
    <w:rsid w:val="008562B7"/>
    <w:rsid w:val="008564A6"/>
    <w:rsid w:val="008568DB"/>
    <w:rsid w:val="00856996"/>
    <w:rsid w:val="00856ECD"/>
    <w:rsid w:val="00856F62"/>
    <w:rsid w:val="00857350"/>
    <w:rsid w:val="0085739F"/>
    <w:rsid w:val="00857C5B"/>
    <w:rsid w:val="00857EF5"/>
    <w:rsid w:val="008602C4"/>
    <w:rsid w:val="0086049C"/>
    <w:rsid w:val="00860D8A"/>
    <w:rsid w:val="00860E77"/>
    <w:rsid w:val="00860F53"/>
    <w:rsid w:val="0086122F"/>
    <w:rsid w:val="00861A7D"/>
    <w:rsid w:val="00861C9F"/>
    <w:rsid w:val="00861D51"/>
    <w:rsid w:val="00861E1B"/>
    <w:rsid w:val="00861ED8"/>
    <w:rsid w:val="0086260F"/>
    <w:rsid w:val="008626DA"/>
    <w:rsid w:val="00863142"/>
    <w:rsid w:val="00863559"/>
    <w:rsid w:val="00864147"/>
    <w:rsid w:val="0086419B"/>
    <w:rsid w:val="008644BB"/>
    <w:rsid w:val="00864676"/>
    <w:rsid w:val="008648D5"/>
    <w:rsid w:val="00864B0B"/>
    <w:rsid w:val="00864B68"/>
    <w:rsid w:val="00864CB0"/>
    <w:rsid w:val="008657F9"/>
    <w:rsid w:val="0086609F"/>
    <w:rsid w:val="00866C7D"/>
    <w:rsid w:val="00866D65"/>
    <w:rsid w:val="008677C7"/>
    <w:rsid w:val="00867D32"/>
    <w:rsid w:val="008708D9"/>
    <w:rsid w:val="00870D18"/>
    <w:rsid w:val="0087110B"/>
    <w:rsid w:val="0087139E"/>
    <w:rsid w:val="0087187F"/>
    <w:rsid w:val="00871B8F"/>
    <w:rsid w:val="0087205B"/>
    <w:rsid w:val="00872311"/>
    <w:rsid w:val="00872533"/>
    <w:rsid w:val="008725A6"/>
    <w:rsid w:val="008726B5"/>
    <w:rsid w:val="0087296A"/>
    <w:rsid w:val="00872B4E"/>
    <w:rsid w:val="00872FA4"/>
    <w:rsid w:val="00873514"/>
    <w:rsid w:val="00873C1C"/>
    <w:rsid w:val="008752A3"/>
    <w:rsid w:val="008752C8"/>
    <w:rsid w:val="00875332"/>
    <w:rsid w:val="0087577F"/>
    <w:rsid w:val="0087584E"/>
    <w:rsid w:val="00875A5B"/>
    <w:rsid w:val="00875CB0"/>
    <w:rsid w:val="00875F2F"/>
    <w:rsid w:val="0087633C"/>
    <w:rsid w:val="008765A9"/>
    <w:rsid w:val="008767B4"/>
    <w:rsid w:val="0087738D"/>
    <w:rsid w:val="00877585"/>
    <w:rsid w:val="00877644"/>
    <w:rsid w:val="008776EB"/>
    <w:rsid w:val="00877D1F"/>
    <w:rsid w:val="00877DBD"/>
    <w:rsid w:val="00877E0B"/>
    <w:rsid w:val="00880C77"/>
    <w:rsid w:val="00880CE8"/>
    <w:rsid w:val="00881DE6"/>
    <w:rsid w:val="00881FF9"/>
    <w:rsid w:val="0088246B"/>
    <w:rsid w:val="008825F2"/>
    <w:rsid w:val="00882B40"/>
    <w:rsid w:val="0088303A"/>
    <w:rsid w:val="0088366B"/>
    <w:rsid w:val="008836FA"/>
    <w:rsid w:val="00883C65"/>
    <w:rsid w:val="00883D8A"/>
    <w:rsid w:val="0088425C"/>
    <w:rsid w:val="00884677"/>
    <w:rsid w:val="008846EE"/>
    <w:rsid w:val="008847DB"/>
    <w:rsid w:val="00884DDE"/>
    <w:rsid w:val="0088508A"/>
    <w:rsid w:val="008854E2"/>
    <w:rsid w:val="008855DF"/>
    <w:rsid w:val="00885625"/>
    <w:rsid w:val="008858C9"/>
    <w:rsid w:val="008859CB"/>
    <w:rsid w:val="00885A1C"/>
    <w:rsid w:val="00885A60"/>
    <w:rsid w:val="00885B01"/>
    <w:rsid w:val="00885C4E"/>
    <w:rsid w:val="00885F6F"/>
    <w:rsid w:val="0088639E"/>
    <w:rsid w:val="008865A3"/>
    <w:rsid w:val="00886645"/>
    <w:rsid w:val="0088676A"/>
    <w:rsid w:val="00886D49"/>
    <w:rsid w:val="00886D51"/>
    <w:rsid w:val="0088714D"/>
    <w:rsid w:val="00887396"/>
    <w:rsid w:val="0088768C"/>
    <w:rsid w:val="00887890"/>
    <w:rsid w:val="00887B0D"/>
    <w:rsid w:val="00887F29"/>
    <w:rsid w:val="0089076E"/>
    <w:rsid w:val="00890A06"/>
    <w:rsid w:val="00890F1D"/>
    <w:rsid w:val="00890F61"/>
    <w:rsid w:val="00891083"/>
    <w:rsid w:val="00891823"/>
    <w:rsid w:val="00891FFC"/>
    <w:rsid w:val="00892091"/>
    <w:rsid w:val="008920A2"/>
    <w:rsid w:val="008923D2"/>
    <w:rsid w:val="0089253C"/>
    <w:rsid w:val="00892E01"/>
    <w:rsid w:val="00893249"/>
    <w:rsid w:val="0089325B"/>
    <w:rsid w:val="00893556"/>
    <w:rsid w:val="00893E81"/>
    <w:rsid w:val="008942D6"/>
    <w:rsid w:val="00894992"/>
    <w:rsid w:val="008950CB"/>
    <w:rsid w:val="0089546E"/>
    <w:rsid w:val="008956F5"/>
    <w:rsid w:val="0089581B"/>
    <w:rsid w:val="00895EF8"/>
    <w:rsid w:val="008960BE"/>
    <w:rsid w:val="00896129"/>
    <w:rsid w:val="00896449"/>
    <w:rsid w:val="00896D67"/>
    <w:rsid w:val="00897077"/>
    <w:rsid w:val="008A0080"/>
    <w:rsid w:val="008A0156"/>
    <w:rsid w:val="008A0F89"/>
    <w:rsid w:val="008A12E6"/>
    <w:rsid w:val="008A1E50"/>
    <w:rsid w:val="008A27FF"/>
    <w:rsid w:val="008A2F52"/>
    <w:rsid w:val="008A33E5"/>
    <w:rsid w:val="008A36BD"/>
    <w:rsid w:val="008A3BE3"/>
    <w:rsid w:val="008A3C13"/>
    <w:rsid w:val="008A4616"/>
    <w:rsid w:val="008A49EE"/>
    <w:rsid w:val="008A4D00"/>
    <w:rsid w:val="008A584D"/>
    <w:rsid w:val="008A5CA8"/>
    <w:rsid w:val="008A626D"/>
    <w:rsid w:val="008A659C"/>
    <w:rsid w:val="008A6FA0"/>
    <w:rsid w:val="008A70B7"/>
    <w:rsid w:val="008A79E1"/>
    <w:rsid w:val="008B121A"/>
    <w:rsid w:val="008B152F"/>
    <w:rsid w:val="008B1796"/>
    <w:rsid w:val="008B2177"/>
    <w:rsid w:val="008B251B"/>
    <w:rsid w:val="008B2563"/>
    <w:rsid w:val="008B2EC1"/>
    <w:rsid w:val="008B30A8"/>
    <w:rsid w:val="008B3172"/>
    <w:rsid w:val="008B3A37"/>
    <w:rsid w:val="008B458E"/>
    <w:rsid w:val="008B47F8"/>
    <w:rsid w:val="008B48E8"/>
    <w:rsid w:val="008B4CDB"/>
    <w:rsid w:val="008B5BDB"/>
    <w:rsid w:val="008B601D"/>
    <w:rsid w:val="008B602C"/>
    <w:rsid w:val="008B64F5"/>
    <w:rsid w:val="008B6B7E"/>
    <w:rsid w:val="008B6DE1"/>
    <w:rsid w:val="008B7065"/>
    <w:rsid w:val="008B76BF"/>
    <w:rsid w:val="008C0204"/>
    <w:rsid w:val="008C09D6"/>
    <w:rsid w:val="008C0B3E"/>
    <w:rsid w:val="008C1150"/>
    <w:rsid w:val="008C16C3"/>
    <w:rsid w:val="008C16EB"/>
    <w:rsid w:val="008C180D"/>
    <w:rsid w:val="008C1863"/>
    <w:rsid w:val="008C1BD3"/>
    <w:rsid w:val="008C1BDB"/>
    <w:rsid w:val="008C1C63"/>
    <w:rsid w:val="008C1FA4"/>
    <w:rsid w:val="008C1FF0"/>
    <w:rsid w:val="008C26F6"/>
    <w:rsid w:val="008C28D8"/>
    <w:rsid w:val="008C2E54"/>
    <w:rsid w:val="008C39E3"/>
    <w:rsid w:val="008C4925"/>
    <w:rsid w:val="008C4E61"/>
    <w:rsid w:val="008C58C8"/>
    <w:rsid w:val="008C5D64"/>
    <w:rsid w:val="008C5FD4"/>
    <w:rsid w:val="008C6348"/>
    <w:rsid w:val="008C6510"/>
    <w:rsid w:val="008C6B66"/>
    <w:rsid w:val="008C7044"/>
    <w:rsid w:val="008C7388"/>
    <w:rsid w:val="008C76BE"/>
    <w:rsid w:val="008C7854"/>
    <w:rsid w:val="008C7927"/>
    <w:rsid w:val="008C7C94"/>
    <w:rsid w:val="008D02AB"/>
    <w:rsid w:val="008D06E6"/>
    <w:rsid w:val="008D09A2"/>
    <w:rsid w:val="008D0A36"/>
    <w:rsid w:val="008D1A1A"/>
    <w:rsid w:val="008D23C5"/>
    <w:rsid w:val="008D2AC2"/>
    <w:rsid w:val="008D3567"/>
    <w:rsid w:val="008D3DAE"/>
    <w:rsid w:val="008D494F"/>
    <w:rsid w:val="008D499D"/>
    <w:rsid w:val="008D4B3F"/>
    <w:rsid w:val="008D4CC0"/>
    <w:rsid w:val="008D5172"/>
    <w:rsid w:val="008D54FE"/>
    <w:rsid w:val="008D5D24"/>
    <w:rsid w:val="008D5E2F"/>
    <w:rsid w:val="008D6881"/>
    <w:rsid w:val="008D6934"/>
    <w:rsid w:val="008D6B3B"/>
    <w:rsid w:val="008D6D4C"/>
    <w:rsid w:val="008D7416"/>
    <w:rsid w:val="008D77FF"/>
    <w:rsid w:val="008D7967"/>
    <w:rsid w:val="008D7D0B"/>
    <w:rsid w:val="008E0288"/>
    <w:rsid w:val="008E03EA"/>
    <w:rsid w:val="008E043B"/>
    <w:rsid w:val="008E0B5C"/>
    <w:rsid w:val="008E0F36"/>
    <w:rsid w:val="008E104D"/>
    <w:rsid w:val="008E138D"/>
    <w:rsid w:val="008E14E3"/>
    <w:rsid w:val="008E1CC6"/>
    <w:rsid w:val="008E27C1"/>
    <w:rsid w:val="008E2818"/>
    <w:rsid w:val="008E285D"/>
    <w:rsid w:val="008E2AA1"/>
    <w:rsid w:val="008E3791"/>
    <w:rsid w:val="008E383F"/>
    <w:rsid w:val="008E3973"/>
    <w:rsid w:val="008E39C1"/>
    <w:rsid w:val="008E3EC3"/>
    <w:rsid w:val="008E51AD"/>
    <w:rsid w:val="008E5AD5"/>
    <w:rsid w:val="008E60F2"/>
    <w:rsid w:val="008E6116"/>
    <w:rsid w:val="008E630D"/>
    <w:rsid w:val="008E6357"/>
    <w:rsid w:val="008E692E"/>
    <w:rsid w:val="008E6EAF"/>
    <w:rsid w:val="008E7012"/>
    <w:rsid w:val="008E758C"/>
    <w:rsid w:val="008E775C"/>
    <w:rsid w:val="008E7C90"/>
    <w:rsid w:val="008E7CA4"/>
    <w:rsid w:val="008E7D5B"/>
    <w:rsid w:val="008F00A5"/>
    <w:rsid w:val="008F0B05"/>
    <w:rsid w:val="008F0CF8"/>
    <w:rsid w:val="008F1E43"/>
    <w:rsid w:val="008F24AC"/>
    <w:rsid w:val="008F26EF"/>
    <w:rsid w:val="008F3376"/>
    <w:rsid w:val="008F395B"/>
    <w:rsid w:val="008F4ED8"/>
    <w:rsid w:val="008F530E"/>
    <w:rsid w:val="008F5348"/>
    <w:rsid w:val="008F5772"/>
    <w:rsid w:val="008F5828"/>
    <w:rsid w:val="008F5AA4"/>
    <w:rsid w:val="008F5C45"/>
    <w:rsid w:val="008F63A9"/>
    <w:rsid w:val="008F64E2"/>
    <w:rsid w:val="008F66CB"/>
    <w:rsid w:val="008F67B9"/>
    <w:rsid w:val="008F6B5D"/>
    <w:rsid w:val="008F6BA9"/>
    <w:rsid w:val="008F7A73"/>
    <w:rsid w:val="008F7BB5"/>
    <w:rsid w:val="008F7D54"/>
    <w:rsid w:val="00900FD8"/>
    <w:rsid w:val="00901C81"/>
    <w:rsid w:val="00902008"/>
    <w:rsid w:val="009022DD"/>
    <w:rsid w:val="0090254D"/>
    <w:rsid w:val="00902A26"/>
    <w:rsid w:val="00902CF9"/>
    <w:rsid w:val="00902EAD"/>
    <w:rsid w:val="00902EEC"/>
    <w:rsid w:val="00902F28"/>
    <w:rsid w:val="009034EB"/>
    <w:rsid w:val="009035AF"/>
    <w:rsid w:val="00903981"/>
    <w:rsid w:val="00903E3B"/>
    <w:rsid w:val="009044A3"/>
    <w:rsid w:val="00904766"/>
    <w:rsid w:val="00904826"/>
    <w:rsid w:val="009050D2"/>
    <w:rsid w:val="009051E9"/>
    <w:rsid w:val="00906939"/>
    <w:rsid w:val="00906969"/>
    <w:rsid w:val="00907352"/>
    <w:rsid w:val="00907F61"/>
    <w:rsid w:val="00910233"/>
    <w:rsid w:val="00910B90"/>
    <w:rsid w:val="00910F53"/>
    <w:rsid w:val="0091100E"/>
    <w:rsid w:val="0091120A"/>
    <w:rsid w:val="00911BF7"/>
    <w:rsid w:val="0091202E"/>
    <w:rsid w:val="00912884"/>
    <w:rsid w:val="009139E7"/>
    <w:rsid w:val="00913DFA"/>
    <w:rsid w:val="0091425F"/>
    <w:rsid w:val="0091495B"/>
    <w:rsid w:val="009149D1"/>
    <w:rsid w:val="009151AB"/>
    <w:rsid w:val="00915AE2"/>
    <w:rsid w:val="00915C68"/>
    <w:rsid w:val="00916505"/>
    <w:rsid w:val="00916796"/>
    <w:rsid w:val="00916D5E"/>
    <w:rsid w:val="009173F2"/>
    <w:rsid w:val="00917B8E"/>
    <w:rsid w:val="00917BB5"/>
    <w:rsid w:val="00917C9A"/>
    <w:rsid w:val="00917D4D"/>
    <w:rsid w:val="009205BD"/>
    <w:rsid w:val="009206C2"/>
    <w:rsid w:val="00920947"/>
    <w:rsid w:val="00920998"/>
    <w:rsid w:val="00920E06"/>
    <w:rsid w:val="00920FD6"/>
    <w:rsid w:val="00921288"/>
    <w:rsid w:val="00921317"/>
    <w:rsid w:val="00921364"/>
    <w:rsid w:val="009214D4"/>
    <w:rsid w:val="00921736"/>
    <w:rsid w:val="00921EFD"/>
    <w:rsid w:val="009223B8"/>
    <w:rsid w:val="00922CCB"/>
    <w:rsid w:val="009232EE"/>
    <w:rsid w:val="00923CE2"/>
    <w:rsid w:val="00924405"/>
    <w:rsid w:val="009244CA"/>
    <w:rsid w:val="009249EF"/>
    <w:rsid w:val="00924AEA"/>
    <w:rsid w:val="00924E6F"/>
    <w:rsid w:val="00925637"/>
    <w:rsid w:val="009257EC"/>
    <w:rsid w:val="00926998"/>
    <w:rsid w:val="0092706A"/>
    <w:rsid w:val="00927A14"/>
    <w:rsid w:val="00927FBA"/>
    <w:rsid w:val="009300A9"/>
    <w:rsid w:val="009303F1"/>
    <w:rsid w:val="0093068E"/>
    <w:rsid w:val="00930C35"/>
    <w:rsid w:val="00930E27"/>
    <w:rsid w:val="009310B0"/>
    <w:rsid w:val="00931C06"/>
    <w:rsid w:val="00932487"/>
    <w:rsid w:val="00932929"/>
    <w:rsid w:val="00932A19"/>
    <w:rsid w:val="00932D30"/>
    <w:rsid w:val="009333ED"/>
    <w:rsid w:val="00933D6B"/>
    <w:rsid w:val="00933D97"/>
    <w:rsid w:val="009342B0"/>
    <w:rsid w:val="00934803"/>
    <w:rsid w:val="00934FE8"/>
    <w:rsid w:val="00935553"/>
    <w:rsid w:val="009361D5"/>
    <w:rsid w:val="009365F4"/>
    <w:rsid w:val="00936E26"/>
    <w:rsid w:val="009371FB"/>
    <w:rsid w:val="00937DB0"/>
    <w:rsid w:val="00940311"/>
    <w:rsid w:val="0094108B"/>
    <w:rsid w:val="00941152"/>
    <w:rsid w:val="009411A8"/>
    <w:rsid w:val="00942215"/>
    <w:rsid w:val="00942423"/>
    <w:rsid w:val="00943354"/>
    <w:rsid w:val="009433AB"/>
    <w:rsid w:val="009433EB"/>
    <w:rsid w:val="00943573"/>
    <w:rsid w:val="009438BE"/>
    <w:rsid w:val="00943D45"/>
    <w:rsid w:val="00943F7F"/>
    <w:rsid w:val="009445D0"/>
    <w:rsid w:val="00947CA0"/>
    <w:rsid w:val="0095008E"/>
    <w:rsid w:val="00950183"/>
    <w:rsid w:val="0095082D"/>
    <w:rsid w:val="00950CC5"/>
    <w:rsid w:val="00950D95"/>
    <w:rsid w:val="00951FE0"/>
    <w:rsid w:val="00952626"/>
    <w:rsid w:val="00952A32"/>
    <w:rsid w:val="00952C8B"/>
    <w:rsid w:val="00953AB7"/>
    <w:rsid w:val="00953DD7"/>
    <w:rsid w:val="0095416A"/>
    <w:rsid w:val="0095467C"/>
    <w:rsid w:val="0095495B"/>
    <w:rsid w:val="00954CBA"/>
    <w:rsid w:val="00955051"/>
    <w:rsid w:val="009551FD"/>
    <w:rsid w:val="00955551"/>
    <w:rsid w:val="009567CA"/>
    <w:rsid w:val="00956BE9"/>
    <w:rsid w:val="00956FB0"/>
    <w:rsid w:val="00957042"/>
    <w:rsid w:val="0095782C"/>
    <w:rsid w:val="009608BD"/>
    <w:rsid w:val="00961469"/>
    <w:rsid w:val="00961960"/>
    <w:rsid w:val="00961CAD"/>
    <w:rsid w:val="00962195"/>
    <w:rsid w:val="009626B2"/>
    <w:rsid w:val="009632EE"/>
    <w:rsid w:val="009633B6"/>
    <w:rsid w:val="00963477"/>
    <w:rsid w:val="0096378B"/>
    <w:rsid w:val="009642AC"/>
    <w:rsid w:val="00964315"/>
    <w:rsid w:val="009645A9"/>
    <w:rsid w:val="009648B5"/>
    <w:rsid w:val="00964C9D"/>
    <w:rsid w:val="00964E36"/>
    <w:rsid w:val="00965154"/>
    <w:rsid w:val="0096611E"/>
    <w:rsid w:val="0096619F"/>
    <w:rsid w:val="00966375"/>
    <w:rsid w:val="009664C3"/>
    <w:rsid w:val="00966D61"/>
    <w:rsid w:val="00966EA8"/>
    <w:rsid w:val="009674C8"/>
    <w:rsid w:val="00967D0E"/>
    <w:rsid w:val="009702AE"/>
    <w:rsid w:val="0097038E"/>
    <w:rsid w:val="00970602"/>
    <w:rsid w:val="009709EB"/>
    <w:rsid w:val="009710A2"/>
    <w:rsid w:val="0097153F"/>
    <w:rsid w:val="00971616"/>
    <w:rsid w:val="00971855"/>
    <w:rsid w:val="00972192"/>
    <w:rsid w:val="00972414"/>
    <w:rsid w:val="00972C46"/>
    <w:rsid w:val="00972DE4"/>
    <w:rsid w:val="00973183"/>
    <w:rsid w:val="00973A45"/>
    <w:rsid w:val="00973F41"/>
    <w:rsid w:val="00974789"/>
    <w:rsid w:val="00974ADE"/>
    <w:rsid w:val="00974BE7"/>
    <w:rsid w:val="00975BAF"/>
    <w:rsid w:val="00975C0A"/>
    <w:rsid w:val="00976A88"/>
    <w:rsid w:val="00977449"/>
    <w:rsid w:val="00977681"/>
    <w:rsid w:val="0097796D"/>
    <w:rsid w:val="00977E29"/>
    <w:rsid w:val="0098049B"/>
    <w:rsid w:val="0098051D"/>
    <w:rsid w:val="00980A52"/>
    <w:rsid w:val="00980EC3"/>
    <w:rsid w:val="009815A7"/>
    <w:rsid w:val="0098163B"/>
    <w:rsid w:val="009818FA"/>
    <w:rsid w:val="00981C30"/>
    <w:rsid w:val="00981FB5"/>
    <w:rsid w:val="00982508"/>
    <w:rsid w:val="00982624"/>
    <w:rsid w:val="00983176"/>
    <w:rsid w:val="009841D8"/>
    <w:rsid w:val="009842F4"/>
    <w:rsid w:val="009843E3"/>
    <w:rsid w:val="00985F89"/>
    <w:rsid w:val="00986981"/>
    <w:rsid w:val="00986B8E"/>
    <w:rsid w:val="00987222"/>
    <w:rsid w:val="009872BF"/>
    <w:rsid w:val="0098751B"/>
    <w:rsid w:val="00987658"/>
    <w:rsid w:val="0098777B"/>
    <w:rsid w:val="0098777C"/>
    <w:rsid w:val="00987ACE"/>
    <w:rsid w:val="00990152"/>
    <w:rsid w:val="00990175"/>
    <w:rsid w:val="009914D9"/>
    <w:rsid w:val="00991A74"/>
    <w:rsid w:val="00991CFC"/>
    <w:rsid w:val="009923AC"/>
    <w:rsid w:val="00992F6E"/>
    <w:rsid w:val="0099432F"/>
    <w:rsid w:val="009946DC"/>
    <w:rsid w:val="00994712"/>
    <w:rsid w:val="00995385"/>
    <w:rsid w:val="0099612C"/>
    <w:rsid w:val="00996198"/>
    <w:rsid w:val="009969DB"/>
    <w:rsid w:val="009974EE"/>
    <w:rsid w:val="009978D1"/>
    <w:rsid w:val="00997C35"/>
    <w:rsid w:val="009A0218"/>
    <w:rsid w:val="009A065D"/>
    <w:rsid w:val="009A0DB5"/>
    <w:rsid w:val="009A270A"/>
    <w:rsid w:val="009A297D"/>
    <w:rsid w:val="009A2F61"/>
    <w:rsid w:val="009A3126"/>
    <w:rsid w:val="009A371D"/>
    <w:rsid w:val="009A39C4"/>
    <w:rsid w:val="009A3BE4"/>
    <w:rsid w:val="009A40EF"/>
    <w:rsid w:val="009A4296"/>
    <w:rsid w:val="009A4ABB"/>
    <w:rsid w:val="009A4C87"/>
    <w:rsid w:val="009A4D6C"/>
    <w:rsid w:val="009A4FB7"/>
    <w:rsid w:val="009A6041"/>
    <w:rsid w:val="009A6191"/>
    <w:rsid w:val="009A64E6"/>
    <w:rsid w:val="009A6789"/>
    <w:rsid w:val="009A6A45"/>
    <w:rsid w:val="009A6C2E"/>
    <w:rsid w:val="009A768F"/>
    <w:rsid w:val="009A7782"/>
    <w:rsid w:val="009A7D3C"/>
    <w:rsid w:val="009B0016"/>
    <w:rsid w:val="009B04F1"/>
    <w:rsid w:val="009B06E4"/>
    <w:rsid w:val="009B0EF4"/>
    <w:rsid w:val="009B1776"/>
    <w:rsid w:val="009B2103"/>
    <w:rsid w:val="009B2902"/>
    <w:rsid w:val="009B2AD6"/>
    <w:rsid w:val="009B2BAF"/>
    <w:rsid w:val="009B2BB1"/>
    <w:rsid w:val="009B2BC5"/>
    <w:rsid w:val="009B30B2"/>
    <w:rsid w:val="009B3858"/>
    <w:rsid w:val="009B3D74"/>
    <w:rsid w:val="009B3E85"/>
    <w:rsid w:val="009B4024"/>
    <w:rsid w:val="009B4346"/>
    <w:rsid w:val="009B4683"/>
    <w:rsid w:val="009B4BD8"/>
    <w:rsid w:val="009B4BEC"/>
    <w:rsid w:val="009B4E92"/>
    <w:rsid w:val="009B53E0"/>
    <w:rsid w:val="009B55CE"/>
    <w:rsid w:val="009B5872"/>
    <w:rsid w:val="009B5B28"/>
    <w:rsid w:val="009B5B94"/>
    <w:rsid w:val="009B5F6B"/>
    <w:rsid w:val="009B658E"/>
    <w:rsid w:val="009B65F9"/>
    <w:rsid w:val="009B66F6"/>
    <w:rsid w:val="009B6B76"/>
    <w:rsid w:val="009B7131"/>
    <w:rsid w:val="009B73BA"/>
    <w:rsid w:val="009B741F"/>
    <w:rsid w:val="009C07AF"/>
    <w:rsid w:val="009C088F"/>
    <w:rsid w:val="009C0EE5"/>
    <w:rsid w:val="009C1AA0"/>
    <w:rsid w:val="009C1DF7"/>
    <w:rsid w:val="009C1EBA"/>
    <w:rsid w:val="009C2216"/>
    <w:rsid w:val="009C2E46"/>
    <w:rsid w:val="009C3408"/>
    <w:rsid w:val="009C37DA"/>
    <w:rsid w:val="009C3B9E"/>
    <w:rsid w:val="009C4C54"/>
    <w:rsid w:val="009C4D08"/>
    <w:rsid w:val="009C4DA9"/>
    <w:rsid w:val="009C4FCD"/>
    <w:rsid w:val="009C52C8"/>
    <w:rsid w:val="009C55D6"/>
    <w:rsid w:val="009C5A83"/>
    <w:rsid w:val="009C5AE7"/>
    <w:rsid w:val="009C5E42"/>
    <w:rsid w:val="009C6296"/>
    <w:rsid w:val="009C677A"/>
    <w:rsid w:val="009C6DB4"/>
    <w:rsid w:val="009C7E9A"/>
    <w:rsid w:val="009D00CB"/>
    <w:rsid w:val="009D0A93"/>
    <w:rsid w:val="009D0B66"/>
    <w:rsid w:val="009D1068"/>
    <w:rsid w:val="009D160D"/>
    <w:rsid w:val="009D1C7E"/>
    <w:rsid w:val="009D24FF"/>
    <w:rsid w:val="009D2C63"/>
    <w:rsid w:val="009D303E"/>
    <w:rsid w:val="009D351B"/>
    <w:rsid w:val="009D3623"/>
    <w:rsid w:val="009D393D"/>
    <w:rsid w:val="009D395B"/>
    <w:rsid w:val="009D39CD"/>
    <w:rsid w:val="009D4359"/>
    <w:rsid w:val="009D44AC"/>
    <w:rsid w:val="009D4C1C"/>
    <w:rsid w:val="009D541C"/>
    <w:rsid w:val="009D596D"/>
    <w:rsid w:val="009D6117"/>
    <w:rsid w:val="009D639C"/>
    <w:rsid w:val="009D66F0"/>
    <w:rsid w:val="009D6816"/>
    <w:rsid w:val="009D69F9"/>
    <w:rsid w:val="009D6B64"/>
    <w:rsid w:val="009D6FDF"/>
    <w:rsid w:val="009E00E8"/>
    <w:rsid w:val="009E0985"/>
    <w:rsid w:val="009E0BE6"/>
    <w:rsid w:val="009E139F"/>
    <w:rsid w:val="009E19A9"/>
    <w:rsid w:val="009E1E3D"/>
    <w:rsid w:val="009E1E97"/>
    <w:rsid w:val="009E2239"/>
    <w:rsid w:val="009E2290"/>
    <w:rsid w:val="009E2480"/>
    <w:rsid w:val="009E2676"/>
    <w:rsid w:val="009E2911"/>
    <w:rsid w:val="009E2BFF"/>
    <w:rsid w:val="009E2F8A"/>
    <w:rsid w:val="009E3143"/>
    <w:rsid w:val="009E350A"/>
    <w:rsid w:val="009E468E"/>
    <w:rsid w:val="009E46C1"/>
    <w:rsid w:val="009E4ED4"/>
    <w:rsid w:val="009E57CE"/>
    <w:rsid w:val="009E5932"/>
    <w:rsid w:val="009E5B9B"/>
    <w:rsid w:val="009E66C6"/>
    <w:rsid w:val="009E6BAC"/>
    <w:rsid w:val="009E6E34"/>
    <w:rsid w:val="009E7011"/>
    <w:rsid w:val="009E71A3"/>
    <w:rsid w:val="009F0318"/>
    <w:rsid w:val="009F04E7"/>
    <w:rsid w:val="009F08F5"/>
    <w:rsid w:val="009F08FB"/>
    <w:rsid w:val="009F0F69"/>
    <w:rsid w:val="009F10D6"/>
    <w:rsid w:val="009F147C"/>
    <w:rsid w:val="009F176A"/>
    <w:rsid w:val="009F1AE4"/>
    <w:rsid w:val="009F29AB"/>
    <w:rsid w:val="009F2F71"/>
    <w:rsid w:val="009F496F"/>
    <w:rsid w:val="009F4A30"/>
    <w:rsid w:val="009F4FD8"/>
    <w:rsid w:val="009F54AE"/>
    <w:rsid w:val="009F5C12"/>
    <w:rsid w:val="009F5D74"/>
    <w:rsid w:val="009F6316"/>
    <w:rsid w:val="009F6B6F"/>
    <w:rsid w:val="009F791C"/>
    <w:rsid w:val="009F7ACA"/>
    <w:rsid w:val="00A00557"/>
    <w:rsid w:val="00A00EE9"/>
    <w:rsid w:val="00A0123F"/>
    <w:rsid w:val="00A014B9"/>
    <w:rsid w:val="00A015D0"/>
    <w:rsid w:val="00A01840"/>
    <w:rsid w:val="00A01CC5"/>
    <w:rsid w:val="00A0218B"/>
    <w:rsid w:val="00A0236B"/>
    <w:rsid w:val="00A02A73"/>
    <w:rsid w:val="00A02E77"/>
    <w:rsid w:val="00A02F86"/>
    <w:rsid w:val="00A038C2"/>
    <w:rsid w:val="00A03A41"/>
    <w:rsid w:val="00A044A0"/>
    <w:rsid w:val="00A04725"/>
    <w:rsid w:val="00A04F19"/>
    <w:rsid w:val="00A064D7"/>
    <w:rsid w:val="00A06B16"/>
    <w:rsid w:val="00A06E60"/>
    <w:rsid w:val="00A072CA"/>
    <w:rsid w:val="00A077BE"/>
    <w:rsid w:val="00A07D56"/>
    <w:rsid w:val="00A100BE"/>
    <w:rsid w:val="00A1037E"/>
    <w:rsid w:val="00A10AAE"/>
    <w:rsid w:val="00A10FD4"/>
    <w:rsid w:val="00A11112"/>
    <w:rsid w:val="00A1187C"/>
    <w:rsid w:val="00A1209C"/>
    <w:rsid w:val="00A12561"/>
    <w:rsid w:val="00A13381"/>
    <w:rsid w:val="00A13756"/>
    <w:rsid w:val="00A13B3F"/>
    <w:rsid w:val="00A13B7A"/>
    <w:rsid w:val="00A13C92"/>
    <w:rsid w:val="00A13E35"/>
    <w:rsid w:val="00A13FE0"/>
    <w:rsid w:val="00A140CE"/>
    <w:rsid w:val="00A1469D"/>
    <w:rsid w:val="00A14FF4"/>
    <w:rsid w:val="00A15255"/>
    <w:rsid w:val="00A15ED6"/>
    <w:rsid w:val="00A15F21"/>
    <w:rsid w:val="00A16945"/>
    <w:rsid w:val="00A16CBB"/>
    <w:rsid w:val="00A17942"/>
    <w:rsid w:val="00A20351"/>
    <w:rsid w:val="00A2048A"/>
    <w:rsid w:val="00A20BA4"/>
    <w:rsid w:val="00A20E1C"/>
    <w:rsid w:val="00A22404"/>
    <w:rsid w:val="00A2261A"/>
    <w:rsid w:val="00A226B0"/>
    <w:rsid w:val="00A22807"/>
    <w:rsid w:val="00A22998"/>
    <w:rsid w:val="00A22ACF"/>
    <w:rsid w:val="00A22EFC"/>
    <w:rsid w:val="00A23E13"/>
    <w:rsid w:val="00A2474F"/>
    <w:rsid w:val="00A26070"/>
    <w:rsid w:val="00A273F3"/>
    <w:rsid w:val="00A27C34"/>
    <w:rsid w:val="00A3147D"/>
    <w:rsid w:val="00A31AAD"/>
    <w:rsid w:val="00A3228D"/>
    <w:rsid w:val="00A323DA"/>
    <w:rsid w:val="00A324DE"/>
    <w:rsid w:val="00A330FE"/>
    <w:rsid w:val="00A33D51"/>
    <w:rsid w:val="00A340F0"/>
    <w:rsid w:val="00A34D1C"/>
    <w:rsid w:val="00A34D65"/>
    <w:rsid w:val="00A34F2E"/>
    <w:rsid w:val="00A34F35"/>
    <w:rsid w:val="00A356ED"/>
    <w:rsid w:val="00A3575C"/>
    <w:rsid w:val="00A36E3D"/>
    <w:rsid w:val="00A40102"/>
    <w:rsid w:val="00A4033F"/>
    <w:rsid w:val="00A409BF"/>
    <w:rsid w:val="00A40E55"/>
    <w:rsid w:val="00A40FBF"/>
    <w:rsid w:val="00A41D4C"/>
    <w:rsid w:val="00A42BC7"/>
    <w:rsid w:val="00A42C27"/>
    <w:rsid w:val="00A42DFA"/>
    <w:rsid w:val="00A43111"/>
    <w:rsid w:val="00A4378E"/>
    <w:rsid w:val="00A4463A"/>
    <w:rsid w:val="00A4464B"/>
    <w:rsid w:val="00A44DD1"/>
    <w:rsid w:val="00A4555C"/>
    <w:rsid w:val="00A45AC7"/>
    <w:rsid w:val="00A45FF2"/>
    <w:rsid w:val="00A4623A"/>
    <w:rsid w:val="00A47583"/>
    <w:rsid w:val="00A476D8"/>
    <w:rsid w:val="00A47950"/>
    <w:rsid w:val="00A47AC4"/>
    <w:rsid w:val="00A50279"/>
    <w:rsid w:val="00A5058B"/>
    <w:rsid w:val="00A50DCA"/>
    <w:rsid w:val="00A517DF"/>
    <w:rsid w:val="00A519DD"/>
    <w:rsid w:val="00A51B8B"/>
    <w:rsid w:val="00A524D0"/>
    <w:rsid w:val="00A52584"/>
    <w:rsid w:val="00A530AA"/>
    <w:rsid w:val="00A53AC1"/>
    <w:rsid w:val="00A54865"/>
    <w:rsid w:val="00A54F1B"/>
    <w:rsid w:val="00A551BB"/>
    <w:rsid w:val="00A553D5"/>
    <w:rsid w:val="00A55919"/>
    <w:rsid w:val="00A5639B"/>
    <w:rsid w:val="00A56EA6"/>
    <w:rsid w:val="00A57CFE"/>
    <w:rsid w:val="00A57D06"/>
    <w:rsid w:val="00A57DB8"/>
    <w:rsid w:val="00A57E0F"/>
    <w:rsid w:val="00A57EAA"/>
    <w:rsid w:val="00A6024E"/>
    <w:rsid w:val="00A62040"/>
    <w:rsid w:val="00A620DA"/>
    <w:rsid w:val="00A62917"/>
    <w:rsid w:val="00A62B28"/>
    <w:rsid w:val="00A62E20"/>
    <w:rsid w:val="00A6303B"/>
    <w:rsid w:val="00A635F1"/>
    <w:rsid w:val="00A63912"/>
    <w:rsid w:val="00A63C41"/>
    <w:rsid w:val="00A643EE"/>
    <w:rsid w:val="00A6455A"/>
    <w:rsid w:val="00A64CB3"/>
    <w:rsid w:val="00A65096"/>
    <w:rsid w:val="00A653C6"/>
    <w:rsid w:val="00A6594E"/>
    <w:rsid w:val="00A65B26"/>
    <w:rsid w:val="00A65E8D"/>
    <w:rsid w:val="00A66009"/>
    <w:rsid w:val="00A66539"/>
    <w:rsid w:val="00A667DC"/>
    <w:rsid w:val="00A6685E"/>
    <w:rsid w:val="00A676A3"/>
    <w:rsid w:val="00A677A8"/>
    <w:rsid w:val="00A677F6"/>
    <w:rsid w:val="00A70092"/>
    <w:rsid w:val="00A70139"/>
    <w:rsid w:val="00A70923"/>
    <w:rsid w:val="00A70940"/>
    <w:rsid w:val="00A70E8E"/>
    <w:rsid w:val="00A70F5B"/>
    <w:rsid w:val="00A71278"/>
    <w:rsid w:val="00A724A5"/>
    <w:rsid w:val="00A725C2"/>
    <w:rsid w:val="00A728F6"/>
    <w:rsid w:val="00A72D04"/>
    <w:rsid w:val="00A72DBE"/>
    <w:rsid w:val="00A7307A"/>
    <w:rsid w:val="00A73D0C"/>
    <w:rsid w:val="00A74731"/>
    <w:rsid w:val="00A74747"/>
    <w:rsid w:val="00A748FC"/>
    <w:rsid w:val="00A75124"/>
    <w:rsid w:val="00A756D5"/>
    <w:rsid w:val="00A75CC0"/>
    <w:rsid w:val="00A75E68"/>
    <w:rsid w:val="00A7694C"/>
    <w:rsid w:val="00A76D13"/>
    <w:rsid w:val="00A77208"/>
    <w:rsid w:val="00A77343"/>
    <w:rsid w:val="00A773FA"/>
    <w:rsid w:val="00A809D1"/>
    <w:rsid w:val="00A80C2A"/>
    <w:rsid w:val="00A81546"/>
    <w:rsid w:val="00A818F6"/>
    <w:rsid w:val="00A821B4"/>
    <w:rsid w:val="00A83A4A"/>
    <w:rsid w:val="00A84311"/>
    <w:rsid w:val="00A84468"/>
    <w:rsid w:val="00A8448E"/>
    <w:rsid w:val="00A845F2"/>
    <w:rsid w:val="00A84A8C"/>
    <w:rsid w:val="00A84BAF"/>
    <w:rsid w:val="00A84BB8"/>
    <w:rsid w:val="00A85AF8"/>
    <w:rsid w:val="00A861BB"/>
    <w:rsid w:val="00A863AE"/>
    <w:rsid w:val="00A865AC"/>
    <w:rsid w:val="00A8690C"/>
    <w:rsid w:val="00A873A4"/>
    <w:rsid w:val="00A87AC9"/>
    <w:rsid w:val="00A90595"/>
    <w:rsid w:val="00A9064F"/>
    <w:rsid w:val="00A90DF8"/>
    <w:rsid w:val="00A90E94"/>
    <w:rsid w:val="00A91306"/>
    <w:rsid w:val="00A9139C"/>
    <w:rsid w:val="00A91B42"/>
    <w:rsid w:val="00A91DEC"/>
    <w:rsid w:val="00A91EE5"/>
    <w:rsid w:val="00A9269A"/>
    <w:rsid w:val="00A928C5"/>
    <w:rsid w:val="00A92B31"/>
    <w:rsid w:val="00A92DC2"/>
    <w:rsid w:val="00A92FE3"/>
    <w:rsid w:val="00A93F00"/>
    <w:rsid w:val="00A94B71"/>
    <w:rsid w:val="00A95C7A"/>
    <w:rsid w:val="00A95E88"/>
    <w:rsid w:val="00A96500"/>
    <w:rsid w:val="00A96B73"/>
    <w:rsid w:val="00A96BBA"/>
    <w:rsid w:val="00A96F02"/>
    <w:rsid w:val="00A9729C"/>
    <w:rsid w:val="00A97309"/>
    <w:rsid w:val="00A97CDA"/>
    <w:rsid w:val="00AA003F"/>
    <w:rsid w:val="00AA0D4A"/>
    <w:rsid w:val="00AA0D73"/>
    <w:rsid w:val="00AA167C"/>
    <w:rsid w:val="00AA22B3"/>
    <w:rsid w:val="00AA297A"/>
    <w:rsid w:val="00AA3283"/>
    <w:rsid w:val="00AA33BC"/>
    <w:rsid w:val="00AA3459"/>
    <w:rsid w:val="00AA35C4"/>
    <w:rsid w:val="00AA39E4"/>
    <w:rsid w:val="00AA3DE3"/>
    <w:rsid w:val="00AA455C"/>
    <w:rsid w:val="00AA4D91"/>
    <w:rsid w:val="00AA5063"/>
    <w:rsid w:val="00AA51B7"/>
    <w:rsid w:val="00AA544C"/>
    <w:rsid w:val="00AA5590"/>
    <w:rsid w:val="00AA5677"/>
    <w:rsid w:val="00AA589C"/>
    <w:rsid w:val="00AA58D6"/>
    <w:rsid w:val="00AA59D8"/>
    <w:rsid w:val="00AA5EA0"/>
    <w:rsid w:val="00AA5F80"/>
    <w:rsid w:val="00AA6183"/>
    <w:rsid w:val="00AA696F"/>
    <w:rsid w:val="00AA6E85"/>
    <w:rsid w:val="00AA7D5D"/>
    <w:rsid w:val="00AA7E11"/>
    <w:rsid w:val="00AA7E69"/>
    <w:rsid w:val="00AA7EC9"/>
    <w:rsid w:val="00AB0379"/>
    <w:rsid w:val="00AB055D"/>
    <w:rsid w:val="00AB0599"/>
    <w:rsid w:val="00AB077A"/>
    <w:rsid w:val="00AB08F1"/>
    <w:rsid w:val="00AB0F2B"/>
    <w:rsid w:val="00AB1169"/>
    <w:rsid w:val="00AB167F"/>
    <w:rsid w:val="00AB1A3C"/>
    <w:rsid w:val="00AB1C3A"/>
    <w:rsid w:val="00AB2042"/>
    <w:rsid w:val="00AB226E"/>
    <w:rsid w:val="00AB2554"/>
    <w:rsid w:val="00AB27A5"/>
    <w:rsid w:val="00AB2951"/>
    <w:rsid w:val="00AB2B16"/>
    <w:rsid w:val="00AB2C6D"/>
    <w:rsid w:val="00AB40B0"/>
    <w:rsid w:val="00AB40EF"/>
    <w:rsid w:val="00AB4B84"/>
    <w:rsid w:val="00AB5D84"/>
    <w:rsid w:val="00AB625A"/>
    <w:rsid w:val="00AB64CA"/>
    <w:rsid w:val="00AB6822"/>
    <w:rsid w:val="00AB6B03"/>
    <w:rsid w:val="00AB6D69"/>
    <w:rsid w:val="00AB775B"/>
    <w:rsid w:val="00AC08FA"/>
    <w:rsid w:val="00AC1784"/>
    <w:rsid w:val="00AC19ED"/>
    <w:rsid w:val="00AC2013"/>
    <w:rsid w:val="00AC2430"/>
    <w:rsid w:val="00AC270B"/>
    <w:rsid w:val="00AC2F62"/>
    <w:rsid w:val="00AC3400"/>
    <w:rsid w:val="00AC3BD5"/>
    <w:rsid w:val="00AC490F"/>
    <w:rsid w:val="00AC4E49"/>
    <w:rsid w:val="00AC5087"/>
    <w:rsid w:val="00AC50E9"/>
    <w:rsid w:val="00AC5812"/>
    <w:rsid w:val="00AC5BCC"/>
    <w:rsid w:val="00AC5DD6"/>
    <w:rsid w:val="00AC60DE"/>
    <w:rsid w:val="00AC610D"/>
    <w:rsid w:val="00AC6A39"/>
    <w:rsid w:val="00AC7186"/>
    <w:rsid w:val="00AC739E"/>
    <w:rsid w:val="00AC74F8"/>
    <w:rsid w:val="00AC750A"/>
    <w:rsid w:val="00AC7528"/>
    <w:rsid w:val="00AC7A0D"/>
    <w:rsid w:val="00AC7E65"/>
    <w:rsid w:val="00AD0750"/>
    <w:rsid w:val="00AD191F"/>
    <w:rsid w:val="00AD2B74"/>
    <w:rsid w:val="00AD2FB2"/>
    <w:rsid w:val="00AD2FE3"/>
    <w:rsid w:val="00AD3DBF"/>
    <w:rsid w:val="00AD3E4D"/>
    <w:rsid w:val="00AD4328"/>
    <w:rsid w:val="00AD52C4"/>
    <w:rsid w:val="00AD52FA"/>
    <w:rsid w:val="00AD555A"/>
    <w:rsid w:val="00AD59FD"/>
    <w:rsid w:val="00AD5A22"/>
    <w:rsid w:val="00AD5A99"/>
    <w:rsid w:val="00AD6FAC"/>
    <w:rsid w:val="00AD753B"/>
    <w:rsid w:val="00AD7D79"/>
    <w:rsid w:val="00AD7F58"/>
    <w:rsid w:val="00AE0611"/>
    <w:rsid w:val="00AE08A5"/>
    <w:rsid w:val="00AE167E"/>
    <w:rsid w:val="00AE192A"/>
    <w:rsid w:val="00AE1ABE"/>
    <w:rsid w:val="00AE1E73"/>
    <w:rsid w:val="00AE2037"/>
    <w:rsid w:val="00AE2734"/>
    <w:rsid w:val="00AE27A0"/>
    <w:rsid w:val="00AE2EBB"/>
    <w:rsid w:val="00AE3478"/>
    <w:rsid w:val="00AE381D"/>
    <w:rsid w:val="00AE40AE"/>
    <w:rsid w:val="00AE47FB"/>
    <w:rsid w:val="00AE4C24"/>
    <w:rsid w:val="00AE4F7F"/>
    <w:rsid w:val="00AE5A9D"/>
    <w:rsid w:val="00AE5DDA"/>
    <w:rsid w:val="00AE60A2"/>
    <w:rsid w:val="00AE629F"/>
    <w:rsid w:val="00AE6612"/>
    <w:rsid w:val="00AE681E"/>
    <w:rsid w:val="00AE6E8A"/>
    <w:rsid w:val="00AE6FF0"/>
    <w:rsid w:val="00AE71DD"/>
    <w:rsid w:val="00AE74F3"/>
    <w:rsid w:val="00AE76F9"/>
    <w:rsid w:val="00AF0805"/>
    <w:rsid w:val="00AF0DD1"/>
    <w:rsid w:val="00AF12A2"/>
    <w:rsid w:val="00AF140E"/>
    <w:rsid w:val="00AF1AB2"/>
    <w:rsid w:val="00AF1D0F"/>
    <w:rsid w:val="00AF2913"/>
    <w:rsid w:val="00AF2AB2"/>
    <w:rsid w:val="00AF3789"/>
    <w:rsid w:val="00AF3D37"/>
    <w:rsid w:val="00AF3F40"/>
    <w:rsid w:val="00AF3FCB"/>
    <w:rsid w:val="00AF41AC"/>
    <w:rsid w:val="00AF4DEF"/>
    <w:rsid w:val="00AF5738"/>
    <w:rsid w:val="00AF58CF"/>
    <w:rsid w:val="00AF5FEB"/>
    <w:rsid w:val="00AF60F4"/>
    <w:rsid w:val="00AF64AC"/>
    <w:rsid w:val="00AF6F5A"/>
    <w:rsid w:val="00AF7086"/>
    <w:rsid w:val="00AF7142"/>
    <w:rsid w:val="00AF7176"/>
    <w:rsid w:val="00AF720F"/>
    <w:rsid w:val="00AF770D"/>
    <w:rsid w:val="00AF7FAA"/>
    <w:rsid w:val="00B000CB"/>
    <w:rsid w:val="00B00353"/>
    <w:rsid w:val="00B0042D"/>
    <w:rsid w:val="00B008B8"/>
    <w:rsid w:val="00B009EB"/>
    <w:rsid w:val="00B00C98"/>
    <w:rsid w:val="00B00D2A"/>
    <w:rsid w:val="00B016C7"/>
    <w:rsid w:val="00B01763"/>
    <w:rsid w:val="00B01DCE"/>
    <w:rsid w:val="00B03DC0"/>
    <w:rsid w:val="00B0542F"/>
    <w:rsid w:val="00B05840"/>
    <w:rsid w:val="00B05ABE"/>
    <w:rsid w:val="00B05CDC"/>
    <w:rsid w:val="00B06047"/>
    <w:rsid w:val="00B0619E"/>
    <w:rsid w:val="00B06526"/>
    <w:rsid w:val="00B06CBB"/>
    <w:rsid w:val="00B070BA"/>
    <w:rsid w:val="00B073AF"/>
    <w:rsid w:val="00B076F0"/>
    <w:rsid w:val="00B1010F"/>
    <w:rsid w:val="00B108E5"/>
    <w:rsid w:val="00B1127A"/>
    <w:rsid w:val="00B1152D"/>
    <w:rsid w:val="00B1162A"/>
    <w:rsid w:val="00B1179A"/>
    <w:rsid w:val="00B11810"/>
    <w:rsid w:val="00B11AD7"/>
    <w:rsid w:val="00B12451"/>
    <w:rsid w:val="00B12B02"/>
    <w:rsid w:val="00B13C6F"/>
    <w:rsid w:val="00B13CB9"/>
    <w:rsid w:val="00B14D48"/>
    <w:rsid w:val="00B14F7D"/>
    <w:rsid w:val="00B1541A"/>
    <w:rsid w:val="00B1588D"/>
    <w:rsid w:val="00B15DFD"/>
    <w:rsid w:val="00B16A9C"/>
    <w:rsid w:val="00B16CC3"/>
    <w:rsid w:val="00B16E7C"/>
    <w:rsid w:val="00B16FF8"/>
    <w:rsid w:val="00B1720F"/>
    <w:rsid w:val="00B17E9E"/>
    <w:rsid w:val="00B20463"/>
    <w:rsid w:val="00B20796"/>
    <w:rsid w:val="00B20A29"/>
    <w:rsid w:val="00B20C45"/>
    <w:rsid w:val="00B21787"/>
    <w:rsid w:val="00B217AC"/>
    <w:rsid w:val="00B2183A"/>
    <w:rsid w:val="00B218A2"/>
    <w:rsid w:val="00B218E0"/>
    <w:rsid w:val="00B2197E"/>
    <w:rsid w:val="00B22144"/>
    <w:rsid w:val="00B22397"/>
    <w:rsid w:val="00B2257C"/>
    <w:rsid w:val="00B23B54"/>
    <w:rsid w:val="00B23D24"/>
    <w:rsid w:val="00B245EB"/>
    <w:rsid w:val="00B24CB0"/>
    <w:rsid w:val="00B25606"/>
    <w:rsid w:val="00B2664D"/>
    <w:rsid w:val="00B271AA"/>
    <w:rsid w:val="00B272D0"/>
    <w:rsid w:val="00B279CE"/>
    <w:rsid w:val="00B3066D"/>
    <w:rsid w:val="00B30B21"/>
    <w:rsid w:val="00B30BF9"/>
    <w:rsid w:val="00B30E78"/>
    <w:rsid w:val="00B31035"/>
    <w:rsid w:val="00B31406"/>
    <w:rsid w:val="00B316ED"/>
    <w:rsid w:val="00B31717"/>
    <w:rsid w:val="00B31B5A"/>
    <w:rsid w:val="00B31BB3"/>
    <w:rsid w:val="00B31C95"/>
    <w:rsid w:val="00B32481"/>
    <w:rsid w:val="00B327F1"/>
    <w:rsid w:val="00B32A64"/>
    <w:rsid w:val="00B330D2"/>
    <w:rsid w:val="00B3344E"/>
    <w:rsid w:val="00B340EF"/>
    <w:rsid w:val="00B3462D"/>
    <w:rsid w:val="00B34861"/>
    <w:rsid w:val="00B350D0"/>
    <w:rsid w:val="00B3510D"/>
    <w:rsid w:val="00B3517B"/>
    <w:rsid w:val="00B354C2"/>
    <w:rsid w:val="00B357C6"/>
    <w:rsid w:val="00B35B10"/>
    <w:rsid w:val="00B35DBD"/>
    <w:rsid w:val="00B36120"/>
    <w:rsid w:val="00B365CF"/>
    <w:rsid w:val="00B368E0"/>
    <w:rsid w:val="00B3700A"/>
    <w:rsid w:val="00B3784F"/>
    <w:rsid w:val="00B37D78"/>
    <w:rsid w:val="00B37FB2"/>
    <w:rsid w:val="00B41F9F"/>
    <w:rsid w:val="00B421B9"/>
    <w:rsid w:val="00B4248E"/>
    <w:rsid w:val="00B424CE"/>
    <w:rsid w:val="00B42859"/>
    <w:rsid w:val="00B429F7"/>
    <w:rsid w:val="00B42D29"/>
    <w:rsid w:val="00B43067"/>
    <w:rsid w:val="00B431B2"/>
    <w:rsid w:val="00B43A71"/>
    <w:rsid w:val="00B43A98"/>
    <w:rsid w:val="00B43D3F"/>
    <w:rsid w:val="00B43EBE"/>
    <w:rsid w:val="00B43F89"/>
    <w:rsid w:val="00B44254"/>
    <w:rsid w:val="00B4470A"/>
    <w:rsid w:val="00B44879"/>
    <w:rsid w:val="00B4495C"/>
    <w:rsid w:val="00B451B8"/>
    <w:rsid w:val="00B4565A"/>
    <w:rsid w:val="00B458AF"/>
    <w:rsid w:val="00B459FA"/>
    <w:rsid w:val="00B45B35"/>
    <w:rsid w:val="00B462BC"/>
    <w:rsid w:val="00B462E7"/>
    <w:rsid w:val="00B463B6"/>
    <w:rsid w:val="00B46990"/>
    <w:rsid w:val="00B46A37"/>
    <w:rsid w:val="00B47510"/>
    <w:rsid w:val="00B47D5B"/>
    <w:rsid w:val="00B502D9"/>
    <w:rsid w:val="00B50AEF"/>
    <w:rsid w:val="00B50CC5"/>
    <w:rsid w:val="00B50D68"/>
    <w:rsid w:val="00B51623"/>
    <w:rsid w:val="00B51999"/>
    <w:rsid w:val="00B5253C"/>
    <w:rsid w:val="00B52873"/>
    <w:rsid w:val="00B53302"/>
    <w:rsid w:val="00B539BF"/>
    <w:rsid w:val="00B53C4A"/>
    <w:rsid w:val="00B53ECC"/>
    <w:rsid w:val="00B541E1"/>
    <w:rsid w:val="00B54218"/>
    <w:rsid w:val="00B547BE"/>
    <w:rsid w:val="00B54D29"/>
    <w:rsid w:val="00B5533E"/>
    <w:rsid w:val="00B5558B"/>
    <w:rsid w:val="00B55A80"/>
    <w:rsid w:val="00B55B55"/>
    <w:rsid w:val="00B55CE9"/>
    <w:rsid w:val="00B563D9"/>
    <w:rsid w:val="00B56607"/>
    <w:rsid w:val="00B56CDD"/>
    <w:rsid w:val="00B57527"/>
    <w:rsid w:val="00B57B14"/>
    <w:rsid w:val="00B57DC8"/>
    <w:rsid w:val="00B60E1D"/>
    <w:rsid w:val="00B60F1C"/>
    <w:rsid w:val="00B6106A"/>
    <w:rsid w:val="00B6106E"/>
    <w:rsid w:val="00B61623"/>
    <w:rsid w:val="00B619B7"/>
    <w:rsid w:val="00B61B30"/>
    <w:rsid w:val="00B61BB7"/>
    <w:rsid w:val="00B620D5"/>
    <w:rsid w:val="00B626A2"/>
    <w:rsid w:val="00B638A8"/>
    <w:rsid w:val="00B64115"/>
    <w:rsid w:val="00B647A3"/>
    <w:rsid w:val="00B6492D"/>
    <w:rsid w:val="00B653C3"/>
    <w:rsid w:val="00B654DF"/>
    <w:rsid w:val="00B657D1"/>
    <w:rsid w:val="00B671F2"/>
    <w:rsid w:val="00B67750"/>
    <w:rsid w:val="00B67873"/>
    <w:rsid w:val="00B67BBA"/>
    <w:rsid w:val="00B67BBC"/>
    <w:rsid w:val="00B67CB4"/>
    <w:rsid w:val="00B704CF"/>
    <w:rsid w:val="00B70833"/>
    <w:rsid w:val="00B71250"/>
    <w:rsid w:val="00B712E9"/>
    <w:rsid w:val="00B71371"/>
    <w:rsid w:val="00B713E0"/>
    <w:rsid w:val="00B71A01"/>
    <w:rsid w:val="00B72068"/>
    <w:rsid w:val="00B726FC"/>
    <w:rsid w:val="00B72711"/>
    <w:rsid w:val="00B72780"/>
    <w:rsid w:val="00B727D3"/>
    <w:rsid w:val="00B72905"/>
    <w:rsid w:val="00B72C60"/>
    <w:rsid w:val="00B735D5"/>
    <w:rsid w:val="00B737BA"/>
    <w:rsid w:val="00B74BD9"/>
    <w:rsid w:val="00B74DBC"/>
    <w:rsid w:val="00B74E78"/>
    <w:rsid w:val="00B74EE9"/>
    <w:rsid w:val="00B7503C"/>
    <w:rsid w:val="00B75620"/>
    <w:rsid w:val="00B75B50"/>
    <w:rsid w:val="00B75B5F"/>
    <w:rsid w:val="00B75CC2"/>
    <w:rsid w:val="00B760BE"/>
    <w:rsid w:val="00B76F93"/>
    <w:rsid w:val="00B76FEC"/>
    <w:rsid w:val="00B774AD"/>
    <w:rsid w:val="00B77719"/>
    <w:rsid w:val="00B77E74"/>
    <w:rsid w:val="00B80138"/>
    <w:rsid w:val="00B80800"/>
    <w:rsid w:val="00B80FC9"/>
    <w:rsid w:val="00B817A2"/>
    <w:rsid w:val="00B81AE6"/>
    <w:rsid w:val="00B8210D"/>
    <w:rsid w:val="00B82669"/>
    <w:rsid w:val="00B828B8"/>
    <w:rsid w:val="00B82E48"/>
    <w:rsid w:val="00B832B9"/>
    <w:rsid w:val="00B832CF"/>
    <w:rsid w:val="00B83744"/>
    <w:rsid w:val="00B8491E"/>
    <w:rsid w:val="00B85280"/>
    <w:rsid w:val="00B8531B"/>
    <w:rsid w:val="00B85ABF"/>
    <w:rsid w:val="00B85B2C"/>
    <w:rsid w:val="00B85D1C"/>
    <w:rsid w:val="00B8604F"/>
    <w:rsid w:val="00B86901"/>
    <w:rsid w:val="00B87339"/>
    <w:rsid w:val="00B87669"/>
    <w:rsid w:val="00B87AC8"/>
    <w:rsid w:val="00B87BA5"/>
    <w:rsid w:val="00B87BCE"/>
    <w:rsid w:val="00B87CA2"/>
    <w:rsid w:val="00B87DF6"/>
    <w:rsid w:val="00B901BA"/>
    <w:rsid w:val="00B91096"/>
    <w:rsid w:val="00B910BB"/>
    <w:rsid w:val="00B91471"/>
    <w:rsid w:val="00B914F7"/>
    <w:rsid w:val="00B9159A"/>
    <w:rsid w:val="00B929CB"/>
    <w:rsid w:val="00B92B92"/>
    <w:rsid w:val="00B92BED"/>
    <w:rsid w:val="00B92CE8"/>
    <w:rsid w:val="00B93171"/>
    <w:rsid w:val="00B93273"/>
    <w:rsid w:val="00B940AF"/>
    <w:rsid w:val="00B9437A"/>
    <w:rsid w:val="00B94A14"/>
    <w:rsid w:val="00B94A15"/>
    <w:rsid w:val="00B9537F"/>
    <w:rsid w:val="00B9574F"/>
    <w:rsid w:val="00B95EF6"/>
    <w:rsid w:val="00B96100"/>
    <w:rsid w:val="00B9648E"/>
    <w:rsid w:val="00B96E6C"/>
    <w:rsid w:val="00BA0175"/>
    <w:rsid w:val="00BA09BF"/>
    <w:rsid w:val="00BA09D4"/>
    <w:rsid w:val="00BA0D66"/>
    <w:rsid w:val="00BA0D68"/>
    <w:rsid w:val="00BA1451"/>
    <w:rsid w:val="00BA19BF"/>
    <w:rsid w:val="00BA1A99"/>
    <w:rsid w:val="00BA1E9E"/>
    <w:rsid w:val="00BA31D0"/>
    <w:rsid w:val="00BA3421"/>
    <w:rsid w:val="00BA3B52"/>
    <w:rsid w:val="00BA3BB8"/>
    <w:rsid w:val="00BA43A9"/>
    <w:rsid w:val="00BA4C16"/>
    <w:rsid w:val="00BA4CD8"/>
    <w:rsid w:val="00BA51DB"/>
    <w:rsid w:val="00BA5EE9"/>
    <w:rsid w:val="00BA6344"/>
    <w:rsid w:val="00BA6BE1"/>
    <w:rsid w:val="00BA6E9D"/>
    <w:rsid w:val="00BA73C2"/>
    <w:rsid w:val="00BA7686"/>
    <w:rsid w:val="00BA782B"/>
    <w:rsid w:val="00BA7A17"/>
    <w:rsid w:val="00BB03B3"/>
    <w:rsid w:val="00BB03E4"/>
    <w:rsid w:val="00BB0A80"/>
    <w:rsid w:val="00BB1B7B"/>
    <w:rsid w:val="00BB2700"/>
    <w:rsid w:val="00BB2799"/>
    <w:rsid w:val="00BB2845"/>
    <w:rsid w:val="00BB2C7B"/>
    <w:rsid w:val="00BB33E8"/>
    <w:rsid w:val="00BB34F7"/>
    <w:rsid w:val="00BB3723"/>
    <w:rsid w:val="00BB39F3"/>
    <w:rsid w:val="00BB3A1B"/>
    <w:rsid w:val="00BB3F40"/>
    <w:rsid w:val="00BB46AD"/>
    <w:rsid w:val="00BB4772"/>
    <w:rsid w:val="00BB4809"/>
    <w:rsid w:val="00BB4916"/>
    <w:rsid w:val="00BB4D3F"/>
    <w:rsid w:val="00BB526A"/>
    <w:rsid w:val="00BB5483"/>
    <w:rsid w:val="00BB56C0"/>
    <w:rsid w:val="00BB5791"/>
    <w:rsid w:val="00BB58C0"/>
    <w:rsid w:val="00BB5BA0"/>
    <w:rsid w:val="00BB5DE9"/>
    <w:rsid w:val="00BB63AA"/>
    <w:rsid w:val="00BB65DA"/>
    <w:rsid w:val="00BB6E43"/>
    <w:rsid w:val="00BB6FF4"/>
    <w:rsid w:val="00BB706B"/>
    <w:rsid w:val="00BB74E1"/>
    <w:rsid w:val="00BB75CE"/>
    <w:rsid w:val="00BB7A5A"/>
    <w:rsid w:val="00BC01BD"/>
    <w:rsid w:val="00BC027C"/>
    <w:rsid w:val="00BC05C4"/>
    <w:rsid w:val="00BC0B9C"/>
    <w:rsid w:val="00BC1883"/>
    <w:rsid w:val="00BC1A12"/>
    <w:rsid w:val="00BC2034"/>
    <w:rsid w:val="00BC2057"/>
    <w:rsid w:val="00BC23B5"/>
    <w:rsid w:val="00BC248B"/>
    <w:rsid w:val="00BC24AE"/>
    <w:rsid w:val="00BC258E"/>
    <w:rsid w:val="00BC2AEF"/>
    <w:rsid w:val="00BC3F58"/>
    <w:rsid w:val="00BC3F70"/>
    <w:rsid w:val="00BC453E"/>
    <w:rsid w:val="00BC45A8"/>
    <w:rsid w:val="00BC4EB3"/>
    <w:rsid w:val="00BC61A0"/>
    <w:rsid w:val="00BC6314"/>
    <w:rsid w:val="00BC6AC6"/>
    <w:rsid w:val="00BC77EF"/>
    <w:rsid w:val="00BC781C"/>
    <w:rsid w:val="00BC7D3D"/>
    <w:rsid w:val="00BD0541"/>
    <w:rsid w:val="00BD1A59"/>
    <w:rsid w:val="00BD1F56"/>
    <w:rsid w:val="00BD3F39"/>
    <w:rsid w:val="00BD45C4"/>
    <w:rsid w:val="00BD4971"/>
    <w:rsid w:val="00BD4D35"/>
    <w:rsid w:val="00BD5894"/>
    <w:rsid w:val="00BD599A"/>
    <w:rsid w:val="00BD5DC6"/>
    <w:rsid w:val="00BD6341"/>
    <w:rsid w:val="00BD634B"/>
    <w:rsid w:val="00BD678A"/>
    <w:rsid w:val="00BD7900"/>
    <w:rsid w:val="00BE0A28"/>
    <w:rsid w:val="00BE159E"/>
    <w:rsid w:val="00BE1A90"/>
    <w:rsid w:val="00BE1CCC"/>
    <w:rsid w:val="00BE1F16"/>
    <w:rsid w:val="00BE2101"/>
    <w:rsid w:val="00BE28A8"/>
    <w:rsid w:val="00BE2CB6"/>
    <w:rsid w:val="00BE3130"/>
    <w:rsid w:val="00BE3226"/>
    <w:rsid w:val="00BE34D2"/>
    <w:rsid w:val="00BE3520"/>
    <w:rsid w:val="00BE3B5F"/>
    <w:rsid w:val="00BE3F3A"/>
    <w:rsid w:val="00BE4429"/>
    <w:rsid w:val="00BE525B"/>
    <w:rsid w:val="00BE53EB"/>
    <w:rsid w:val="00BE53EC"/>
    <w:rsid w:val="00BE556B"/>
    <w:rsid w:val="00BE5C82"/>
    <w:rsid w:val="00BE68C2"/>
    <w:rsid w:val="00BE6EF2"/>
    <w:rsid w:val="00BE6EFE"/>
    <w:rsid w:val="00BE7560"/>
    <w:rsid w:val="00BE7868"/>
    <w:rsid w:val="00BF025E"/>
    <w:rsid w:val="00BF099E"/>
    <w:rsid w:val="00BF0EC2"/>
    <w:rsid w:val="00BF17D3"/>
    <w:rsid w:val="00BF17E5"/>
    <w:rsid w:val="00BF2266"/>
    <w:rsid w:val="00BF2A9D"/>
    <w:rsid w:val="00BF2B04"/>
    <w:rsid w:val="00BF2D96"/>
    <w:rsid w:val="00BF3955"/>
    <w:rsid w:val="00BF3BD2"/>
    <w:rsid w:val="00BF3C76"/>
    <w:rsid w:val="00BF3D1D"/>
    <w:rsid w:val="00BF3E6B"/>
    <w:rsid w:val="00BF3E91"/>
    <w:rsid w:val="00BF42C6"/>
    <w:rsid w:val="00BF51CD"/>
    <w:rsid w:val="00BF534B"/>
    <w:rsid w:val="00BF570F"/>
    <w:rsid w:val="00BF6122"/>
    <w:rsid w:val="00BF6585"/>
    <w:rsid w:val="00BF6FF4"/>
    <w:rsid w:val="00BF754F"/>
    <w:rsid w:val="00BF79D2"/>
    <w:rsid w:val="00BF7D50"/>
    <w:rsid w:val="00BF7D6F"/>
    <w:rsid w:val="00BF7FC3"/>
    <w:rsid w:val="00C0001B"/>
    <w:rsid w:val="00C00897"/>
    <w:rsid w:val="00C0095F"/>
    <w:rsid w:val="00C0096B"/>
    <w:rsid w:val="00C021CB"/>
    <w:rsid w:val="00C03579"/>
    <w:rsid w:val="00C038BB"/>
    <w:rsid w:val="00C03C46"/>
    <w:rsid w:val="00C03DCC"/>
    <w:rsid w:val="00C03FF2"/>
    <w:rsid w:val="00C043B4"/>
    <w:rsid w:val="00C04CFF"/>
    <w:rsid w:val="00C04E9C"/>
    <w:rsid w:val="00C04EFA"/>
    <w:rsid w:val="00C05039"/>
    <w:rsid w:val="00C057B5"/>
    <w:rsid w:val="00C05D94"/>
    <w:rsid w:val="00C05E1F"/>
    <w:rsid w:val="00C062FF"/>
    <w:rsid w:val="00C0666F"/>
    <w:rsid w:val="00C066FE"/>
    <w:rsid w:val="00C06FB0"/>
    <w:rsid w:val="00C071F5"/>
    <w:rsid w:val="00C0751D"/>
    <w:rsid w:val="00C100B8"/>
    <w:rsid w:val="00C107F2"/>
    <w:rsid w:val="00C10823"/>
    <w:rsid w:val="00C10B0A"/>
    <w:rsid w:val="00C10C63"/>
    <w:rsid w:val="00C12372"/>
    <w:rsid w:val="00C129E6"/>
    <w:rsid w:val="00C12B72"/>
    <w:rsid w:val="00C132F9"/>
    <w:rsid w:val="00C13481"/>
    <w:rsid w:val="00C1358E"/>
    <w:rsid w:val="00C139E6"/>
    <w:rsid w:val="00C13ABF"/>
    <w:rsid w:val="00C13BA6"/>
    <w:rsid w:val="00C1474C"/>
    <w:rsid w:val="00C147BE"/>
    <w:rsid w:val="00C14F5F"/>
    <w:rsid w:val="00C150A8"/>
    <w:rsid w:val="00C15398"/>
    <w:rsid w:val="00C15683"/>
    <w:rsid w:val="00C15CF7"/>
    <w:rsid w:val="00C16227"/>
    <w:rsid w:val="00C16824"/>
    <w:rsid w:val="00C16DD6"/>
    <w:rsid w:val="00C17400"/>
    <w:rsid w:val="00C200BE"/>
    <w:rsid w:val="00C20A3A"/>
    <w:rsid w:val="00C20C29"/>
    <w:rsid w:val="00C21070"/>
    <w:rsid w:val="00C2136E"/>
    <w:rsid w:val="00C213E0"/>
    <w:rsid w:val="00C221B8"/>
    <w:rsid w:val="00C22F6A"/>
    <w:rsid w:val="00C23D8D"/>
    <w:rsid w:val="00C24099"/>
    <w:rsid w:val="00C2447D"/>
    <w:rsid w:val="00C24B81"/>
    <w:rsid w:val="00C24E23"/>
    <w:rsid w:val="00C25428"/>
    <w:rsid w:val="00C2603E"/>
    <w:rsid w:val="00C26AA3"/>
    <w:rsid w:val="00C3031F"/>
    <w:rsid w:val="00C303A1"/>
    <w:rsid w:val="00C30977"/>
    <w:rsid w:val="00C319FE"/>
    <w:rsid w:val="00C31FB9"/>
    <w:rsid w:val="00C31FEB"/>
    <w:rsid w:val="00C320E2"/>
    <w:rsid w:val="00C32109"/>
    <w:rsid w:val="00C32292"/>
    <w:rsid w:val="00C3259D"/>
    <w:rsid w:val="00C32D85"/>
    <w:rsid w:val="00C32F4F"/>
    <w:rsid w:val="00C32FCE"/>
    <w:rsid w:val="00C33270"/>
    <w:rsid w:val="00C332B5"/>
    <w:rsid w:val="00C33891"/>
    <w:rsid w:val="00C338AF"/>
    <w:rsid w:val="00C33FB0"/>
    <w:rsid w:val="00C34465"/>
    <w:rsid w:val="00C34731"/>
    <w:rsid w:val="00C34BDA"/>
    <w:rsid w:val="00C34EB9"/>
    <w:rsid w:val="00C34F0B"/>
    <w:rsid w:val="00C3530A"/>
    <w:rsid w:val="00C35EF5"/>
    <w:rsid w:val="00C36371"/>
    <w:rsid w:val="00C36D3F"/>
    <w:rsid w:val="00C376F5"/>
    <w:rsid w:val="00C4030E"/>
    <w:rsid w:val="00C40369"/>
    <w:rsid w:val="00C40D57"/>
    <w:rsid w:val="00C414D5"/>
    <w:rsid w:val="00C41A55"/>
    <w:rsid w:val="00C41DD8"/>
    <w:rsid w:val="00C41E22"/>
    <w:rsid w:val="00C41E80"/>
    <w:rsid w:val="00C42FE0"/>
    <w:rsid w:val="00C42FE2"/>
    <w:rsid w:val="00C43184"/>
    <w:rsid w:val="00C4377A"/>
    <w:rsid w:val="00C44880"/>
    <w:rsid w:val="00C44A34"/>
    <w:rsid w:val="00C4528D"/>
    <w:rsid w:val="00C45624"/>
    <w:rsid w:val="00C45AA7"/>
    <w:rsid w:val="00C45E2A"/>
    <w:rsid w:val="00C45E6D"/>
    <w:rsid w:val="00C474C4"/>
    <w:rsid w:val="00C50058"/>
    <w:rsid w:val="00C500DD"/>
    <w:rsid w:val="00C50A27"/>
    <w:rsid w:val="00C50CB7"/>
    <w:rsid w:val="00C51BEE"/>
    <w:rsid w:val="00C51C94"/>
    <w:rsid w:val="00C51CD0"/>
    <w:rsid w:val="00C52179"/>
    <w:rsid w:val="00C52397"/>
    <w:rsid w:val="00C5393C"/>
    <w:rsid w:val="00C53C46"/>
    <w:rsid w:val="00C53CDB"/>
    <w:rsid w:val="00C54067"/>
    <w:rsid w:val="00C55480"/>
    <w:rsid w:val="00C554A7"/>
    <w:rsid w:val="00C5578D"/>
    <w:rsid w:val="00C56D0B"/>
    <w:rsid w:val="00C56DAF"/>
    <w:rsid w:val="00C56DE3"/>
    <w:rsid w:val="00C5729B"/>
    <w:rsid w:val="00C5782E"/>
    <w:rsid w:val="00C5794E"/>
    <w:rsid w:val="00C57E5C"/>
    <w:rsid w:val="00C61470"/>
    <w:rsid w:val="00C61F98"/>
    <w:rsid w:val="00C62041"/>
    <w:rsid w:val="00C62075"/>
    <w:rsid w:val="00C6294C"/>
    <w:rsid w:val="00C62A58"/>
    <w:rsid w:val="00C63222"/>
    <w:rsid w:val="00C63269"/>
    <w:rsid w:val="00C63A68"/>
    <w:rsid w:val="00C63EC0"/>
    <w:rsid w:val="00C64BDA"/>
    <w:rsid w:val="00C64C19"/>
    <w:rsid w:val="00C64ECB"/>
    <w:rsid w:val="00C6631B"/>
    <w:rsid w:val="00C66B1C"/>
    <w:rsid w:val="00C66DD1"/>
    <w:rsid w:val="00C67B1F"/>
    <w:rsid w:val="00C70551"/>
    <w:rsid w:val="00C705A4"/>
    <w:rsid w:val="00C706EA"/>
    <w:rsid w:val="00C70BF2"/>
    <w:rsid w:val="00C70CC6"/>
    <w:rsid w:val="00C70D00"/>
    <w:rsid w:val="00C7119C"/>
    <w:rsid w:val="00C7140B"/>
    <w:rsid w:val="00C71489"/>
    <w:rsid w:val="00C71A18"/>
    <w:rsid w:val="00C71A3C"/>
    <w:rsid w:val="00C71D13"/>
    <w:rsid w:val="00C71D43"/>
    <w:rsid w:val="00C71FF3"/>
    <w:rsid w:val="00C721C5"/>
    <w:rsid w:val="00C73423"/>
    <w:rsid w:val="00C73B32"/>
    <w:rsid w:val="00C741A5"/>
    <w:rsid w:val="00C74B22"/>
    <w:rsid w:val="00C75190"/>
    <w:rsid w:val="00C753ED"/>
    <w:rsid w:val="00C75BF9"/>
    <w:rsid w:val="00C761A7"/>
    <w:rsid w:val="00C766D2"/>
    <w:rsid w:val="00C76B1E"/>
    <w:rsid w:val="00C76C51"/>
    <w:rsid w:val="00C77B3C"/>
    <w:rsid w:val="00C80580"/>
    <w:rsid w:val="00C80C0E"/>
    <w:rsid w:val="00C80C77"/>
    <w:rsid w:val="00C8146E"/>
    <w:rsid w:val="00C81F34"/>
    <w:rsid w:val="00C824D1"/>
    <w:rsid w:val="00C82635"/>
    <w:rsid w:val="00C826EA"/>
    <w:rsid w:val="00C82847"/>
    <w:rsid w:val="00C831FE"/>
    <w:rsid w:val="00C83C25"/>
    <w:rsid w:val="00C84080"/>
    <w:rsid w:val="00C842BC"/>
    <w:rsid w:val="00C84CEE"/>
    <w:rsid w:val="00C84F87"/>
    <w:rsid w:val="00C8513A"/>
    <w:rsid w:val="00C85183"/>
    <w:rsid w:val="00C8542C"/>
    <w:rsid w:val="00C8596D"/>
    <w:rsid w:val="00C85AE6"/>
    <w:rsid w:val="00C85F8A"/>
    <w:rsid w:val="00C86960"/>
    <w:rsid w:val="00C86C2F"/>
    <w:rsid w:val="00C875D9"/>
    <w:rsid w:val="00C87AE9"/>
    <w:rsid w:val="00C87D44"/>
    <w:rsid w:val="00C9010C"/>
    <w:rsid w:val="00C90952"/>
    <w:rsid w:val="00C90E85"/>
    <w:rsid w:val="00C9121E"/>
    <w:rsid w:val="00C915C7"/>
    <w:rsid w:val="00C91FBE"/>
    <w:rsid w:val="00C92418"/>
    <w:rsid w:val="00C92596"/>
    <w:rsid w:val="00C92621"/>
    <w:rsid w:val="00C92F1E"/>
    <w:rsid w:val="00C93B40"/>
    <w:rsid w:val="00C93CC0"/>
    <w:rsid w:val="00C94481"/>
    <w:rsid w:val="00C94619"/>
    <w:rsid w:val="00C948C3"/>
    <w:rsid w:val="00C95017"/>
    <w:rsid w:val="00C9513E"/>
    <w:rsid w:val="00C9523F"/>
    <w:rsid w:val="00C95365"/>
    <w:rsid w:val="00C954F0"/>
    <w:rsid w:val="00C955BC"/>
    <w:rsid w:val="00C963CD"/>
    <w:rsid w:val="00C96970"/>
    <w:rsid w:val="00C96FED"/>
    <w:rsid w:val="00C97688"/>
    <w:rsid w:val="00C977A4"/>
    <w:rsid w:val="00C9783A"/>
    <w:rsid w:val="00C97B0A"/>
    <w:rsid w:val="00C97BA5"/>
    <w:rsid w:val="00C97D8F"/>
    <w:rsid w:val="00C97E67"/>
    <w:rsid w:val="00CA0455"/>
    <w:rsid w:val="00CA0568"/>
    <w:rsid w:val="00CA13B5"/>
    <w:rsid w:val="00CA1DCB"/>
    <w:rsid w:val="00CA2791"/>
    <w:rsid w:val="00CA27BF"/>
    <w:rsid w:val="00CA2F6C"/>
    <w:rsid w:val="00CA3370"/>
    <w:rsid w:val="00CA33A7"/>
    <w:rsid w:val="00CA3514"/>
    <w:rsid w:val="00CA3D80"/>
    <w:rsid w:val="00CA40E3"/>
    <w:rsid w:val="00CA4202"/>
    <w:rsid w:val="00CA4322"/>
    <w:rsid w:val="00CA46B9"/>
    <w:rsid w:val="00CA48B5"/>
    <w:rsid w:val="00CA520D"/>
    <w:rsid w:val="00CA5488"/>
    <w:rsid w:val="00CA565F"/>
    <w:rsid w:val="00CA5DEE"/>
    <w:rsid w:val="00CA6163"/>
    <w:rsid w:val="00CA62E8"/>
    <w:rsid w:val="00CA6894"/>
    <w:rsid w:val="00CA70F8"/>
    <w:rsid w:val="00CA715D"/>
    <w:rsid w:val="00CA734D"/>
    <w:rsid w:val="00CA77BF"/>
    <w:rsid w:val="00CA7966"/>
    <w:rsid w:val="00CA7A6A"/>
    <w:rsid w:val="00CB0714"/>
    <w:rsid w:val="00CB07FB"/>
    <w:rsid w:val="00CB1A98"/>
    <w:rsid w:val="00CB1E1A"/>
    <w:rsid w:val="00CB1EC8"/>
    <w:rsid w:val="00CB1EE9"/>
    <w:rsid w:val="00CB2D29"/>
    <w:rsid w:val="00CB30BB"/>
    <w:rsid w:val="00CB317B"/>
    <w:rsid w:val="00CB3644"/>
    <w:rsid w:val="00CB3DCB"/>
    <w:rsid w:val="00CB41AD"/>
    <w:rsid w:val="00CB4638"/>
    <w:rsid w:val="00CB4698"/>
    <w:rsid w:val="00CB4D95"/>
    <w:rsid w:val="00CB558E"/>
    <w:rsid w:val="00CB5B07"/>
    <w:rsid w:val="00CB5B0B"/>
    <w:rsid w:val="00CB61BF"/>
    <w:rsid w:val="00CB635C"/>
    <w:rsid w:val="00CB642C"/>
    <w:rsid w:val="00CB66AA"/>
    <w:rsid w:val="00CB7068"/>
    <w:rsid w:val="00CB754E"/>
    <w:rsid w:val="00CB76E0"/>
    <w:rsid w:val="00CB7AFC"/>
    <w:rsid w:val="00CB7C77"/>
    <w:rsid w:val="00CB7E8F"/>
    <w:rsid w:val="00CB7E90"/>
    <w:rsid w:val="00CC0FEB"/>
    <w:rsid w:val="00CC1462"/>
    <w:rsid w:val="00CC200C"/>
    <w:rsid w:val="00CC2182"/>
    <w:rsid w:val="00CC2389"/>
    <w:rsid w:val="00CC267D"/>
    <w:rsid w:val="00CC26BF"/>
    <w:rsid w:val="00CC2AD7"/>
    <w:rsid w:val="00CC2D90"/>
    <w:rsid w:val="00CC31AB"/>
    <w:rsid w:val="00CC3612"/>
    <w:rsid w:val="00CC361D"/>
    <w:rsid w:val="00CC3A15"/>
    <w:rsid w:val="00CC3B27"/>
    <w:rsid w:val="00CC4041"/>
    <w:rsid w:val="00CC48B9"/>
    <w:rsid w:val="00CC4C4A"/>
    <w:rsid w:val="00CC4CC9"/>
    <w:rsid w:val="00CC4F29"/>
    <w:rsid w:val="00CC4F2D"/>
    <w:rsid w:val="00CC5810"/>
    <w:rsid w:val="00CC58D8"/>
    <w:rsid w:val="00CC61CC"/>
    <w:rsid w:val="00CC6452"/>
    <w:rsid w:val="00CC68D4"/>
    <w:rsid w:val="00CC697E"/>
    <w:rsid w:val="00CC770C"/>
    <w:rsid w:val="00CC791D"/>
    <w:rsid w:val="00CC7EAB"/>
    <w:rsid w:val="00CD0413"/>
    <w:rsid w:val="00CD04A9"/>
    <w:rsid w:val="00CD0637"/>
    <w:rsid w:val="00CD104F"/>
    <w:rsid w:val="00CD162C"/>
    <w:rsid w:val="00CD17CD"/>
    <w:rsid w:val="00CD1D1D"/>
    <w:rsid w:val="00CD1EB4"/>
    <w:rsid w:val="00CD22B6"/>
    <w:rsid w:val="00CD23C9"/>
    <w:rsid w:val="00CD2840"/>
    <w:rsid w:val="00CD28FD"/>
    <w:rsid w:val="00CD356C"/>
    <w:rsid w:val="00CD37C3"/>
    <w:rsid w:val="00CD41F2"/>
    <w:rsid w:val="00CD43A7"/>
    <w:rsid w:val="00CD443A"/>
    <w:rsid w:val="00CD484F"/>
    <w:rsid w:val="00CD4C45"/>
    <w:rsid w:val="00CD4F78"/>
    <w:rsid w:val="00CD5296"/>
    <w:rsid w:val="00CD52F2"/>
    <w:rsid w:val="00CD590F"/>
    <w:rsid w:val="00CD5E85"/>
    <w:rsid w:val="00CD5EE5"/>
    <w:rsid w:val="00CD60C4"/>
    <w:rsid w:val="00CD660A"/>
    <w:rsid w:val="00CD7C74"/>
    <w:rsid w:val="00CD7EA4"/>
    <w:rsid w:val="00CE08D1"/>
    <w:rsid w:val="00CE22A7"/>
    <w:rsid w:val="00CE22C8"/>
    <w:rsid w:val="00CE2D49"/>
    <w:rsid w:val="00CE3333"/>
    <w:rsid w:val="00CE3847"/>
    <w:rsid w:val="00CE41F1"/>
    <w:rsid w:val="00CE453D"/>
    <w:rsid w:val="00CE4953"/>
    <w:rsid w:val="00CE4C43"/>
    <w:rsid w:val="00CE4C5F"/>
    <w:rsid w:val="00CE4CDB"/>
    <w:rsid w:val="00CE4E92"/>
    <w:rsid w:val="00CE51B8"/>
    <w:rsid w:val="00CE5254"/>
    <w:rsid w:val="00CE5673"/>
    <w:rsid w:val="00CE58E4"/>
    <w:rsid w:val="00CE5CB6"/>
    <w:rsid w:val="00CE5FAA"/>
    <w:rsid w:val="00CE7080"/>
    <w:rsid w:val="00CE70F9"/>
    <w:rsid w:val="00CE71A9"/>
    <w:rsid w:val="00CE723F"/>
    <w:rsid w:val="00CE72AF"/>
    <w:rsid w:val="00CE75BF"/>
    <w:rsid w:val="00CE79DF"/>
    <w:rsid w:val="00CE7A62"/>
    <w:rsid w:val="00CF0685"/>
    <w:rsid w:val="00CF159F"/>
    <w:rsid w:val="00CF18CE"/>
    <w:rsid w:val="00CF1C53"/>
    <w:rsid w:val="00CF1EC0"/>
    <w:rsid w:val="00CF2FC8"/>
    <w:rsid w:val="00CF3AFF"/>
    <w:rsid w:val="00CF3E9B"/>
    <w:rsid w:val="00CF48F4"/>
    <w:rsid w:val="00CF4992"/>
    <w:rsid w:val="00CF4AC3"/>
    <w:rsid w:val="00CF4FC1"/>
    <w:rsid w:val="00CF5069"/>
    <w:rsid w:val="00CF50A1"/>
    <w:rsid w:val="00CF55E7"/>
    <w:rsid w:val="00CF5E2F"/>
    <w:rsid w:val="00CF61D1"/>
    <w:rsid w:val="00CF6850"/>
    <w:rsid w:val="00CF6952"/>
    <w:rsid w:val="00CF6AA5"/>
    <w:rsid w:val="00CF6BF0"/>
    <w:rsid w:val="00CF79AB"/>
    <w:rsid w:val="00CF7A38"/>
    <w:rsid w:val="00D00184"/>
    <w:rsid w:val="00D00510"/>
    <w:rsid w:val="00D00585"/>
    <w:rsid w:val="00D005A1"/>
    <w:rsid w:val="00D005F3"/>
    <w:rsid w:val="00D0073C"/>
    <w:rsid w:val="00D00820"/>
    <w:rsid w:val="00D01530"/>
    <w:rsid w:val="00D01DBE"/>
    <w:rsid w:val="00D01E51"/>
    <w:rsid w:val="00D01F81"/>
    <w:rsid w:val="00D02563"/>
    <w:rsid w:val="00D028C9"/>
    <w:rsid w:val="00D035F2"/>
    <w:rsid w:val="00D03692"/>
    <w:rsid w:val="00D03AE5"/>
    <w:rsid w:val="00D03AFF"/>
    <w:rsid w:val="00D03BCF"/>
    <w:rsid w:val="00D0404A"/>
    <w:rsid w:val="00D04533"/>
    <w:rsid w:val="00D048E7"/>
    <w:rsid w:val="00D04DA4"/>
    <w:rsid w:val="00D04E7C"/>
    <w:rsid w:val="00D0515E"/>
    <w:rsid w:val="00D05194"/>
    <w:rsid w:val="00D05652"/>
    <w:rsid w:val="00D057A3"/>
    <w:rsid w:val="00D05D90"/>
    <w:rsid w:val="00D05DAC"/>
    <w:rsid w:val="00D05E49"/>
    <w:rsid w:val="00D061C2"/>
    <w:rsid w:val="00D0669D"/>
    <w:rsid w:val="00D07592"/>
    <w:rsid w:val="00D0767E"/>
    <w:rsid w:val="00D077C4"/>
    <w:rsid w:val="00D07983"/>
    <w:rsid w:val="00D10179"/>
    <w:rsid w:val="00D10BAE"/>
    <w:rsid w:val="00D10CB4"/>
    <w:rsid w:val="00D114DC"/>
    <w:rsid w:val="00D1183A"/>
    <w:rsid w:val="00D11B2A"/>
    <w:rsid w:val="00D11BDD"/>
    <w:rsid w:val="00D11E3C"/>
    <w:rsid w:val="00D11F75"/>
    <w:rsid w:val="00D121AA"/>
    <w:rsid w:val="00D128AE"/>
    <w:rsid w:val="00D12AF7"/>
    <w:rsid w:val="00D12BAC"/>
    <w:rsid w:val="00D132B3"/>
    <w:rsid w:val="00D1466D"/>
    <w:rsid w:val="00D14B07"/>
    <w:rsid w:val="00D14B81"/>
    <w:rsid w:val="00D14C72"/>
    <w:rsid w:val="00D150C2"/>
    <w:rsid w:val="00D1517F"/>
    <w:rsid w:val="00D15F34"/>
    <w:rsid w:val="00D167CD"/>
    <w:rsid w:val="00D16D9B"/>
    <w:rsid w:val="00D17CDF"/>
    <w:rsid w:val="00D2015A"/>
    <w:rsid w:val="00D20197"/>
    <w:rsid w:val="00D202A9"/>
    <w:rsid w:val="00D20761"/>
    <w:rsid w:val="00D21812"/>
    <w:rsid w:val="00D21AAA"/>
    <w:rsid w:val="00D21CD8"/>
    <w:rsid w:val="00D21D94"/>
    <w:rsid w:val="00D2202F"/>
    <w:rsid w:val="00D2249C"/>
    <w:rsid w:val="00D22A67"/>
    <w:rsid w:val="00D22B02"/>
    <w:rsid w:val="00D23462"/>
    <w:rsid w:val="00D24295"/>
    <w:rsid w:val="00D24513"/>
    <w:rsid w:val="00D2520F"/>
    <w:rsid w:val="00D25233"/>
    <w:rsid w:val="00D25978"/>
    <w:rsid w:val="00D25C58"/>
    <w:rsid w:val="00D264B6"/>
    <w:rsid w:val="00D2654A"/>
    <w:rsid w:val="00D2699D"/>
    <w:rsid w:val="00D26A07"/>
    <w:rsid w:val="00D27063"/>
    <w:rsid w:val="00D275F9"/>
    <w:rsid w:val="00D30106"/>
    <w:rsid w:val="00D30962"/>
    <w:rsid w:val="00D30D28"/>
    <w:rsid w:val="00D3126B"/>
    <w:rsid w:val="00D314A3"/>
    <w:rsid w:val="00D31713"/>
    <w:rsid w:val="00D31968"/>
    <w:rsid w:val="00D31B4B"/>
    <w:rsid w:val="00D31FEE"/>
    <w:rsid w:val="00D32243"/>
    <w:rsid w:val="00D329B1"/>
    <w:rsid w:val="00D32E08"/>
    <w:rsid w:val="00D32E73"/>
    <w:rsid w:val="00D3360C"/>
    <w:rsid w:val="00D33C64"/>
    <w:rsid w:val="00D34248"/>
    <w:rsid w:val="00D344BF"/>
    <w:rsid w:val="00D34576"/>
    <w:rsid w:val="00D34750"/>
    <w:rsid w:val="00D3478B"/>
    <w:rsid w:val="00D34FBE"/>
    <w:rsid w:val="00D35512"/>
    <w:rsid w:val="00D35C39"/>
    <w:rsid w:val="00D35C72"/>
    <w:rsid w:val="00D35D42"/>
    <w:rsid w:val="00D3638A"/>
    <w:rsid w:val="00D36438"/>
    <w:rsid w:val="00D36586"/>
    <w:rsid w:val="00D36694"/>
    <w:rsid w:val="00D36EE1"/>
    <w:rsid w:val="00D370B0"/>
    <w:rsid w:val="00D37428"/>
    <w:rsid w:val="00D375C5"/>
    <w:rsid w:val="00D37A55"/>
    <w:rsid w:val="00D37CE2"/>
    <w:rsid w:val="00D401C7"/>
    <w:rsid w:val="00D40655"/>
    <w:rsid w:val="00D40E2D"/>
    <w:rsid w:val="00D411C5"/>
    <w:rsid w:val="00D41277"/>
    <w:rsid w:val="00D41E2F"/>
    <w:rsid w:val="00D421A5"/>
    <w:rsid w:val="00D42755"/>
    <w:rsid w:val="00D427D9"/>
    <w:rsid w:val="00D4389D"/>
    <w:rsid w:val="00D440CB"/>
    <w:rsid w:val="00D444CF"/>
    <w:rsid w:val="00D44590"/>
    <w:rsid w:val="00D45164"/>
    <w:rsid w:val="00D452FD"/>
    <w:rsid w:val="00D456CF"/>
    <w:rsid w:val="00D457EC"/>
    <w:rsid w:val="00D45CD3"/>
    <w:rsid w:val="00D461A7"/>
    <w:rsid w:val="00D46728"/>
    <w:rsid w:val="00D46D78"/>
    <w:rsid w:val="00D472E9"/>
    <w:rsid w:val="00D47940"/>
    <w:rsid w:val="00D479F3"/>
    <w:rsid w:val="00D506C0"/>
    <w:rsid w:val="00D50D64"/>
    <w:rsid w:val="00D50EB3"/>
    <w:rsid w:val="00D50F81"/>
    <w:rsid w:val="00D51487"/>
    <w:rsid w:val="00D5152D"/>
    <w:rsid w:val="00D51656"/>
    <w:rsid w:val="00D52102"/>
    <w:rsid w:val="00D5219B"/>
    <w:rsid w:val="00D53293"/>
    <w:rsid w:val="00D53A82"/>
    <w:rsid w:val="00D53D1C"/>
    <w:rsid w:val="00D5409B"/>
    <w:rsid w:val="00D5426B"/>
    <w:rsid w:val="00D54422"/>
    <w:rsid w:val="00D54766"/>
    <w:rsid w:val="00D54B44"/>
    <w:rsid w:val="00D54FD9"/>
    <w:rsid w:val="00D55CB8"/>
    <w:rsid w:val="00D56C61"/>
    <w:rsid w:val="00D572DF"/>
    <w:rsid w:val="00D5733D"/>
    <w:rsid w:val="00D57619"/>
    <w:rsid w:val="00D57A46"/>
    <w:rsid w:val="00D608AB"/>
    <w:rsid w:val="00D60989"/>
    <w:rsid w:val="00D60AB1"/>
    <w:rsid w:val="00D60BF8"/>
    <w:rsid w:val="00D60EC0"/>
    <w:rsid w:val="00D61240"/>
    <w:rsid w:val="00D6146B"/>
    <w:rsid w:val="00D615BD"/>
    <w:rsid w:val="00D6174F"/>
    <w:rsid w:val="00D61EA7"/>
    <w:rsid w:val="00D624C2"/>
    <w:rsid w:val="00D624FA"/>
    <w:rsid w:val="00D6284B"/>
    <w:rsid w:val="00D62A79"/>
    <w:rsid w:val="00D6317D"/>
    <w:rsid w:val="00D6329C"/>
    <w:rsid w:val="00D632EC"/>
    <w:rsid w:val="00D63E59"/>
    <w:rsid w:val="00D640AF"/>
    <w:rsid w:val="00D64C33"/>
    <w:rsid w:val="00D65426"/>
    <w:rsid w:val="00D65701"/>
    <w:rsid w:val="00D65AFE"/>
    <w:rsid w:val="00D65BCF"/>
    <w:rsid w:val="00D65F4C"/>
    <w:rsid w:val="00D66979"/>
    <w:rsid w:val="00D66E52"/>
    <w:rsid w:val="00D66E69"/>
    <w:rsid w:val="00D6720F"/>
    <w:rsid w:val="00D67963"/>
    <w:rsid w:val="00D67F2D"/>
    <w:rsid w:val="00D70E45"/>
    <w:rsid w:val="00D71506"/>
    <w:rsid w:val="00D71D86"/>
    <w:rsid w:val="00D726FA"/>
    <w:rsid w:val="00D72762"/>
    <w:rsid w:val="00D72764"/>
    <w:rsid w:val="00D732B8"/>
    <w:rsid w:val="00D73334"/>
    <w:rsid w:val="00D73460"/>
    <w:rsid w:val="00D73571"/>
    <w:rsid w:val="00D73CD7"/>
    <w:rsid w:val="00D74022"/>
    <w:rsid w:val="00D74DDB"/>
    <w:rsid w:val="00D75397"/>
    <w:rsid w:val="00D76A6C"/>
    <w:rsid w:val="00D76B01"/>
    <w:rsid w:val="00D76D88"/>
    <w:rsid w:val="00D7730B"/>
    <w:rsid w:val="00D77499"/>
    <w:rsid w:val="00D77860"/>
    <w:rsid w:val="00D77994"/>
    <w:rsid w:val="00D77D37"/>
    <w:rsid w:val="00D77E6F"/>
    <w:rsid w:val="00D808E6"/>
    <w:rsid w:val="00D80AD4"/>
    <w:rsid w:val="00D8139D"/>
    <w:rsid w:val="00D8147F"/>
    <w:rsid w:val="00D818E6"/>
    <w:rsid w:val="00D82065"/>
    <w:rsid w:val="00D821F7"/>
    <w:rsid w:val="00D824F7"/>
    <w:rsid w:val="00D8274C"/>
    <w:rsid w:val="00D8304C"/>
    <w:rsid w:val="00D83308"/>
    <w:rsid w:val="00D833F1"/>
    <w:rsid w:val="00D833F7"/>
    <w:rsid w:val="00D83444"/>
    <w:rsid w:val="00D834B9"/>
    <w:rsid w:val="00D83841"/>
    <w:rsid w:val="00D83CFB"/>
    <w:rsid w:val="00D84443"/>
    <w:rsid w:val="00D84602"/>
    <w:rsid w:val="00D84714"/>
    <w:rsid w:val="00D84761"/>
    <w:rsid w:val="00D85230"/>
    <w:rsid w:val="00D85901"/>
    <w:rsid w:val="00D85EE1"/>
    <w:rsid w:val="00D860D4"/>
    <w:rsid w:val="00D86E6F"/>
    <w:rsid w:val="00D87049"/>
    <w:rsid w:val="00D875D3"/>
    <w:rsid w:val="00D87F58"/>
    <w:rsid w:val="00D902F3"/>
    <w:rsid w:val="00D9031E"/>
    <w:rsid w:val="00D905BC"/>
    <w:rsid w:val="00D90ABC"/>
    <w:rsid w:val="00D91F8C"/>
    <w:rsid w:val="00D9259E"/>
    <w:rsid w:val="00D93109"/>
    <w:rsid w:val="00D93412"/>
    <w:rsid w:val="00D94614"/>
    <w:rsid w:val="00D9480E"/>
    <w:rsid w:val="00D94943"/>
    <w:rsid w:val="00D95A7B"/>
    <w:rsid w:val="00D95E94"/>
    <w:rsid w:val="00D95F33"/>
    <w:rsid w:val="00D964C5"/>
    <w:rsid w:val="00D96BE0"/>
    <w:rsid w:val="00D979D7"/>
    <w:rsid w:val="00D97DC3"/>
    <w:rsid w:val="00DA0C9F"/>
    <w:rsid w:val="00DA13E8"/>
    <w:rsid w:val="00DA1E33"/>
    <w:rsid w:val="00DA1FC4"/>
    <w:rsid w:val="00DA2ACA"/>
    <w:rsid w:val="00DA399F"/>
    <w:rsid w:val="00DA3E1F"/>
    <w:rsid w:val="00DA487F"/>
    <w:rsid w:val="00DA4C33"/>
    <w:rsid w:val="00DA4CC8"/>
    <w:rsid w:val="00DA4DB9"/>
    <w:rsid w:val="00DA57F5"/>
    <w:rsid w:val="00DA5A1C"/>
    <w:rsid w:val="00DA5D34"/>
    <w:rsid w:val="00DA6B71"/>
    <w:rsid w:val="00DA6BA7"/>
    <w:rsid w:val="00DA6E73"/>
    <w:rsid w:val="00DA6F7E"/>
    <w:rsid w:val="00DA7F82"/>
    <w:rsid w:val="00DB0020"/>
    <w:rsid w:val="00DB0D52"/>
    <w:rsid w:val="00DB0EFA"/>
    <w:rsid w:val="00DB122B"/>
    <w:rsid w:val="00DB1758"/>
    <w:rsid w:val="00DB1E55"/>
    <w:rsid w:val="00DB275A"/>
    <w:rsid w:val="00DB27A8"/>
    <w:rsid w:val="00DB2BF3"/>
    <w:rsid w:val="00DB31AA"/>
    <w:rsid w:val="00DB3894"/>
    <w:rsid w:val="00DB46A1"/>
    <w:rsid w:val="00DB4B47"/>
    <w:rsid w:val="00DB4E57"/>
    <w:rsid w:val="00DB5D82"/>
    <w:rsid w:val="00DB5DDC"/>
    <w:rsid w:val="00DB5FE3"/>
    <w:rsid w:val="00DB6682"/>
    <w:rsid w:val="00DB69F3"/>
    <w:rsid w:val="00DB788F"/>
    <w:rsid w:val="00DB7FF9"/>
    <w:rsid w:val="00DC0C05"/>
    <w:rsid w:val="00DC0D3B"/>
    <w:rsid w:val="00DC0E5D"/>
    <w:rsid w:val="00DC106D"/>
    <w:rsid w:val="00DC1274"/>
    <w:rsid w:val="00DC23EC"/>
    <w:rsid w:val="00DC2D9D"/>
    <w:rsid w:val="00DC34FD"/>
    <w:rsid w:val="00DC351A"/>
    <w:rsid w:val="00DC352B"/>
    <w:rsid w:val="00DC3734"/>
    <w:rsid w:val="00DC3AC9"/>
    <w:rsid w:val="00DC3D30"/>
    <w:rsid w:val="00DC4E91"/>
    <w:rsid w:val="00DC59B6"/>
    <w:rsid w:val="00DC60D3"/>
    <w:rsid w:val="00DC6182"/>
    <w:rsid w:val="00DC687D"/>
    <w:rsid w:val="00DC6F0A"/>
    <w:rsid w:val="00DC6F46"/>
    <w:rsid w:val="00DC7337"/>
    <w:rsid w:val="00DC789E"/>
    <w:rsid w:val="00DC7D83"/>
    <w:rsid w:val="00DC7F9A"/>
    <w:rsid w:val="00DD0251"/>
    <w:rsid w:val="00DD02B2"/>
    <w:rsid w:val="00DD02C2"/>
    <w:rsid w:val="00DD098A"/>
    <w:rsid w:val="00DD0CF4"/>
    <w:rsid w:val="00DD1D16"/>
    <w:rsid w:val="00DD1E09"/>
    <w:rsid w:val="00DD2470"/>
    <w:rsid w:val="00DD2541"/>
    <w:rsid w:val="00DD2B37"/>
    <w:rsid w:val="00DD2BD3"/>
    <w:rsid w:val="00DD2D92"/>
    <w:rsid w:val="00DD32E3"/>
    <w:rsid w:val="00DD37B4"/>
    <w:rsid w:val="00DD3805"/>
    <w:rsid w:val="00DD3AB6"/>
    <w:rsid w:val="00DD3AC0"/>
    <w:rsid w:val="00DD3DE4"/>
    <w:rsid w:val="00DD3F6C"/>
    <w:rsid w:val="00DD461C"/>
    <w:rsid w:val="00DD5CA0"/>
    <w:rsid w:val="00DD6D70"/>
    <w:rsid w:val="00DD70D0"/>
    <w:rsid w:val="00DD788E"/>
    <w:rsid w:val="00DD790B"/>
    <w:rsid w:val="00DD7C95"/>
    <w:rsid w:val="00DE09E4"/>
    <w:rsid w:val="00DE0AB2"/>
    <w:rsid w:val="00DE0C08"/>
    <w:rsid w:val="00DE117C"/>
    <w:rsid w:val="00DE1186"/>
    <w:rsid w:val="00DE151D"/>
    <w:rsid w:val="00DE1838"/>
    <w:rsid w:val="00DE1A3D"/>
    <w:rsid w:val="00DE1ADA"/>
    <w:rsid w:val="00DE1F2F"/>
    <w:rsid w:val="00DE209C"/>
    <w:rsid w:val="00DE2319"/>
    <w:rsid w:val="00DE2758"/>
    <w:rsid w:val="00DE2DE8"/>
    <w:rsid w:val="00DE3145"/>
    <w:rsid w:val="00DE34BF"/>
    <w:rsid w:val="00DE3715"/>
    <w:rsid w:val="00DE3B5D"/>
    <w:rsid w:val="00DE4131"/>
    <w:rsid w:val="00DE516D"/>
    <w:rsid w:val="00DE5A05"/>
    <w:rsid w:val="00DE5B5B"/>
    <w:rsid w:val="00DE5CE5"/>
    <w:rsid w:val="00DE5CF1"/>
    <w:rsid w:val="00DE5DBA"/>
    <w:rsid w:val="00DE5ED7"/>
    <w:rsid w:val="00DE61EB"/>
    <w:rsid w:val="00DE6266"/>
    <w:rsid w:val="00DE62AB"/>
    <w:rsid w:val="00DE633C"/>
    <w:rsid w:val="00DE70B6"/>
    <w:rsid w:val="00DE7DDC"/>
    <w:rsid w:val="00DF00FF"/>
    <w:rsid w:val="00DF0112"/>
    <w:rsid w:val="00DF0FA6"/>
    <w:rsid w:val="00DF200A"/>
    <w:rsid w:val="00DF27A8"/>
    <w:rsid w:val="00DF29FA"/>
    <w:rsid w:val="00DF31AD"/>
    <w:rsid w:val="00DF333D"/>
    <w:rsid w:val="00DF3511"/>
    <w:rsid w:val="00DF3598"/>
    <w:rsid w:val="00DF359C"/>
    <w:rsid w:val="00DF35C4"/>
    <w:rsid w:val="00DF3A44"/>
    <w:rsid w:val="00DF43E6"/>
    <w:rsid w:val="00DF4726"/>
    <w:rsid w:val="00DF47C3"/>
    <w:rsid w:val="00DF49F2"/>
    <w:rsid w:val="00DF4D21"/>
    <w:rsid w:val="00DF54E1"/>
    <w:rsid w:val="00DF5582"/>
    <w:rsid w:val="00DF57BF"/>
    <w:rsid w:val="00DF5DD8"/>
    <w:rsid w:val="00DF601B"/>
    <w:rsid w:val="00DF6695"/>
    <w:rsid w:val="00DF68DB"/>
    <w:rsid w:val="00DF68FC"/>
    <w:rsid w:val="00DF6BD5"/>
    <w:rsid w:val="00DF7224"/>
    <w:rsid w:val="00DF725A"/>
    <w:rsid w:val="00DF792C"/>
    <w:rsid w:val="00E002DF"/>
    <w:rsid w:val="00E004DC"/>
    <w:rsid w:val="00E00582"/>
    <w:rsid w:val="00E00AB8"/>
    <w:rsid w:val="00E00D24"/>
    <w:rsid w:val="00E018A0"/>
    <w:rsid w:val="00E01D52"/>
    <w:rsid w:val="00E01E9B"/>
    <w:rsid w:val="00E024CE"/>
    <w:rsid w:val="00E02598"/>
    <w:rsid w:val="00E02676"/>
    <w:rsid w:val="00E027F5"/>
    <w:rsid w:val="00E03657"/>
    <w:rsid w:val="00E040A2"/>
    <w:rsid w:val="00E0465A"/>
    <w:rsid w:val="00E0465D"/>
    <w:rsid w:val="00E049D7"/>
    <w:rsid w:val="00E04B99"/>
    <w:rsid w:val="00E04D24"/>
    <w:rsid w:val="00E05038"/>
    <w:rsid w:val="00E05194"/>
    <w:rsid w:val="00E051FB"/>
    <w:rsid w:val="00E05700"/>
    <w:rsid w:val="00E05DD8"/>
    <w:rsid w:val="00E06725"/>
    <w:rsid w:val="00E070D3"/>
    <w:rsid w:val="00E0772C"/>
    <w:rsid w:val="00E077DA"/>
    <w:rsid w:val="00E07AFF"/>
    <w:rsid w:val="00E10083"/>
    <w:rsid w:val="00E101E9"/>
    <w:rsid w:val="00E10AF1"/>
    <w:rsid w:val="00E11483"/>
    <w:rsid w:val="00E11A31"/>
    <w:rsid w:val="00E11F92"/>
    <w:rsid w:val="00E120A3"/>
    <w:rsid w:val="00E1223E"/>
    <w:rsid w:val="00E1246A"/>
    <w:rsid w:val="00E125AF"/>
    <w:rsid w:val="00E12B9A"/>
    <w:rsid w:val="00E12D59"/>
    <w:rsid w:val="00E131A0"/>
    <w:rsid w:val="00E13916"/>
    <w:rsid w:val="00E13F4D"/>
    <w:rsid w:val="00E1445C"/>
    <w:rsid w:val="00E1449E"/>
    <w:rsid w:val="00E145C2"/>
    <w:rsid w:val="00E14E3A"/>
    <w:rsid w:val="00E15A4F"/>
    <w:rsid w:val="00E15F54"/>
    <w:rsid w:val="00E16291"/>
    <w:rsid w:val="00E164F9"/>
    <w:rsid w:val="00E165D2"/>
    <w:rsid w:val="00E171A6"/>
    <w:rsid w:val="00E1792A"/>
    <w:rsid w:val="00E17982"/>
    <w:rsid w:val="00E17B86"/>
    <w:rsid w:val="00E200ED"/>
    <w:rsid w:val="00E20556"/>
    <w:rsid w:val="00E20667"/>
    <w:rsid w:val="00E20CC5"/>
    <w:rsid w:val="00E212D4"/>
    <w:rsid w:val="00E21BA7"/>
    <w:rsid w:val="00E21E1A"/>
    <w:rsid w:val="00E21FB2"/>
    <w:rsid w:val="00E227C5"/>
    <w:rsid w:val="00E22955"/>
    <w:rsid w:val="00E22C3C"/>
    <w:rsid w:val="00E23013"/>
    <w:rsid w:val="00E24043"/>
    <w:rsid w:val="00E24210"/>
    <w:rsid w:val="00E25AE7"/>
    <w:rsid w:val="00E25B88"/>
    <w:rsid w:val="00E25C0A"/>
    <w:rsid w:val="00E25C14"/>
    <w:rsid w:val="00E25DED"/>
    <w:rsid w:val="00E26013"/>
    <w:rsid w:val="00E26159"/>
    <w:rsid w:val="00E26395"/>
    <w:rsid w:val="00E26D7B"/>
    <w:rsid w:val="00E2700D"/>
    <w:rsid w:val="00E274B6"/>
    <w:rsid w:val="00E27C67"/>
    <w:rsid w:val="00E27E33"/>
    <w:rsid w:val="00E300D7"/>
    <w:rsid w:val="00E30560"/>
    <w:rsid w:val="00E3070D"/>
    <w:rsid w:val="00E308FE"/>
    <w:rsid w:val="00E313CD"/>
    <w:rsid w:val="00E31D10"/>
    <w:rsid w:val="00E32053"/>
    <w:rsid w:val="00E32BB5"/>
    <w:rsid w:val="00E32F88"/>
    <w:rsid w:val="00E33A2B"/>
    <w:rsid w:val="00E33F97"/>
    <w:rsid w:val="00E34140"/>
    <w:rsid w:val="00E341FF"/>
    <w:rsid w:val="00E34206"/>
    <w:rsid w:val="00E3429C"/>
    <w:rsid w:val="00E345F3"/>
    <w:rsid w:val="00E3461B"/>
    <w:rsid w:val="00E36357"/>
    <w:rsid w:val="00E368B2"/>
    <w:rsid w:val="00E368BD"/>
    <w:rsid w:val="00E36AA7"/>
    <w:rsid w:val="00E36F6A"/>
    <w:rsid w:val="00E374B8"/>
    <w:rsid w:val="00E37744"/>
    <w:rsid w:val="00E377E9"/>
    <w:rsid w:val="00E40C96"/>
    <w:rsid w:val="00E40CCE"/>
    <w:rsid w:val="00E40CFC"/>
    <w:rsid w:val="00E4166E"/>
    <w:rsid w:val="00E41F85"/>
    <w:rsid w:val="00E42005"/>
    <w:rsid w:val="00E423B7"/>
    <w:rsid w:val="00E425A0"/>
    <w:rsid w:val="00E43CB7"/>
    <w:rsid w:val="00E4458B"/>
    <w:rsid w:val="00E44A1C"/>
    <w:rsid w:val="00E4522C"/>
    <w:rsid w:val="00E4550E"/>
    <w:rsid w:val="00E4666A"/>
    <w:rsid w:val="00E46714"/>
    <w:rsid w:val="00E46988"/>
    <w:rsid w:val="00E46BEB"/>
    <w:rsid w:val="00E47220"/>
    <w:rsid w:val="00E47ACA"/>
    <w:rsid w:val="00E47F10"/>
    <w:rsid w:val="00E50203"/>
    <w:rsid w:val="00E51036"/>
    <w:rsid w:val="00E5160E"/>
    <w:rsid w:val="00E517DA"/>
    <w:rsid w:val="00E51EE5"/>
    <w:rsid w:val="00E51FCE"/>
    <w:rsid w:val="00E52367"/>
    <w:rsid w:val="00E525E5"/>
    <w:rsid w:val="00E526AE"/>
    <w:rsid w:val="00E52947"/>
    <w:rsid w:val="00E5356A"/>
    <w:rsid w:val="00E54AED"/>
    <w:rsid w:val="00E54B56"/>
    <w:rsid w:val="00E54BF2"/>
    <w:rsid w:val="00E55691"/>
    <w:rsid w:val="00E557EE"/>
    <w:rsid w:val="00E55ADA"/>
    <w:rsid w:val="00E55E84"/>
    <w:rsid w:val="00E568BA"/>
    <w:rsid w:val="00E5692D"/>
    <w:rsid w:val="00E56A3B"/>
    <w:rsid w:val="00E56A8B"/>
    <w:rsid w:val="00E56CB2"/>
    <w:rsid w:val="00E60291"/>
    <w:rsid w:val="00E602E9"/>
    <w:rsid w:val="00E60356"/>
    <w:rsid w:val="00E607DB"/>
    <w:rsid w:val="00E60FF9"/>
    <w:rsid w:val="00E61777"/>
    <w:rsid w:val="00E62048"/>
    <w:rsid w:val="00E62199"/>
    <w:rsid w:val="00E622E6"/>
    <w:rsid w:val="00E62910"/>
    <w:rsid w:val="00E62E74"/>
    <w:rsid w:val="00E63188"/>
    <w:rsid w:val="00E64D5D"/>
    <w:rsid w:val="00E64DA7"/>
    <w:rsid w:val="00E64F96"/>
    <w:rsid w:val="00E652D2"/>
    <w:rsid w:val="00E659B7"/>
    <w:rsid w:val="00E65C0E"/>
    <w:rsid w:val="00E6603A"/>
    <w:rsid w:val="00E6669B"/>
    <w:rsid w:val="00E668D1"/>
    <w:rsid w:val="00E67378"/>
    <w:rsid w:val="00E70B11"/>
    <w:rsid w:val="00E70D96"/>
    <w:rsid w:val="00E714E1"/>
    <w:rsid w:val="00E719BF"/>
    <w:rsid w:val="00E71A90"/>
    <w:rsid w:val="00E720FC"/>
    <w:rsid w:val="00E7210F"/>
    <w:rsid w:val="00E72786"/>
    <w:rsid w:val="00E73164"/>
    <w:rsid w:val="00E74161"/>
    <w:rsid w:val="00E74B4A"/>
    <w:rsid w:val="00E74D9C"/>
    <w:rsid w:val="00E750A0"/>
    <w:rsid w:val="00E759B6"/>
    <w:rsid w:val="00E75BBA"/>
    <w:rsid w:val="00E76208"/>
    <w:rsid w:val="00E7627C"/>
    <w:rsid w:val="00E76AAD"/>
    <w:rsid w:val="00E76D76"/>
    <w:rsid w:val="00E7722F"/>
    <w:rsid w:val="00E77A4D"/>
    <w:rsid w:val="00E77B38"/>
    <w:rsid w:val="00E80204"/>
    <w:rsid w:val="00E8079C"/>
    <w:rsid w:val="00E80B15"/>
    <w:rsid w:val="00E8117E"/>
    <w:rsid w:val="00E81EA6"/>
    <w:rsid w:val="00E826FD"/>
    <w:rsid w:val="00E82DAE"/>
    <w:rsid w:val="00E83184"/>
    <w:rsid w:val="00E83201"/>
    <w:rsid w:val="00E833A6"/>
    <w:rsid w:val="00E83A7F"/>
    <w:rsid w:val="00E843F8"/>
    <w:rsid w:val="00E84993"/>
    <w:rsid w:val="00E84E3D"/>
    <w:rsid w:val="00E851FE"/>
    <w:rsid w:val="00E858FE"/>
    <w:rsid w:val="00E85E30"/>
    <w:rsid w:val="00E86468"/>
    <w:rsid w:val="00E86487"/>
    <w:rsid w:val="00E8732E"/>
    <w:rsid w:val="00E87AE3"/>
    <w:rsid w:val="00E87F0E"/>
    <w:rsid w:val="00E901F7"/>
    <w:rsid w:val="00E904E0"/>
    <w:rsid w:val="00E90507"/>
    <w:rsid w:val="00E9072E"/>
    <w:rsid w:val="00E907D8"/>
    <w:rsid w:val="00E91968"/>
    <w:rsid w:val="00E91CA0"/>
    <w:rsid w:val="00E91D43"/>
    <w:rsid w:val="00E92669"/>
    <w:rsid w:val="00E92C7A"/>
    <w:rsid w:val="00E939BB"/>
    <w:rsid w:val="00E951C1"/>
    <w:rsid w:val="00E95280"/>
    <w:rsid w:val="00E9554D"/>
    <w:rsid w:val="00E95829"/>
    <w:rsid w:val="00E95D02"/>
    <w:rsid w:val="00E964B1"/>
    <w:rsid w:val="00E9652C"/>
    <w:rsid w:val="00E96BEA"/>
    <w:rsid w:val="00E96BF9"/>
    <w:rsid w:val="00E96F68"/>
    <w:rsid w:val="00E9753B"/>
    <w:rsid w:val="00E977D8"/>
    <w:rsid w:val="00E97D7C"/>
    <w:rsid w:val="00EA0700"/>
    <w:rsid w:val="00EA0966"/>
    <w:rsid w:val="00EA0F77"/>
    <w:rsid w:val="00EA1360"/>
    <w:rsid w:val="00EA1365"/>
    <w:rsid w:val="00EA1559"/>
    <w:rsid w:val="00EA15C3"/>
    <w:rsid w:val="00EA1DA8"/>
    <w:rsid w:val="00EA1EF2"/>
    <w:rsid w:val="00EA1F04"/>
    <w:rsid w:val="00EA241A"/>
    <w:rsid w:val="00EA25D7"/>
    <w:rsid w:val="00EA3962"/>
    <w:rsid w:val="00EA3F1B"/>
    <w:rsid w:val="00EA404F"/>
    <w:rsid w:val="00EA40EB"/>
    <w:rsid w:val="00EA4842"/>
    <w:rsid w:val="00EA4DD3"/>
    <w:rsid w:val="00EA5594"/>
    <w:rsid w:val="00EA6707"/>
    <w:rsid w:val="00EA696E"/>
    <w:rsid w:val="00EA69AB"/>
    <w:rsid w:val="00EA69CC"/>
    <w:rsid w:val="00EA6A06"/>
    <w:rsid w:val="00EA6C2D"/>
    <w:rsid w:val="00EA7594"/>
    <w:rsid w:val="00EA7939"/>
    <w:rsid w:val="00EA7CF2"/>
    <w:rsid w:val="00EA7FE1"/>
    <w:rsid w:val="00EB02D0"/>
    <w:rsid w:val="00EB08C7"/>
    <w:rsid w:val="00EB0A36"/>
    <w:rsid w:val="00EB1F94"/>
    <w:rsid w:val="00EB27BF"/>
    <w:rsid w:val="00EB281B"/>
    <w:rsid w:val="00EB2F92"/>
    <w:rsid w:val="00EB326F"/>
    <w:rsid w:val="00EB32F3"/>
    <w:rsid w:val="00EB3328"/>
    <w:rsid w:val="00EB3492"/>
    <w:rsid w:val="00EB39C0"/>
    <w:rsid w:val="00EB4521"/>
    <w:rsid w:val="00EB4729"/>
    <w:rsid w:val="00EB517A"/>
    <w:rsid w:val="00EB5419"/>
    <w:rsid w:val="00EB56B0"/>
    <w:rsid w:val="00EB59CB"/>
    <w:rsid w:val="00EB6430"/>
    <w:rsid w:val="00EB6A74"/>
    <w:rsid w:val="00EB6AD0"/>
    <w:rsid w:val="00EB6DB4"/>
    <w:rsid w:val="00EB6DF7"/>
    <w:rsid w:val="00EB7701"/>
    <w:rsid w:val="00EC027D"/>
    <w:rsid w:val="00EC0BDE"/>
    <w:rsid w:val="00EC0C80"/>
    <w:rsid w:val="00EC0CFB"/>
    <w:rsid w:val="00EC0E53"/>
    <w:rsid w:val="00EC1380"/>
    <w:rsid w:val="00EC160E"/>
    <w:rsid w:val="00EC2434"/>
    <w:rsid w:val="00EC2498"/>
    <w:rsid w:val="00EC2890"/>
    <w:rsid w:val="00EC2DCF"/>
    <w:rsid w:val="00EC348B"/>
    <w:rsid w:val="00EC34F2"/>
    <w:rsid w:val="00EC3678"/>
    <w:rsid w:val="00EC3806"/>
    <w:rsid w:val="00EC3BC2"/>
    <w:rsid w:val="00EC3CB2"/>
    <w:rsid w:val="00EC3E4F"/>
    <w:rsid w:val="00EC3EE7"/>
    <w:rsid w:val="00EC40D4"/>
    <w:rsid w:val="00EC5136"/>
    <w:rsid w:val="00EC568F"/>
    <w:rsid w:val="00EC65DD"/>
    <w:rsid w:val="00EC726B"/>
    <w:rsid w:val="00EC78F0"/>
    <w:rsid w:val="00ED05DF"/>
    <w:rsid w:val="00ED0EB8"/>
    <w:rsid w:val="00ED12C2"/>
    <w:rsid w:val="00ED1B99"/>
    <w:rsid w:val="00ED1F25"/>
    <w:rsid w:val="00ED20D2"/>
    <w:rsid w:val="00ED2F48"/>
    <w:rsid w:val="00ED3929"/>
    <w:rsid w:val="00ED39EF"/>
    <w:rsid w:val="00ED3AC1"/>
    <w:rsid w:val="00ED3B34"/>
    <w:rsid w:val="00ED3D1F"/>
    <w:rsid w:val="00ED4A9B"/>
    <w:rsid w:val="00ED4E68"/>
    <w:rsid w:val="00ED4FDA"/>
    <w:rsid w:val="00ED5097"/>
    <w:rsid w:val="00ED5300"/>
    <w:rsid w:val="00ED584C"/>
    <w:rsid w:val="00ED5BA3"/>
    <w:rsid w:val="00ED68BD"/>
    <w:rsid w:val="00ED69DB"/>
    <w:rsid w:val="00ED6E96"/>
    <w:rsid w:val="00ED6F21"/>
    <w:rsid w:val="00ED703B"/>
    <w:rsid w:val="00ED76F9"/>
    <w:rsid w:val="00EE1F2A"/>
    <w:rsid w:val="00EE2161"/>
    <w:rsid w:val="00EE2318"/>
    <w:rsid w:val="00EE2D70"/>
    <w:rsid w:val="00EE2ED2"/>
    <w:rsid w:val="00EE309E"/>
    <w:rsid w:val="00EE3F4A"/>
    <w:rsid w:val="00EE41FE"/>
    <w:rsid w:val="00EE4599"/>
    <w:rsid w:val="00EE45FA"/>
    <w:rsid w:val="00EE484C"/>
    <w:rsid w:val="00EE4C83"/>
    <w:rsid w:val="00EE56BB"/>
    <w:rsid w:val="00EE5C57"/>
    <w:rsid w:val="00EE63AD"/>
    <w:rsid w:val="00EE6F4F"/>
    <w:rsid w:val="00EE714D"/>
    <w:rsid w:val="00EE75B9"/>
    <w:rsid w:val="00EF0403"/>
    <w:rsid w:val="00EF042C"/>
    <w:rsid w:val="00EF06FF"/>
    <w:rsid w:val="00EF1078"/>
    <w:rsid w:val="00EF13FE"/>
    <w:rsid w:val="00EF19E0"/>
    <w:rsid w:val="00EF2012"/>
    <w:rsid w:val="00EF28AA"/>
    <w:rsid w:val="00EF28EC"/>
    <w:rsid w:val="00EF29B2"/>
    <w:rsid w:val="00EF2B93"/>
    <w:rsid w:val="00EF3006"/>
    <w:rsid w:val="00EF3D91"/>
    <w:rsid w:val="00EF400B"/>
    <w:rsid w:val="00EF4067"/>
    <w:rsid w:val="00EF4728"/>
    <w:rsid w:val="00EF47C4"/>
    <w:rsid w:val="00EF5D93"/>
    <w:rsid w:val="00EF5D95"/>
    <w:rsid w:val="00EF63D1"/>
    <w:rsid w:val="00EF6454"/>
    <w:rsid w:val="00EF6BEE"/>
    <w:rsid w:val="00EF6DA2"/>
    <w:rsid w:val="00EF6E8E"/>
    <w:rsid w:val="00EF6EA1"/>
    <w:rsid w:val="00EF7502"/>
    <w:rsid w:val="00EF77F2"/>
    <w:rsid w:val="00F01378"/>
    <w:rsid w:val="00F01874"/>
    <w:rsid w:val="00F0187B"/>
    <w:rsid w:val="00F01C0D"/>
    <w:rsid w:val="00F01CAD"/>
    <w:rsid w:val="00F01CE4"/>
    <w:rsid w:val="00F01D54"/>
    <w:rsid w:val="00F0228A"/>
    <w:rsid w:val="00F02928"/>
    <w:rsid w:val="00F03071"/>
    <w:rsid w:val="00F03F7F"/>
    <w:rsid w:val="00F03F9E"/>
    <w:rsid w:val="00F0475A"/>
    <w:rsid w:val="00F047B2"/>
    <w:rsid w:val="00F0498C"/>
    <w:rsid w:val="00F04E1A"/>
    <w:rsid w:val="00F053D8"/>
    <w:rsid w:val="00F05A63"/>
    <w:rsid w:val="00F05CEF"/>
    <w:rsid w:val="00F05ECD"/>
    <w:rsid w:val="00F06075"/>
    <w:rsid w:val="00F0647E"/>
    <w:rsid w:val="00F064D9"/>
    <w:rsid w:val="00F068CE"/>
    <w:rsid w:val="00F06A5C"/>
    <w:rsid w:val="00F06C3D"/>
    <w:rsid w:val="00F06E03"/>
    <w:rsid w:val="00F06E9C"/>
    <w:rsid w:val="00F07B42"/>
    <w:rsid w:val="00F07C5A"/>
    <w:rsid w:val="00F07FB5"/>
    <w:rsid w:val="00F10A01"/>
    <w:rsid w:val="00F10B82"/>
    <w:rsid w:val="00F10BAE"/>
    <w:rsid w:val="00F10F19"/>
    <w:rsid w:val="00F110D0"/>
    <w:rsid w:val="00F117CA"/>
    <w:rsid w:val="00F11AA6"/>
    <w:rsid w:val="00F11BBF"/>
    <w:rsid w:val="00F11EF8"/>
    <w:rsid w:val="00F12483"/>
    <w:rsid w:val="00F13173"/>
    <w:rsid w:val="00F13611"/>
    <w:rsid w:val="00F137E4"/>
    <w:rsid w:val="00F14122"/>
    <w:rsid w:val="00F14150"/>
    <w:rsid w:val="00F14833"/>
    <w:rsid w:val="00F149BE"/>
    <w:rsid w:val="00F14DE9"/>
    <w:rsid w:val="00F152BF"/>
    <w:rsid w:val="00F155B2"/>
    <w:rsid w:val="00F1568B"/>
    <w:rsid w:val="00F15A41"/>
    <w:rsid w:val="00F15B36"/>
    <w:rsid w:val="00F15E3F"/>
    <w:rsid w:val="00F16D61"/>
    <w:rsid w:val="00F178A2"/>
    <w:rsid w:val="00F17CE4"/>
    <w:rsid w:val="00F20444"/>
    <w:rsid w:val="00F20774"/>
    <w:rsid w:val="00F20955"/>
    <w:rsid w:val="00F209B5"/>
    <w:rsid w:val="00F210EC"/>
    <w:rsid w:val="00F21D80"/>
    <w:rsid w:val="00F221D4"/>
    <w:rsid w:val="00F22C15"/>
    <w:rsid w:val="00F232DD"/>
    <w:rsid w:val="00F232FF"/>
    <w:rsid w:val="00F236D8"/>
    <w:rsid w:val="00F237A6"/>
    <w:rsid w:val="00F23B76"/>
    <w:rsid w:val="00F25D32"/>
    <w:rsid w:val="00F25F1D"/>
    <w:rsid w:val="00F263C0"/>
    <w:rsid w:val="00F2661B"/>
    <w:rsid w:val="00F267E9"/>
    <w:rsid w:val="00F269EF"/>
    <w:rsid w:val="00F27FC9"/>
    <w:rsid w:val="00F301F9"/>
    <w:rsid w:val="00F3043A"/>
    <w:rsid w:val="00F304D9"/>
    <w:rsid w:val="00F305FD"/>
    <w:rsid w:val="00F30B11"/>
    <w:rsid w:val="00F30DC0"/>
    <w:rsid w:val="00F30ED1"/>
    <w:rsid w:val="00F31072"/>
    <w:rsid w:val="00F313B4"/>
    <w:rsid w:val="00F3162F"/>
    <w:rsid w:val="00F317F3"/>
    <w:rsid w:val="00F31CEF"/>
    <w:rsid w:val="00F32DD8"/>
    <w:rsid w:val="00F3306C"/>
    <w:rsid w:val="00F3309D"/>
    <w:rsid w:val="00F33615"/>
    <w:rsid w:val="00F338A1"/>
    <w:rsid w:val="00F33908"/>
    <w:rsid w:val="00F339F0"/>
    <w:rsid w:val="00F33B11"/>
    <w:rsid w:val="00F33CA3"/>
    <w:rsid w:val="00F33FF9"/>
    <w:rsid w:val="00F343AA"/>
    <w:rsid w:val="00F34E93"/>
    <w:rsid w:val="00F35374"/>
    <w:rsid w:val="00F35433"/>
    <w:rsid w:val="00F35B24"/>
    <w:rsid w:val="00F35E82"/>
    <w:rsid w:val="00F36186"/>
    <w:rsid w:val="00F36EFF"/>
    <w:rsid w:val="00F36FD6"/>
    <w:rsid w:val="00F37208"/>
    <w:rsid w:val="00F3736F"/>
    <w:rsid w:val="00F4035A"/>
    <w:rsid w:val="00F4089A"/>
    <w:rsid w:val="00F41446"/>
    <w:rsid w:val="00F41448"/>
    <w:rsid w:val="00F41618"/>
    <w:rsid w:val="00F41A20"/>
    <w:rsid w:val="00F41E89"/>
    <w:rsid w:val="00F42FF8"/>
    <w:rsid w:val="00F4356E"/>
    <w:rsid w:val="00F438F0"/>
    <w:rsid w:val="00F43C39"/>
    <w:rsid w:val="00F43ECD"/>
    <w:rsid w:val="00F440F4"/>
    <w:rsid w:val="00F443AF"/>
    <w:rsid w:val="00F4459D"/>
    <w:rsid w:val="00F4461D"/>
    <w:rsid w:val="00F44FCF"/>
    <w:rsid w:val="00F4501E"/>
    <w:rsid w:val="00F45820"/>
    <w:rsid w:val="00F459BF"/>
    <w:rsid w:val="00F45F17"/>
    <w:rsid w:val="00F469D7"/>
    <w:rsid w:val="00F46B23"/>
    <w:rsid w:val="00F46CF1"/>
    <w:rsid w:val="00F46FAA"/>
    <w:rsid w:val="00F4724D"/>
    <w:rsid w:val="00F476D4"/>
    <w:rsid w:val="00F47930"/>
    <w:rsid w:val="00F50AAA"/>
    <w:rsid w:val="00F5207E"/>
    <w:rsid w:val="00F52993"/>
    <w:rsid w:val="00F52CDD"/>
    <w:rsid w:val="00F52E93"/>
    <w:rsid w:val="00F531AD"/>
    <w:rsid w:val="00F5321D"/>
    <w:rsid w:val="00F53E8A"/>
    <w:rsid w:val="00F54252"/>
    <w:rsid w:val="00F544FD"/>
    <w:rsid w:val="00F546E6"/>
    <w:rsid w:val="00F54784"/>
    <w:rsid w:val="00F55081"/>
    <w:rsid w:val="00F5537D"/>
    <w:rsid w:val="00F5591A"/>
    <w:rsid w:val="00F5593D"/>
    <w:rsid w:val="00F55C3B"/>
    <w:rsid w:val="00F56188"/>
    <w:rsid w:val="00F566BD"/>
    <w:rsid w:val="00F568EC"/>
    <w:rsid w:val="00F56920"/>
    <w:rsid w:val="00F57249"/>
    <w:rsid w:val="00F57809"/>
    <w:rsid w:val="00F57B45"/>
    <w:rsid w:val="00F57C1D"/>
    <w:rsid w:val="00F602DF"/>
    <w:rsid w:val="00F60458"/>
    <w:rsid w:val="00F6065C"/>
    <w:rsid w:val="00F6099C"/>
    <w:rsid w:val="00F60C52"/>
    <w:rsid w:val="00F60E2A"/>
    <w:rsid w:val="00F60EA9"/>
    <w:rsid w:val="00F61069"/>
    <w:rsid w:val="00F613D0"/>
    <w:rsid w:val="00F6147A"/>
    <w:rsid w:val="00F61858"/>
    <w:rsid w:val="00F62020"/>
    <w:rsid w:val="00F6226A"/>
    <w:rsid w:val="00F6297E"/>
    <w:rsid w:val="00F6350B"/>
    <w:rsid w:val="00F6405F"/>
    <w:rsid w:val="00F641E6"/>
    <w:rsid w:val="00F6428A"/>
    <w:rsid w:val="00F6428B"/>
    <w:rsid w:val="00F64798"/>
    <w:rsid w:val="00F64D5C"/>
    <w:rsid w:val="00F64F27"/>
    <w:rsid w:val="00F6528E"/>
    <w:rsid w:val="00F658A2"/>
    <w:rsid w:val="00F65F20"/>
    <w:rsid w:val="00F6650D"/>
    <w:rsid w:val="00F66525"/>
    <w:rsid w:val="00F67404"/>
    <w:rsid w:val="00F6755C"/>
    <w:rsid w:val="00F67D78"/>
    <w:rsid w:val="00F67DB3"/>
    <w:rsid w:val="00F67FC9"/>
    <w:rsid w:val="00F702E2"/>
    <w:rsid w:val="00F7040D"/>
    <w:rsid w:val="00F70AEE"/>
    <w:rsid w:val="00F71795"/>
    <w:rsid w:val="00F71EA7"/>
    <w:rsid w:val="00F71F2E"/>
    <w:rsid w:val="00F72920"/>
    <w:rsid w:val="00F72B4E"/>
    <w:rsid w:val="00F72F7D"/>
    <w:rsid w:val="00F73666"/>
    <w:rsid w:val="00F7377C"/>
    <w:rsid w:val="00F741F0"/>
    <w:rsid w:val="00F743D4"/>
    <w:rsid w:val="00F745DF"/>
    <w:rsid w:val="00F7610A"/>
    <w:rsid w:val="00F76D17"/>
    <w:rsid w:val="00F77861"/>
    <w:rsid w:val="00F77BB7"/>
    <w:rsid w:val="00F77DD3"/>
    <w:rsid w:val="00F8003D"/>
    <w:rsid w:val="00F804B5"/>
    <w:rsid w:val="00F80B2E"/>
    <w:rsid w:val="00F80BE0"/>
    <w:rsid w:val="00F80DB9"/>
    <w:rsid w:val="00F816A5"/>
    <w:rsid w:val="00F82420"/>
    <w:rsid w:val="00F825F4"/>
    <w:rsid w:val="00F8274A"/>
    <w:rsid w:val="00F8299B"/>
    <w:rsid w:val="00F832EC"/>
    <w:rsid w:val="00F83459"/>
    <w:rsid w:val="00F836C7"/>
    <w:rsid w:val="00F83A3D"/>
    <w:rsid w:val="00F83A51"/>
    <w:rsid w:val="00F83C9F"/>
    <w:rsid w:val="00F842EB"/>
    <w:rsid w:val="00F8434C"/>
    <w:rsid w:val="00F846A3"/>
    <w:rsid w:val="00F8504F"/>
    <w:rsid w:val="00F8527D"/>
    <w:rsid w:val="00F85312"/>
    <w:rsid w:val="00F85714"/>
    <w:rsid w:val="00F8571B"/>
    <w:rsid w:val="00F85773"/>
    <w:rsid w:val="00F85D08"/>
    <w:rsid w:val="00F85FBB"/>
    <w:rsid w:val="00F90CA4"/>
    <w:rsid w:val="00F90EC4"/>
    <w:rsid w:val="00F90FB7"/>
    <w:rsid w:val="00F91184"/>
    <w:rsid w:val="00F911B2"/>
    <w:rsid w:val="00F91C08"/>
    <w:rsid w:val="00F91CCA"/>
    <w:rsid w:val="00F91E42"/>
    <w:rsid w:val="00F9205D"/>
    <w:rsid w:val="00F92F26"/>
    <w:rsid w:val="00F936BE"/>
    <w:rsid w:val="00F936DE"/>
    <w:rsid w:val="00F936EB"/>
    <w:rsid w:val="00F938EE"/>
    <w:rsid w:val="00F93A72"/>
    <w:rsid w:val="00F93ACD"/>
    <w:rsid w:val="00F93ED6"/>
    <w:rsid w:val="00F9410B"/>
    <w:rsid w:val="00F942E9"/>
    <w:rsid w:val="00F94446"/>
    <w:rsid w:val="00F94EB3"/>
    <w:rsid w:val="00F94FE6"/>
    <w:rsid w:val="00F957B5"/>
    <w:rsid w:val="00F95D4B"/>
    <w:rsid w:val="00F96965"/>
    <w:rsid w:val="00F96EDA"/>
    <w:rsid w:val="00F97086"/>
    <w:rsid w:val="00F9753B"/>
    <w:rsid w:val="00F975AB"/>
    <w:rsid w:val="00F97871"/>
    <w:rsid w:val="00FA0195"/>
    <w:rsid w:val="00FA11D1"/>
    <w:rsid w:val="00FA1CC3"/>
    <w:rsid w:val="00FA228C"/>
    <w:rsid w:val="00FA246B"/>
    <w:rsid w:val="00FA2637"/>
    <w:rsid w:val="00FA303C"/>
    <w:rsid w:val="00FA377B"/>
    <w:rsid w:val="00FA3879"/>
    <w:rsid w:val="00FA38CC"/>
    <w:rsid w:val="00FA4049"/>
    <w:rsid w:val="00FA43C2"/>
    <w:rsid w:val="00FA4747"/>
    <w:rsid w:val="00FA4F05"/>
    <w:rsid w:val="00FA521B"/>
    <w:rsid w:val="00FA525A"/>
    <w:rsid w:val="00FA55A9"/>
    <w:rsid w:val="00FA564A"/>
    <w:rsid w:val="00FA5B1A"/>
    <w:rsid w:val="00FA5FC6"/>
    <w:rsid w:val="00FA6B1E"/>
    <w:rsid w:val="00FA7145"/>
    <w:rsid w:val="00FB010C"/>
    <w:rsid w:val="00FB0284"/>
    <w:rsid w:val="00FB0698"/>
    <w:rsid w:val="00FB13FC"/>
    <w:rsid w:val="00FB153A"/>
    <w:rsid w:val="00FB17F5"/>
    <w:rsid w:val="00FB19C8"/>
    <w:rsid w:val="00FB21C9"/>
    <w:rsid w:val="00FB2787"/>
    <w:rsid w:val="00FB2B29"/>
    <w:rsid w:val="00FB2D50"/>
    <w:rsid w:val="00FB30FB"/>
    <w:rsid w:val="00FB3580"/>
    <w:rsid w:val="00FB3BE5"/>
    <w:rsid w:val="00FB3E9E"/>
    <w:rsid w:val="00FB4633"/>
    <w:rsid w:val="00FB467D"/>
    <w:rsid w:val="00FB4F6B"/>
    <w:rsid w:val="00FB4FDD"/>
    <w:rsid w:val="00FB5225"/>
    <w:rsid w:val="00FB6115"/>
    <w:rsid w:val="00FB63F0"/>
    <w:rsid w:val="00FB658D"/>
    <w:rsid w:val="00FB6695"/>
    <w:rsid w:val="00FB66BA"/>
    <w:rsid w:val="00FB6800"/>
    <w:rsid w:val="00FB691D"/>
    <w:rsid w:val="00FB6BD9"/>
    <w:rsid w:val="00FB6D5C"/>
    <w:rsid w:val="00FB77A2"/>
    <w:rsid w:val="00FB7D5B"/>
    <w:rsid w:val="00FB7F5B"/>
    <w:rsid w:val="00FC000D"/>
    <w:rsid w:val="00FC05CE"/>
    <w:rsid w:val="00FC0A69"/>
    <w:rsid w:val="00FC0AD8"/>
    <w:rsid w:val="00FC0C3B"/>
    <w:rsid w:val="00FC0C4A"/>
    <w:rsid w:val="00FC1A05"/>
    <w:rsid w:val="00FC247B"/>
    <w:rsid w:val="00FC2912"/>
    <w:rsid w:val="00FC337A"/>
    <w:rsid w:val="00FC3460"/>
    <w:rsid w:val="00FC3475"/>
    <w:rsid w:val="00FC365C"/>
    <w:rsid w:val="00FC36FE"/>
    <w:rsid w:val="00FC3827"/>
    <w:rsid w:val="00FC3A92"/>
    <w:rsid w:val="00FC3D5C"/>
    <w:rsid w:val="00FC4096"/>
    <w:rsid w:val="00FC4260"/>
    <w:rsid w:val="00FC45B4"/>
    <w:rsid w:val="00FC578B"/>
    <w:rsid w:val="00FC5907"/>
    <w:rsid w:val="00FC59E0"/>
    <w:rsid w:val="00FC5ACE"/>
    <w:rsid w:val="00FC5DE9"/>
    <w:rsid w:val="00FC5EF6"/>
    <w:rsid w:val="00FC6496"/>
    <w:rsid w:val="00FC69DD"/>
    <w:rsid w:val="00FC6AFC"/>
    <w:rsid w:val="00FC6C9D"/>
    <w:rsid w:val="00FC6FE2"/>
    <w:rsid w:val="00FC708A"/>
    <w:rsid w:val="00FC711F"/>
    <w:rsid w:val="00FC740D"/>
    <w:rsid w:val="00FC758C"/>
    <w:rsid w:val="00FD0310"/>
    <w:rsid w:val="00FD0592"/>
    <w:rsid w:val="00FD0A8E"/>
    <w:rsid w:val="00FD0E46"/>
    <w:rsid w:val="00FD166E"/>
    <w:rsid w:val="00FD1BA1"/>
    <w:rsid w:val="00FD1CB2"/>
    <w:rsid w:val="00FD211F"/>
    <w:rsid w:val="00FD2244"/>
    <w:rsid w:val="00FD22BE"/>
    <w:rsid w:val="00FD25CD"/>
    <w:rsid w:val="00FD2652"/>
    <w:rsid w:val="00FD339F"/>
    <w:rsid w:val="00FD4328"/>
    <w:rsid w:val="00FD4380"/>
    <w:rsid w:val="00FD43B9"/>
    <w:rsid w:val="00FD440D"/>
    <w:rsid w:val="00FD4F20"/>
    <w:rsid w:val="00FD538F"/>
    <w:rsid w:val="00FD55ED"/>
    <w:rsid w:val="00FD5FD0"/>
    <w:rsid w:val="00FD614C"/>
    <w:rsid w:val="00FD65E4"/>
    <w:rsid w:val="00FD7030"/>
    <w:rsid w:val="00FD7B86"/>
    <w:rsid w:val="00FD7D76"/>
    <w:rsid w:val="00FE056A"/>
    <w:rsid w:val="00FE09F4"/>
    <w:rsid w:val="00FE0CFC"/>
    <w:rsid w:val="00FE0F2E"/>
    <w:rsid w:val="00FE115B"/>
    <w:rsid w:val="00FE17FA"/>
    <w:rsid w:val="00FE1A14"/>
    <w:rsid w:val="00FE22E3"/>
    <w:rsid w:val="00FE22F8"/>
    <w:rsid w:val="00FE30D2"/>
    <w:rsid w:val="00FE3E73"/>
    <w:rsid w:val="00FE404D"/>
    <w:rsid w:val="00FE421D"/>
    <w:rsid w:val="00FE4954"/>
    <w:rsid w:val="00FE4A37"/>
    <w:rsid w:val="00FE4C2C"/>
    <w:rsid w:val="00FE55B2"/>
    <w:rsid w:val="00FE5A3D"/>
    <w:rsid w:val="00FE623B"/>
    <w:rsid w:val="00FE62DA"/>
    <w:rsid w:val="00FE6A48"/>
    <w:rsid w:val="00FE6FF3"/>
    <w:rsid w:val="00FE7C9C"/>
    <w:rsid w:val="00FF07A6"/>
    <w:rsid w:val="00FF0914"/>
    <w:rsid w:val="00FF0C5A"/>
    <w:rsid w:val="00FF0D46"/>
    <w:rsid w:val="00FF2097"/>
    <w:rsid w:val="00FF23E0"/>
    <w:rsid w:val="00FF2B76"/>
    <w:rsid w:val="00FF2E4C"/>
    <w:rsid w:val="00FF31D7"/>
    <w:rsid w:val="00FF32F7"/>
    <w:rsid w:val="00FF47C2"/>
    <w:rsid w:val="00FF490E"/>
    <w:rsid w:val="00FF5432"/>
    <w:rsid w:val="00FF55FC"/>
    <w:rsid w:val="00FF57F4"/>
    <w:rsid w:val="00FF5831"/>
    <w:rsid w:val="00FF5F6B"/>
    <w:rsid w:val="00FF6391"/>
    <w:rsid w:val="00FF6737"/>
    <w:rsid w:val="00FF67DF"/>
    <w:rsid w:val="00FF6913"/>
    <w:rsid w:val="00FF6D0A"/>
    <w:rsid w:val="00FF6E14"/>
    <w:rsid w:val="00FF701E"/>
    <w:rsid w:val="00FF726E"/>
    <w:rsid w:val="00FF7666"/>
    <w:rsid w:val="00FF77EA"/>
    <w:rsid w:val="00FF79C4"/>
    <w:rsid w:val="00FF7A06"/>
    <w:rsid w:val="00FF7B9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288F6A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Batang"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0"/>
    <w:lsdException w:name="Colorful List" w:uiPriority="34" w:qFormat="1"/>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1C46D3"/>
    <w:pPr>
      <w:spacing w:before="120" w:after="120"/>
    </w:pPr>
    <w:rPr>
      <w:rFonts w:ascii="Times New Roman" w:hAnsi="Times New Roman"/>
      <w:szCs w:val="22"/>
    </w:rPr>
  </w:style>
  <w:style w:type="paragraph" w:styleId="Heading1">
    <w:name w:val="heading 1"/>
    <w:basedOn w:val="Normal"/>
    <w:next w:val="Normal"/>
    <w:link w:val="Heading1Char"/>
    <w:autoRedefine/>
    <w:uiPriority w:val="9"/>
    <w:qFormat/>
    <w:rsid w:val="00D20197"/>
    <w:pPr>
      <w:keepNext/>
      <w:keepLines/>
      <w:numPr>
        <w:numId w:val="74"/>
      </w:numPr>
      <w:outlineLvl w:val="0"/>
    </w:pPr>
    <w:rPr>
      <w:rFonts w:ascii="Times New Roman Bold" w:hAnsi="Times New Roman Bold"/>
      <w:b/>
      <w:bCs/>
      <w:caps/>
      <w:szCs w:val="28"/>
      <w:lang w:eastAsia="x-none"/>
    </w:rPr>
  </w:style>
  <w:style w:type="paragraph" w:styleId="Heading2">
    <w:name w:val="heading 2"/>
    <w:basedOn w:val="Normal"/>
    <w:next w:val="Normal"/>
    <w:link w:val="Heading2Char"/>
    <w:autoRedefine/>
    <w:uiPriority w:val="9"/>
    <w:qFormat/>
    <w:rsid w:val="00ED703B"/>
    <w:pPr>
      <w:keepNext/>
      <w:keepLines/>
      <w:numPr>
        <w:ilvl w:val="1"/>
        <w:numId w:val="74"/>
      </w:numPr>
      <w:outlineLvl w:val="1"/>
    </w:pPr>
    <w:rPr>
      <w:b/>
      <w:bCs/>
      <w:smallCaps/>
      <w:szCs w:val="24"/>
      <w:lang w:val="x-none" w:eastAsia="x-none"/>
    </w:rPr>
  </w:style>
  <w:style w:type="paragraph" w:styleId="Heading3">
    <w:name w:val="heading 3"/>
    <w:basedOn w:val="Normal"/>
    <w:next w:val="Normal"/>
    <w:link w:val="Heading3Char"/>
    <w:autoRedefine/>
    <w:uiPriority w:val="9"/>
    <w:qFormat/>
    <w:rsid w:val="000C1D10"/>
    <w:pPr>
      <w:keepNext/>
      <w:numPr>
        <w:ilvl w:val="2"/>
        <w:numId w:val="74"/>
      </w:numPr>
      <w:outlineLvl w:val="2"/>
    </w:pPr>
    <w:rPr>
      <w:rFonts w:ascii="Times" w:hAnsi="Times"/>
      <w:bCs/>
      <w:i/>
      <w:szCs w:val="24"/>
      <w:lang w:eastAsia="x-none"/>
    </w:rPr>
  </w:style>
  <w:style w:type="paragraph" w:styleId="Heading4">
    <w:name w:val="heading 4"/>
    <w:basedOn w:val="Normal"/>
    <w:next w:val="Normal"/>
    <w:link w:val="Heading4Char"/>
    <w:uiPriority w:val="9"/>
    <w:qFormat/>
    <w:rsid w:val="000D71CB"/>
    <w:pPr>
      <w:numPr>
        <w:ilvl w:val="3"/>
        <w:numId w:val="74"/>
      </w:numPr>
      <w:tabs>
        <w:tab w:val="left" w:pos="864"/>
      </w:tabs>
      <w:spacing w:before="60" w:after="60"/>
      <w:outlineLvl w:val="3"/>
    </w:pPr>
    <w:rPr>
      <w:bCs/>
      <w:noProof/>
      <w:szCs w:val="28"/>
      <w:lang w:val="x-none" w:eastAsia="x-none"/>
    </w:rPr>
  </w:style>
  <w:style w:type="paragraph" w:styleId="Heading5">
    <w:name w:val="heading 5"/>
    <w:basedOn w:val="Normal"/>
    <w:next w:val="Normal"/>
    <w:link w:val="Heading5Char"/>
    <w:uiPriority w:val="9"/>
    <w:qFormat/>
    <w:rsid w:val="00157089"/>
    <w:pPr>
      <w:numPr>
        <w:ilvl w:val="4"/>
        <w:numId w:val="74"/>
      </w:numPr>
      <w:spacing w:before="60" w:after="60"/>
      <w:outlineLvl w:val="4"/>
    </w:pPr>
    <w:rPr>
      <w:bCs/>
      <w:iCs/>
      <w:szCs w:val="26"/>
      <w:lang w:val="x-none" w:eastAsia="x-none"/>
    </w:rPr>
  </w:style>
  <w:style w:type="paragraph" w:styleId="Heading6">
    <w:name w:val="heading 6"/>
    <w:aliases w:val="DO NOT USE4,Bayer-Heading 6"/>
    <w:basedOn w:val="Normal"/>
    <w:next w:val="Normal"/>
    <w:link w:val="Heading6Char"/>
    <w:uiPriority w:val="9"/>
    <w:qFormat/>
    <w:rsid w:val="00CF4AC3"/>
    <w:pPr>
      <w:numPr>
        <w:ilvl w:val="5"/>
        <w:numId w:val="74"/>
      </w:numPr>
      <w:spacing w:before="60" w:after="60"/>
      <w:outlineLvl w:val="5"/>
    </w:pPr>
    <w:rPr>
      <w:bCs/>
      <w:szCs w:val="24"/>
      <w:lang w:val="x-none" w:eastAsia="x-none"/>
    </w:rPr>
  </w:style>
  <w:style w:type="paragraph" w:styleId="Heading7">
    <w:name w:val="heading 7"/>
    <w:aliases w:val="DO NOT USE3,DO NOT USE31,Bayer-Heading 7"/>
    <w:basedOn w:val="Normal"/>
    <w:next w:val="Normal"/>
    <w:link w:val="Heading7Char"/>
    <w:uiPriority w:val="9"/>
    <w:qFormat/>
    <w:rsid w:val="00CF4AC3"/>
    <w:pPr>
      <w:numPr>
        <w:ilvl w:val="6"/>
        <w:numId w:val="74"/>
      </w:numPr>
      <w:spacing w:before="240" w:after="60"/>
      <w:outlineLvl w:val="6"/>
    </w:pPr>
    <w:rPr>
      <w:rFonts w:ascii="Calibri" w:hAnsi="Calibri"/>
      <w:szCs w:val="24"/>
      <w:lang w:val="x-none" w:eastAsia="x-none"/>
    </w:rPr>
  </w:style>
  <w:style w:type="paragraph" w:styleId="Heading8">
    <w:name w:val="heading 8"/>
    <w:aliases w:val="DO NOT USE2,DO NOT USE21,Bayer-Heading 8"/>
    <w:basedOn w:val="Normal"/>
    <w:next w:val="Normal"/>
    <w:link w:val="Heading8Char"/>
    <w:uiPriority w:val="9"/>
    <w:qFormat/>
    <w:rsid w:val="00CF4AC3"/>
    <w:pPr>
      <w:numPr>
        <w:ilvl w:val="7"/>
        <w:numId w:val="74"/>
      </w:numPr>
      <w:spacing w:before="240" w:after="60"/>
      <w:outlineLvl w:val="7"/>
    </w:pPr>
    <w:rPr>
      <w:rFonts w:ascii="Calibri" w:hAnsi="Calibri"/>
      <w:i/>
      <w:iCs/>
      <w:szCs w:val="24"/>
      <w:lang w:val="x-none" w:eastAsia="x-none"/>
    </w:rPr>
  </w:style>
  <w:style w:type="paragraph" w:styleId="Heading9">
    <w:name w:val="heading 9"/>
    <w:aliases w:val="DO NOT USE1,DO NOT USE11,Bayer-Heading 9"/>
    <w:basedOn w:val="Normal"/>
    <w:next w:val="Normal"/>
    <w:link w:val="Heading9Char"/>
    <w:uiPriority w:val="9"/>
    <w:qFormat/>
    <w:rsid w:val="00CF4AC3"/>
    <w:pPr>
      <w:numPr>
        <w:ilvl w:val="8"/>
        <w:numId w:val="74"/>
      </w:numPr>
      <w:spacing w:before="240" w:after="60"/>
      <w:outlineLvl w:val="8"/>
    </w:pPr>
    <w:rPr>
      <w:rFonts w:ascii="Cambria" w:hAnsi="Cambria"/>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3B7C78"/>
  </w:style>
  <w:style w:type="character" w:customStyle="1" w:styleId="Heading1Char">
    <w:name w:val="Heading 1 Char"/>
    <w:link w:val="Heading1"/>
    <w:uiPriority w:val="9"/>
    <w:rsid w:val="00D20197"/>
    <w:rPr>
      <w:rFonts w:ascii="Times New Roman Bold" w:hAnsi="Times New Roman Bold"/>
      <w:b/>
      <w:bCs/>
      <w:caps/>
      <w:szCs w:val="28"/>
      <w:lang w:eastAsia="x-none"/>
    </w:rPr>
  </w:style>
  <w:style w:type="character" w:customStyle="1" w:styleId="Heading2Char">
    <w:name w:val="Heading 2 Char"/>
    <w:link w:val="Heading2"/>
    <w:uiPriority w:val="9"/>
    <w:rsid w:val="00ED703B"/>
    <w:rPr>
      <w:rFonts w:ascii="Times New Roman" w:hAnsi="Times New Roman"/>
      <w:b/>
      <w:bCs/>
      <w:smallCaps/>
      <w:lang w:val="x-none" w:eastAsia="x-none"/>
    </w:rPr>
  </w:style>
  <w:style w:type="character" w:customStyle="1" w:styleId="Heading3Char">
    <w:name w:val="Heading 3 Char"/>
    <w:link w:val="Heading3"/>
    <w:uiPriority w:val="9"/>
    <w:rsid w:val="000C1D10"/>
    <w:rPr>
      <w:rFonts w:ascii="Times" w:hAnsi="Times"/>
      <w:bCs/>
      <w:i/>
      <w:lang w:eastAsia="x-none"/>
    </w:rPr>
  </w:style>
  <w:style w:type="paragraph" w:customStyle="1" w:styleId="ProtocolStyle">
    <w:name w:val="Protocol Style"/>
    <w:basedOn w:val="Heading1"/>
    <w:link w:val="ProtocolStyleChar"/>
    <w:rsid w:val="00741E8D"/>
    <w:pPr>
      <w:numPr>
        <w:numId w:val="0"/>
      </w:numPr>
      <w:ind w:left="432"/>
    </w:pPr>
  </w:style>
  <w:style w:type="paragraph" w:styleId="Header">
    <w:name w:val="header"/>
    <w:basedOn w:val="Normal"/>
    <w:link w:val="HeaderChar"/>
    <w:rsid w:val="00741E8D"/>
    <w:pPr>
      <w:tabs>
        <w:tab w:val="center" w:pos="4320"/>
        <w:tab w:val="right" w:pos="8640"/>
      </w:tabs>
      <w:spacing w:after="0"/>
    </w:pPr>
    <w:rPr>
      <w:rFonts w:ascii="Times" w:eastAsia="Times New Roman" w:hAnsi="Times"/>
      <w:szCs w:val="20"/>
      <w:lang w:val="en-GB" w:eastAsia="x-none"/>
    </w:rPr>
  </w:style>
  <w:style w:type="character" w:customStyle="1" w:styleId="ProtocolStyleChar">
    <w:name w:val="Protocol Style Char"/>
    <w:link w:val="ProtocolStyle"/>
    <w:rsid w:val="00741E8D"/>
    <w:rPr>
      <w:rFonts w:ascii="Times New Roman Bold" w:hAnsi="Times New Roman Bold"/>
      <w:b/>
      <w:bCs/>
      <w:caps/>
      <w:szCs w:val="28"/>
      <w:lang w:eastAsia="x-none"/>
    </w:rPr>
  </w:style>
  <w:style w:type="character" w:customStyle="1" w:styleId="HeaderChar">
    <w:name w:val="Header Char"/>
    <w:link w:val="Header"/>
    <w:rsid w:val="00741E8D"/>
    <w:rPr>
      <w:rFonts w:ascii="Times" w:eastAsia="Times New Roman" w:hAnsi="Times"/>
      <w:sz w:val="24"/>
      <w:lang w:val="en-GB"/>
    </w:rPr>
  </w:style>
  <w:style w:type="paragraph" w:styleId="BodyText">
    <w:name w:val="Body Text"/>
    <w:aliases w:val="Body text,Body Text II,Body Text Char Char,Body text Char Char Char,Textkörper Char1,Textkörper Char Char,Textkörper Char1 Char Char,Textkörper Char Char Char Char,Body text Char1 Char,Textkörper Char Char Char1,Textkörper Char,Textkörper1"/>
    <w:basedOn w:val="Normal"/>
    <w:next w:val="BodyTextIndent"/>
    <w:link w:val="BodyTextChar"/>
    <w:uiPriority w:val="99"/>
    <w:rsid w:val="00741E8D"/>
    <w:pPr>
      <w:spacing w:after="0"/>
    </w:pPr>
    <w:rPr>
      <w:rFonts w:ascii="Times" w:eastAsia="Times New Roman" w:hAnsi="Times"/>
      <w:szCs w:val="20"/>
      <w:lang w:val="en-GB" w:eastAsia="x-none"/>
    </w:rPr>
  </w:style>
  <w:style w:type="character" w:customStyle="1" w:styleId="BodyTextChar">
    <w:name w:val="Body Text Char"/>
    <w:aliases w:val="Body text Char,Body Text II Char,Body Text Char Char Char,Body text Char Char Char Char,Textkörper Char1 Char,Textkörper Char Char Char,Textkörper Char1 Char Char Char,Textkörper Char Char Char Char Char,Body text Char1 Char Char"/>
    <w:link w:val="BodyText"/>
    <w:uiPriority w:val="99"/>
    <w:rsid w:val="00741E8D"/>
    <w:rPr>
      <w:rFonts w:ascii="Times" w:eastAsia="Times New Roman" w:hAnsi="Times"/>
      <w:sz w:val="24"/>
      <w:lang w:val="en-GB"/>
    </w:rPr>
  </w:style>
  <w:style w:type="paragraph" w:styleId="BodyTextIndent">
    <w:name w:val="Body Text Indent"/>
    <w:basedOn w:val="Normal"/>
    <w:link w:val="BodyTextIndentChar"/>
    <w:uiPriority w:val="99"/>
    <w:unhideWhenUsed/>
    <w:rsid w:val="00741E8D"/>
    <w:pPr>
      <w:ind w:left="360"/>
    </w:pPr>
    <w:rPr>
      <w:lang w:val="x-none" w:eastAsia="x-none"/>
    </w:rPr>
  </w:style>
  <w:style w:type="character" w:customStyle="1" w:styleId="BodyTextIndentChar">
    <w:name w:val="Body Text Indent Char"/>
    <w:link w:val="BodyTextIndent"/>
    <w:uiPriority w:val="99"/>
    <w:rsid w:val="00741E8D"/>
    <w:rPr>
      <w:rFonts w:ascii="Times New Roman" w:hAnsi="Times New Roman"/>
      <w:sz w:val="24"/>
      <w:szCs w:val="22"/>
    </w:rPr>
  </w:style>
  <w:style w:type="character" w:customStyle="1" w:styleId="Heading5Char">
    <w:name w:val="Heading 5 Char"/>
    <w:link w:val="Heading5"/>
    <w:uiPriority w:val="9"/>
    <w:rsid w:val="00157089"/>
    <w:rPr>
      <w:rFonts w:ascii="Times New Roman" w:hAnsi="Times New Roman"/>
      <w:bCs/>
      <w:iCs/>
      <w:szCs w:val="26"/>
      <w:lang w:val="x-none" w:eastAsia="x-none"/>
    </w:rPr>
  </w:style>
  <w:style w:type="paragraph" w:styleId="BodyText2">
    <w:name w:val="Body Text 2"/>
    <w:basedOn w:val="Normal"/>
    <w:link w:val="BodyText2Char"/>
    <w:uiPriority w:val="99"/>
    <w:semiHidden/>
    <w:unhideWhenUsed/>
    <w:rsid w:val="005968F1"/>
    <w:pPr>
      <w:spacing w:line="480" w:lineRule="auto"/>
    </w:pPr>
    <w:rPr>
      <w:lang w:val="x-none" w:eastAsia="x-none"/>
    </w:rPr>
  </w:style>
  <w:style w:type="character" w:customStyle="1" w:styleId="BodyText2Char">
    <w:name w:val="Body Text 2 Char"/>
    <w:link w:val="BodyText2"/>
    <w:uiPriority w:val="99"/>
    <w:semiHidden/>
    <w:rsid w:val="005968F1"/>
    <w:rPr>
      <w:rFonts w:ascii="Times New Roman" w:hAnsi="Times New Roman"/>
      <w:sz w:val="24"/>
      <w:szCs w:val="22"/>
    </w:rPr>
  </w:style>
  <w:style w:type="paragraph" w:styleId="Footer">
    <w:name w:val="footer"/>
    <w:basedOn w:val="Normal"/>
    <w:link w:val="FooterChar"/>
    <w:uiPriority w:val="99"/>
    <w:unhideWhenUsed/>
    <w:rsid w:val="00435648"/>
    <w:pPr>
      <w:tabs>
        <w:tab w:val="center" w:pos="4680"/>
        <w:tab w:val="right" w:pos="9360"/>
      </w:tabs>
    </w:pPr>
    <w:rPr>
      <w:lang w:val="x-none" w:eastAsia="x-none"/>
    </w:rPr>
  </w:style>
  <w:style w:type="character" w:customStyle="1" w:styleId="FooterChar">
    <w:name w:val="Footer Char"/>
    <w:link w:val="Footer"/>
    <w:uiPriority w:val="99"/>
    <w:rsid w:val="00435648"/>
    <w:rPr>
      <w:rFonts w:ascii="Times New Roman" w:hAnsi="Times New Roman"/>
      <w:sz w:val="24"/>
      <w:szCs w:val="22"/>
    </w:rPr>
  </w:style>
  <w:style w:type="character" w:customStyle="1" w:styleId="Heading4Char">
    <w:name w:val="Heading 4 Char"/>
    <w:link w:val="Heading4"/>
    <w:uiPriority w:val="9"/>
    <w:rsid w:val="000D71CB"/>
    <w:rPr>
      <w:rFonts w:ascii="Times New Roman" w:hAnsi="Times New Roman"/>
      <w:bCs/>
      <w:noProof/>
      <w:szCs w:val="28"/>
      <w:lang w:val="x-none" w:eastAsia="x-none"/>
    </w:rPr>
  </w:style>
  <w:style w:type="character" w:customStyle="1" w:styleId="Heading6Char">
    <w:name w:val="Heading 6 Char"/>
    <w:aliases w:val="DO NOT USE4 Char,Bayer-Heading 6 Char"/>
    <w:link w:val="Heading6"/>
    <w:uiPriority w:val="9"/>
    <w:rsid w:val="00CF4AC3"/>
    <w:rPr>
      <w:rFonts w:ascii="Times New Roman" w:hAnsi="Times New Roman"/>
      <w:bCs/>
      <w:lang w:val="x-none" w:eastAsia="x-none"/>
    </w:rPr>
  </w:style>
  <w:style w:type="character" w:customStyle="1" w:styleId="Heading7Char">
    <w:name w:val="Heading 7 Char"/>
    <w:aliases w:val="DO NOT USE3 Char,DO NOT USE31 Char,Bayer-Heading 7 Char"/>
    <w:link w:val="Heading7"/>
    <w:uiPriority w:val="9"/>
    <w:rsid w:val="00CF4AC3"/>
    <w:rPr>
      <w:lang w:val="x-none" w:eastAsia="x-none"/>
    </w:rPr>
  </w:style>
  <w:style w:type="character" w:customStyle="1" w:styleId="Heading8Char">
    <w:name w:val="Heading 8 Char"/>
    <w:aliases w:val="DO NOT USE2 Char,DO NOT USE21 Char,Bayer-Heading 8 Char"/>
    <w:link w:val="Heading8"/>
    <w:uiPriority w:val="9"/>
    <w:rsid w:val="00CF4AC3"/>
    <w:rPr>
      <w:i/>
      <w:iCs/>
      <w:lang w:val="x-none" w:eastAsia="x-none"/>
    </w:rPr>
  </w:style>
  <w:style w:type="character" w:customStyle="1" w:styleId="Heading9Char">
    <w:name w:val="Heading 9 Char"/>
    <w:aliases w:val="DO NOT USE1 Char,DO NOT USE11 Char,Bayer-Heading 9 Char"/>
    <w:link w:val="Heading9"/>
    <w:uiPriority w:val="9"/>
    <w:rsid w:val="00CF4AC3"/>
    <w:rPr>
      <w:rFonts w:ascii="Cambria" w:hAnsi="Cambria"/>
      <w:sz w:val="22"/>
      <w:szCs w:val="22"/>
      <w:lang w:val="x-none" w:eastAsia="x-none"/>
    </w:rPr>
  </w:style>
  <w:style w:type="character" w:styleId="Hyperlink">
    <w:name w:val="Hyperlink"/>
    <w:uiPriority w:val="99"/>
    <w:rsid w:val="00C03DCC"/>
    <w:rPr>
      <w:color w:val="0000FF"/>
      <w:u w:val="single"/>
    </w:rPr>
  </w:style>
  <w:style w:type="character" w:customStyle="1" w:styleId="Style10ptBold1">
    <w:name w:val="Style 10 pt Bold1"/>
    <w:rsid w:val="00760F97"/>
    <w:rPr>
      <w:rFonts w:ascii="Times New Roman" w:hAnsi="Times New Roman"/>
      <w:b/>
      <w:bCs/>
      <w:sz w:val="24"/>
    </w:rPr>
  </w:style>
  <w:style w:type="paragraph" w:styleId="TOCHeading">
    <w:name w:val="TOC Heading"/>
    <w:basedOn w:val="Heading1"/>
    <w:next w:val="Normal"/>
    <w:uiPriority w:val="39"/>
    <w:rsid w:val="00601E3A"/>
    <w:pPr>
      <w:numPr>
        <w:numId w:val="0"/>
      </w:numPr>
      <w:spacing w:line="276" w:lineRule="auto"/>
      <w:outlineLvl w:val="9"/>
    </w:pPr>
    <w:rPr>
      <w:rFonts w:ascii="Cambria" w:hAnsi="Cambria"/>
      <w:caps w:val="0"/>
      <w:color w:val="365F91"/>
      <w:sz w:val="28"/>
    </w:rPr>
  </w:style>
  <w:style w:type="paragraph" w:styleId="TOC1">
    <w:name w:val="toc 1"/>
    <w:basedOn w:val="Normal"/>
    <w:next w:val="Normal"/>
    <w:autoRedefine/>
    <w:uiPriority w:val="39"/>
    <w:unhideWhenUsed/>
    <w:rsid w:val="00005439"/>
    <w:pPr>
      <w:tabs>
        <w:tab w:val="right" w:leader="dot" w:pos="9360"/>
      </w:tabs>
      <w:ind w:left="540" w:right="360" w:hanging="540"/>
    </w:pPr>
    <w:rPr>
      <w:caps/>
      <w:color w:val="0000FF"/>
    </w:rPr>
  </w:style>
  <w:style w:type="paragraph" w:styleId="TOC2">
    <w:name w:val="toc 2"/>
    <w:basedOn w:val="Normal"/>
    <w:next w:val="Normal"/>
    <w:autoRedefine/>
    <w:uiPriority w:val="39"/>
    <w:unhideWhenUsed/>
    <w:rsid w:val="00005439"/>
    <w:pPr>
      <w:tabs>
        <w:tab w:val="right" w:leader="dot" w:pos="9350"/>
      </w:tabs>
      <w:ind w:left="900" w:hanging="660"/>
    </w:pPr>
    <w:rPr>
      <w:color w:val="0000FF"/>
    </w:rPr>
  </w:style>
  <w:style w:type="paragraph" w:styleId="TOC3">
    <w:name w:val="toc 3"/>
    <w:basedOn w:val="Normal"/>
    <w:next w:val="Normal"/>
    <w:autoRedefine/>
    <w:uiPriority w:val="39"/>
    <w:unhideWhenUsed/>
    <w:rsid w:val="00005439"/>
    <w:pPr>
      <w:tabs>
        <w:tab w:val="right" w:leader="dot" w:pos="9350"/>
      </w:tabs>
      <w:ind w:left="1260" w:hanging="780"/>
    </w:pPr>
    <w:rPr>
      <w:noProof/>
      <w:color w:val="0000FF"/>
    </w:rPr>
  </w:style>
  <w:style w:type="paragraph" w:customStyle="1" w:styleId="Level1">
    <w:name w:val="Level 1"/>
    <w:basedOn w:val="Normal"/>
    <w:rsid w:val="00EF3D91"/>
    <w:pPr>
      <w:widowControl w:val="0"/>
      <w:spacing w:after="0"/>
      <w:ind w:left="354" w:hanging="354"/>
    </w:pPr>
    <w:rPr>
      <w:rFonts w:eastAsia="Times New Roman"/>
      <w:snapToGrid w:val="0"/>
      <w:szCs w:val="20"/>
    </w:rPr>
  </w:style>
  <w:style w:type="character" w:styleId="FollowedHyperlink">
    <w:name w:val="FollowedHyperlink"/>
    <w:uiPriority w:val="99"/>
    <w:unhideWhenUsed/>
    <w:rsid w:val="00C05039"/>
    <w:rPr>
      <w:color w:val="800080"/>
      <w:u w:val="single"/>
    </w:rPr>
  </w:style>
  <w:style w:type="paragraph" w:customStyle="1" w:styleId="Outline1">
    <w:name w:val="Outline 1"/>
    <w:basedOn w:val="Normal"/>
    <w:uiPriority w:val="99"/>
    <w:rsid w:val="00D54B44"/>
    <w:pPr>
      <w:spacing w:after="0"/>
      <w:ind w:left="720"/>
    </w:pPr>
    <w:rPr>
      <w:rFonts w:eastAsia="Times New Roman"/>
      <w:sz w:val="20"/>
      <w:szCs w:val="20"/>
    </w:rPr>
  </w:style>
  <w:style w:type="paragraph" w:styleId="BodyTextIndent2">
    <w:name w:val="Body Text Indent 2"/>
    <w:basedOn w:val="Normal"/>
    <w:link w:val="BodyTextIndent2Char"/>
    <w:uiPriority w:val="99"/>
    <w:semiHidden/>
    <w:unhideWhenUsed/>
    <w:rsid w:val="006D6BEC"/>
    <w:pPr>
      <w:spacing w:line="480" w:lineRule="auto"/>
      <w:ind w:left="360"/>
    </w:pPr>
    <w:rPr>
      <w:lang w:val="x-none" w:eastAsia="x-none"/>
    </w:rPr>
  </w:style>
  <w:style w:type="character" w:customStyle="1" w:styleId="BodyTextIndent2Char">
    <w:name w:val="Body Text Indent 2 Char"/>
    <w:link w:val="BodyTextIndent2"/>
    <w:uiPriority w:val="99"/>
    <w:semiHidden/>
    <w:rsid w:val="006D6BEC"/>
    <w:rPr>
      <w:rFonts w:ascii="Times New Roman" w:hAnsi="Times New Roman"/>
      <w:sz w:val="24"/>
      <w:szCs w:val="22"/>
    </w:rPr>
  </w:style>
  <w:style w:type="paragraph" w:customStyle="1" w:styleId="WPDefaultslocal">
    <w:name w:val="WP Defaults(local)"/>
    <w:rsid w:val="006D6B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pPr>
    <w:rPr>
      <w:rFonts w:ascii="Geneva" w:eastAsia="Times New Roman" w:hAnsi="Geneva"/>
      <w:color w:val="000000"/>
    </w:rPr>
  </w:style>
  <w:style w:type="paragraph" w:styleId="NormalWeb">
    <w:name w:val="Normal (Web)"/>
    <w:basedOn w:val="Normal"/>
    <w:link w:val="NormalWebChar"/>
    <w:uiPriority w:val="99"/>
    <w:rsid w:val="006D6BEC"/>
    <w:pPr>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714EB0"/>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714EB0"/>
    <w:rPr>
      <w:rFonts w:ascii="Tahoma" w:hAnsi="Tahoma" w:cs="Tahoma"/>
      <w:sz w:val="16"/>
      <w:szCs w:val="16"/>
    </w:rPr>
  </w:style>
  <w:style w:type="character" w:styleId="CommentReference">
    <w:name w:val="annotation reference"/>
    <w:uiPriority w:val="99"/>
    <w:unhideWhenUsed/>
    <w:rsid w:val="00714EB0"/>
    <w:rPr>
      <w:sz w:val="16"/>
      <w:szCs w:val="16"/>
    </w:rPr>
  </w:style>
  <w:style w:type="paragraph" w:styleId="CommentText">
    <w:name w:val="annotation text"/>
    <w:basedOn w:val="Normal"/>
    <w:link w:val="CommentTextChar"/>
    <w:uiPriority w:val="99"/>
    <w:unhideWhenUsed/>
    <w:rsid w:val="00714EB0"/>
    <w:rPr>
      <w:sz w:val="20"/>
      <w:szCs w:val="20"/>
      <w:lang w:val="x-none" w:eastAsia="x-none"/>
    </w:rPr>
  </w:style>
  <w:style w:type="character" w:customStyle="1" w:styleId="CommentTextChar">
    <w:name w:val="Comment Text Char"/>
    <w:link w:val="CommentText"/>
    <w:uiPriority w:val="99"/>
    <w:rsid w:val="00714EB0"/>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14EB0"/>
    <w:rPr>
      <w:b/>
      <w:bCs/>
    </w:rPr>
  </w:style>
  <w:style w:type="character" w:customStyle="1" w:styleId="CommentSubjectChar">
    <w:name w:val="Comment Subject Char"/>
    <w:link w:val="CommentSubject"/>
    <w:uiPriority w:val="99"/>
    <w:semiHidden/>
    <w:rsid w:val="00714EB0"/>
    <w:rPr>
      <w:rFonts w:ascii="Times New Roman" w:hAnsi="Times New Roman"/>
      <w:b/>
      <w:bCs/>
    </w:rPr>
  </w:style>
  <w:style w:type="paragraph" w:customStyle="1" w:styleId="Default">
    <w:name w:val="Default"/>
    <w:rsid w:val="005F7640"/>
    <w:pPr>
      <w:autoSpaceDE w:val="0"/>
      <w:autoSpaceDN w:val="0"/>
      <w:adjustRightInd w:val="0"/>
    </w:pPr>
    <w:rPr>
      <w:rFonts w:ascii="Times New Roman" w:hAnsi="Times New Roman"/>
      <w:color w:val="000000"/>
    </w:rPr>
  </w:style>
  <w:style w:type="paragraph" w:styleId="DocumentMap">
    <w:name w:val="Document Map"/>
    <w:basedOn w:val="Normal"/>
    <w:semiHidden/>
    <w:rsid w:val="009D160D"/>
    <w:pPr>
      <w:shd w:val="clear" w:color="auto" w:fill="000080"/>
    </w:pPr>
    <w:rPr>
      <w:rFonts w:ascii="Tahoma" w:hAnsi="Tahoma" w:cs="Tahoma"/>
      <w:sz w:val="20"/>
      <w:szCs w:val="20"/>
    </w:rPr>
  </w:style>
  <w:style w:type="character" w:customStyle="1" w:styleId="summary-citation-pubmed1">
    <w:name w:val="summary-citation-pubmed1"/>
    <w:rsid w:val="006C4DCC"/>
    <w:rPr>
      <w:sz w:val="15"/>
      <w:szCs w:val="15"/>
    </w:rPr>
  </w:style>
  <w:style w:type="paragraph" w:styleId="TOC4">
    <w:name w:val="toc 4"/>
    <w:basedOn w:val="Normal"/>
    <w:next w:val="Normal"/>
    <w:autoRedefine/>
    <w:uiPriority w:val="39"/>
    <w:unhideWhenUsed/>
    <w:rsid w:val="00005439"/>
    <w:pPr>
      <w:spacing w:after="100" w:line="276" w:lineRule="auto"/>
      <w:ind w:left="660"/>
    </w:pPr>
    <w:rPr>
      <w:rFonts w:ascii="Calibri" w:eastAsia="Times New Roman" w:hAnsi="Calibri"/>
      <w:color w:val="0000FF"/>
      <w:sz w:val="22"/>
    </w:rPr>
  </w:style>
  <w:style w:type="paragraph" w:styleId="TOC5">
    <w:name w:val="toc 5"/>
    <w:basedOn w:val="Normal"/>
    <w:next w:val="Normal"/>
    <w:autoRedefine/>
    <w:uiPriority w:val="39"/>
    <w:unhideWhenUsed/>
    <w:rsid w:val="00005439"/>
    <w:pPr>
      <w:spacing w:after="100" w:line="276" w:lineRule="auto"/>
      <w:ind w:left="880"/>
    </w:pPr>
    <w:rPr>
      <w:rFonts w:ascii="Calibri" w:eastAsia="Times New Roman" w:hAnsi="Calibri"/>
      <w:color w:val="0000FF"/>
      <w:sz w:val="22"/>
    </w:rPr>
  </w:style>
  <w:style w:type="paragraph" w:styleId="TOC6">
    <w:name w:val="toc 6"/>
    <w:basedOn w:val="Normal"/>
    <w:next w:val="Normal"/>
    <w:autoRedefine/>
    <w:uiPriority w:val="39"/>
    <w:unhideWhenUsed/>
    <w:rsid w:val="00005439"/>
    <w:pPr>
      <w:spacing w:after="100" w:line="276" w:lineRule="auto"/>
      <w:ind w:left="1100"/>
    </w:pPr>
    <w:rPr>
      <w:rFonts w:ascii="Calibri" w:eastAsia="Times New Roman" w:hAnsi="Calibri"/>
      <w:color w:val="0000FF"/>
      <w:sz w:val="22"/>
    </w:rPr>
  </w:style>
  <w:style w:type="paragraph" w:styleId="TOC7">
    <w:name w:val="toc 7"/>
    <w:basedOn w:val="Normal"/>
    <w:next w:val="Normal"/>
    <w:autoRedefine/>
    <w:uiPriority w:val="39"/>
    <w:unhideWhenUsed/>
    <w:rsid w:val="00005439"/>
    <w:pPr>
      <w:spacing w:after="100" w:line="276" w:lineRule="auto"/>
      <w:ind w:left="1320"/>
    </w:pPr>
    <w:rPr>
      <w:rFonts w:ascii="Calibri" w:eastAsia="Times New Roman" w:hAnsi="Calibri"/>
      <w:color w:val="0000FF"/>
      <w:sz w:val="22"/>
    </w:rPr>
  </w:style>
  <w:style w:type="paragraph" w:styleId="TOC8">
    <w:name w:val="toc 8"/>
    <w:basedOn w:val="Normal"/>
    <w:next w:val="Normal"/>
    <w:autoRedefine/>
    <w:uiPriority w:val="39"/>
    <w:unhideWhenUsed/>
    <w:rsid w:val="00005439"/>
    <w:pPr>
      <w:spacing w:after="100" w:line="276" w:lineRule="auto"/>
      <w:ind w:left="1540"/>
    </w:pPr>
    <w:rPr>
      <w:rFonts w:ascii="Calibri" w:eastAsia="Times New Roman" w:hAnsi="Calibri"/>
      <w:color w:val="0000FF"/>
      <w:sz w:val="22"/>
    </w:rPr>
  </w:style>
  <w:style w:type="paragraph" w:styleId="TOC9">
    <w:name w:val="toc 9"/>
    <w:basedOn w:val="Normal"/>
    <w:next w:val="Normal"/>
    <w:autoRedefine/>
    <w:uiPriority w:val="39"/>
    <w:unhideWhenUsed/>
    <w:rsid w:val="00005439"/>
    <w:pPr>
      <w:spacing w:after="100" w:line="276" w:lineRule="auto"/>
      <w:ind w:left="1760"/>
    </w:pPr>
    <w:rPr>
      <w:rFonts w:ascii="Calibri" w:eastAsia="Times New Roman" w:hAnsi="Calibri"/>
      <w:color w:val="0000FF"/>
      <w:sz w:val="22"/>
    </w:rPr>
  </w:style>
  <w:style w:type="paragraph" w:styleId="EndnoteText">
    <w:name w:val="endnote text"/>
    <w:basedOn w:val="Normal"/>
    <w:link w:val="EndnoteTextChar"/>
    <w:uiPriority w:val="99"/>
    <w:unhideWhenUsed/>
    <w:rsid w:val="00E20667"/>
    <w:rPr>
      <w:sz w:val="20"/>
      <w:szCs w:val="20"/>
      <w:lang w:val="x-none" w:eastAsia="x-none"/>
    </w:rPr>
  </w:style>
  <w:style w:type="character" w:customStyle="1" w:styleId="EndnoteTextChar">
    <w:name w:val="Endnote Text Char"/>
    <w:link w:val="EndnoteText"/>
    <w:uiPriority w:val="99"/>
    <w:rsid w:val="00E20667"/>
    <w:rPr>
      <w:rFonts w:ascii="Times New Roman" w:hAnsi="Times New Roman"/>
    </w:rPr>
  </w:style>
  <w:style w:type="character" w:styleId="EndnoteReference">
    <w:name w:val="endnote reference"/>
    <w:uiPriority w:val="99"/>
    <w:semiHidden/>
    <w:unhideWhenUsed/>
    <w:rsid w:val="00E20667"/>
    <w:rPr>
      <w:vertAlign w:val="superscript"/>
    </w:rPr>
  </w:style>
  <w:style w:type="paragraph" w:styleId="Title">
    <w:name w:val="Title"/>
    <w:basedOn w:val="Normal"/>
    <w:link w:val="TitleChar"/>
    <w:rsid w:val="00F64798"/>
    <w:pPr>
      <w:widowControl w:val="0"/>
      <w:spacing w:after="0"/>
      <w:jc w:val="center"/>
    </w:pPr>
    <w:rPr>
      <w:rFonts w:eastAsia="Times New Roman"/>
      <w:b/>
      <w:szCs w:val="20"/>
      <w:lang w:val="x-none" w:eastAsia="x-none"/>
    </w:rPr>
  </w:style>
  <w:style w:type="character" w:customStyle="1" w:styleId="TitleChar">
    <w:name w:val="Title Char"/>
    <w:link w:val="Title"/>
    <w:rsid w:val="00F64798"/>
    <w:rPr>
      <w:rFonts w:ascii="Times New Roman" w:eastAsia="Times New Roman" w:hAnsi="Times New Roman"/>
      <w:b/>
      <w:sz w:val="24"/>
    </w:rPr>
  </w:style>
  <w:style w:type="paragraph" w:styleId="BodyTextIndent3">
    <w:name w:val="Body Text Indent 3"/>
    <w:basedOn w:val="Normal"/>
    <w:link w:val="BodyTextIndent3Char"/>
    <w:uiPriority w:val="99"/>
    <w:semiHidden/>
    <w:unhideWhenUsed/>
    <w:rsid w:val="000F5316"/>
    <w:pPr>
      <w:ind w:left="360"/>
    </w:pPr>
    <w:rPr>
      <w:sz w:val="16"/>
      <w:szCs w:val="16"/>
      <w:lang w:val="x-none" w:eastAsia="x-none"/>
    </w:rPr>
  </w:style>
  <w:style w:type="character" w:customStyle="1" w:styleId="BodyTextIndent3Char">
    <w:name w:val="Body Text Indent 3 Char"/>
    <w:link w:val="BodyTextIndent3"/>
    <w:uiPriority w:val="99"/>
    <w:semiHidden/>
    <w:rsid w:val="000F5316"/>
    <w:rPr>
      <w:rFonts w:ascii="Times New Roman" w:hAnsi="Times New Roman"/>
      <w:sz w:val="16"/>
      <w:szCs w:val="16"/>
    </w:rPr>
  </w:style>
  <w:style w:type="paragraph" w:customStyle="1" w:styleId="a">
    <w:name w:val="_"/>
    <w:basedOn w:val="Normal"/>
    <w:rsid w:val="000F5316"/>
    <w:pPr>
      <w:widowControl w:val="0"/>
      <w:spacing w:after="0"/>
      <w:ind w:left="1438" w:hanging="346"/>
    </w:pPr>
    <w:rPr>
      <w:rFonts w:eastAsia="Times New Roman"/>
      <w:snapToGrid w:val="0"/>
      <w:szCs w:val="24"/>
    </w:rPr>
  </w:style>
  <w:style w:type="paragraph" w:styleId="NormalIndent">
    <w:name w:val="Normal Indent"/>
    <w:basedOn w:val="Normal"/>
    <w:rsid w:val="000F5316"/>
    <w:pPr>
      <w:overflowPunct w:val="0"/>
      <w:autoSpaceDE w:val="0"/>
      <w:autoSpaceDN w:val="0"/>
      <w:adjustRightInd w:val="0"/>
      <w:spacing w:after="0"/>
      <w:ind w:left="720"/>
      <w:textAlignment w:val="baseline"/>
    </w:pPr>
    <w:rPr>
      <w:rFonts w:eastAsia="Times New Roman"/>
      <w:szCs w:val="24"/>
    </w:rPr>
  </w:style>
  <w:style w:type="paragraph" w:styleId="ListParagraph">
    <w:name w:val="List Paragraph"/>
    <w:basedOn w:val="Normal"/>
    <w:link w:val="ListParagraphChar"/>
    <w:uiPriority w:val="34"/>
    <w:qFormat/>
    <w:rsid w:val="00CF4AC3"/>
    <w:pPr>
      <w:spacing w:after="0"/>
      <w:ind w:left="720"/>
      <w:contextualSpacing/>
    </w:pPr>
    <w:rPr>
      <w:szCs w:val="24"/>
      <w:lang w:val="x-none" w:eastAsia="x-none"/>
    </w:rPr>
  </w:style>
  <w:style w:type="table" w:styleId="TableGrid">
    <w:name w:val="Table Grid"/>
    <w:basedOn w:val="TableNormal"/>
    <w:uiPriority w:val="59"/>
    <w:rsid w:val="0034020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rsid w:val="00EB56B0"/>
    <w:rPr>
      <w:rFonts w:ascii="Times New Roman" w:hAnsi="Times New Roman"/>
      <w:szCs w:val="22"/>
    </w:rPr>
  </w:style>
  <w:style w:type="character" w:styleId="Strong">
    <w:name w:val="Strong"/>
    <w:uiPriority w:val="22"/>
    <w:qFormat/>
    <w:rsid w:val="008C1C63"/>
    <w:rPr>
      <w:b/>
      <w:bCs/>
    </w:rPr>
  </w:style>
  <w:style w:type="paragraph" w:customStyle="1" w:styleId="Level3bullet">
    <w:name w:val="Level 3 bullet"/>
    <w:basedOn w:val="ListParagraph"/>
    <w:link w:val="Level3bulletChar"/>
    <w:qFormat/>
    <w:rsid w:val="00CF4AC3"/>
    <w:pPr>
      <w:spacing w:before="60" w:after="60"/>
      <w:ind w:hanging="360"/>
      <w:contextualSpacing w:val="0"/>
    </w:pPr>
  </w:style>
  <w:style w:type="character" w:customStyle="1" w:styleId="Level3bulletChar">
    <w:name w:val="Level 3 bullet Char"/>
    <w:link w:val="Level3bullet"/>
    <w:rsid w:val="00CF4AC3"/>
    <w:rPr>
      <w:rFonts w:ascii="Times New Roman" w:hAnsi="Times New Roman"/>
      <w:sz w:val="24"/>
      <w:szCs w:val="24"/>
    </w:rPr>
  </w:style>
  <w:style w:type="paragraph" w:customStyle="1" w:styleId="Level2bullet">
    <w:name w:val="Level 2 bullet"/>
    <w:basedOn w:val="Level3bullet"/>
    <w:link w:val="Level2bulletChar"/>
    <w:qFormat/>
    <w:rsid w:val="00CF4AC3"/>
    <w:pPr>
      <w:ind w:left="900"/>
    </w:pPr>
    <w:rPr>
      <w:rFonts w:ascii="Calibri" w:hAnsi="Calibri"/>
      <w:sz w:val="20"/>
      <w:szCs w:val="20"/>
    </w:rPr>
  </w:style>
  <w:style w:type="character" w:customStyle="1" w:styleId="Level2bulletChar">
    <w:name w:val="Level 2 bullet Char"/>
    <w:link w:val="Level2bullet"/>
    <w:rsid w:val="00CF4AC3"/>
  </w:style>
  <w:style w:type="paragraph" w:customStyle="1" w:styleId="Level1bullet">
    <w:name w:val="Level 1 bullet"/>
    <w:basedOn w:val="Level2bullet"/>
    <w:link w:val="Level1bulletChar"/>
    <w:qFormat/>
    <w:rsid w:val="00CF4AC3"/>
    <w:pPr>
      <w:ind w:left="720"/>
    </w:pPr>
    <w:rPr>
      <w:rFonts w:ascii="Times New Roman" w:hAnsi="Times New Roman"/>
      <w:sz w:val="24"/>
      <w:szCs w:val="24"/>
    </w:rPr>
  </w:style>
  <w:style w:type="character" w:customStyle="1" w:styleId="Level1bulletChar">
    <w:name w:val="Level 1 bullet Char"/>
    <w:link w:val="Level1bullet"/>
    <w:rsid w:val="00CF4AC3"/>
    <w:rPr>
      <w:rFonts w:ascii="Times New Roman" w:hAnsi="Times New Roman"/>
      <w:sz w:val="24"/>
      <w:szCs w:val="24"/>
    </w:rPr>
  </w:style>
  <w:style w:type="paragraph" w:customStyle="1" w:styleId="Level4bullet">
    <w:name w:val="Level 4 bullet"/>
    <w:basedOn w:val="Level1bullet"/>
    <w:link w:val="Level4bulletChar"/>
    <w:qFormat/>
    <w:rsid w:val="00CF4AC3"/>
    <w:pPr>
      <w:ind w:left="1260"/>
    </w:pPr>
  </w:style>
  <w:style w:type="character" w:customStyle="1" w:styleId="Level4bulletChar">
    <w:name w:val="Level 4 bullet Char"/>
    <w:link w:val="Level4bullet"/>
    <w:rsid w:val="00CF4AC3"/>
    <w:rPr>
      <w:rFonts w:ascii="Times New Roman" w:hAnsi="Times New Roman"/>
      <w:sz w:val="24"/>
      <w:szCs w:val="24"/>
    </w:rPr>
  </w:style>
  <w:style w:type="paragraph" w:styleId="Caption">
    <w:name w:val="caption"/>
    <w:aliases w:val="CG Caption,Char,Curagen Caption,Caption Char1,Caption Char Char"/>
    <w:basedOn w:val="Normal"/>
    <w:next w:val="Normal"/>
    <w:link w:val="CaptionChar"/>
    <w:uiPriority w:val="99"/>
    <w:qFormat/>
    <w:rsid w:val="00CF4AC3"/>
    <w:pPr>
      <w:keepNext/>
      <w:widowControl w:val="0"/>
      <w:spacing w:after="60"/>
    </w:pPr>
    <w:rPr>
      <w:rFonts w:eastAsia="Times New Roman"/>
      <w:b/>
      <w:bCs/>
      <w:szCs w:val="20"/>
      <w:lang w:val="x-none" w:eastAsia="x-none"/>
    </w:rPr>
  </w:style>
  <w:style w:type="character" w:customStyle="1" w:styleId="CaptionChar">
    <w:name w:val="Caption Char"/>
    <w:aliases w:val="CG Caption Char,Char Char,Curagen Caption Char,Caption Char1 Char,Caption Char Char Char"/>
    <w:link w:val="Caption"/>
    <w:uiPriority w:val="99"/>
    <w:locked/>
    <w:rsid w:val="00CF4AC3"/>
    <w:rPr>
      <w:rFonts w:ascii="Times New Roman" w:eastAsia="Times New Roman" w:hAnsi="Times New Roman"/>
      <w:b/>
      <w:bCs/>
      <w:sz w:val="24"/>
    </w:rPr>
  </w:style>
  <w:style w:type="character" w:styleId="Emphasis">
    <w:name w:val="Emphasis"/>
    <w:uiPriority w:val="20"/>
    <w:qFormat/>
    <w:rsid w:val="00CF4AC3"/>
    <w:rPr>
      <w:rFonts w:cs="Times New Roman"/>
      <w:i/>
      <w:iCs/>
    </w:rPr>
  </w:style>
  <w:style w:type="character" w:customStyle="1" w:styleId="ListParagraphChar">
    <w:name w:val="List Paragraph Char"/>
    <w:link w:val="ListParagraph"/>
    <w:uiPriority w:val="34"/>
    <w:rsid w:val="00CF4AC3"/>
    <w:rPr>
      <w:rFonts w:ascii="Times New Roman" w:hAnsi="Times New Roman"/>
      <w:sz w:val="24"/>
      <w:szCs w:val="24"/>
    </w:rPr>
  </w:style>
  <w:style w:type="character" w:styleId="PageNumber">
    <w:name w:val="page number"/>
    <w:rsid w:val="007A6E6D"/>
  </w:style>
  <w:style w:type="character" w:customStyle="1" w:styleId="highlight">
    <w:name w:val="highlight"/>
    <w:rsid w:val="007A6E6D"/>
  </w:style>
  <w:style w:type="character" w:customStyle="1" w:styleId="ui-ncbitoggler-master-text">
    <w:name w:val="ui-ncbitoggler-master-text"/>
    <w:rsid w:val="007A6E6D"/>
  </w:style>
  <w:style w:type="character" w:customStyle="1" w:styleId="li-content">
    <w:name w:val="li-content"/>
    <w:rsid w:val="007A6E6D"/>
  </w:style>
  <w:style w:type="character" w:customStyle="1" w:styleId="grame">
    <w:name w:val="grame"/>
    <w:rsid w:val="007A6E6D"/>
  </w:style>
  <w:style w:type="character" w:customStyle="1" w:styleId="spelle">
    <w:name w:val="spelle"/>
    <w:rsid w:val="007A6E6D"/>
  </w:style>
  <w:style w:type="character" w:customStyle="1" w:styleId="ref">
    <w:name w:val="ref"/>
    <w:rsid w:val="007A6E6D"/>
  </w:style>
  <w:style w:type="character" w:customStyle="1" w:styleId="st">
    <w:name w:val="st"/>
    <w:rsid w:val="007A6E6D"/>
  </w:style>
  <w:style w:type="character" w:customStyle="1" w:styleId="xref">
    <w:name w:val="xref"/>
    <w:rsid w:val="007A6E6D"/>
  </w:style>
  <w:style w:type="paragraph" w:customStyle="1" w:styleId="contribs">
    <w:name w:val="contribs"/>
    <w:basedOn w:val="Normal"/>
    <w:rsid w:val="007A6E6D"/>
    <w:pPr>
      <w:spacing w:before="100" w:beforeAutospacing="1" w:after="100" w:afterAutospacing="1"/>
    </w:pPr>
    <w:rPr>
      <w:rFonts w:ascii="Times" w:hAnsi="Times"/>
      <w:sz w:val="20"/>
      <w:szCs w:val="20"/>
    </w:rPr>
  </w:style>
  <w:style w:type="character" w:customStyle="1" w:styleId="fipmark">
    <w:name w:val="fip_mark"/>
    <w:rsid w:val="007A6E6D"/>
  </w:style>
  <w:style w:type="paragraph" w:customStyle="1" w:styleId="fm-aai">
    <w:name w:val="fm-aai"/>
    <w:basedOn w:val="Normal"/>
    <w:rsid w:val="007A6E6D"/>
    <w:pPr>
      <w:spacing w:before="100" w:beforeAutospacing="1" w:after="100" w:afterAutospacing="1"/>
    </w:pPr>
    <w:rPr>
      <w:rFonts w:ascii="Times" w:hAnsi="Times"/>
      <w:sz w:val="20"/>
      <w:szCs w:val="20"/>
    </w:rPr>
  </w:style>
  <w:style w:type="paragraph" w:customStyle="1" w:styleId="p">
    <w:name w:val="p"/>
    <w:basedOn w:val="Normal"/>
    <w:rsid w:val="007A6E6D"/>
    <w:pPr>
      <w:spacing w:before="100" w:beforeAutospacing="1" w:after="100" w:afterAutospacing="1"/>
    </w:pPr>
    <w:rPr>
      <w:rFonts w:ascii="Times" w:hAnsi="Times"/>
      <w:sz w:val="20"/>
      <w:szCs w:val="20"/>
    </w:rPr>
  </w:style>
  <w:style w:type="character" w:customStyle="1" w:styleId="kwd-text">
    <w:name w:val="kwd-text"/>
    <w:rsid w:val="007A6E6D"/>
  </w:style>
  <w:style w:type="character" w:customStyle="1" w:styleId="figpopup-sensitive-area">
    <w:name w:val="figpopup-sensitive-area"/>
    <w:rsid w:val="007A6E6D"/>
  </w:style>
  <w:style w:type="paragraph" w:customStyle="1" w:styleId="Paragraph">
    <w:name w:val="Paragraph"/>
    <w:link w:val="ParagraphChar"/>
    <w:qFormat/>
    <w:rsid w:val="00423B05"/>
    <w:pPr>
      <w:spacing w:after="240" w:line="300" w:lineRule="auto"/>
    </w:pPr>
    <w:rPr>
      <w:rFonts w:ascii="Times New Roman" w:eastAsia="Times New Roman" w:hAnsi="Times New Roman"/>
    </w:rPr>
  </w:style>
  <w:style w:type="character" w:customStyle="1" w:styleId="ParagraphChar">
    <w:name w:val="Paragraph Char"/>
    <w:link w:val="Paragraph"/>
    <w:rsid w:val="00423B05"/>
    <w:rPr>
      <w:rFonts w:ascii="Times New Roman" w:eastAsia="Times New Roman" w:hAnsi="Times New Roman"/>
    </w:rPr>
  </w:style>
  <w:style w:type="character" w:customStyle="1" w:styleId="normalchar">
    <w:name w:val="normal__char"/>
    <w:uiPriority w:val="99"/>
    <w:rsid w:val="006F7A98"/>
    <w:rPr>
      <w:rFonts w:cs="Times New Roman"/>
    </w:rPr>
  </w:style>
  <w:style w:type="paragraph" w:customStyle="1" w:styleId="MediumList2-Accent41">
    <w:name w:val="Medium List 2 - Accent 41"/>
    <w:basedOn w:val="Normal"/>
    <w:qFormat/>
    <w:rsid w:val="00442281"/>
    <w:pPr>
      <w:spacing w:after="0"/>
      <w:ind w:left="720"/>
      <w:contextualSpacing/>
    </w:pPr>
    <w:rPr>
      <w:rFonts w:eastAsia="Times New Roman"/>
      <w:szCs w:val="24"/>
    </w:rPr>
  </w:style>
  <w:style w:type="paragraph" w:customStyle="1" w:styleId="A-Unassigned">
    <w:name w:val="A-Unassigned"/>
    <w:next w:val="Normal"/>
    <w:rsid w:val="00636857"/>
    <w:pPr>
      <w:keepNext/>
      <w:spacing w:before="120" w:after="120"/>
    </w:pPr>
    <w:rPr>
      <w:rFonts w:ascii="Times New Roman" w:eastAsia="Times New Roman" w:hAnsi="Times New Roman"/>
      <w:b/>
      <w:szCs w:val="20"/>
      <w:lang w:val="en-GB"/>
    </w:rPr>
  </w:style>
  <w:style w:type="paragraph" w:customStyle="1" w:styleId="A-ListNumber">
    <w:name w:val="A-List Number"/>
    <w:rsid w:val="00636857"/>
    <w:pPr>
      <w:numPr>
        <w:numId w:val="47"/>
      </w:numPr>
      <w:spacing w:after="240" w:line="280" w:lineRule="atLeast"/>
    </w:pPr>
    <w:rPr>
      <w:rFonts w:ascii="Times New Roman" w:eastAsia="Times New Roman" w:hAnsi="Times New Roman"/>
      <w:szCs w:val="20"/>
      <w:lang w:val="en-GB"/>
    </w:rPr>
  </w:style>
  <w:style w:type="paragraph" w:customStyle="1" w:styleId="A-ListSubsidiary">
    <w:name w:val="A-List Subsidiary"/>
    <w:rsid w:val="00636857"/>
    <w:pPr>
      <w:numPr>
        <w:numId w:val="46"/>
      </w:numPr>
      <w:spacing w:after="240" w:line="280" w:lineRule="atLeast"/>
    </w:pPr>
    <w:rPr>
      <w:rFonts w:ascii="Times New Roman" w:eastAsia="Times New Roman" w:hAnsi="Times New Roman"/>
      <w:szCs w:val="20"/>
      <w:lang w:val="en-GB"/>
    </w:rPr>
  </w:style>
  <w:style w:type="paragraph" w:customStyle="1" w:styleId="A-TableTitle">
    <w:name w:val="A-Table Title"/>
    <w:next w:val="Normal"/>
    <w:rsid w:val="00636857"/>
    <w:pPr>
      <w:keepNext/>
      <w:tabs>
        <w:tab w:val="left" w:pos="1800"/>
      </w:tabs>
      <w:spacing w:after="120" w:line="280" w:lineRule="atLeast"/>
      <w:ind w:left="1800" w:hanging="1800"/>
    </w:pPr>
    <w:rPr>
      <w:rFonts w:ascii="Times New Roman" w:eastAsia="Times New Roman" w:hAnsi="Times New Roman"/>
      <w:b/>
      <w:szCs w:val="20"/>
      <w:lang w:val="en-GB"/>
    </w:rPr>
  </w:style>
  <w:style w:type="paragraph" w:customStyle="1" w:styleId="A-TableFootnoteText">
    <w:name w:val="A-Table Footnote Text"/>
    <w:next w:val="Normal"/>
    <w:rsid w:val="00636857"/>
    <w:pPr>
      <w:tabs>
        <w:tab w:val="left" w:pos="432"/>
      </w:tabs>
      <w:ind w:left="432" w:hanging="432"/>
    </w:pPr>
    <w:rPr>
      <w:rFonts w:ascii="Times New Roman" w:eastAsia="Times New Roman" w:hAnsi="Times New Roman"/>
      <w:sz w:val="20"/>
      <w:szCs w:val="20"/>
      <w:lang w:val="en-GB"/>
    </w:rPr>
  </w:style>
  <w:style w:type="paragraph" w:customStyle="1" w:styleId="TableText">
    <w:name w:val="Table Text"/>
    <w:qFormat/>
    <w:rsid w:val="00636857"/>
    <w:pPr>
      <w:spacing w:after="60"/>
      <w:jc w:val="center"/>
    </w:pPr>
    <w:rPr>
      <w:rFonts w:ascii="Times New Roman" w:eastAsia="Times New Roman" w:hAnsi="Times New Roman"/>
    </w:rPr>
  </w:style>
  <w:style w:type="character" w:customStyle="1" w:styleId="Superscript">
    <w:name w:val="Superscript"/>
    <w:rsid w:val="00636857"/>
    <w:rPr>
      <w:rFonts w:ascii="Times New Roman" w:hAnsi="Times New Roman"/>
      <w:color w:val="auto"/>
      <w:w w:val="100"/>
      <w:kern w:val="0"/>
      <w:sz w:val="28"/>
      <w:u w:val="none"/>
      <w:effect w:val="none"/>
      <w:vertAlign w:val="superscript"/>
      <w:lang w:val="en-US"/>
    </w:rPr>
  </w:style>
  <w:style w:type="character" w:customStyle="1" w:styleId="TableNote">
    <w:name w:val="Table Note"/>
    <w:rsid w:val="00636857"/>
    <w:rPr>
      <w:rFonts w:ascii="Times New Roman" w:hAnsi="Times New Roman"/>
      <w:color w:val="auto"/>
      <w:w w:val="100"/>
      <w:kern w:val="0"/>
      <w:sz w:val="28"/>
      <w:u w:val="none"/>
      <w:effect w:val="none"/>
      <w:vertAlign w:val="superscript"/>
      <w:lang w:val="en-US"/>
    </w:rPr>
  </w:style>
  <w:style w:type="paragraph" w:customStyle="1" w:styleId="TableHeader">
    <w:name w:val="Table Header"/>
    <w:basedOn w:val="Normal"/>
    <w:next w:val="Normal"/>
    <w:rsid w:val="00636857"/>
    <w:pPr>
      <w:keepNext/>
      <w:keepLines/>
      <w:spacing w:before="60"/>
      <w:jc w:val="center"/>
    </w:pPr>
    <w:rPr>
      <w:rFonts w:ascii="Times New Roman Bold" w:eastAsia="Times New Roman" w:hAnsi="Times New Roman Bold"/>
      <w:b/>
      <w:sz w:val="20"/>
      <w:szCs w:val="20"/>
    </w:rPr>
  </w:style>
  <w:style w:type="paragraph" w:customStyle="1" w:styleId="TableLeft">
    <w:name w:val="Table Left"/>
    <w:rsid w:val="00A51B8B"/>
    <w:pPr>
      <w:spacing w:after="60"/>
    </w:pPr>
    <w:rPr>
      <w:rFonts w:ascii="Times New Roman" w:eastAsia="Times New Roman" w:hAnsi="Times New Roman" w:cs="Arial"/>
      <w:bCs/>
      <w:kern w:val="32"/>
      <w:sz w:val="20"/>
    </w:rPr>
  </w:style>
  <w:style w:type="paragraph" w:customStyle="1" w:styleId="ListBulletSmall">
    <w:name w:val="List Bullet Small"/>
    <w:basedOn w:val="ListBullet"/>
    <w:qFormat/>
    <w:rsid w:val="00A51B8B"/>
    <w:pPr>
      <w:numPr>
        <w:numId w:val="0"/>
      </w:numPr>
      <w:tabs>
        <w:tab w:val="num" w:pos="360"/>
      </w:tabs>
      <w:spacing w:after="60"/>
      <w:ind w:left="360" w:hanging="360"/>
      <w:contextualSpacing w:val="0"/>
    </w:pPr>
    <w:rPr>
      <w:rFonts w:eastAsia="Times New Roman"/>
      <w:sz w:val="20"/>
      <w:szCs w:val="48"/>
    </w:rPr>
  </w:style>
  <w:style w:type="paragraph" w:styleId="ListBullet">
    <w:name w:val="List Bullet"/>
    <w:basedOn w:val="Normal"/>
    <w:uiPriority w:val="99"/>
    <w:unhideWhenUsed/>
    <w:rsid w:val="00A51B8B"/>
    <w:pPr>
      <w:numPr>
        <w:numId w:val="48"/>
      </w:numPr>
      <w:contextualSpacing/>
    </w:pPr>
  </w:style>
  <w:style w:type="paragraph" w:customStyle="1" w:styleId="TableCenter">
    <w:name w:val="Table Center"/>
    <w:basedOn w:val="Normal"/>
    <w:rsid w:val="007C16DA"/>
    <w:pPr>
      <w:spacing w:after="60"/>
      <w:jc w:val="center"/>
    </w:pPr>
    <w:rPr>
      <w:rFonts w:eastAsia="Times New Roman"/>
      <w:sz w:val="20"/>
      <w:szCs w:val="24"/>
    </w:rPr>
  </w:style>
  <w:style w:type="paragraph" w:customStyle="1" w:styleId="TableHead">
    <w:name w:val="Table Head"/>
    <w:basedOn w:val="Normal"/>
    <w:rsid w:val="007C16DA"/>
    <w:pPr>
      <w:keepNext/>
      <w:spacing w:after="60"/>
      <w:jc w:val="center"/>
    </w:pPr>
    <w:rPr>
      <w:rFonts w:eastAsia="Times New Roman"/>
      <w:b/>
      <w:sz w:val="20"/>
      <w:szCs w:val="48"/>
    </w:rPr>
  </w:style>
  <w:style w:type="paragraph" w:styleId="ListBullet2">
    <w:name w:val="List Bullet 2"/>
    <w:aliases w:val="List Bullet 2 Char"/>
    <w:basedOn w:val="Normal"/>
    <w:unhideWhenUsed/>
    <w:rsid w:val="007C16DA"/>
    <w:pPr>
      <w:numPr>
        <w:numId w:val="49"/>
      </w:numPr>
      <w:contextualSpacing/>
    </w:pPr>
  </w:style>
  <w:style w:type="paragraph" w:customStyle="1" w:styleId="ListBulletSmall2">
    <w:name w:val="List Bullet Small 2"/>
    <w:basedOn w:val="ListBullet2"/>
    <w:qFormat/>
    <w:rsid w:val="00C043B4"/>
    <w:pPr>
      <w:numPr>
        <w:numId w:val="0"/>
      </w:numPr>
      <w:spacing w:after="60"/>
      <w:contextualSpacing w:val="0"/>
    </w:pPr>
    <w:rPr>
      <w:rFonts w:eastAsia="Times New Roman"/>
      <w:sz w:val="20"/>
      <w:szCs w:val="48"/>
    </w:rPr>
  </w:style>
  <w:style w:type="paragraph" w:customStyle="1" w:styleId="A-ListBullet">
    <w:name w:val="A-List Bullet"/>
    <w:rsid w:val="009A7D3C"/>
    <w:pPr>
      <w:numPr>
        <w:numId w:val="51"/>
      </w:numPr>
      <w:spacing w:after="240" w:line="280" w:lineRule="atLeast"/>
    </w:pPr>
    <w:rPr>
      <w:rFonts w:ascii="Times New Roman" w:eastAsia="Times New Roman" w:hAnsi="Times New Roman"/>
      <w:szCs w:val="20"/>
      <w:lang w:val="en-GB"/>
    </w:rPr>
  </w:style>
  <w:style w:type="paragraph" w:customStyle="1" w:styleId="xmsoplaintext">
    <w:name w:val="x_msoplaintext"/>
    <w:basedOn w:val="Normal"/>
    <w:rsid w:val="00E526AE"/>
    <w:pPr>
      <w:spacing w:before="100" w:beforeAutospacing="1" w:after="100" w:afterAutospacing="1"/>
    </w:pPr>
    <w:rPr>
      <w:rFonts w:eastAsia="Times New Roman"/>
      <w:szCs w:val="24"/>
    </w:rPr>
  </w:style>
  <w:style w:type="paragraph" w:customStyle="1" w:styleId="EndNoteBibliographyTitle">
    <w:name w:val="EndNote Bibliography Title"/>
    <w:basedOn w:val="Normal"/>
    <w:link w:val="EndNoteBibliographyTitleChar"/>
    <w:rsid w:val="00E83A7F"/>
    <w:pPr>
      <w:spacing w:after="0"/>
      <w:jc w:val="center"/>
    </w:pPr>
    <w:rPr>
      <w:noProof/>
    </w:rPr>
  </w:style>
  <w:style w:type="character" w:customStyle="1" w:styleId="EndNoteBibliographyTitleChar">
    <w:name w:val="EndNote Bibliography Title Char"/>
    <w:basedOn w:val="DefaultParagraphFont"/>
    <w:link w:val="EndNoteBibliographyTitle"/>
    <w:rsid w:val="00E83A7F"/>
    <w:rPr>
      <w:rFonts w:ascii="Times New Roman" w:hAnsi="Times New Roman"/>
      <w:noProof/>
      <w:szCs w:val="22"/>
    </w:rPr>
  </w:style>
  <w:style w:type="paragraph" w:customStyle="1" w:styleId="EndNoteBibliography">
    <w:name w:val="EndNote Bibliography"/>
    <w:basedOn w:val="Normal"/>
    <w:link w:val="EndNoteBibliographyChar"/>
    <w:rsid w:val="00E83A7F"/>
    <w:rPr>
      <w:noProof/>
    </w:rPr>
  </w:style>
  <w:style w:type="character" w:customStyle="1" w:styleId="EndNoteBibliographyChar">
    <w:name w:val="EndNote Bibliography Char"/>
    <w:basedOn w:val="DefaultParagraphFont"/>
    <w:link w:val="EndNoteBibliography"/>
    <w:rsid w:val="00E83A7F"/>
    <w:rPr>
      <w:rFonts w:ascii="Times New Roman" w:hAnsi="Times New Roman"/>
      <w:noProof/>
      <w:szCs w:val="22"/>
    </w:rPr>
  </w:style>
  <w:style w:type="paragraph" w:styleId="PlainText">
    <w:name w:val="Plain Text"/>
    <w:basedOn w:val="Normal"/>
    <w:link w:val="PlainTextChar"/>
    <w:uiPriority w:val="99"/>
    <w:semiHidden/>
    <w:unhideWhenUsed/>
    <w:rsid w:val="00432FD9"/>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432FD9"/>
    <w:rPr>
      <w:rFonts w:ascii="Consolas" w:hAnsi="Consolas" w:cs="Consolas"/>
      <w:sz w:val="21"/>
      <w:szCs w:val="21"/>
    </w:rPr>
  </w:style>
  <w:style w:type="paragraph" w:customStyle="1" w:styleId="SynopsisListNumber">
    <w:name w:val="SynopsisListNumber"/>
    <w:uiPriority w:val="99"/>
    <w:rsid w:val="007F51A4"/>
    <w:pPr>
      <w:numPr>
        <w:numId w:val="58"/>
      </w:numPr>
      <w:spacing w:after="120" w:line="280" w:lineRule="exact"/>
    </w:pPr>
    <w:rPr>
      <w:rFonts w:ascii="Times New Roman" w:eastAsia="Times New Roman" w:hAnsi="Times New Roman"/>
    </w:rPr>
  </w:style>
  <w:style w:type="paragraph" w:customStyle="1" w:styleId="TableParagraph">
    <w:name w:val="Table Paragraph"/>
    <w:basedOn w:val="Normal"/>
    <w:uiPriority w:val="1"/>
    <w:qFormat/>
    <w:rsid w:val="00133E28"/>
    <w:pPr>
      <w:widowControl w:val="0"/>
      <w:spacing w:after="0"/>
    </w:pPr>
    <w:rPr>
      <w:rFonts w:asciiTheme="minorHAnsi" w:eastAsiaTheme="minorHAnsi" w:hAnsiTheme="minorHAnsi" w:cstheme="minorBidi"/>
      <w:sz w:val="22"/>
    </w:rPr>
  </w:style>
  <w:style w:type="paragraph" w:styleId="TableofFigures">
    <w:name w:val="table of figures"/>
    <w:basedOn w:val="Normal"/>
    <w:next w:val="Normal"/>
    <w:uiPriority w:val="99"/>
    <w:unhideWhenUsed/>
    <w:rsid w:val="00800A5E"/>
    <w:pPr>
      <w:spacing w:after="0"/>
    </w:pPr>
    <w:rPr>
      <w:b/>
    </w:rPr>
  </w:style>
  <w:style w:type="character" w:styleId="Mention">
    <w:name w:val="Mention"/>
    <w:basedOn w:val="DefaultParagraphFont"/>
    <w:uiPriority w:val="99"/>
    <w:unhideWhenUsed/>
    <w:rsid w:val="008C76BE"/>
    <w:rPr>
      <w:color w:val="2B579A"/>
      <w:shd w:val="clear" w:color="auto" w:fill="E6E6E6"/>
    </w:rPr>
  </w:style>
  <w:style w:type="character" w:styleId="UnresolvedMention">
    <w:name w:val="Unresolved Mention"/>
    <w:basedOn w:val="DefaultParagraphFont"/>
    <w:uiPriority w:val="99"/>
    <w:rsid w:val="00E27C67"/>
    <w:rPr>
      <w:color w:val="808080"/>
      <w:shd w:val="clear" w:color="auto" w:fill="E6E6E6"/>
    </w:rPr>
  </w:style>
  <w:style w:type="character" w:customStyle="1" w:styleId="apple-converted-space">
    <w:name w:val="apple-converted-space"/>
    <w:basedOn w:val="DefaultParagraphFont"/>
    <w:rsid w:val="00BC6314"/>
  </w:style>
  <w:style w:type="paragraph" w:customStyle="1" w:styleId="crossreference">
    <w:name w:val="cross reference"/>
    <w:basedOn w:val="Normal"/>
    <w:link w:val="crossreferenceChar"/>
    <w:qFormat/>
    <w:rsid w:val="00792B58"/>
    <w:pPr>
      <w:tabs>
        <w:tab w:val="left" w:pos="360"/>
        <w:tab w:val="left" w:pos="2160"/>
        <w:tab w:val="left" w:pos="5040"/>
        <w:tab w:val="left" w:pos="7857"/>
      </w:tabs>
    </w:pPr>
    <w:rPr>
      <w:rFonts w:eastAsia="Calibri"/>
      <w:b/>
      <w:color w:val="0000FF"/>
      <w:szCs w:val="24"/>
    </w:rPr>
  </w:style>
  <w:style w:type="character" w:customStyle="1" w:styleId="crossreferenceChar">
    <w:name w:val="cross reference Char"/>
    <w:basedOn w:val="DefaultParagraphFont"/>
    <w:link w:val="crossreference"/>
    <w:rsid w:val="00792B58"/>
    <w:rPr>
      <w:rFonts w:ascii="Times New Roman" w:eastAsia="Calibri" w:hAnsi="Times New Roman"/>
      <w:b/>
      <w:color w:val="0000FF"/>
    </w:rPr>
  </w:style>
  <w:style w:type="paragraph" w:customStyle="1" w:styleId="TableFootnoteLetter">
    <w:name w:val="Table Footnote Letter"/>
    <w:basedOn w:val="Normal"/>
    <w:rsid w:val="008E3EC3"/>
    <w:pPr>
      <w:keepLines/>
      <w:numPr>
        <w:numId w:val="80"/>
      </w:numPr>
      <w:spacing w:before="40" w:after="40"/>
    </w:pPr>
    <w:rPr>
      <w:rFonts w:eastAsia="Times New Roman"/>
      <w:sz w:val="20"/>
      <w:szCs w:val="20"/>
      <w:lang w:val="en-GB"/>
    </w:rPr>
  </w:style>
  <w:style w:type="table" w:customStyle="1" w:styleId="TableGrid2">
    <w:name w:val="Table Grid2"/>
    <w:basedOn w:val="TableNormal"/>
    <w:next w:val="TableGrid"/>
    <w:uiPriority w:val="39"/>
    <w:rsid w:val="00AA4D91"/>
    <w:pPr>
      <w:spacing w:line="280" w:lineRule="atLeast"/>
      <w:jc w:val="center"/>
    </w:pPr>
    <w:rPr>
      <w:rFonts w:ascii="Times New Roman" w:eastAsia="Times New Roman" w:hAnsi="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CE7080"/>
  </w:style>
  <w:style w:type="table" w:customStyle="1" w:styleId="TableGrid1">
    <w:name w:val="Table Grid1"/>
    <w:basedOn w:val="TableNormal"/>
    <w:next w:val="TableGrid"/>
    <w:uiPriority w:val="39"/>
    <w:rsid w:val="00CE7080"/>
    <w:rPr>
      <w:rFonts w:eastAsia="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BulletIndent">
    <w:name w:val="List Bullet Indent"/>
    <w:basedOn w:val="Normal"/>
    <w:rsid w:val="00CE7080"/>
    <w:pPr>
      <w:spacing w:before="60" w:after="60"/>
      <w:ind w:right="-5"/>
    </w:pPr>
    <w:rPr>
      <w:rFonts w:eastAsia="Times New Roman"/>
      <w:szCs w:val="20"/>
    </w:rPr>
  </w:style>
  <w:style w:type="paragraph" w:customStyle="1" w:styleId="NormalSingle">
    <w:name w:val="Normal Single"/>
    <w:basedOn w:val="Default"/>
    <w:next w:val="Default"/>
    <w:uiPriority w:val="99"/>
    <w:rsid w:val="00CE7080"/>
    <w:rPr>
      <w:rFonts w:eastAsia="Calibri"/>
      <w:color w:val="auto"/>
    </w:rPr>
  </w:style>
  <w:style w:type="character" w:customStyle="1" w:styleId="st1">
    <w:name w:val="st1"/>
    <w:rsid w:val="00CE7080"/>
  </w:style>
  <w:style w:type="paragraph" w:customStyle="1" w:styleId="Subhead">
    <w:name w:val="Subhead"/>
    <w:basedOn w:val="Normal"/>
    <w:rsid w:val="00CE7080"/>
    <w:pPr>
      <w:autoSpaceDE w:val="0"/>
      <w:autoSpaceDN w:val="0"/>
      <w:adjustRightInd w:val="0"/>
      <w:spacing w:line="320" w:lineRule="exact"/>
    </w:pPr>
    <w:rPr>
      <w:rFonts w:ascii="Times" w:eastAsia="Times New Roman" w:hAnsi="Times"/>
      <w:smallCaps/>
      <w:color w:val="000000"/>
      <w:spacing w:val="-5"/>
      <w:sz w:val="32"/>
      <w:szCs w:val="20"/>
    </w:rPr>
  </w:style>
  <w:style w:type="paragraph" w:styleId="FootnoteText">
    <w:name w:val="footnote text"/>
    <w:basedOn w:val="Normal"/>
    <w:link w:val="FootnoteTextChar"/>
    <w:uiPriority w:val="99"/>
    <w:semiHidden/>
    <w:rsid w:val="00CE7080"/>
    <w:pPr>
      <w:spacing w:before="0" w:after="0"/>
      <w:jc w:val="center"/>
    </w:pPr>
    <w:rPr>
      <w:rFonts w:eastAsia="Times New Roman"/>
      <w:sz w:val="20"/>
      <w:szCs w:val="20"/>
    </w:rPr>
  </w:style>
  <w:style w:type="character" w:customStyle="1" w:styleId="FootnoteTextChar">
    <w:name w:val="Footnote Text Char"/>
    <w:basedOn w:val="DefaultParagraphFont"/>
    <w:link w:val="FootnoteText"/>
    <w:uiPriority w:val="99"/>
    <w:semiHidden/>
    <w:rsid w:val="00CE7080"/>
    <w:rPr>
      <w:rFonts w:ascii="Times New Roman" w:eastAsia="Times New Roman" w:hAnsi="Times New Roman"/>
      <w:sz w:val="20"/>
      <w:szCs w:val="20"/>
    </w:rPr>
  </w:style>
  <w:style w:type="character" w:styleId="FootnoteReference">
    <w:name w:val="footnote reference"/>
    <w:uiPriority w:val="99"/>
    <w:semiHidden/>
    <w:rsid w:val="00CE7080"/>
    <w:rPr>
      <w:vertAlign w:val="superscript"/>
    </w:rPr>
  </w:style>
  <w:style w:type="paragraph" w:styleId="NoSpacing">
    <w:name w:val="No Spacing"/>
    <w:uiPriority w:val="1"/>
    <w:rsid w:val="00CE7080"/>
    <w:rPr>
      <w:rFonts w:ascii="Times New Roman" w:eastAsia="Calibri" w:hAnsi="Times New Roman" w:cs="Courier New"/>
      <w:szCs w:val="28"/>
    </w:rPr>
  </w:style>
  <w:style w:type="numbering" w:customStyle="1" w:styleId="NoList11">
    <w:name w:val="No List11"/>
    <w:next w:val="NoList"/>
    <w:uiPriority w:val="99"/>
    <w:semiHidden/>
    <w:unhideWhenUsed/>
    <w:rsid w:val="00CE7080"/>
  </w:style>
  <w:style w:type="paragraph" w:customStyle="1" w:styleId="A-TableText">
    <w:name w:val="A-Table Text"/>
    <w:rsid w:val="00CE7080"/>
    <w:pPr>
      <w:spacing w:before="60" w:after="60" w:line="280" w:lineRule="atLeast"/>
      <w:jc w:val="center"/>
    </w:pPr>
    <w:rPr>
      <w:rFonts w:ascii="Times New Roman" w:eastAsia="Times New Roman" w:hAnsi="Times New Roman"/>
      <w:sz w:val="22"/>
      <w:szCs w:val="20"/>
      <w:lang w:val="en-GB"/>
    </w:rPr>
  </w:style>
  <w:style w:type="paragraph" w:customStyle="1" w:styleId="A-TableHeader">
    <w:name w:val="A-Table Header"/>
    <w:next w:val="A-TableText"/>
    <w:rsid w:val="00CE7080"/>
    <w:pPr>
      <w:keepNext/>
      <w:spacing w:before="60" w:after="60" w:line="280" w:lineRule="atLeast"/>
      <w:jc w:val="center"/>
    </w:pPr>
    <w:rPr>
      <w:rFonts w:ascii="Times New Roman" w:eastAsia="Times New Roman" w:hAnsi="Times New Roman"/>
      <w:b/>
      <w:sz w:val="22"/>
      <w:szCs w:val="20"/>
      <w:lang w:val="en-GB"/>
    </w:rPr>
  </w:style>
  <w:style w:type="table" w:customStyle="1" w:styleId="TableGrid11">
    <w:name w:val="Table Grid11"/>
    <w:basedOn w:val="TableNormal"/>
    <w:next w:val="TableGrid"/>
    <w:uiPriority w:val="39"/>
    <w:rsid w:val="00CE7080"/>
    <w:pPr>
      <w:spacing w:line="280" w:lineRule="atLeast"/>
      <w:jc w:val="center"/>
    </w:pPr>
    <w:rPr>
      <w:rFonts w:ascii="Times New Roman" w:eastAsia="Times New Roman" w:hAnsi="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
    <w:name w:val="Appendix"/>
    <w:basedOn w:val="Normal"/>
    <w:next w:val="Normal"/>
    <w:rsid w:val="00CE7080"/>
    <w:pPr>
      <w:pageBreakBefore/>
      <w:tabs>
        <w:tab w:val="left" w:pos="2150"/>
      </w:tabs>
      <w:spacing w:before="0" w:after="240"/>
      <w:ind w:left="-20"/>
    </w:pPr>
    <w:rPr>
      <w:rFonts w:eastAsia="Times New Roman"/>
      <w:b/>
      <w:iCs/>
      <w:snapToGrid w:val="0"/>
      <w:sz w:val="26"/>
      <w:szCs w:val="26"/>
    </w:rPr>
  </w:style>
  <w:style w:type="character" w:customStyle="1" w:styleId="UnresolvedMention1">
    <w:name w:val="Unresolved Mention1"/>
    <w:uiPriority w:val="99"/>
    <w:semiHidden/>
    <w:unhideWhenUsed/>
    <w:rsid w:val="00CE7080"/>
    <w:rPr>
      <w:color w:val="808080"/>
      <w:shd w:val="clear" w:color="auto" w:fill="E6E6E6"/>
    </w:rPr>
  </w:style>
  <w:style w:type="table" w:customStyle="1" w:styleId="PlainTable21">
    <w:name w:val="Plain Table 21"/>
    <w:basedOn w:val="TableNormal"/>
    <w:uiPriority w:val="42"/>
    <w:rsid w:val="00CE7080"/>
    <w:rPr>
      <w:rFonts w:ascii="Arial" w:eastAsia="Calibri" w:hAnsi="Arial"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ross-reference">
    <w:name w:val="Cross-reference"/>
    <w:basedOn w:val="Normal"/>
    <w:link w:val="Cross-referenceChar"/>
    <w:rsid w:val="00CE7080"/>
    <w:pPr>
      <w:jc w:val="both"/>
    </w:pPr>
    <w:rPr>
      <w:rFonts w:eastAsia="Calibri"/>
      <w:b/>
      <w:bCs/>
      <w:color w:val="0000FF"/>
      <w:szCs w:val="24"/>
    </w:rPr>
  </w:style>
  <w:style w:type="character" w:customStyle="1" w:styleId="Cross-referenceChar">
    <w:name w:val="Cross-reference Char"/>
    <w:basedOn w:val="DefaultParagraphFont"/>
    <w:link w:val="Cross-reference"/>
    <w:rsid w:val="00CE7080"/>
    <w:rPr>
      <w:rFonts w:ascii="Times New Roman" w:eastAsia="Calibri" w:hAnsi="Times New Roman"/>
      <w:b/>
      <w:bCs/>
      <w:color w:val="0000FF"/>
    </w:rPr>
  </w:style>
  <w:style w:type="character" w:customStyle="1" w:styleId="normaltextrun">
    <w:name w:val="normaltextrun"/>
    <w:basedOn w:val="DefaultParagraphFont"/>
    <w:rsid w:val="00CE7080"/>
  </w:style>
  <w:style w:type="character" w:customStyle="1" w:styleId="eop">
    <w:name w:val="eop"/>
    <w:basedOn w:val="DefaultParagraphFont"/>
    <w:rsid w:val="00CE7080"/>
  </w:style>
  <w:style w:type="paragraph" w:customStyle="1" w:styleId="C-Heading1">
    <w:name w:val="C-Heading 1"/>
    <w:next w:val="Normal"/>
    <w:rsid w:val="00CE7080"/>
    <w:pPr>
      <w:keepNext/>
      <w:pageBreakBefore/>
      <w:numPr>
        <w:numId w:val="137"/>
      </w:numPr>
      <w:spacing w:before="480" w:after="120"/>
      <w:outlineLvl w:val="0"/>
    </w:pPr>
    <w:rPr>
      <w:rFonts w:ascii="Times New Roman" w:eastAsia="Times New Roman" w:hAnsi="Times New Roman"/>
      <w:b/>
      <w:caps/>
      <w:sz w:val="28"/>
      <w:szCs w:val="20"/>
    </w:rPr>
  </w:style>
  <w:style w:type="paragraph" w:customStyle="1" w:styleId="C-Heading2">
    <w:name w:val="C-Heading 2"/>
    <w:next w:val="Normal"/>
    <w:rsid w:val="00CE7080"/>
    <w:pPr>
      <w:keepNext/>
      <w:numPr>
        <w:ilvl w:val="1"/>
        <w:numId w:val="137"/>
      </w:numPr>
      <w:spacing w:before="240"/>
      <w:outlineLvl w:val="1"/>
    </w:pPr>
    <w:rPr>
      <w:rFonts w:ascii="Times New Roman" w:eastAsia="Times New Roman" w:hAnsi="Times New Roman"/>
      <w:b/>
      <w:sz w:val="28"/>
      <w:szCs w:val="20"/>
    </w:rPr>
  </w:style>
  <w:style w:type="paragraph" w:customStyle="1" w:styleId="C-Heading3">
    <w:name w:val="C-Heading 3"/>
    <w:next w:val="Normal"/>
    <w:rsid w:val="00CE7080"/>
    <w:pPr>
      <w:keepNext/>
      <w:numPr>
        <w:ilvl w:val="2"/>
        <w:numId w:val="137"/>
      </w:numPr>
      <w:spacing w:before="240"/>
      <w:outlineLvl w:val="2"/>
    </w:pPr>
    <w:rPr>
      <w:rFonts w:ascii="Times New Roman" w:eastAsia="Times New Roman" w:hAnsi="Times New Roman"/>
      <w:b/>
      <w:szCs w:val="20"/>
    </w:rPr>
  </w:style>
  <w:style w:type="paragraph" w:customStyle="1" w:styleId="C-Heading4">
    <w:name w:val="C-Heading 4"/>
    <w:next w:val="Normal"/>
    <w:rsid w:val="00CE7080"/>
    <w:pPr>
      <w:keepNext/>
      <w:numPr>
        <w:ilvl w:val="3"/>
        <w:numId w:val="137"/>
      </w:numPr>
      <w:spacing w:before="240"/>
      <w:outlineLvl w:val="3"/>
    </w:pPr>
    <w:rPr>
      <w:rFonts w:ascii="Times New Roman" w:eastAsia="Times New Roman" w:hAnsi="Times New Roman"/>
      <w:b/>
      <w:szCs w:val="20"/>
    </w:rPr>
  </w:style>
  <w:style w:type="paragraph" w:customStyle="1" w:styleId="C-Heading5">
    <w:name w:val="C-Heading 5"/>
    <w:next w:val="Normal"/>
    <w:rsid w:val="00CE7080"/>
    <w:pPr>
      <w:keepNext/>
      <w:numPr>
        <w:ilvl w:val="4"/>
        <w:numId w:val="137"/>
      </w:numPr>
      <w:spacing w:before="240"/>
      <w:outlineLvl w:val="4"/>
    </w:pPr>
    <w:rPr>
      <w:rFonts w:ascii="Times New Roman" w:eastAsia="Times New Roman" w:hAnsi="Times New Roman"/>
      <w:b/>
      <w:szCs w:val="20"/>
    </w:rPr>
  </w:style>
  <w:style w:type="paragraph" w:customStyle="1" w:styleId="C-Heading6">
    <w:name w:val="C-Heading 6"/>
    <w:next w:val="Normal"/>
    <w:rsid w:val="00CE7080"/>
    <w:pPr>
      <w:keepNext/>
      <w:numPr>
        <w:ilvl w:val="5"/>
        <w:numId w:val="137"/>
      </w:numPr>
      <w:spacing w:before="240"/>
      <w:outlineLvl w:val="5"/>
    </w:pPr>
    <w:rPr>
      <w:rFonts w:ascii="Times New Roman" w:eastAsia="Times New Roman" w:hAnsi="Times New Roman"/>
      <w:b/>
      <w:szCs w:val="20"/>
    </w:rPr>
  </w:style>
  <w:style w:type="paragraph" w:customStyle="1" w:styleId="ColorfulList-Accent11">
    <w:name w:val="Colorful List - Accent 11"/>
    <w:basedOn w:val="Normal"/>
    <w:rsid w:val="00CE7080"/>
    <w:pPr>
      <w:spacing w:before="0" w:after="0"/>
      <w:ind w:left="720"/>
      <w:contextualSpacing/>
    </w:pPr>
    <w:rPr>
      <w:rFonts w:eastAsia="Times New Roman"/>
      <w:szCs w:val="24"/>
    </w:rPr>
  </w:style>
  <w:style w:type="paragraph" w:customStyle="1" w:styleId="p1">
    <w:name w:val="p1"/>
    <w:basedOn w:val="Normal"/>
    <w:rsid w:val="00CE7080"/>
    <w:pPr>
      <w:spacing w:before="0" w:after="0"/>
    </w:pPr>
    <w:rPr>
      <w:rFonts w:eastAsia="Times New Roman"/>
      <w:sz w:val="17"/>
      <w:szCs w:val="17"/>
      <w:lang w:eastAsia="zh-CN"/>
    </w:rPr>
  </w:style>
  <w:style w:type="paragraph" w:customStyle="1" w:styleId="para">
    <w:name w:val="para"/>
    <w:basedOn w:val="Normal"/>
    <w:rsid w:val="00CE7080"/>
    <w:pPr>
      <w:spacing w:before="100" w:beforeAutospacing="1" w:after="100" w:afterAutospacing="1"/>
    </w:pPr>
    <w:rPr>
      <w:rFonts w:eastAsia="Times New Roman"/>
      <w:szCs w:val="24"/>
      <w:lang w:eastAsia="zh-CN"/>
    </w:rPr>
  </w:style>
  <w:style w:type="paragraph" w:customStyle="1" w:styleId="cross-reference0">
    <w:name w:val="cross-reference"/>
    <w:basedOn w:val="Normal"/>
    <w:link w:val="cross-referenceChar0"/>
    <w:qFormat/>
    <w:rsid w:val="00CE7080"/>
    <w:pPr>
      <w:autoSpaceDE w:val="0"/>
      <w:autoSpaceDN w:val="0"/>
      <w:adjustRightInd w:val="0"/>
      <w:jc w:val="both"/>
    </w:pPr>
    <w:rPr>
      <w:rFonts w:eastAsia="Calibri"/>
      <w:b/>
      <w:color w:val="0000FF"/>
      <w:szCs w:val="24"/>
    </w:rPr>
  </w:style>
  <w:style w:type="character" w:customStyle="1" w:styleId="cross-referenceChar0">
    <w:name w:val="cross-reference Char"/>
    <w:basedOn w:val="DefaultParagraphFont"/>
    <w:link w:val="cross-reference0"/>
    <w:rsid w:val="00CE7080"/>
    <w:rPr>
      <w:rFonts w:ascii="Times New Roman" w:eastAsia="Calibri" w:hAnsi="Times New Roman"/>
      <w:b/>
      <w:color w:val="0000FF"/>
    </w:rPr>
  </w:style>
  <w:style w:type="character" w:customStyle="1" w:styleId="NormalWebChar">
    <w:name w:val="Normal (Web) Char"/>
    <w:basedOn w:val="DefaultParagraphFont"/>
    <w:link w:val="NormalWeb"/>
    <w:uiPriority w:val="99"/>
    <w:rsid w:val="00CE7080"/>
    <w:rPr>
      <w:rFonts w:ascii="Times New Roman" w:eastAsia="Times New Roman" w:hAnsi="Times New Roman"/>
    </w:rPr>
  </w:style>
  <w:style w:type="paragraph" w:customStyle="1" w:styleId="AI-ListBullet">
    <w:name w:val="AI-List Bullet"/>
    <w:qFormat/>
    <w:rsid w:val="00CE7080"/>
    <w:pPr>
      <w:numPr>
        <w:numId w:val="138"/>
      </w:numPr>
      <w:spacing w:after="120" w:line="220" w:lineRule="atLeast"/>
      <w:jc w:val="center"/>
    </w:pPr>
    <w:rPr>
      <w:rFonts w:ascii="Times New Roman" w:eastAsia="Times New Roman" w:hAnsi="Times New Roman"/>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8229">
      <w:bodyDiv w:val="1"/>
      <w:marLeft w:val="0"/>
      <w:marRight w:val="0"/>
      <w:marTop w:val="0"/>
      <w:marBottom w:val="0"/>
      <w:divBdr>
        <w:top w:val="none" w:sz="0" w:space="0" w:color="auto"/>
        <w:left w:val="none" w:sz="0" w:space="0" w:color="auto"/>
        <w:bottom w:val="none" w:sz="0" w:space="0" w:color="auto"/>
        <w:right w:val="none" w:sz="0" w:space="0" w:color="auto"/>
      </w:divBdr>
    </w:div>
    <w:div w:id="11493119">
      <w:bodyDiv w:val="1"/>
      <w:marLeft w:val="0"/>
      <w:marRight w:val="0"/>
      <w:marTop w:val="0"/>
      <w:marBottom w:val="0"/>
      <w:divBdr>
        <w:top w:val="none" w:sz="0" w:space="0" w:color="auto"/>
        <w:left w:val="none" w:sz="0" w:space="0" w:color="auto"/>
        <w:bottom w:val="none" w:sz="0" w:space="0" w:color="auto"/>
        <w:right w:val="none" w:sz="0" w:space="0" w:color="auto"/>
      </w:divBdr>
    </w:div>
    <w:div w:id="25757735">
      <w:bodyDiv w:val="1"/>
      <w:marLeft w:val="0"/>
      <w:marRight w:val="0"/>
      <w:marTop w:val="0"/>
      <w:marBottom w:val="0"/>
      <w:divBdr>
        <w:top w:val="none" w:sz="0" w:space="0" w:color="auto"/>
        <w:left w:val="none" w:sz="0" w:space="0" w:color="auto"/>
        <w:bottom w:val="none" w:sz="0" w:space="0" w:color="auto"/>
        <w:right w:val="none" w:sz="0" w:space="0" w:color="auto"/>
      </w:divBdr>
    </w:div>
    <w:div w:id="72822008">
      <w:bodyDiv w:val="1"/>
      <w:marLeft w:val="0"/>
      <w:marRight w:val="0"/>
      <w:marTop w:val="0"/>
      <w:marBottom w:val="0"/>
      <w:divBdr>
        <w:top w:val="none" w:sz="0" w:space="0" w:color="auto"/>
        <w:left w:val="none" w:sz="0" w:space="0" w:color="auto"/>
        <w:bottom w:val="none" w:sz="0" w:space="0" w:color="auto"/>
        <w:right w:val="none" w:sz="0" w:space="0" w:color="auto"/>
      </w:divBdr>
    </w:div>
    <w:div w:id="94599870">
      <w:bodyDiv w:val="1"/>
      <w:marLeft w:val="0"/>
      <w:marRight w:val="0"/>
      <w:marTop w:val="0"/>
      <w:marBottom w:val="0"/>
      <w:divBdr>
        <w:top w:val="none" w:sz="0" w:space="0" w:color="auto"/>
        <w:left w:val="none" w:sz="0" w:space="0" w:color="auto"/>
        <w:bottom w:val="none" w:sz="0" w:space="0" w:color="auto"/>
        <w:right w:val="none" w:sz="0" w:space="0" w:color="auto"/>
      </w:divBdr>
    </w:div>
    <w:div w:id="114639638">
      <w:bodyDiv w:val="1"/>
      <w:marLeft w:val="0"/>
      <w:marRight w:val="0"/>
      <w:marTop w:val="0"/>
      <w:marBottom w:val="0"/>
      <w:divBdr>
        <w:top w:val="none" w:sz="0" w:space="0" w:color="auto"/>
        <w:left w:val="none" w:sz="0" w:space="0" w:color="auto"/>
        <w:bottom w:val="none" w:sz="0" w:space="0" w:color="auto"/>
        <w:right w:val="none" w:sz="0" w:space="0" w:color="auto"/>
      </w:divBdr>
    </w:div>
    <w:div w:id="160201719">
      <w:bodyDiv w:val="1"/>
      <w:marLeft w:val="0"/>
      <w:marRight w:val="0"/>
      <w:marTop w:val="0"/>
      <w:marBottom w:val="0"/>
      <w:divBdr>
        <w:top w:val="none" w:sz="0" w:space="0" w:color="auto"/>
        <w:left w:val="none" w:sz="0" w:space="0" w:color="auto"/>
        <w:bottom w:val="none" w:sz="0" w:space="0" w:color="auto"/>
        <w:right w:val="none" w:sz="0" w:space="0" w:color="auto"/>
      </w:divBdr>
    </w:div>
    <w:div w:id="187258441">
      <w:bodyDiv w:val="1"/>
      <w:marLeft w:val="0"/>
      <w:marRight w:val="0"/>
      <w:marTop w:val="0"/>
      <w:marBottom w:val="0"/>
      <w:divBdr>
        <w:top w:val="none" w:sz="0" w:space="0" w:color="auto"/>
        <w:left w:val="none" w:sz="0" w:space="0" w:color="auto"/>
        <w:bottom w:val="none" w:sz="0" w:space="0" w:color="auto"/>
        <w:right w:val="none" w:sz="0" w:space="0" w:color="auto"/>
      </w:divBdr>
    </w:div>
    <w:div w:id="345644797">
      <w:bodyDiv w:val="1"/>
      <w:marLeft w:val="0"/>
      <w:marRight w:val="0"/>
      <w:marTop w:val="0"/>
      <w:marBottom w:val="0"/>
      <w:divBdr>
        <w:top w:val="none" w:sz="0" w:space="0" w:color="auto"/>
        <w:left w:val="none" w:sz="0" w:space="0" w:color="auto"/>
        <w:bottom w:val="none" w:sz="0" w:space="0" w:color="auto"/>
        <w:right w:val="none" w:sz="0" w:space="0" w:color="auto"/>
      </w:divBdr>
    </w:div>
    <w:div w:id="377977032">
      <w:bodyDiv w:val="1"/>
      <w:marLeft w:val="0"/>
      <w:marRight w:val="0"/>
      <w:marTop w:val="0"/>
      <w:marBottom w:val="0"/>
      <w:divBdr>
        <w:top w:val="none" w:sz="0" w:space="0" w:color="auto"/>
        <w:left w:val="none" w:sz="0" w:space="0" w:color="auto"/>
        <w:bottom w:val="none" w:sz="0" w:space="0" w:color="auto"/>
        <w:right w:val="none" w:sz="0" w:space="0" w:color="auto"/>
      </w:divBdr>
    </w:div>
    <w:div w:id="389353133">
      <w:bodyDiv w:val="1"/>
      <w:marLeft w:val="0"/>
      <w:marRight w:val="0"/>
      <w:marTop w:val="0"/>
      <w:marBottom w:val="0"/>
      <w:divBdr>
        <w:top w:val="none" w:sz="0" w:space="0" w:color="auto"/>
        <w:left w:val="none" w:sz="0" w:space="0" w:color="auto"/>
        <w:bottom w:val="none" w:sz="0" w:space="0" w:color="auto"/>
        <w:right w:val="none" w:sz="0" w:space="0" w:color="auto"/>
      </w:divBdr>
    </w:div>
    <w:div w:id="468596838">
      <w:bodyDiv w:val="1"/>
      <w:marLeft w:val="0"/>
      <w:marRight w:val="0"/>
      <w:marTop w:val="0"/>
      <w:marBottom w:val="0"/>
      <w:divBdr>
        <w:top w:val="none" w:sz="0" w:space="0" w:color="auto"/>
        <w:left w:val="none" w:sz="0" w:space="0" w:color="auto"/>
        <w:bottom w:val="none" w:sz="0" w:space="0" w:color="auto"/>
        <w:right w:val="none" w:sz="0" w:space="0" w:color="auto"/>
      </w:divBdr>
    </w:div>
    <w:div w:id="534276818">
      <w:bodyDiv w:val="1"/>
      <w:marLeft w:val="0"/>
      <w:marRight w:val="0"/>
      <w:marTop w:val="0"/>
      <w:marBottom w:val="0"/>
      <w:divBdr>
        <w:top w:val="none" w:sz="0" w:space="0" w:color="auto"/>
        <w:left w:val="none" w:sz="0" w:space="0" w:color="auto"/>
        <w:bottom w:val="none" w:sz="0" w:space="0" w:color="auto"/>
        <w:right w:val="none" w:sz="0" w:space="0" w:color="auto"/>
      </w:divBdr>
      <w:divsChild>
        <w:div w:id="1812559528">
          <w:marLeft w:val="0"/>
          <w:marRight w:val="0"/>
          <w:marTop w:val="0"/>
          <w:marBottom w:val="0"/>
          <w:divBdr>
            <w:top w:val="none" w:sz="0" w:space="0" w:color="auto"/>
            <w:left w:val="none" w:sz="0" w:space="0" w:color="auto"/>
            <w:bottom w:val="none" w:sz="0" w:space="0" w:color="auto"/>
            <w:right w:val="none" w:sz="0" w:space="0" w:color="auto"/>
          </w:divBdr>
          <w:divsChild>
            <w:div w:id="1332679631">
              <w:marLeft w:val="0"/>
              <w:marRight w:val="0"/>
              <w:marTop w:val="0"/>
              <w:marBottom w:val="0"/>
              <w:divBdr>
                <w:top w:val="none" w:sz="0" w:space="0" w:color="auto"/>
                <w:left w:val="none" w:sz="0" w:space="0" w:color="auto"/>
                <w:bottom w:val="none" w:sz="0" w:space="0" w:color="auto"/>
                <w:right w:val="none" w:sz="0" w:space="0" w:color="auto"/>
              </w:divBdr>
              <w:divsChild>
                <w:div w:id="389498443">
                  <w:marLeft w:val="0"/>
                  <w:marRight w:val="0"/>
                  <w:marTop w:val="0"/>
                  <w:marBottom w:val="0"/>
                  <w:divBdr>
                    <w:top w:val="none" w:sz="0" w:space="0" w:color="auto"/>
                    <w:left w:val="none" w:sz="0" w:space="0" w:color="auto"/>
                    <w:bottom w:val="none" w:sz="0" w:space="0" w:color="auto"/>
                    <w:right w:val="none" w:sz="0" w:space="0" w:color="auto"/>
                  </w:divBdr>
                  <w:divsChild>
                    <w:div w:id="778572124">
                      <w:marLeft w:val="0"/>
                      <w:marRight w:val="0"/>
                      <w:marTop w:val="0"/>
                      <w:marBottom w:val="0"/>
                      <w:divBdr>
                        <w:top w:val="none" w:sz="0" w:space="0" w:color="auto"/>
                        <w:left w:val="none" w:sz="0" w:space="0" w:color="auto"/>
                        <w:bottom w:val="none" w:sz="0" w:space="0" w:color="auto"/>
                        <w:right w:val="none" w:sz="0" w:space="0" w:color="auto"/>
                      </w:divBdr>
                      <w:divsChild>
                        <w:div w:id="578296091">
                          <w:marLeft w:val="0"/>
                          <w:marRight w:val="0"/>
                          <w:marTop w:val="0"/>
                          <w:marBottom w:val="0"/>
                          <w:divBdr>
                            <w:top w:val="none" w:sz="0" w:space="0" w:color="auto"/>
                            <w:left w:val="none" w:sz="0" w:space="0" w:color="auto"/>
                            <w:bottom w:val="none" w:sz="0" w:space="0" w:color="auto"/>
                            <w:right w:val="none" w:sz="0" w:space="0" w:color="auto"/>
                          </w:divBdr>
                          <w:divsChild>
                            <w:div w:id="1640956145">
                              <w:marLeft w:val="0"/>
                              <w:marRight w:val="0"/>
                              <w:marTop w:val="0"/>
                              <w:marBottom w:val="0"/>
                              <w:divBdr>
                                <w:top w:val="none" w:sz="0" w:space="0" w:color="auto"/>
                                <w:left w:val="none" w:sz="0" w:space="0" w:color="auto"/>
                                <w:bottom w:val="none" w:sz="0" w:space="0" w:color="auto"/>
                                <w:right w:val="none" w:sz="0" w:space="0" w:color="auto"/>
                              </w:divBdr>
                              <w:divsChild>
                                <w:div w:id="1013149589">
                                  <w:marLeft w:val="0"/>
                                  <w:marRight w:val="0"/>
                                  <w:marTop w:val="0"/>
                                  <w:marBottom w:val="0"/>
                                  <w:divBdr>
                                    <w:top w:val="none" w:sz="0" w:space="0" w:color="auto"/>
                                    <w:left w:val="none" w:sz="0" w:space="0" w:color="auto"/>
                                    <w:bottom w:val="none" w:sz="0" w:space="0" w:color="auto"/>
                                    <w:right w:val="none" w:sz="0" w:space="0" w:color="auto"/>
                                  </w:divBdr>
                                  <w:divsChild>
                                    <w:div w:id="1426464228">
                                      <w:marLeft w:val="0"/>
                                      <w:marRight w:val="0"/>
                                      <w:marTop w:val="0"/>
                                      <w:marBottom w:val="0"/>
                                      <w:divBdr>
                                        <w:top w:val="none" w:sz="0" w:space="0" w:color="auto"/>
                                        <w:left w:val="none" w:sz="0" w:space="0" w:color="auto"/>
                                        <w:bottom w:val="none" w:sz="0" w:space="0" w:color="auto"/>
                                        <w:right w:val="none" w:sz="0" w:space="0" w:color="auto"/>
                                      </w:divBdr>
                                      <w:divsChild>
                                        <w:div w:id="14121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492970">
      <w:bodyDiv w:val="1"/>
      <w:marLeft w:val="0"/>
      <w:marRight w:val="0"/>
      <w:marTop w:val="0"/>
      <w:marBottom w:val="0"/>
      <w:divBdr>
        <w:top w:val="none" w:sz="0" w:space="0" w:color="auto"/>
        <w:left w:val="none" w:sz="0" w:space="0" w:color="auto"/>
        <w:bottom w:val="none" w:sz="0" w:space="0" w:color="auto"/>
        <w:right w:val="none" w:sz="0" w:space="0" w:color="auto"/>
      </w:divBdr>
    </w:div>
    <w:div w:id="564530894">
      <w:bodyDiv w:val="1"/>
      <w:marLeft w:val="0"/>
      <w:marRight w:val="0"/>
      <w:marTop w:val="0"/>
      <w:marBottom w:val="0"/>
      <w:divBdr>
        <w:top w:val="none" w:sz="0" w:space="0" w:color="auto"/>
        <w:left w:val="none" w:sz="0" w:space="0" w:color="auto"/>
        <w:bottom w:val="none" w:sz="0" w:space="0" w:color="auto"/>
        <w:right w:val="none" w:sz="0" w:space="0" w:color="auto"/>
      </w:divBdr>
    </w:div>
    <w:div w:id="592856015">
      <w:bodyDiv w:val="1"/>
      <w:marLeft w:val="0"/>
      <w:marRight w:val="0"/>
      <w:marTop w:val="0"/>
      <w:marBottom w:val="0"/>
      <w:divBdr>
        <w:top w:val="none" w:sz="0" w:space="0" w:color="auto"/>
        <w:left w:val="none" w:sz="0" w:space="0" w:color="auto"/>
        <w:bottom w:val="none" w:sz="0" w:space="0" w:color="auto"/>
        <w:right w:val="none" w:sz="0" w:space="0" w:color="auto"/>
      </w:divBdr>
      <w:divsChild>
        <w:div w:id="2056390100">
          <w:marLeft w:val="0"/>
          <w:marRight w:val="0"/>
          <w:marTop w:val="0"/>
          <w:marBottom w:val="0"/>
          <w:divBdr>
            <w:top w:val="none" w:sz="0" w:space="0" w:color="auto"/>
            <w:left w:val="none" w:sz="0" w:space="0" w:color="auto"/>
            <w:bottom w:val="none" w:sz="0" w:space="0" w:color="auto"/>
            <w:right w:val="none" w:sz="0" w:space="0" w:color="auto"/>
          </w:divBdr>
        </w:div>
      </w:divsChild>
    </w:div>
    <w:div w:id="607271948">
      <w:bodyDiv w:val="1"/>
      <w:marLeft w:val="0"/>
      <w:marRight w:val="0"/>
      <w:marTop w:val="0"/>
      <w:marBottom w:val="0"/>
      <w:divBdr>
        <w:top w:val="none" w:sz="0" w:space="0" w:color="auto"/>
        <w:left w:val="none" w:sz="0" w:space="0" w:color="auto"/>
        <w:bottom w:val="none" w:sz="0" w:space="0" w:color="auto"/>
        <w:right w:val="none" w:sz="0" w:space="0" w:color="auto"/>
      </w:divBdr>
    </w:div>
    <w:div w:id="639575618">
      <w:bodyDiv w:val="1"/>
      <w:marLeft w:val="0"/>
      <w:marRight w:val="0"/>
      <w:marTop w:val="0"/>
      <w:marBottom w:val="0"/>
      <w:divBdr>
        <w:top w:val="none" w:sz="0" w:space="0" w:color="auto"/>
        <w:left w:val="none" w:sz="0" w:space="0" w:color="auto"/>
        <w:bottom w:val="none" w:sz="0" w:space="0" w:color="auto"/>
        <w:right w:val="none" w:sz="0" w:space="0" w:color="auto"/>
      </w:divBdr>
    </w:div>
    <w:div w:id="673651845">
      <w:bodyDiv w:val="1"/>
      <w:marLeft w:val="0"/>
      <w:marRight w:val="0"/>
      <w:marTop w:val="0"/>
      <w:marBottom w:val="0"/>
      <w:divBdr>
        <w:top w:val="none" w:sz="0" w:space="0" w:color="auto"/>
        <w:left w:val="none" w:sz="0" w:space="0" w:color="auto"/>
        <w:bottom w:val="none" w:sz="0" w:space="0" w:color="auto"/>
        <w:right w:val="none" w:sz="0" w:space="0" w:color="auto"/>
      </w:divBdr>
    </w:div>
    <w:div w:id="713819834">
      <w:bodyDiv w:val="1"/>
      <w:marLeft w:val="0"/>
      <w:marRight w:val="0"/>
      <w:marTop w:val="0"/>
      <w:marBottom w:val="0"/>
      <w:divBdr>
        <w:top w:val="none" w:sz="0" w:space="0" w:color="auto"/>
        <w:left w:val="none" w:sz="0" w:space="0" w:color="auto"/>
        <w:bottom w:val="none" w:sz="0" w:space="0" w:color="auto"/>
        <w:right w:val="none" w:sz="0" w:space="0" w:color="auto"/>
      </w:divBdr>
      <w:divsChild>
        <w:div w:id="185560886">
          <w:marLeft w:val="547"/>
          <w:marRight w:val="0"/>
          <w:marTop w:val="115"/>
          <w:marBottom w:val="0"/>
          <w:divBdr>
            <w:top w:val="none" w:sz="0" w:space="0" w:color="auto"/>
            <w:left w:val="none" w:sz="0" w:space="0" w:color="auto"/>
            <w:bottom w:val="none" w:sz="0" w:space="0" w:color="auto"/>
            <w:right w:val="none" w:sz="0" w:space="0" w:color="auto"/>
          </w:divBdr>
        </w:div>
        <w:div w:id="1711107435">
          <w:marLeft w:val="547"/>
          <w:marRight w:val="0"/>
          <w:marTop w:val="115"/>
          <w:marBottom w:val="0"/>
          <w:divBdr>
            <w:top w:val="none" w:sz="0" w:space="0" w:color="auto"/>
            <w:left w:val="none" w:sz="0" w:space="0" w:color="auto"/>
            <w:bottom w:val="none" w:sz="0" w:space="0" w:color="auto"/>
            <w:right w:val="none" w:sz="0" w:space="0" w:color="auto"/>
          </w:divBdr>
        </w:div>
        <w:div w:id="1993217450">
          <w:marLeft w:val="547"/>
          <w:marRight w:val="0"/>
          <w:marTop w:val="115"/>
          <w:marBottom w:val="0"/>
          <w:divBdr>
            <w:top w:val="none" w:sz="0" w:space="0" w:color="auto"/>
            <w:left w:val="none" w:sz="0" w:space="0" w:color="auto"/>
            <w:bottom w:val="none" w:sz="0" w:space="0" w:color="auto"/>
            <w:right w:val="none" w:sz="0" w:space="0" w:color="auto"/>
          </w:divBdr>
        </w:div>
        <w:div w:id="1324968965">
          <w:marLeft w:val="547"/>
          <w:marRight w:val="0"/>
          <w:marTop w:val="115"/>
          <w:marBottom w:val="0"/>
          <w:divBdr>
            <w:top w:val="none" w:sz="0" w:space="0" w:color="auto"/>
            <w:left w:val="none" w:sz="0" w:space="0" w:color="auto"/>
            <w:bottom w:val="none" w:sz="0" w:space="0" w:color="auto"/>
            <w:right w:val="none" w:sz="0" w:space="0" w:color="auto"/>
          </w:divBdr>
        </w:div>
      </w:divsChild>
    </w:div>
    <w:div w:id="754783001">
      <w:bodyDiv w:val="1"/>
      <w:marLeft w:val="0"/>
      <w:marRight w:val="0"/>
      <w:marTop w:val="0"/>
      <w:marBottom w:val="0"/>
      <w:divBdr>
        <w:top w:val="none" w:sz="0" w:space="0" w:color="auto"/>
        <w:left w:val="none" w:sz="0" w:space="0" w:color="auto"/>
        <w:bottom w:val="none" w:sz="0" w:space="0" w:color="auto"/>
        <w:right w:val="none" w:sz="0" w:space="0" w:color="auto"/>
      </w:divBdr>
    </w:div>
    <w:div w:id="768936568">
      <w:bodyDiv w:val="1"/>
      <w:marLeft w:val="0"/>
      <w:marRight w:val="0"/>
      <w:marTop w:val="0"/>
      <w:marBottom w:val="0"/>
      <w:divBdr>
        <w:top w:val="none" w:sz="0" w:space="0" w:color="auto"/>
        <w:left w:val="none" w:sz="0" w:space="0" w:color="auto"/>
        <w:bottom w:val="none" w:sz="0" w:space="0" w:color="auto"/>
        <w:right w:val="none" w:sz="0" w:space="0" w:color="auto"/>
      </w:divBdr>
    </w:div>
    <w:div w:id="883561466">
      <w:bodyDiv w:val="1"/>
      <w:marLeft w:val="0"/>
      <w:marRight w:val="0"/>
      <w:marTop w:val="0"/>
      <w:marBottom w:val="0"/>
      <w:divBdr>
        <w:top w:val="none" w:sz="0" w:space="0" w:color="auto"/>
        <w:left w:val="none" w:sz="0" w:space="0" w:color="auto"/>
        <w:bottom w:val="none" w:sz="0" w:space="0" w:color="auto"/>
        <w:right w:val="none" w:sz="0" w:space="0" w:color="auto"/>
      </w:divBdr>
      <w:divsChild>
        <w:div w:id="678773169">
          <w:marLeft w:val="0"/>
          <w:marRight w:val="0"/>
          <w:marTop w:val="0"/>
          <w:marBottom w:val="0"/>
          <w:divBdr>
            <w:top w:val="none" w:sz="0" w:space="0" w:color="auto"/>
            <w:left w:val="none" w:sz="0" w:space="0" w:color="auto"/>
            <w:bottom w:val="none" w:sz="0" w:space="0" w:color="auto"/>
            <w:right w:val="none" w:sz="0" w:space="0" w:color="auto"/>
          </w:divBdr>
          <w:divsChild>
            <w:div w:id="51315497">
              <w:marLeft w:val="0"/>
              <w:marRight w:val="0"/>
              <w:marTop w:val="0"/>
              <w:marBottom w:val="0"/>
              <w:divBdr>
                <w:top w:val="none" w:sz="0" w:space="0" w:color="auto"/>
                <w:left w:val="none" w:sz="0" w:space="0" w:color="auto"/>
                <w:bottom w:val="none" w:sz="0" w:space="0" w:color="auto"/>
                <w:right w:val="none" w:sz="0" w:space="0" w:color="auto"/>
              </w:divBdr>
            </w:div>
            <w:div w:id="222252776">
              <w:marLeft w:val="0"/>
              <w:marRight w:val="0"/>
              <w:marTop w:val="0"/>
              <w:marBottom w:val="0"/>
              <w:divBdr>
                <w:top w:val="none" w:sz="0" w:space="0" w:color="auto"/>
                <w:left w:val="none" w:sz="0" w:space="0" w:color="auto"/>
                <w:bottom w:val="none" w:sz="0" w:space="0" w:color="auto"/>
                <w:right w:val="none" w:sz="0" w:space="0" w:color="auto"/>
              </w:divBdr>
            </w:div>
            <w:div w:id="12865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8535">
      <w:bodyDiv w:val="1"/>
      <w:marLeft w:val="0"/>
      <w:marRight w:val="0"/>
      <w:marTop w:val="0"/>
      <w:marBottom w:val="0"/>
      <w:divBdr>
        <w:top w:val="none" w:sz="0" w:space="0" w:color="auto"/>
        <w:left w:val="none" w:sz="0" w:space="0" w:color="auto"/>
        <w:bottom w:val="none" w:sz="0" w:space="0" w:color="auto"/>
        <w:right w:val="none" w:sz="0" w:space="0" w:color="auto"/>
      </w:divBdr>
      <w:divsChild>
        <w:div w:id="685060918">
          <w:marLeft w:val="0"/>
          <w:marRight w:val="0"/>
          <w:marTop w:val="0"/>
          <w:marBottom w:val="0"/>
          <w:divBdr>
            <w:top w:val="none" w:sz="0" w:space="0" w:color="auto"/>
            <w:left w:val="none" w:sz="0" w:space="0" w:color="auto"/>
            <w:bottom w:val="none" w:sz="0" w:space="0" w:color="auto"/>
            <w:right w:val="none" w:sz="0" w:space="0" w:color="auto"/>
          </w:divBdr>
        </w:div>
      </w:divsChild>
    </w:div>
    <w:div w:id="948509807">
      <w:bodyDiv w:val="1"/>
      <w:marLeft w:val="0"/>
      <w:marRight w:val="0"/>
      <w:marTop w:val="0"/>
      <w:marBottom w:val="0"/>
      <w:divBdr>
        <w:top w:val="none" w:sz="0" w:space="0" w:color="auto"/>
        <w:left w:val="none" w:sz="0" w:space="0" w:color="auto"/>
        <w:bottom w:val="none" w:sz="0" w:space="0" w:color="auto"/>
        <w:right w:val="none" w:sz="0" w:space="0" w:color="auto"/>
      </w:divBdr>
    </w:div>
    <w:div w:id="970017486">
      <w:bodyDiv w:val="1"/>
      <w:marLeft w:val="0"/>
      <w:marRight w:val="0"/>
      <w:marTop w:val="0"/>
      <w:marBottom w:val="0"/>
      <w:divBdr>
        <w:top w:val="none" w:sz="0" w:space="0" w:color="auto"/>
        <w:left w:val="none" w:sz="0" w:space="0" w:color="auto"/>
        <w:bottom w:val="none" w:sz="0" w:space="0" w:color="auto"/>
        <w:right w:val="none" w:sz="0" w:space="0" w:color="auto"/>
      </w:divBdr>
    </w:div>
    <w:div w:id="1015111473">
      <w:bodyDiv w:val="1"/>
      <w:marLeft w:val="0"/>
      <w:marRight w:val="0"/>
      <w:marTop w:val="0"/>
      <w:marBottom w:val="0"/>
      <w:divBdr>
        <w:top w:val="none" w:sz="0" w:space="0" w:color="auto"/>
        <w:left w:val="none" w:sz="0" w:space="0" w:color="auto"/>
        <w:bottom w:val="none" w:sz="0" w:space="0" w:color="auto"/>
        <w:right w:val="none" w:sz="0" w:space="0" w:color="auto"/>
      </w:divBdr>
    </w:div>
    <w:div w:id="1054964175">
      <w:bodyDiv w:val="1"/>
      <w:marLeft w:val="0"/>
      <w:marRight w:val="0"/>
      <w:marTop w:val="0"/>
      <w:marBottom w:val="0"/>
      <w:divBdr>
        <w:top w:val="none" w:sz="0" w:space="0" w:color="auto"/>
        <w:left w:val="none" w:sz="0" w:space="0" w:color="auto"/>
        <w:bottom w:val="none" w:sz="0" w:space="0" w:color="auto"/>
        <w:right w:val="none" w:sz="0" w:space="0" w:color="auto"/>
      </w:divBdr>
    </w:div>
    <w:div w:id="1060709296">
      <w:bodyDiv w:val="1"/>
      <w:marLeft w:val="0"/>
      <w:marRight w:val="0"/>
      <w:marTop w:val="0"/>
      <w:marBottom w:val="0"/>
      <w:divBdr>
        <w:top w:val="none" w:sz="0" w:space="0" w:color="auto"/>
        <w:left w:val="none" w:sz="0" w:space="0" w:color="auto"/>
        <w:bottom w:val="none" w:sz="0" w:space="0" w:color="auto"/>
        <w:right w:val="none" w:sz="0" w:space="0" w:color="auto"/>
      </w:divBdr>
    </w:div>
    <w:div w:id="1221867342">
      <w:bodyDiv w:val="1"/>
      <w:marLeft w:val="0"/>
      <w:marRight w:val="0"/>
      <w:marTop w:val="0"/>
      <w:marBottom w:val="0"/>
      <w:divBdr>
        <w:top w:val="none" w:sz="0" w:space="0" w:color="auto"/>
        <w:left w:val="none" w:sz="0" w:space="0" w:color="auto"/>
        <w:bottom w:val="none" w:sz="0" w:space="0" w:color="auto"/>
        <w:right w:val="none" w:sz="0" w:space="0" w:color="auto"/>
      </w:divBdr>
      <w:divsChild>
        <w:div w:id="1897937329">
          <w:marLeft w:val="0"/>
          <w:marRight w:val="0"/>
          <w:marTop w:val="0"/>
          <w:marBottom w:val="0"/>
          <w:divBdr>
            <w:top w:val="none" w:sz="0" w:space="0" w:color="auto"/>
            <w:left w:val="none" w:sz="0" w:space="0" w:color="auto"/>
            <w:bottom w:val="none" w:sz="0" w:space="0" w:color="auto"/>
            <w:right w:val="none" w:sz="0" w:space="0" w:color="auto"/>
          </w:divBdr>
          <w:divsChild>
            <w:div w:id="1553425118">
              <w:marLeft w:val="0"/>
              <w:marRight w:val="0"/>
              <w:marTop w:val="0"/>
              <w:marBottom w:val="0"/>
              <w:divBdr>
                <w:top w:val="none" w:sz="0" w:space="0" w:color="auto"/>
                <w:left w:val="none" w:sz="0" w:space="0" w:color="auto"/>
                <w:bottom w:val="none" w:sz="0" w:space="0" w:color="auto"/>
                <w:right w:val="none" w:sz="0" w:space="0" w:color="auto"/>
              </w:divBdr>
              <w:divsChild>
                <w:div w:id="1761833727">
                  <w:marLeft w:val="0"/>
                  <w:marRight w:val="0"/>
                  <w:marTop w:val="0"/>
                  <w:marBottom w:val="0"/>
                  <w:divBdr>
                    <w:top w:val="none" w:sz="0" w:space="0" w:color="auto"/>
                    <w:left w:val="none" w:sz="0" w:space="0" w:color="auto"/>
                    <w:bottom w:val="none" w:sz="0" w:space="0" w:color="auto"/>
                    <w:right w:val="none" w:sz="0" w:space="0" w:color="auto"/>
                  </w:divBdr>
                  <w:divsChild>
                    <w:div w:id="339552495">
                      <w:marLeft w:val="0"/>
                      <w:marRight w:val="0"/>
                      <w:marTop w:val="0"/>
                      <w:marBottom w:val="0"/>
                      <w:divBdr>
                        <w:top w:val="none" w:sz="0" w:space="0" w:color="auto"/>
                        <w:left w:val="none" w:sz="0" w:space="0" w:color="auto"/>
                        <w:bottom w:val="none" w:sz="0" w:space="0" w:color="auto"/>
                        <w:right w:val="none" w:sz="0" w:space="0" w:color="auto"/>
                      </w:divBdr>
                      <w:divsChild>
                        <w:div w:id="283390419">
                          <w:marLeft w:val="0"/>
                          <w:marRight w:val="0"/>
                          <w:marTop w:val="0"/>
                          <w:marBottom w:val="0"/>
                          <w:divBdr>
                            <w:top w:val="none" w:sz="0" w:space="0" w:color="auto"/>
                            <w:left w:val="none" w:sz="0" w:space="0" w:color="auto"/>
                            <w:bottom w:val="none" w:sz="0" w:space="0" w:color="auto"/>
                            <w:right w:val="none" w:sz="0" w:space="0" w:color="auto"/>
                          </w:divBdr>
                          <w:divsChild>
                            <w:div w:id="1059131143">
                              <w:marLeft w:val="80"/>
                              <w:marRight w:val="80"/>
                              <w:marTop w:val="0"/>
                              <w:marBottom w:val="0"/>
                              <w:divBdr>
                                <w:top w:val="none" w:sz="0" w:space="0" w:color="auto"/>
                                <w:left w:val="none" w:sz="0" w:space="0" w:color="auto"/>
                                <w:bottom w:val="none" w:sz="0" w:space="0" w:color="auto"/>
                                <w:right w:val="none" w:sz="0" w:space="0" w:color="auto"/>
                              </w:divBdr>
                              <w:divsChild>
                                <w:div w:id="294485673">
                                  <w:marLeft w:val="0"/>
                                  <w:marRight w:val="0"/>
                                  <w:marTop w:val="0"/>
                                  <w:marBottom w:val="0"/>
                                  <w:divBdr>
                                    <w:top w:val="none" w:sz="0" w:space="0" w:color="auto"/>
                                    <w:left w:val="none" w:sz="0" w:space="0" w:color="auto"/>
                                    <w:bottom w:val="none" w:sz="0" w:space="0" w:color="auto"/>
                                    <w:right w:val="none" w:sz="0" w:space="0" w:color="auto"/>
                                  </w:divBdr>
                                  <w:divsChild>
                                    <w:div w:id="936015534">
                                      <w:marLeft w:val="0"/>
                                      <w:marRight w:val="0"/>
                                      <w:marTop w:val="0"/>
                                      <w:marBottom w:val="0"/>
                                      <w:divBdr>
                                        <w:top w:val="none" w:sz="0" w:space="0" w:color="auto"/>
                                        <w:left w:val="none" w:sz="0" w:space="0" w:color="auto"/>
                                        <w:bottom w:val="none" w:sz="0" w:space="0" w:color="auto"/>
                                        <w:right w:val="none" w:sz="0" w:space="0" w:color="auto"/>
                                      </w:divBdr>
                                      <w:divsChild>
                                        <w:div w:id="690716449">
                                          <w:marLeft w:val="0"/>
                                          <w:marRight w:val="0"/>
                                          <w:marTop w:val="0"/>
                                          <w:marBottom w:val="0"/>
                                          <w:divBdr>
                                            <w:top w:val="none" w:sz="0" w:space="0" w:color="auto"/>
                                            <w:left w:val="none" w:sz="0" w:space="0" w:color="auto"/>
                                            <w:bottom w:val="none" w:sz="0" w:space="0" w:color="auto"/>
                                            <w:right w:val="none" w:sz="0" w:space="0" w:color="auto"/>
                                          </w:divBdr>
                                          <w:divsChild>
                                            <w:div w:id="1693459670">
                                              <w:marLeft w:val="0"/>
                                              <w:marRight w:val="0"/>
                                              <w:marTop w:val="0"/>
                                              <w:marBottom w:val="0"/>
                                              <w:divBdr>
                                                <w:top w:val="none" w:sz="0" w:space="0" w:color="auto"/>
                                                <w:left w:val="none" w:sz="0" w:space="0" w:color="auto"/>
                                                <w:bottom w:val="none" w:sz="0" w:space="0" w:color="auto"/>
                                                <w:right w:val="none" w:sz="0" w:space="0" w:color="auto"/>
                                              </w:divBdr>
                                              <w:divsChild>
                                                <w:div w:id="802963259">
                                                  <w:marLeft w:val="0"/>
                                                  <w:marRight w:val="0"/>
                                                  <w:marTop w:val="0"/>
                                                  <w:marBottom w:val="0"/>
                                                  <w:divBdr>
                                                    <w:top w:val="none" w:sz="0" w:space="0" w:color="auto"/>
                                                    <w:left w:val="none" w:sz="0" w:space="0" w:color="auto"/>
                                                    <w:bottom w:val="none" w:sz="0" w:space="0" w:color="auto"/>
                                                    <w:right w:val="none" w:sz="0" w:space="0" w:color="auto"/>
                                                  </w:divBdr>
                                                  <w:divsChild>
                                                    <w:div w:id="59140838">
                                                      <w:marLeft w:val="0"/>
                                                      <w:marRight w:val="0"/>
                                                      <w:marTop w:val="0"/>
                                                      <w:marBottom w:val="0"/>
                                                      <w:divBdr>
                                                        <w:top w:val="none" w:sz="0" w:space="0" w:color="auto"/>
                                                        <w:left w:val="none" w:sz="0" w:space="0" w:color="auto"/>
                                                        <w:bottom w:val="none" w:sz="0" w:space="0" w:color="auto"/>
                                                        <w:right w:val="none" w:sz="0" w:space="0" w:color="auto"/>
                                                      </w:divBdr>
                                                      <w:divsChild>
                                                        <w:div w:id="2056927954">
                                                          <w:marLeft w:val="0"/>
                                                          <w:marRight w:val="0"/>
                                                          <w:marTop w:val="0"/>
                                                          <w:marBottom w:val="0"/>
                                                          <w:divBdr>
                                                            <w:top w:val="none" w:sz="0" w:space="0" w:color="auto"/>
                                                            <w:left w:val="none" w:sz="0" w:space="0" w:color="auto"/>
                                                            <w:bottom w:val="none" w:sz="0" w:space="0" w:color="auto"/>
                                                            <w:right w:val="none" w:sz="0" w:space="0" w:color="auto"/>
                                                          </w:divBdr>
                                                        </w:div>
                                                        <w:div w:id="1563298316">
                                                          <w:marLeft w:val="0"/>
                                                          <w:marRight w:val="0"/>
                                                          <w:marTop w:val="0"/>
                                                          <w:marBottom w:val="0"/>
                                                          <w:divBdr>
                                                            <w:top w:val="none" w:sz="0" w:space="0" w:color="auto"/>
                                                            <w:left w:val="none" w:sz="0" w:space="0" w:color="auto"/>
                                                            <w:bottom w:val="none" w:sz="0" w:space="0" w:color="auto"/>
                                                            <w:right w:val="none" w:sz="0" w:space="0" w:color="auto"/>
                                                          </w:divBdr>
                                                          <w:divsChild>
                                                            <w:div w:id="5822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2534">
                                                      <w:marLeft w:val="0"/>
                                                      <w:marRight w:val="0"/>
                                                      <w:marTop w:val="0"/>
                                                      <w:marBottom w:val="0"/>
                                                      <w:divBdr>
                                                        <w:top w:val="none" w:sz="0" w:space="0" w:color="auto"/>
                                                        <w:left w:val="none" w:sz="0" w:space="0" w:color="auto"/>
                                                        <w:bottom w:val="none" w:sz="0" w:space="0" w:color="auto"/>
                                                        <w:right w:val="none" w:sz="0" w:space="0" w:color="auto"/>
                                                      </w:divBdr>
                                                      <w:divsChild>
                                                        <w:div w:id="867329452">
                                                          <w:marLeft w:val="0"/>
                                                          <w:marRight w:val="0"/>
                                                          <w:marTop w:val="0"/>
                                                          <w:marBottom w:val="0"/>
                                                          <w:divBdr>
                                                            <w:top w:val="none" w:sz="0" w:space="0" w:color="auto"/>
                                                            <w:left w:val="none" w:sz="0" w:space="0" w:color="auto"/>
                                                            <w:bottom w:val="none" w:sz="0" w:space="0" w:color="auto"/>
                                                            <w:right w:val="none" w:sz="0" w:space="0" w:color="auto"/>
                                                          </w:divBdr>
                                                        </w:div>
                                                        <w:div w:id="748112947">
                                                          <w:marLeft w:val="0"/>
                                                          <w:marRight w:val="0"/>
                                                          <w:marTop w:val="0"/>
                                                          <w:marBottom w:val="0"/>
                                                          <w:divBdr>
                                                            <w:top w:val="none" w:sz="0" w:space="0" w:color="auto"/>
                                                            <w:left w:val="none" w:sz="0" w:space="0" w:color="auto"/>
                                                            <w:bottom w:val="none" w:sz="0" w:space="0" w:color="auto"/>
                                                            <w:right w:val="none" w:sz="0" w:space="0" w:color="auto"/>
                                                          </w:divBdr>
                                                          <w:divsChild>
                                                            <w:div w:id="236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9803531">
      <w:bodyDiv w:val="1"/>
      <w:marLeft w:val="0"/>
      <w:marRight w:val="0"/>
      <w:marTop w:val="0"/>
      <w:marBottom w:val="0"/>
      <w:divBdr>
        <w:top w:val="none" w:sz="0" w:space="0" w:color="auto"/>
        <w:left w:val="none" w:sz="0" w:space="0" w:color="auto"/>
        <w:bottom w:val="none" w:sz="0" w:space="0" w:color="auto"/>
        <w:right w:val="none" w:sz="0" w:space="0" w:color="auto"/>
      </w:divBdr>
    </w:div>
    <w:div w:id="1291521891">
      <w:bodyDiv w:val="1"/>
      <w:marLeft w:val="0"/>
      <w:marRight w:val="0"/>
      <w:marTop w:val="0"/>
      <w:marBottom w:val="0"/>
      <w:divBdr>
        <w:top w:val="none" w:sz="0" w:space="0" w:color="auto"/>
        <w:left w:val="none" w:sz="0" w:space="0" w:color="auto"/>
        <w:bottom w:val="none" w:sz="0" w:space="0" w:color="auto"/>
        <w:right w:val="none" w:sz="0" w:space="0" w:color="auto"/>
      </w:divBdr>
    </w:div>
    <w:div w:id="1336808230">
      <w:bodyDiv w:val="1"/>
      <w:marLeft w:val="0"/>
      <w:marRight w:val="0"/>
      <w:marTop w:val="0"/>
      <w:marBottom w:val="0"/>
      <w:divBdr>
        <w:top w:val="none" w:sz="0" w:space="0" w:color="auto"/>
        <w:left w:val="none" w:sz="0" w:space="0" w:color="auto"/>
        <w:bottom w:val="none" w:sz="0" w:space="0" w:color="auto"/>
        <w:right w:val="none" w:sz="0" w:space="0" w:color="auto"/>
      </w:divBdr>
      <w:divsChild>
        <w:div w:id="1408649393">
          <w:marLeft w:val="1166"/>
          <w:marRight w:val="0"/>
          <w:marTop w:val="115"/>
          <w:marBottom w:val="0"/>
          <w:divBdr>
            <w:top w:val="none" w:sz="0" w:space="0" w:color="auto"/>
            <w:left w:val="none" w:sz="0" w:space="0" w:color="auto"/>
            <w:bottom w:val="none" w:sz="0" w:space="0" w:color="auto"/>
            <w:right w:val="none" w:sz="0" w:space="0" w:color="auto"/>
          </w:divBdr>
        </w:div>
        <w:div w:id="472597163">
          <w:marLeft w:val="1800"/>
          <w:marRight w:val="0"/>
          <w:marTop w:val="96"/>
          <w:marBottom w:val="0"/>
          <w:divBdr>
            <w:top w:val="none" w:sz="0" w:space="0" w:color="auto"/>
            <w:left w:val="none" w:sz="0" w:space="0" w:color="auto"/>
            <w:bottom w:val="none" w:sz="0" w:space="0" w:color="auto"/>
            <w:right w:val="none" w:sz="0" w:space="0" w:color="auto"/>
          </w:divBdr>
        </w:div>
        <w:div w:id="579481219">
          <w:marLeft w:val="1166"/>
          <w:marRight w:val="0"/>
          <w:marTop w:val="115"/>
          <w:marBottom w:val="0"/>
          <w:divBdr>
            <w:top w:val="none" w:sz="0" w:space="0" w:color="auto"/>
            <w:left w:val="none" w:sz="0" w:space="0" w:color="auto"/>
            <w:bottom w:val="none" w:sz="0" w:space="0" w:color="auto"/>
            <w:right w:val="none" w:sz="0" w:space="0" w:color="auto"/>
          </w:divBdr>
        </w:div>
        <w:div w:id="613560678">
          <w:marLeft w:val="1800"/>
          <w:marRight w:val="0"/>
          <w:marTop w:val="96"/>
          <w:marBottom w:val="0"/>
          <w:divBdr>
            <w:top w:val="none" w:sz="0" w:space="0" w:color="auto"/>
            <w:left w:val="none" w:sz="0" w:space="0" w:color="auto"/>
            <w:bottom w:val="none" w:sz="0" w:space="0" w:color="auto"/>
            <w:right w:val="none" w:sz="0" w:space="0" w:color="auto"/>
          </w:divBdr>
        </w:div>
        <w:div w:id="263726668">
          <w:marLeft w:val="1800"/>
          <w:marRight w:val="0"/>
          <w:marTop w:val="96"/>
          <w:marBottom w:val="0"/>
          <w:divBdr>
            <w:top w:val="none" w:sz="0" w:space="0" w:color="auto"/>
            <w:left w:val="none" w:sz="0" w:space="0" w:color="auto"/>
            <w:bottom w:val="none" w:sz="0" w:space="0" w:color="auto"/>
            <w:right w:val="none" w:sz="0" w:space="0" w:color="auto"/>
          </w:divBdr>
        </w:div>
      </w:divsChild>
    </w:div>
    <w:div w:id="1456870629">
      <w:bodyDiv w:val="1"/>
      <w:marLeft w:val="0"/>
      <w:marRight w:val="0"/>
      <w:marTop w:val="0"/>
      <w:marBottom w:val="0"/>
      <w:divBdr>
        <w:top w:val="none" w:sz="0" w:space="0" w:color="auto"/>
        <w:left w:val="none" w:sz="0" w:space="0" w:color="auto"/>
        <w:bottom w:val="none" w:sz="0" w:space="0" w:color="auto"/>
        <w:right w:val="none" w:sz="0" w:space="0" w:color="auto"/>
      </w:divBdr>
    </w:div>
    <w:div w:id="1458140386">
      <w:bodyDiv w:val="1"/>
      <w:marLeft w:val="0"/>
      <w:marRight w:val="0"/>
      <w:marTop w:val="0"/>
      <w:marBottom w:val="0"/>
      <w:divBdr>
        <w:top w:val="none" w:sz="0" w:space="0" w:color="auto"/>
        <w:left w:val="none" w:sz="0" w:space="0" w:color="auto"/>
        <w:bottom w:val="none" w:sz="0" w:space="0" w:color="auto"/>
        <w:right w:val="none" w:sz="0" w:space="0" w:color="auto"/>
      </w:divBdr>
    </w:div>
    <w:div w:id="1773087452">
      <w:bodyDiv w:val="1"/>
      <w:marLeft w:val="0"/>
      <w:marRight w:val="0"/>
      <w:marTop w:val="0"/>
      <w:marBottom w:val="0"/>
      <w:divBdr>
        <w:top w:val="none" w:sz="0" w:space="0" w:color="auto"/>
        <w:left w:val="none" w:sz="0" w:space="0" w:color="auto"/>
        <w:bottom w:val="none" w:sz="0" w:space="0" w:color="auto"/>
        <w:right w:val="none" w:sz="0" w:space="0" w:color="auto"/>
      </w:divBdr>
    </w:div>
    <w:div w:id="1777410451">
      <w:bodyDiv w:val="1"/>
      <w:marLeft w:val="0"/>
      <w:marRight w:val="0"/>
      <w:marTop w:val="0"/>
      <w:marBottom w:val="0"/>
      <w:divBdr>
        <w:top w:val="none" w:sz="0" w:space="0" w:color="auto"/>
        <w:left w:val="none" w:sz="0" w:space="0" w:color="auto"/>
        <w:bottom w:val="none" w:sz="0" w:space="0" w:color="auto"/>
        <w:right w:val="none" w:sz="0" w:space="0" w:color="auto"/>
      </w:divBdr>
    </w:div>
    <w:div w:id="1912276200">
      <w:bodyDiv w:val="1"/>
      <w:marLeft w:val="0"/>
      <w:marRight w:val="0"/>
      <w:marTop w:val="0"/>
      <w:marBottom w:val="0"/>
      <w:divBdr>
        <w:top w:val="none" w:sz="0" w:space="0" w:color="auto"/>
        <w:left w:val="none" w:sz="0" w:space="0" w:color="auto"/>
        <w:bottom w:val="none" w:sz="0" w:space="0" w:color="auto"/>
        <w:right w:val="none" w:sz="0" w:space="0" w:color="auto"/>
      </w:divBdr>
    </w:div>
    <w:div w:id="1950694197">
      <w:bodyDiv w:val="1"/>
      <w:marLeft w:val="0"/>
      <w:marRight w:val="0"/>
      <w:marTop w:val="0"/>
      <w:marBottom w:val="0"/>
      <w:divBdr>
        <w:top w:val="none" w:sz="0" w:space="0" w:color="auto"/>
        <w:left w:val="none" w:sz="0" w:space="0" w:color="auto"/>
        <w:bottom w:val="none" w:sz="0" w:space="0" w:color="auto"/>
        <w:right w:val="none" w:sz="0" w:space="0" w:color="auto"/>
      </w:divBdr>
    </w:div>
    <w:div w:id="2009088221">
      <w:bodyDiv w:val="1"/>
      <w:marLeft w:val="0"/>
      <w:marRight w:val="0"/>
      <w:marTop w:val="0"/>
      <w:marBottom w:val="0"/>
      <w:divBdr>
        <w:top w:val="none" w:sz="0" w:space="0" w:color="auto"/>
        <w:left w:val="none" w:sz="0" w:space="0" w:color="auto"/>
        <w:bottom w:val="none" w:sz="0" w:space="0" w:color="auto"/>
        <w:right w:val="none" w:sz="0" w:space="0" w:color="auto"/>
      </w:divBdr>
    </w:div>
    <w:div w:id="2023823948">
      <w:bodyDiv w:val="1"/>
      <w:marLeft w:val="0"/>
      <w:marRight w:val="0"/>
      <w:marTop w:val="0"/>
      <w:marBottom w:val="0"/>
      <w:divBdr>
        <w:top w:val="none" w:sz="0" w:space="0" w:color="auto"/>
        <w:left w:val="none" w:sz="0" w:space="0" w:color="auto"/>
        <w:bottom w:val="none" w:sz="0" w:space="0" w:color="auto"/>
        <w:right w:val="none" w:sz="0" w:space="0" w:color="auto"/>
      </w:divBdr>
    </w:div>
    <w:div w:id="2111507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diagramLayout" Target="diagrams/layout3.xml"/><Relationship Id="rId42" Type="http://schemas.openxmlformats.org/officeDocument/2006/relationships/hyperlink" Target="http://ctep.cancer.gov/protocolDevelopment/electronic_applications/ctc.htm" TargetMode="External"/><Relationship Id="rId47" Type="http://schemas.openxmlformats.org/officeDocument/2006/relationships/hyperlink" Target="mailto:mike.beshiri@nih.gov,%20phone" TargetMode="External"/><Relationship Id="rId63" Type="http://schemas.openxmlformats.org/officeDocument/2006/relationships/hyperlink" Target="x-apple-data-detectors://10/0" TargetMode="External"/><Relationship Id="rId68" Type="http://schemas.openxmlformats.org/officeDocument/2006/relationships/hyperlink" Target="mailto:james.brenton@cruk.cam.ac.uk" TargetMode="External"/><Relationship Id="rId84" Type="http://schemas.openxmlformats.org/officeDocument/2006/relationships/hyperlink" Target="http://medicine.iupui.edu/clinpharm/ddis/table.asp.%20Accessed%20Nov%202011"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hyperlink" Target="http://ctep.cancer.gov/protocolDevelopment/electronic_applications/ctc.htm" TargetMode="External"/><Relationship Id="rId53" Type="http://schemas.openxmlformats.org/officeDocument/2006/relationships/hyperlink" Target="mailto:yusuke.tomita@nih.gov" TargetMode="External"/><Relationship Id="rId58" Type="http://schemas.openxmlformats.org/officeDocument/2006/relationships/hyperlink" Target="mailto:leemin@mail.nih.gov" TargetMode="External"/><Relationship Id="rId74" Type="http://schemas.openxmlformats.org/officeDocument/2006/relationships/hyperlink" Target="https://irbo.nih.gov/confluence/display/IRBO/Policies+and+SOPs" TargetMode="External"/><Relationship Id="rId79" Type="http://schemas.openxmlformats.org/officeDocument/2006/relationships/hyperlink" Target="mailto:AEMailboxClinicalTrialTCS@astrazeneca.com" TargetMode="External"/><Relationship Id="rId5" Type="http://schemas.openxmlformats.org/officeDocument/2006/relationships/webSettings" Target="webSettings.xml"/><Relationship Id="rId19" Type="http://schemas.openxmlformats.org/officeDocument/2006/relationships/image" Target="media/image1.emf"/><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hyperlink" Target="http://ctep.cancer.gov/protocolDevelopment/electronic_applications/ctc.htm" TargetMode="External"/><Relationship Id="rId43" Type="http://schemas.openxmlformats.org/officeDocument/2006/relationships/hyperlink" Target="http://ctep.cancer.gov/protocolDevelopment/electronic_applications/ctc.htm" TargetMode="External"/><Relationship Id="rId48" Type="http://schemas.openxmlformats.org/officeDocument/2006/relationships/hyperlink" Target="mailto:milan.sandhu@nih.gov" TargetMode="External"/><Relationship Id="rId56" Type="http://schemas.openxmlformats.org/officeDocument/2006/relationships/hyperlink" Target="mailto:NCIBloodcore@mail.nih.gov" TargetMode="External"/><Relationship Id="rId64" Type="http://schemas.openxmlformats.org/officeDocument/2006/relationships/hyperlink" Target="x-apple-data-detectors://10/0" TargetMode="External"/><Relationship Id="rId69" Type="http://schemas.openxmlformats.org/officeDocument/2006/relationships/hyperlink" Target="http://www.cruk.cam.ac.uk/research-groups/brenton-group" TargetMode="External"/><Relationship Id="rId77" Type="http://schemas.openxmlformats.org/officeDocument/2006/relationships/hyperlink" Target="https://irbo.nih.gov/confluence/display/IRBO/Policies+and+SOPs" TargetMode="External"/><Relationship Id="rId8" Type="http://schemas.openxmlformats.org/officeDocument/2006/relationships/hyperlink" Target="mailto:leej6@mail.nih.gov" TargetMode="External"/><Relationship Id="rId51" Type="http://schemas.openxmlformats.org/officeDocument/2006/relationships/hyperlink" Target="mailto:trepel@helix.nih.gov" TargetMode="External"/><Relationship Id="rId72" Type="http://schemas.openxmlformats.org/officeDocument/2006/relationships/hyperlink" Target="http://ctep.cancer.gov/protocolDevelopment/electronic_applications/ctc.htm" TargetMode="External"/><Relationship Id="rId80" Type="http://schemas.openxmlformats.org/officeDocument/2006/relationships/hyperlink" Target="mailto:AEMailboxClinicalTrialTCS@astrazeneca.com"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http://ctep.cancer.gov/protocolDevelopment/electronic_applications/ctc.htm" TargetMode="External"/><Relationship Id="rId46" Type="http://schemas.openxmlformats.org/officeDocument/2006/relationships/hyperlink" Target="mailto:NCIBloodcore@mail.nih.gov" TargetMode="External"/><Relationship Id="rId59" Type="http://schemas.openxmlformats.org/officeDocument/2006/relationships/hyperlink" Target="mailto:trepel@helix.nih.gov" TargetMode="External"/><Relationship Id="rId67" Type="http://schemas.openxmlformats.org/officeDocument/2006/relationships/hyperlink" Target="mailto:es220@cam.ac.uk" TargetMode="External"/><Relationship Id="rId20" Type="http://schemas.openxmlformats.org/officeDocument/2006/relationships/diagramData" Target="diagrams/data3.xml"/><Relationship Id="rId41" Type="http://schemas.openxmlformats.org/officeDocument/2006/relationships/hyperlink" Target="http://ctep.cancer.gov/protocolDevelopment/electronic_applications/ctc.htm" TargetMode="External"/><Relationship Id="rId54" Type="http://schemas.openxmlformats.org/officeDocument/2006/relationships/hyperlink" Target="mailto:anixon@duke.edu" TargetMode="External"/><Relationship Id="rId62" Type="http://schemas.openxmlformats.org/officeDocument/2006/relationships/hyperlink" Target="mailto:NCIBloodcore@mail.nih.gov" TargetMode="External"/><Relationship Id="rId70" Type="http://schemas.openxmlformats.org/officeDocument/2006/relationships/hyperlink" Target="http://bit.ly/CCR_GDS" TargetMode="External"/><Relationship Id="rId75" Type="http://schemas.openxmlformats.org/officeDocument/2006/relationships/hyperlink" Target="https://irbo.nih.gov/confluence/display/IRBO/Policies+and+SOPs" TargetMode="External"/><Relationship Id="rId83" Type="http://schemas.openxmlformats.org/officeDocument/2006/relationships/hyperlink" Target="http://www.ascopost.com/ViewNews.aspx?nid=26597"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hyperlink" Target="http://ctep.cancer.gov/protocolDevelopment/electronic_applications/ctc.htm" TargetMode="External"/><Relationship Id="rId49" Type="http://schemas.openxmlformats.org/officeDocument/2006/relationships/hyperlink" Target="mailto:acimino@jhmi.edu" TargetMode="External"/><Relationship Id="rId57" Type="http://schemas.openxmlformats.org/officeDocument/2006/relationships/hyperlink" Target="mailto:trepel@helix.nih.gov" TargetMode="External"/><Relationship Id="rId10" Type="http://schemas.openxmlformats.org/officeDocument/2006/relationships/diagramLayout" Target="diagrams/layout1.xml"/><Relationship Id="rId31" Type="http://schemas.openxmlformats.org/officeDocument/2006/relationships/image" Target="media/image8.emf"/><Relationship Id="rId44" Type="http://schemas.openxmlformats.org/officeDocument/2006/relationships/hyperlink" Target="https://ccrod.cancer.gov/confluence/display/CCRCRO/CCR+Standard+Operating+Procedures" TargetMode="External"/><Relationship Id="rId52" Type="http://schemas.openxmlformats.org/officeDocument/2006/relationships/hyperlink" Target="mailto:leemin@mail.nih.gov" TargetMode="External"/><Relationship Id="rId60" Type="http://schemas.openxmlformats.org/officeDocument/2006/relationships/hyperlink" Target="mailto:leemin@mail.nih.gov" TargetMode="External"/><Relationship Id="rId65" Type="http://schemas.openxmlformats.org/officeDocument/2006/relationships/hyperlink" Target="x-apple-data-detectors://10/0" TargetMode="External"/><Relationship Id="rId73" Type="http://schemas.openxmlformats.org/officeDocument/2006/relationships/hyperlink" Target="https://irbo.nih.gov/confluence/display/IRBO/Policies+and+SOPs" TargetMode="External"/><Relationship Id="rId78" Type="http://schemas.openxmlformats.org/officeDocument/2006/relationships/hyperlink" Target="https://ccrod.cancer.gov/confluence/display/CCRCRO/Forms+and+Instructions" TargetMode="External"/><Relationship Id="rId81" Type="http://schemas.openxmlformats.org/officeDocument/2006/relationships/hyperlink" Target="http://seer.cancer.gov/statfacts/html/lungb.html"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ctep.cancer.gov/protocolDevelopment/electronic_applications/ctc.htm" TargetMode="External"/><Relationship Id="rId34" Type="http://schemas.openxmlformats.org/officeDocument/2006/relationships/image" Target="media/image11.jpeg"/><Relationship Id="rId50" Type="http://schemas.openxmlformats.org/officeDocument/2006/relationships/hyperlink" Target="https://ccrod.cancer.gov/confluence/display/CCRCRO/Incidental+Findings+Lists" TargetMode="External"/><Relationship Id="rId55" Type="http://schemas.openxmlformats.org/officeDocument/2006/relationships/hyperlink" Target="mailto:NCIBloodcore@mail.nih.gov" TargetMode="External"/><Relationship Id="rId76" Type="http://schemas.openxmlformats.org/officeDocument/2006/relationships/hyperlink" Target="https://irbo.nih.gov/confluence/display/IRBO/Policies+and+SOPs" TargetMode="External"/><Relationship Id="rId7" Type="http://schemas.openxmlformats.org/officeDocument/2006/relationships/endnotes" Target="endnotes.xml"/><Relationship Id="rId71" Type="http://schemas.openxmlformats.org/officeDocument/2006/relationships/hyperlink" Target="http://bit.ly/CCR_GDS" TargetMode="External"/><Relationship Id="rId2" Type="http://schemas.openxmlformats.org/officeDocument/2006/relationships/numbering" Target="numbering.xml"/><Relationship Id="rId29" Type="http://schemas.openxmlformats.org/officeDocument/2006/relationships/image" Target="media/image6.jpeg"/><Relationship Id="rId24" Type="http://schemas.microsoft.com/office/2007/relationships/diagramDrawing" Target="diagrams/drawing3.xml"/><Relationship Id="rId40" Type="http://schemas.openxmlformats.org/officeDocument/2006/relationships/hyperlink" Target="http://ctep.cancer.gov/protocolDevelopment/electronic_applications/ctc.htm" TargetMode="External"/><Relationship Id="rId45" Type="http://schemas.openxmlformats.org/officeDocument/2006/relationships/hyperlink" Target="http://www.asco.org" TargetMode="External"/><Relationship Id="rId66" Type="http://schemas.openxmlformats.org/officeDocument/2006/relationships/hyperlink" Target="tel:+44%201223%20746440" TargetMode="External"/><Relationship Id="rId87" Type="http://schemas.openxmlformats.org/officeDocument/2006/relationships/fontTable" Target="fontTable.xml"/><Relationship Id="rId61" Type="http://schemas.openxmlformats.org/officeDocument/2006/relationships/hyperlink" Target="mailto:NCIBloodcore@mail.nih.gov" TargetMode="External"/><Relationship Id="rId82" Type="http://schemas.openxmlformats.org/officeDocument/2006/relationships/hyperlink" Target="http://www.abstractsonline.com/Plan/ViewAbstract.aspx?sKey=d60a28c6-91a3-4a37-a419-d79f96801b30&amp;cKey=f119b58a-3f6f-4c22-93ef-a25da5df64a0"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4178E-92C1-924F-82C6-D99BC4711D97}" type="doc">
      <dgm:prSet loTypeId="urn:microsoft.com/office/officeart/2005/8/layout/hierarchy5" loCatId="" qsTypeId="urn:microsoft.com/office/officeart/2005/8/quickstyle/simple3" qsCatId="simple" csTypeId="urn:microsoft.com/office/officeart/2005/8/colors/accent5_3" csCatId="accent5" phldr="1"/>
      <dgm:spPr/>
      <dgm:t>
        <a:bodyPr/>
        <a:lstStyle/>
        <a:p>
          <a:endParaRPr lang="en-US"/>
        </a:p>
      </dgm:t>
    </dgm:pt>
    <dgm:pt modelId="{F6AEBEEF-1748-2D40-B8A0-262271B27BBB}">
      <dgm:prSet phldrT="[Text]" custT="1"/>
      <dgm:spPr>
        <a:xfrm>
          <a:off x="0" y="223927"/>
          <a:ext cx="2197122" cy="783330"/>
        </a:xfrm>
        <a:gradFill rotWithShape="0">
          <a:gsLst>
            <a:gs pos="0">
              <a:srgbClr val="4BACC6">
                <a:shade val="80000"/>
                <a:hueOff val="0"/>
                <a:satOff val="0"/>
                <a:lumOff val="0"/>
                <a:alphaOff val="0"/>
                <a:tint val="50000"/>
                <a:satMod val="300000"/>
              </a:srgbClr>
            </a:gs>
            <a:gs pos="35000">
              <a:srgbClr val="4BACC6">
                <a:shade val="80000"/>
                <a:hueOff val="0"/>
                <a:satOff val="0"/>
                <a:lumOff val="0"/>
                <a:alphaOff val="0"/>
                <a:tint val="37000"/>
                <a:satMod val="300000"/>
              </a:srgbClr>
            </a:gs>
            <a:gs pos="100000">
              <a:srgbClr val="4BACC6">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100" b="1">
              <a:solidFill>
                <a:sysClr val="windowText" lastClr="000000"/>
              </a:solidFill>
              <a:latin typeface="Times New Roman"/>
              <a:ea typeface="+mn-ea"/>
              <a:cs typeface="Times New Roman"/>
            </a:rPr>
            <a:t>Cohort 1: Refractory or recurrent ovarian cancer (OvCa)</a:t>
          </a:r>
        </a:p>
        <a:p>
          <a:r>
            <a:rPr lang="en-US" sz="1100" b="1">
              <a:solidFill>
                <a:sysClr val="windowText" lastClr="000000"/>
              </a:solidFill>
              <a:latin typeface="Times New Roman"/>
              <a:ea typeface="+mn-ea"/>
              <a:cs typeface="Times New Roman"/>
            </a:rPr>
            <a:t>Cohort 2: Advanced or recurrent non-small cell lung cancer (NSCLC)</a:t>
          </a:r>
        </a:p>
        <a:p>
          <a:r>
            <a:rPr lang="en-US" sz="1100" b="1">
              <a:solidFill>
                <a:sysClr val="windowText" lastClr="000000"/>
              </a:solidFill>
              <a:latin typeface="Times New Roman"/>
              <a:ea typeface="+mn-ea"/>
              <a:cs typeface="Times New Roman"/>
            </a:rPr>
            <a:t>Cohort 3: Advanced or recurent small cell lung cancer (SCLC) </a:t>
          </a:r>
        </a:p>
        <a:p>
          <a:r>
            <a:rPr lang="en-US" sz="1100" b="1">
              <a:solidFill>
                <a:sysClr val="windowText" lastClr="000000"/>
              </a:solidFill>
              <a:latin typeface="Times New Roman"/>
              <a:ea typeface="+mn-ea"/>
              <a:cs typeface="Times New Roman"/>
            </a:rPr>
            <a:t>Cohort 4: Metastatic castrate-resistant prostate cancer (mCRPC)</a:t>
          </a:r>
        </a:p>
        <a:p>
          <a:r>
            <a:rPr lang="en-US" sz="1100" b="1">
              <a:solidFill>
                <a:sysClr val="windowText" lastClr="000000"/>
              </a:solidFill>
              <a:latin typeface="Times New Roman"/>
              <a:ea typeface="+mn-ea"/>
              <a:cs typeface="Times New Roman"/>
            </a:rPr>
            <a:t>Cohort 5: Advanced or recurrent triple negative breast cancer (TNBC)               </a:t>
          </a:r>
        </a:p>
      </dgm:t>
    </dgm:pt>
    <dgm:pt modelId="{A0D668F7-28AA-F041-AE68-AEBF036AFB29}" type="parTrans" cxnId="{9B431785-31B8-5844-A429-6A86903D9A68}">
      <dgm:prSet/>
      <dgm:spPr/>
      <dgm:t>
        <a:bodyPr/>
        <a:lstStyle/>
        <a:p>
          <a:endParaRPr lang="en-US"/>
        </a:p>
      </dgm:t>
    </dgm:pt>
    <dgm:pt modelId="{F2D76882-0854-2B43-88AB-BA4B53BE514A}" type="sibTrans" cxnId="{9B431785-31B8-5844-A429-6A86903D9A68}">
      <dgm:prSet/>
      <dgm:spPr/>
      <dgm:t>
        <a:bodyPr/>
        <a:lstStyle/>
        <a:p>
          <a:endParaRPr lang="en-US"/>
        </a:p>
      </dgm:t>
    </dgm:pt>
    <dgm:pt modelId="{E844B0CD-3FEC-A64A-ABB3-007D561BE68B}">
      <dgm:prSet phldrT="[Text]" custT="1"/>
      <dgm:spPr>
        <a:xfrm>
          <a:off x="2542652" y="309414"/>
          <a:ext cx="1107751" cy="626311"/>
        </a:xfrm>
        <a:gradFill rotWithShape="0">
          <a:gsLst>
            <a:gs pos="0">
              <a:srgbClr val="4BACC6">
                <a:tint val="99000"/>
                <a:hueOff val="0"/>
                <a:satOff val="0"/>
                <a:lumOff val="0"/>
                <a:alphaOff val="0"/>
                <a:tint val="50000"/>
                <a:satMod val="300000"/>
              </a:srgbClr>
            </a:gs>
            <a:gs pos="35000">
              <a:srgbClr val="4BACC6">
                <a:tint val="99000"/>
                <a:hueOff val="0"/>
                <a:satOff val="0"/>
                <a:lumOff val="0"/>
                <a:alphaOff val="0"/>
                <a:tint val="37000"/>
                <a:satMod val="300000"/>
              </a:srgbClr>
            </a:gs>
            <a:gs pos="100000">
              <a:srgbClr val="4BACC6">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100" b="1">
              <a:solidFill>
                <a:sysClr val="windowText" lastClr="000000"/>
              </a:solidFill>
              <a:latin typeface="Times New Roman"/>
              <a:ea typeface="+mn-ea"/>
              <a:cs typeface="Times New Roman"/>
            </a:rPr>
            <a:t> </a:t>
          </a:r>
        </a:p>
        <a:p>
          <a:r>
            <a:rPr lang="en-US" sz="1100" b="1">
              <a:solidFill>
                <a:sysClr val="windowText" lastClr="000000"/>
              </a:solidFill>
              <a:latin typeface="Times New Roman"/>
              <a:ea typeface="+mn-ea"/>
              <a:cs typeface="Times New Roman"/>
            </a:rPr>
            <a:t>Olaparib 300mg  tablets bid daily and  Durvalumab IV  1500mg every 28days</a:t>
          </a:r>
        </a:p>
      </dgm:t>
    </dgm:pt>
    <dgm:pt modelId="{1A248D66-0D1C-6444-8119-06C170B029DC}" type="parTrans" cxnId="{70DC7C24-63E6-AA4D-B655-C7CA61C9D7EC}">
      <dgm:prSet/>
      <dgm:spPr>
        <a:xfrm rot="69412">
          <a:off x="2197087" y="587967"/>
          <a:ext cx="345600" cy="62226"/>
        </a:xfrm>
        <a:noFill/>
        <a:ln w="25400" cap="flat" cmpd="sng" algn="ctr">
          <a:solidFill>
            <a:scrgbClr r="0" g="0" b="0"/>
          </a:solidFill>
          <a:prstDash val="solid"/>
          <a:headEnd type="none"/>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39F94F2-2F3A-CA47-989E-B95983352A93}" type="sibTrans" cxnId="{70DC7C24-63E6-AA4D-B655-C7CA61C9D7EC}">
      <dgm:prSet/>
      <dgm:spPr/>
      <dgm:t>
        <a:bodyPr/>
        <a:lstStyle/>
        <a:p>
          <a:endParaRPr lang="en-US"/>
        </a:p>
      </dgm:t>
    </dgm:pt>
    <dgm:pt modelId="{CCA3627F-B14C-E84D-B48C-A9279844868F}">
      <dgm:prSet phldrT="[Text]" custT="1"/>
      <dgm:spPr>
        <a:xfrm>
          <a:off x="3994763" y="309414"/>
          <a:ext cx="1414265" cy="626311"/>
        </a:xfrm>
        <a:gradFill rotWithShape="0">
          <a:gsLst>
            <a:gs pos="0">
              <a:srgbClr val="4BACC6">
                <a:tint val="80000"/>
                <a:hueOff val="0"/>
                <a:satOff val="0"/>
                <a:lumOff val="0"/>
                <a:alphaOff val="0"/>
                <a:tint val="50000"/>
                <a:satMod val="300000"/>
              </a:srgbClr>
            </a:gs>
            <a:gs pos="35000">
              <a:srgbClr val="4BACC6">
                <a:tint val="80000"/>
                <a:hueOff val="0"/>
                <a:satOff val="0"/>
                <a:lumOff val="0"/>
                <a:alphaOff val="0"/>
                <a:tint val="37000"/>
                <a:satMod val="300000"/>
              </a:srgbClr>
            </a:gs>
            <a:gs pos="100000">
              <a:srgbClr val="4BACC6">
                <a:tint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ysClr val="windowText" lastClr="000000"/>
              </a:solidFill>
              <a:latin typeface="Times New Roman"/>
              <a:ea typeface="+mn-ea"/>
              <a:cs typeface="Times New Roman"/>
            </a:rPr>
            <a:t>Disease progression, patient withdrawal, or toxicities</a:t>
          </a:r>
        </a:p>
      </dgm:t>
    </dgm:pt>
    <dgm:pt modelId="{0E58F937-59C7-C447-9622-5471F06D6427}" type="parTrans" cxnId="{A1EE993C-095B-7A44-9045-0025D3E6C95F}">
      <dgm:prSet/>
      <dgm:spPr>
        <a:xfrm>
          <a:off x="3650404" y="591456"/>
          <a:ext cx="344359" cy="62226"/>
        </a:xfrm>
        <a:noFill/>
        <a:ln w="25400" cap="flat" cmpd="sng" algn="ctr">
          <a:solidFill>
            <a:scrgbClr r="0" g="0" b="0"/>
          </a:solidFill>
          <a:prstDash val="solid"/>
          <a:headEnd type="none"/>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DC1CAFE-C137-C443-B146-4013F069DA75}" type="sibTrans" cxnId="{A1EE993C-095B-7A44-9045-0025D3E6C95F}">
      <dgm:prSet/>
      <dgm:spPr/>
      <dgm:t>
        <a:bodyPr/>
        <a:lstStyle/>
        <a:p>
          <a:endParaRPr lang="en-US"/>
        </a:p>
      </dgm:t>
    </dgm:pt>
    <dgm:pt modelId="{C3166EAD-157D-6D4E-B9AF-A637B43F3D0C}" type="pres">
      <dgm:prSet presAssocID="{9CE4178E-92C1-924F-82C6-D99BC4711D97}" presName="mainComposite" presStyleCnt="0">
        <dgm:presLayoutVars>
          <dgm:chPref val="1"/>
          <dgm:dir/>
          <dgm:animOne val="branch"/>
          <dgm:animLvl val="lvl"/>
          <dgm:resizeHandles val="exact"/>
        </dgm:presLayoutVars>
      </dgm:prSet>
      <dgm:spPr/>
    </dgm:pt>
    <dgm:pt modelId="{5FBA3F37-C893-E344-9F0E-585F421FC3AF}" type="pres">
      <dgm:prSet presAssocID="{9CE4178E-92C1-924F-82C6-D99BC4711D97}" presName="hierFlow" presStyleCnt="0"/>
      <dgm:spPr/>
    </dgm:pt>
    <dgm:pt modelId="{23E37CD9-FD13-1F48-A55C-6691FDB37CC1}" type="pres">
      <dgm:prSet presAssocID="{9CE4178E-92C1-924F-82C6-D99BC4711D97}" presName="hierChild1" presStyleCnt="0">
        <dgm:presLayoutVars>
          <dgm:chPref val="1"/>
          <dgm:animOne val="branch"/>
          <dgm:animLvl val="lvl"/>
        </dgm:presLayoutVars>
      </dgm:prSet>
      <dgm:spPr/>
    </dgm:pt>
    <dgm:pt modelId="{E8A1BA16-26A0-7041-A8A1-97E1772AD35D}" type="pres">
      <dgm:prSet presAssocID="{F6AEBEEF-1748-2D40-B8A0-262271B27BBB}" presName="Name17" presStyleCnt="0"/>
      <dgm:spPr/>
    </dgm:pt>
    <dgm:pt modelId="{F89CF491-2C0E-D447-91AA-B015DF5E8E18}" type="pres">
      <dgm:prSet presAssocID="{F6AEBEEF-1748-2D40-B8A0-262271B27BBB}" presName="level1Shape" presStyleLbl="node0" presStyleIdx="0" presStyleCnt="1" custScaleX="310229" custScaleY="444064" custLinFactNeighborX="-8142" custLinFactNeighborY="-1621">
        <dgm:presLayoutVars>
          <dgm:chPref val="3"/>
        </dgm:presLayoutVars>
      </dgm:prSet>
      <dgm:spPr>
        <a:prstGeom prst="roundRect">
          <a:avLst>
            <a:gd name="adj" fmla="val 10000"/>
          </a:avLst>
        </a:prstGeom>
      </dgm:spPr>
    </dgm:pt>
    <dgm:pt modelId="{A868A022-7D13-094B-A885-1905C09C6AF3}" type="pres">
      <dgm:prSet presAssocID="{F6AEBEEF-1748-2D40-B8A0-262271B27BBB}" presName="hierChild2" presStyleCnt="0"/>
      <dgm:spPr/>
    </dgm:pt>
    <dgm:pt modelId="{A8D1A5A0-02A1-AF4E-992E-115A677C91AC}" type="pres">
      <dgm:prSet presAssocID="{1A248D66-0D1C-6444-8119-06C170B029DC}" presName="Name25" presStyleLbl="parChTrans1D2" presStyleIdx="0" presStyleCnt="1"/>
      <dgm:spPr>
        <a:custGeom>
          <a:avLst/>
          <a:gdLst/>
          <a:ahLst/>
          <a:cxnLst/>
          <a:rect l="0" t="0" r="0" b="0"/>
          <a:pathLst>
            <a:path>
              <a:moveTo>
                <a:pt x="0" y="31113"/>
              </a:moveTo>
              <a:lnTo>
                <a:pt x="345600" y="31113"/>
              </a:lnTo>
            </a:path>
          </a:pathLst>
        </a:custGeom>
      </dgm:spPr>
    </dgm:pt>
    <dgm:pt modelId="{55F45BFC-56CC-1D49-91B7-FDCA862C2016}" type="pres">
      <dgm:prSet presAssocID="{1A248D66-0D1C-6444-8119-06C170B029DC}" presName="connTx" presStyleLbl="parChTrans1D2" presStyleIdx="0" presStyleCnt="1"/>
      <dgm:spPr/>
    </dgm:pt>
    <dgm:pt modelId="{829A59A7-90CA-3443-9D30-778AA629DAD3}" type="pres">
      <dgm:prSet presAssocID="{E844B0CD-3FEC-A64A-ABB3-007D561BE68B}" presName="Name30" presStyleCnt="0"/>
      <dgm:spPr/>
    </dgm:pt>
    <dgm:pt modelId="{AEC9993A-F165-BD46-869B-4D5204538CA7}" type="pres">
      <dgm:prSet presAssocID="{E844B0CD-3FEC-A64A-ABB3-007D561BE68B}" presName="level2Shape" presStyleLbl="node2" presStyleIdx="0" presStyleCnt="1" custScaleX="128674" custScaleY="437519"/>
      <dgm:spPr>
        <a:prstGeom prst="roundRect">
          <a:avLst>
            <a:gd name="adj" fmla="val 10000"/>
          </a:avLst>
        </a:prstGeom>
      </dgm:spPr>
    </dgm:pt>
    <dgm:pt modelId="{2056A7D9-00E9-7940-AD46-F1E88A7675FA}" type="pres">
      <dgm:prSet presAssocID="{E844B0CD-3FEC-A64A-ABB3-007D561BE68B}" presName="hierChild3" presStyleCnt="0"/>
      <dgm:spPr/>
    </dgm:pt>
    <dgm:pt modelId="{F60DAC04-35EA-6F4B-A4EA-CB6FCC023E68}" type="pres">
      <dgm:prSet presAssocID="{0E58F937-59C7-C447-9622-5471F06D6427}" presName="Name25" presStyleLbl="parChTrans1D3" presStyleIdx="0" presStyleCnt="1"/>
      <dgm:spPr>
        <a:custGeom>
          <a:avLst/>
          <a:gdLst/>
          <a:ahLst/>
          <a:cxnLst/>
          <a:rect l="0" t="0" r="0" b="0"/>
          <a:pathLst>
            <a:path>
              <a:moveTo>
                <a:pt x="0" y="31113"/>
              </a:moveTo>
              <a:lnTo>
                <a:pt x="344359" y="31113"/>
              </a:lnTo>
            </a:path>
          </a:pathLst>
        </a:custGeom>
      </dgm:spPr>
    </dgm:pt>
    <dgm:pt modelId="{1E1D29F5-89AB-7E42-B75D-6DDCC0863C3B}" type="pres">
      <dgm:prSet presAssocID="{0E58F937-59C7-C447-9622-5471F06D6427}" presName="connTx" presStyleLbl="parChTrans1D3" presStyleIdx="0" presStyleCnt="1"/>
      <dgm:spPr/>
    </dgm:pt>
    <dgm:pt modelId="{D1083EEB-174B-F245-8839-3BB61D42F352}" type="pres">
      <dgm:prSet presAssocID="{CCA3627F-B14C-E84D-B48C-A9279844868F}" presName="Name30" presStyleCnt="0"/>
      <dgm:spPr/>
    </dgm:pt>
    <dgm:pt modelId="{7ACE710D-9EF1-254D-8FDC-631A7A851AF3}" type="pres">
      <dgm:prSet presAssocID="{CCA3627F-B14C-E84D-B48C-A9279844868F}" presName="level2Shape" presStyleLbl="node3" presStyleIdx="0" presStyleCnt="1" custScaleX="164278" custScaleY="145502"/>
      <dgm:spPr>
        <a:prstGeom prst="roundRect">
          <a:avLst>
            <a:gd name="adj" fmla="val 10000"/>
          </a:avLst>
        </a:prstGeom>
      </dgm:spPr>
    </dgm:pt>
    <dgm:pt modelId="{6BCDBEA7-1671-6A43-854C-0A9CE16EC26E}" type="pres">
      <dgm:prSet presAssocID="{CCA3627F-B14C-E84D-B48C-A9279844868F}" presName="hierChild3" presStyleCnt="0"/>
      <dgm:spPr/>
    </dgm:pt>
    <dgm:pt modelId="{3ABC64D2-F365-1C42-BC1D-A37DF67F0569}" type="pres">
      <dgm:prSet presAssocID="{9CE4178E-92C1-924F-82C6-D99BC4711D97}" presName="bgShapesFlow" presStyleCnt="0"/>
      <dgm:spPr/>
    </dgm:pt>
  </dgm:ptLst>
  <dgm:cxnLst>
    <dgm:cxn modelId="{4FD41112-58B6-474B-A699-881D4FB811EA}" type="presOf" srcId="{0E58F937-59C7-C447-9622-5471F06D6427}" destId="{F60DAC04-35EA-6F4B-A4EA-CB6FCC023E68}" srcOrd="0" destOrd="0" presId="urn:microsoft.com/office/officeart/2005/8/layout/hierarchy5"/>
    <dgm:cxn modelId="{70DC7C24-63E6-AA4D-B655-C7CA61C9D7EC}" srcId="{F6AEBEEF-1748-2D40-B8A0-262271B27BBB}" destId="{E844B0CD-3FEC-A64A-ABB3-007D561BE68B}" srcOrd="0" destOrd="0" parTransId="{1A248D66-0D1C-6444-8119-06C170B029DC}" sibTransId="{439F94F2-2F3A-CA47-989E-B95983352A93}"/>
    <dgm:cxn modelId="{E1D7882D-997F-CC40-8037-5B2599D99A31}" type="presOf" srcId="{1A248D66-0D1C-6444-8119-06C170B029DC}" destId="{A8D1A5A0-02A1-AF4E-992E-115A677C91AC}" srcOrd="0" destOrd="0" presId="urn:microsoft.com/office/officeart/2005/8/layout/hierarchy5"/>
    <dgm:cxn modelId="{A1EE993C-095B-7A44-9045-0025D3E6C95F}" srcId="{E844B0CD-3FEC-A64A-ABB3-007D561BE68B}" destId="{CCA3627F-B14C-E84D-B48C-A9279844868F}" srcOrd="0" destOrd="0" parTransId="{0E58F937-59C7-C447-9622-5471F06D6427}" sibTransId="{7DC1CAFE-C137-C443-B146-4013F069DA75}"/>
    <dgm:cxn modelId="{9FD23847-E9BD-6941-9F8C-5BFA5D095D7B}" type="presOf" srcId="{E844B0CD-3FEC-A64A-ABB3-007D561BE68B}" destId="{AEC9993A-F165-BD46-869B-4D5204538CA7}" srcOrd="0" destOrd="0" presId="urn:microsoft.com/office/officeart/2005/8/layout/hierarchy5"/>
    <dgm:cxn modelId="{168BF97E-2C9C-B64E-A64C-A8196CAA8FFA}" type="presOf" srcId="{9CE4178E-92C1-924F-82C6-D99BC4711D97}" destId="{C3166EAD-157D-6D4E-B9AF-A637B43F3D0C}" srcOrd="0" destOrd="0" presId="urn:microsoft.com/office/officeart/2005/8/layout/hierarchy5"/>
    <dgm:cxn modelId="{9B431785-31B8-5844-A429-6A86903D9A68}" srcId="{9CE4178E-92C1-924F-82C6-D99BC4711D97}" destId="{F6AEBEEF-1748-2D40-B8A0-262271B27BBB}" srcOrd="0" destOrd="0" parTransId="{A0D668F7-28AA-F041-AE68-AEBF036AFB29}" sibTransId="{F2D76882-0854-2B43-88AB-BA4B53BE514A}"/>
    <dgm:cxn modelId="{1ACF75BE-669A-6045-AC41-6AA35E5D1C05}" type="presOf" srcId="{1A248D66-0D1C-6444-8119-06C170B029DC}" destId="{55F45BFC-56CC-1D49-91B7-FDCA862C2016}" srcOrd="1" destOrd="0" presId="urn:microsoft.com/office/officeart/2005/8/layout/hierarchy5"/>
    <dgm:cxn modelId="{317548D5-8E91-C449-8DE8-6A2906AC2CE1}" type="presOf" srcId="{CCA3627F-B14C-E84D-B48C-A9279844868F}" destId="{7ACE710D-9EF1-254D-8FDC-631A7A851AF3}" srcOrd="0" destOrd="0" presId="urn:microsoft.com/office/officeart/2005/8/layout/hierarchy5"/>
    <dgm:cxn modelId="{58759DD7-B284-B04F-A44C-EB5CC595DA04}" type="presOf" srcId="{0E58F937-59C7-C447-9622-5471F06D6427}" destId="{1E1D29F5-89AB-7E42-B75D-6DDCC0863C3B}" srcOrd="1" destOrd="0" presId="urn:microsoft.com/office/officeart/2005/8/layout/hierarchy5"/>
    <dgm:cxn modelId="{F203B4F7-D2CE-C74A-B92E-BC1278579365}" type="presOf" srcId="{F6AEBEEF-1748-2D40-B8A0-262271B27BBB}" destId="{F89CF491-2C0E-D447-91AA-B015DF5E8E18}" srcOrd="0" destOrd="0" presId="urn:microsoft.com/office/officeart/2005/8/layout/hierarchy5"/>
    <dgm:cxn modelId="{8E8239F6-4272-B240-9CA2-F692CC5786DB}" type="presParOf" srcId="{C3166EAD-157D-6D4E-B9AF-A637B43F3D0C}" destId="{5FBA3F37-C893-E344-9F0E-585F421FC3AF}" srcOrd="0" destOrd="0" presId="urn:microsoft.com/office/officeart/2005/8/layout/hierarchy5"/>
    <dgm:cxn modelId="{F6967C07-1B10-D743-A4C0-1310C20DC6A7}" type="presParOf" srcId="{5FBA3F37-C893-E344-9F0E-585F421FC3AF}" destId="{23E37CD9-FD13-1F48-A55C-6691FDB37CC1}" srcOrd="0" destOrd="0" presId="urn:microsoft.com/office/officeart/2005/8/layout/hierarchy5"/>
    <dgm:cxn modelId="{C4A8CF9A-8944-E14B-82AF-25D9EDB7FC55}" type="presParOf" srcId="{23E37CD9-FD13-1F48-A55C-6691FDB37CC1}" destId="{E8A1BA16-26A0-7041-A8A1-97E1772AD35D}" srcOrd="0" destOrd="0" presId="urn:microsoft.com/office/officeart/2005/8/layout/hierarchy5"/>
    <dgm:cxn modelId="{E2087C48-8920-DB46-A9D0-25604DB380EC}" type="presParOf" srcId="{E8A1BA16-26A0-7041-A8A1-97E1772AD35D}" destId="{F89CF491-2C0E-D447-91AA-B015DF5E8E18}" srcOrd="0" destOrd="0" presId="urn:microsoft.com/office/officeart/2005/8/layout/hierarchy5"/>
    <dgm:cxn modelId="{5E3B79C1-D7D6-4944-A7F5-EE77DFD001DB}" type="presParOf" srcId="{E8A1BA16-26A0-7041-A8A1-97E1772AD35D}" destId="{A868A022-7D13-094B-A885-1905C09C6AF3}" srcOrd="1" destOrd="0" presId="urn:microsoft.com/office/officeart/2005/8/layout/hierarchy5"/>
    <dgm:cxn modelId="{D9E83FE4-6F45-024E-9CFA-267CC008E811}" type="presParOf" srcId="{A868A022-7D13-094B-A885-1905C09C6AF3}" destId="{A8D1A5A0-02A1-AF4E-992E-115A677C91AC}" srcOrd="0" destOrd="0" presId="urn:microsoft.com/office/officeart/2005/8/layout/hierarchy5"/>
    <dgm:cxn modelId="{D687C79D-AED8-5548-838A-8CA6E579B181}" type="presParOf" srcId="{A8D1A5A0-02A1-AF4E-992E-115A677C91AC}" destId="{55F45BFC-56CC-1D49-91B7-FDCA862C2016}" srcOrd="0" destOrd="0" presId="urn:microsoft.com/office/officeart/2005/8/layout/hierarchy5"/>
    <dgm:cxn modelId="{EA5EC0D6-EBCA-BF45-9CF2-8C184BF51AA3}" type="presParOf" srcId="{A868A022-7D13-094B-A885-1905C09C6AF3}" destId="{829A59A7-90CA-3443-9D30-778AA629DAD3}" srcOrd="1" destOrd="0" presId="urn:microsoft.com/office/officeart/2005/8/layout/hierarchy5"/>
    <dgm:cxn modelId="{724C29A1-84AF-E14F-858C-9B9E61954855}" type="presParOf" srcId="{829A59A7-90CA-3443-9D30-778AA629DAD3}" destId="{AEC9993A-F165-BD46-869B-4D5204538CA7}" srcOrd="0" destOrd="0" presId="urn:microsoft.com/office/officeart/2005/8/layout/hierarchy5"/>
    <dgm:cxn modelId="{CCE90141-5334-0B4E-A3F1-406C1E6B954E}" type="presParOf" srcId="{829A59A7-90CA-3443-9D30-778AA629DAD3}" destId="{2056A7D9-00E9-7940-AD46-F1E88A7675FA}" srcOrd="1" destOrd="0" presId="urn:microsoft.com/office/officeart/2005/8/layout/hierarchy5"/>
    <dgm:cxn modelId="{BA2BAB02-FBD5-374E-BF88-5765607331E3}" type="presParOf" srcId="{2056A7D9-00E9-7940-AD46-F1E88A7675FA}" destId="{F60DAC04-35EA-6F4B-A4EA-CB6FCC023E68}" srcOrd="0" destOrd="0" presId="urn:microsoft.com/office/officeart/2005/8/layout/hierarchy5"/>
    <dgm:cxn modelId="{A7318905-907A-6D49-9801-71EF36D298D2}" type="presParOf" srcId="{F60DAC04-35EA-6F4B-A4EA-CB6FCC023E68}" destId="{1E1D29F5-89AB-7E42-B75D-6DDCC0863C3B}" srcOrd="0" destOrd="0" presId="urn:microsoft.com/office/officeart/2005/8/layout/hierarchy5"/>
    <dgm:cxn modelId="{E5F7BB3B-1B47-8C46-986E-2CF5A148B527}" type="presParOf" srcId="{2056A7D9-00E9-7940-AD46-F1E88A7675FA}" destId="{D1083EEB-174B-F245-8839-3BB61D42F352}" srcOrd="1" destOrd="0" presId="urn:microsoft.com/office/officeart/2005/8/layout/hierarchy5"/>
    <dgm:cxn modelId="{F41074C7-B1D8-9749-9EDA-A6FEAC492C94}" type="presParOf" srcId="{D1083EEB-174B-F245-8839-3BB61D42F352}" destId="{7ACE710D-9EF1-254D-8FDC-631A7A851AF3}" srcOrd="0" destOrd="0" presId="urn:microsoft.com/office/officeart/2005/8/layout/hierarchy5"/>
    <dgm:cxn modelId="{65571450-65A1-EF4F-856A-053B3686E2DE}" type="presParOf" srcId="{D1083EEB-174B-F245-8839-3BB61D42F352}" destId="{6BCDBEA7-1671-6A43-854C-0A9CE16EC26E}" srcOrd="1" destOrd="0" presId="urn:microsoft.com/office/officeart/2005/8/layout/hierarchy5"/>
    <dgm:cxn modelId="{002BE573-0168-3943-AB40-83BDA1D066AA}" type="presParOf" srcId="{C3166EAD-157D-6D4E-B9AF-A637B43F3D0C}" destId="{3ABC64D2-F365-1C42-BC1D-A37DF67F0569}" srcOrd="1" destOrd="0" presId="urn:microsoft.com/office/officeart/2005/8/layout/hierarchy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E4178E-92C1-924F-82C6-D99BC4711D97}" type="doc">
      <dgm:prSet loTypeId="urn:microsoft.com/office/officeart/2005/8/layout/hierarchy5" loCatId="" qsTypeId="urn:microsoft.com/office/officeart/2005/8/quickstyle/simple3" qsCatId="simple" csTypeId="urn:microsoft.com/office/officeart/2005/8/colors/accent5_3" csCatId="accent5" phldr="1"/>
      <dgm:spPr/>
      <dgm:t>
        <a:bodyPr/>
        <a:lstStyle/>
        <a:p>
          <a:endParaRPr lang="en-US"/>
        </a:p>
      </dgm:t>
    </dgm:pt>
    <dgm:pt modelId="{F6AEBEEF-1748-2D40-B8A0-262271B27BBB}">
      <dgm:prSet phldrT="[Text]" custT="1"/>
      <dgm:spPr/>
      <dgm:t>
        <a:bodyPr/>
        <a:lstStyle/>
        <a:p>
          <a:r>
            <a:rPr lang="en-US" sz="1100" b="1">
              <a:solidFill>
                <a:sysClr val="windowText" lastClr="000000"/>
              </a:solidFill>
              <a:latin typeface="Times New Roman"/>
              <a:ea typeface="+mn-ea"/>
              <a:cs typeface="Times New Roman"/>
            </a:rPr>
            <a:t>Cohort 1: Refractory or recurrent OvCa</a:t>
          </a:r>
        </a:p>
        <a:p>
          <a:r>
            <a:rPr lang="en-US" sz="1100" b="1">
              <a:solidFill>
                <a:sysClr val="windowText" lastClr="000000"/>
              </a:solidFill>
              <a:latin typeface="Times New Roman"/>
              <a:ea typeface="+mn-ea"/>
              <a:cs typeface="Times New Roman"/>
            </a:rPr>
            <a:t>Cohort 2: Advanced or recurent NSCLC</a:t>
          </a:r>
        </a:p>
      </dgm:t>
    </dgm:pt>
    <dgm:pt modelId="{A0D668F7-28AA-F041-AE68-AEBF036AFB29}" type="parTrans" cxnId="{9B431785-31B8-5844-A429-6A86903D9A68}">
      <dgm:prSet/>
      <dgm:spPr/>
      <dgm:t>
        <a:bodyPr/>
        <a:lstStyle/>
        <a:p>
          <a:endParaRPr lang="en-US"/>
        </a:p>
      </dgm:t>
    </dgm:pt>
    <dgm:pt modelId="{F2D76882-0854-2B43-88AB-BA4B53BE514A}" type="sibTrans" cxnId="{9B431785-31B8-5844-A429-6A86903D9A68}">
      <dgm:prSet/>
      <dgm:spPr/>
      <dgm:t>
        <a:bodyPr/>
        <a:lstStyle/>
        <a:p>
          <a:endParaRPr lang="en-US"/>
        </a:p>
      </dgm:t>
    </dgm:pt>
    <dgm:pt modelId="{88DE4E83-CC9C-F940-AED5-6A6B826B0730}">
      <dgm:prSet phldrT="[Text]" custT="1"/>
      <dgm:spPr/>
      <dgm:t>
        <a:bodyPr/>
        <a:lstStyle/>
        <a:p>
          <a:r>
            <a:rPr lang="en-US" sz="1100" b="1">
              <a:latin typeface="Times New Roman"/>
              <a:cs typeface="Times New Roman"/>
            </a:rPr>
            <a:t>Cediranib 20mg once a day (5 days</a:t>
          </a:r>
          <a:r>
            <a:rPr lang="en-US" sz="1100" b="1" baseline="0">
              <a:latin typeface="Times New Roman"/>
              <a:cs typeface="Times New Roman"/>
            </a:rPr>
            <a:t> on</a:t>
          </a:r>
          <a:r>
            <a:rPr lang="en-US" sz="1100" b="1">
              <a:latin typeface="Times New Roman"/>
              <a:cs typeface="Times New Roman"/>
            </a:rPr>
            <a:t>/2 days off) and</a:t>
          </a:r>
          <a:r>
            <a:rPr lang="en-US" sz="1100" b="1" baseline="0">
              <a:latin typeface="Times New Roman"/>
              <a:cs typeface="Times New Roman"/>
            </a:rPr>
            <a:t> Durvalumab IV 1500mg every 28 days</a:t>
          </a:r>
          <a:endParaRPr lang="en-US" sz="1100" b="1">
            <a:latin typeface="Times New Roman"/>
            <a:cs typeface="Times New Roman"/>
          </a:endParaRPr>
        </a:p>
      </dgm:t>
    </dgm:pt>
    <dgm:pt modelId="{B7E603A1-E726-E344-A11F-845635B7F6F5}" type="parTrans" cxnId="{18EADBF3-A465-9A40-923C-CFC47DE40D7D}">
      <dgm:prSet/>
      <dgm:spPr>
        <a:ln>
          <a:headEnd type="none"/>
          <a:tailEnd type="arrow"/>
        </a:ln>
      </dgm:spPr>
      <dgm:t>
        <a:bodyPr/>
        <a:lstStyle/>
        <a:p>
          <a:endParaRPr lang="en-US"/>
        </a:p>
      </dgm:t>
    </dgm:pt>
    <dgm:pt modelId="{1C44FF03-2BAF-6448-8623-128F6A42A6D9}" type="sibTrans" cxnId="{18EADBF3-A465-9A40-923C-CFC47DE40D7D}">
      <dgm:prSet/>
      <dgm:spPr/>
      <dgm:t>
        <a:bodyPr/>
        <a:lstStyle/>
        <a:p>
          <a:endParaRPr lang="en-US"/>
        </a:p>
      </dgm:t>
    </dgm:pt>
    <dgm:pt modelId="{50B29485-46D3-3241-966E-7768ADA622CF}">
      <dgm:prSet phldrT="[Text]" custT="1"/>
      <dgm:spPr/>
      <dgm:t>
        <a:bodyPr/>
        <a:lstStyle/>
        <a:p>
          <a:r>
            <a:rPr lang="en-US" sz="1000" b="1">
              <a:latin typeface="Times New Roman"/>
              <a:cs typeface="Times New Roman"/>
            </a:rPr>
            <a:t>Disease progression, patient withdrawal, or toxicities</a:t>
          </a:r>
        </a:p>
      </dgm:t>
    </dgm:pt>
    <dgm:pt modelId="{811B5187-6E18-5F44-B6D3-07DE3627BC02}" type="parTrans" cxnId="{72E45855-DEFD-5C40-BA26-63679FD9DE2E}">
      <dgm:prSet/>
      <dgm:spPr>
        <a:ln>
          <a:headEnd type="none"/>
          <a:tailEnd type="arrow"/>
        </a:ln>
      </dgm:spPr>
      <dgm:t>
        <a:bodyPr/>
        <a:lstStyle/>
        <a:p>
          <a:endParaRPr lang="en-US"/>
        </a:p>
      </dgm:t>
    </dgm:pt>
    <dgm:pt modelId="{3DEB6A71-B8F4-2B47-ACFA-ABC5B3874101}" type="sibTrans" cxnId="{72E45855-DEFD-5C40-BA26-63679FD9DE2E}">
      <dgm:prSet/>
      <dgm:spPr/>
      <dgm:t>
        <a:bodyPr/>
        <a:lstStyle/>
        <a:p>
          <a:endParaRPr lang="en-US"/>
        </a:p>
      </dgm:t>
    </dgm:pt>
    <dgm:pt modelId="{C3166EAD-157D-6D4E-B9AF-A637B43F3D0C}" type="pres">
      <dgm:prSet presAssocID="{9CE4178E-92C1-924F-82C6-D99BC4711D97}" presName="mainComposite" presStyleCnt="0">
        <dgm:presLayoutVars>
          <dgm:chPref val="1"/>
          <dgm:dir/>
          <dgm:animOne val="branch"/>
          <dgm:animLvl val="lvl"/>
          <dgm:resizeHandles val="exact"/>
        </dgm:presLayoutVars>
      </dgm:prSet>
      <dgm:spPr/>
    </dgm:pt>
    <dgm:pt modelId="{5FBA3F37-C893-E344-9F0E-585F421FC3AF}" type="pres">
      <dgm:prSet presAssocID="{9CE4178E-92C1-924F-82C6-D99BC4711D97}" presName="hierFlow" presStyleCnt="0"/>
      <dgm:spPr/>
    </dgm:pt>
    <dgm:pt modelId="{23E37CD9-FD13-1F48-A55C-6691FDB37CC1}" type="pres">
      <dgm:prSet presAssocID="{9CE4178E-92C1-924F-82C6-D99BC4711D97}" presName="hierChild1" presStyleCnt="0">
        <dgm:presLayoutVars>
          <dgm:chPref val="1"/>
          <dgm:animOne val="branch"/>
          <dgm:animLvl val="lvl"/>
        </dgm:presLayoutVars>
      </dgm:prSet>
      <dgm:spPr/>
    </dgm:pt>
    <dgm:pt modelId="{E8A1BA16-26A0-7041-A8A1-97E1772AD35D}" type="pres">
      <dgm:prSet presAssocID="{F6AEBEEF-1748-2D40-B8A0-262271B27BBB}" presName="Name17" presStyleCnt="0"/>
      <dgm:spPr/>
    </dgm:pt>
    <dgm:pt modelId="{F89CF491-2C0E-D447-91AA-B015DF5E8E18}" type="pres">
      <dgm:prSet presAssocID="{F6AEBEEF-1748-2D40-B8A0-262271B27BBB}" presName="level1Shape" presStyleLbl="node0" presStyleIdx="0" presStyleCnt="1" custScaleX="325757" custScaleY="293383" custLinFactNeighborX="-8142" custLinFactNeighborY="-1621">
        <dgm:presLayoutVars>
          <dgm:chPref val="3"/>
        </dgm:presLayoutVars>
      </dgm:prSet>
      <dgm:spPr/>
    </dgm:pt>
    <dgm:pt modelId="{A868A022-7D13-094B-A885-1905C09C6AF3}" type="pres">
      <dgm:prSet presAssocID="{F6AEBEEF-1748-2D40-B8A0-262271B27BBB}" presName="hierChild2" presStyleCnt="0"/>
      <dgm:spPr/>
    </dgm:pt>
    <dgm:pt modelId="{53ED10A3-649B-E945-94B9-AA7335A33508}" type="pres">
      <dgm:prSet presAssocID="{B7E603A1-E726-E344-A11F-845635B7F6F5}" presName="Name25" presStyleLbl="parChTrans1D2" presStyleIdx="0" presStyleCnt="1"/>
      <dgm:spPr/>
    </dgm:pt>
    <dgm:pt modelId="{AC06B270-B130-4344-8CD2-2B71D684EAB2}" type="pres">
      <dgm:prSet presAssocID="{B7E603A1-E726-E344-A11F-845635B7F6F5}" presName="connTx" presStyleLbl="parChTrans1D2" presStyleIdx="0" presStyleCnt="1"/>
      <dgm:spPr/>
    </dgm:pt>
    <dgm:pt modelId="{843B1108-7C60-0E4A-AA8C-C046300D4B36}" type="pres">
      <dgm:prSet presAssocID="{88DE4E83-CC9C-F940-AED5-6A6B826B0730}" presName="Name30" presStyleCnt="0"/>
      <dgm:spPr/>
    </dgm:pt>
    <dgm:pt modelId="{E20BE0A0-4964-2448-AE70-2D72FD7F7731}" type="pres">
      <dgm:prSet presAssocID="{88DE4E83-CC9C-F940-AED5-6A6B826B0730}" presName="level2Shape" presStyleLbl="node2" presStyleIdx="0" presStyleCnt="1" custScaleX="128674" custScaleY="296131"/>
      <dgm:spPr/>
    </dgm:pt>
    <dgm:pt modelId="{DF255C12-021B-2742-8BF8-3D3C07AF0797}" type="pres">
      <dgm:prSet presAssocID="{88DE4E83-CC9C-F940-AED5-6A6B826B0730}" presName="hierChild3" presStyleCnt="0"/>
      <dgm:spPr/>
    </dgm:pt>
    <dgm:pt modelId="{7DCDB2E6-AB36-3747-95EE-F8E3C79068FD}" type="pres">
      <dgm:prSet presAssocID="{811B5187-6E18-5F44-B6D3-07DE3627BC02}" presName="Name25" presStyleLbl="parChTrans1D3" presStyleIdx="0" presStyleCnt="1"/>
      <dgm:spPr/>
    </dgm:pt>
    <dgm:pt modelId="{DB891E86-8855-6D4C-96D0-3AC0F0326E56}" type="pres">
      <dgm:prSet presAssocID="{811B5187-6E18-5F44-B6D3-07DE3627BC02}" presName="connTx" presStyleLbl="parChTrans1D3" presStyleIdx="0" presStyleCnt="1"/>
      <dgm:spPr/>
    </dgm:pt>
    <dgm:pt modelId="{601B5C21-69B6-764B-A6CB-5ACCBA3AC553}" type="pres">
      <dgm:prSet presAssocID="{50B29485-46D3-3241-966E-7768ADA622CF}" presName="Name30" presStyleCnt="0"/>
      <dgm:spPr/>
    </dgm:pt>
    <dgm:pt modelId="{705EC3F1-01E1-A842-B7B6-D393608CD19E}" type="pres">
      <dgm:prSet presAssocID="{50B29485-46D3-3241-966E-7768ADA622CF}" presName="level2Shape" presStyleLbl="node3" presStyleIdx="0" presStyleCnt="1" custScaleX="164278" custScaleY="145502"/>
      <dgm:spPr/>
    </dgm:pt>
    <dgm:pt modelId="{6E365179-0B92-624C-AF49-1170B2731AD6}" type="pres">
      <dgm:prSet presAssocID="{50B29485-46D3-3241-966E-7768ADA622CF}" presName="hierChild3" presStyleCnt="0"/>
      <dgm:spPr/>
    </dgm:pt>
    <dgm:pt modelId="{3ABC64D2-F365-1C42-BC1D-A37DF67F0569}" type="pres">
      <dgm:prSet presAssocID="{9CE4178E-92C1-924F-82C6-D99BC4711D97}" presName="bgShapesFlow" presStyleCnt="0"/>
      <dgm:spPr/>
    </dgm:pt>
  </dgm:ptLst>
  <dgm:cxnLst>
    <dgm:cxn modelId="{F8FFE717-028B-3D45-8D09-0079D094DE39}" type="presOf" srcId="{F6AEBEEF-1748-2D40-B8A0-262271B27BBB}" destId="{F89CF491-2C0E-D447-91AA-B015DF5E8E18}" srcOrd="0" destOrd="0" presId="urn:microsoft.com/office/officeart/2005/8/layout/hierarchy5"/>
    <dgm:cxn modelId="{6B837733-16DA-C748-8A05-94314141A1A1}" type="presOf" srcId="{811B5187-6E18-5F44-B6D3-07DE3627BC02}" destId="{DB891E86-8855-6D4C-96D0-3AC0F0326E56}" srcOrd="1" destOrd="0" presId="urn:microsoft.com/office/officeart/2005/8/layout/hierarchy5"/>
    <dgm:cxn modelId="{72E45855-DEFD-5C40-BA26-63679FD9DE2E}" srcId="{88DE4E83-CC9C-F940-AED5-6A6B826B0730}" destId="{50B29485-46D3-3241-966E-7768ADA622CF}" srcOrd="0" destOrd="0" parTransId="{811B5187-6E18-5F44-B6D3-07DE3627BC02}" sibTransId="{3DEB6A71-B8F4-2B47-ACFA-ABC5B3874101}"/>
    <dgm:cxn modelId="{9E11555A-89BD-4243-99BC-1146CC60C7EB}" type="presOf" srcId="{88DE4E83-CC9C-F940-AED5-6A6B826B0730}" destId="{E20BE0A0-4964-2448-AE70-2D72FD7F7731}" srcOrd="0" destOrd="0" presId="urn:microsoft.com/office/officeart/2005/8/layout/hierarchy5"/>
    <dgm:cxn modelId="{9B431785-31B8-5844-A429-6A86903D9A68}" srcId="{9CE4178E-92C1-924F-82C6-D99BC4711D97}" destId="{F6AEBEEF-1748-2D40-B8A0-262271B27BBB}" srcOrd="0" destOrd="0" parTransId="{A0D668F7-28AA-F041-AE68-AEBF036AFB29}" sibTransId="{F2D76882-0854-2B43-88AB-BA4B53BE514A}"/>
    <dgm:cxn modelId="{2A3939BF-A6AA-4241-A65A-E75F7B91AC1C}" type="presOf" srcId="{B7E603A1-E726-E344-A11F-845635B7F6F5}" destId="{AC06B270-B130-4344-8CD2-2B71D684EAB2}" srcOrd="1" destOrd="0" presId="urn:microsoft.com/office/officeart/2005/8/layout/hierarchy5"/>
    <dgm:cxn modelId="{2FAA99D9-CEE3-0341-A12D-2FEEB5303241}" type="presOf" srcId="{50B29485-46D3-3241-966E-7768ADA622CF}" destId="{705EC3F1-01E1-A842-B7B6-D393608CD19E}" srcOrd="0" destOrd="0" presId="urn:microsoft.com/office/officeart/2005/8/layout/hierarchy5"/>
    <dgm:cxn modelId="{F0264EE0-C876-0B4E-964C-0D426C38B979}" type="presOf" srcId="{811B5187-6E18-5F44-B6D3-07DE3627BC02}" destId="{7DCDB2E6-AB36-3747-95EE-F8E3C79068FD}" srcOrd="0" destOrd="0" presId="urn:microsoft.com/office/officeart/2005/8/layout/hierarchy5"/>
    <dgm:cxn modelId="{0B568CE9-1B37-F848-9424-8323FDB0A9BB}" type="presOf" srcId="{9CE4178E-92C1-924F-82C6-D99BC4711D97}" destId="{C3166EAD-157D-6D4E-B9AF-A637B43F3D0C}" srcOrd="0" destOrd="0" presId="urn:microsoft.com/office/officeart/2005/8/layout/hierarchy5"/>
    <dgm:cxn modelId="{50A1B6E9-7DD6-C54F-B747-FE707EA36A44}" type="presOf" srcId="{B7E603A1-E726-E344-A11F-845635B7F6F5}" destId="{53ED10A3-649B-E945-94B9-AA7335A33508}" srcOrd="0" destOrd="0" presId="urn:microsoft.com/office/officeart/2005/8/layout/hierarchy5"/>
    <dgm:cxn modelId="{18EADBF3-A465-9A40-923C-CFC47DE40D7D}" srcId="{F6AEBEEF-1748-2D40-B8A0-262271B27BBB}" destId="{88DE4E83-CC9C-F940-AED5-6A6B826B0730}" srcOrd="0" destOrd="0" parTransId="{B7E603A1-E726-E344-A11F-845635B7F6F5}" sibTransId="{1C44FF03-2BAF-6448-8623-128F6A42A6D9}"/>
    <dgm:cxn modelId="{C72618AB-E2E6-0348-858D-21BA431292FA}" type="presParOf" srcId="{C3166EAD-157D-6D4E-B9AF-A637B43F3D0C}" destId="{5FBA3F37-C893-E344-9F0E-585F421FC3AF}" srcOrd="0" destOrd="0" presId="urn:microsoft.com/office/officeart/2005/8/layout/hierarchy5"/>
    <dgm:cxn modelId="{F000A7A1-32EA-FF45-8C6C-26A5CF409088}" type="presParOf" srcId="{5FBA3F37-C893-E344-9F0E-585F421FC3AF}" destId="{23E37CD9-FD13-1F48-A55C-6691FDB37CC1}" srcOrd="0" destOrd="0" presId="urn:microsoft.com/office/officeart/2005/8/layout/hierarchy5"/>
    <dgm:cxn modelId="{3BBA71AA-E2F5-D144-BDF9-82150A44AD26}" type="presParOf" srcId="{23E37CD9-FD13-1F48-A55C-6691FDB37CC1}" destId="{E8A1BA16-26A0-7041-A8A1-97E1772AD35D}" srcOrd="0" destOrd="0" presId="urn:microsoft.com/office/officeart/2005/8/layout/hierarchy5"/>
    <dgm:cxn modelId="{A207B3F4-2D6D-3543-BE93-D96EC1F441A5}" type="presParOf" srcId="{E8A1BA16-26A0-7041-A8A1-97E1772AD35D}" destId="{F89CF491-2C0E-D447-91AA-B015DF5E8E18}" srcOrd="0" destOrd="0" presId="urn:microsoft.com/office/officeart/2005/8/layout/hierarchy5"/>
    <dgm:cxn modelId="{3FDEAF3F-9943-2649-AA0A-7339DB5DE50D}" type="presParOf" srcId="{E8A1BA16-26A0-7041-A8A1-97E1772AD35D}" destId="{A868A022-7D13-094B-A885-1905C09C6AF3}" srcOrd="1" destOrd="0" presId="urn:microsoft.com/office/officeart/2005/8/layout/hierarchy5"/>
    <dgm:cxn modelId="{D2784571-B319-B34B-B9EE-E0471E3A2640}" type="presParOf" srcId="{A868A022-7D13-094B-A885-1905C09C6AF3}" destId="{53ED10A3-649B-E945-94B9-AA7335A33508}" srcOrd="0" destOrd="0" presId="urn:microsoft.com/office/officeart/2005/8/layout/hierarchy5"/>
    <dgm:cxn modelId="{6EE541E3-710C-0B48-A319-36B0AA3B0F9E}" type="presParOf" srcId="{53ED10A3-649B-E945-94B9-AA7335A33508}" destId="{AC06B270-B130-4344-8CD2-2B71D684EAB2}" srcOrd="0" destOrd="0" presId="urn:microsoft.com/office/officeart/2005/8/layout/hierarchy5"/>
    <dgm:cxn modelId="{89E21A60-BC52-8841-A32E-126AF21F6950}" type="presParOf" srcId="{A868A022-7D13-094B-A885-1905C09C6AF3}" destId="{843B1108-7C60-0E4A-AA8C-C046300D4B36}" srcOrd="1" destOrd="0" presId="urn:microsoft.com/office/officeart/2005/8/layout/hierarchy5"/>
    <dgm:cxn modelId="{F94120BF-485A-3C43-9F7B-6CF77EAE669B}" type="presParOf" srcId="{843B1108-7C60-0E4A-AA8C-C046300D4B36}" destId="{E20BE0A0-4964-2448-AE70-2D72FD7F7731}" srcOrd="0" destOrd="0" presId="urn:microsoft.com/office/officeart/2005/8/layout/hierarchy5"/>
    <dgm:cxn modelId="{E437CF05-A362-1140-AAFE-97000B420096}" type="presParOf" srcId="{843B1108-7C60-0E4A-AA8C-C046300D4B36}" destId="{DF255C12-021B-2742-8BF8-3D3C07AF0797}" srcOrd="1" destOrd="0" presId="urn:microsoft.com/office/officeart/2005/8/layout/hierarchy5"/>
    <dgm:cxn modelId="{5B5DDE17-BAEC-8945-9523-119DB74EA1D8}" type="presParOf" srcId="{DF255C12-021B-2742-8BF8-3D3C07AF0797}" destId="{7DCDB2E6-AB36-3747-95EE-F8E3C79068FD}" srcOrd="0" destOrd="0" presId="urn:microsoft.com/office/officeart/2005/8/layout/hierarchy5"/>
    <dgm:cxn modelId="{C8D50EA3-F089-2F48-B900-253319B6B667}" type="presParOf" srcId="{7DCDB2E6-AB36-3747-95EE-F8E3C79068FD}" destId="{DB891E86-8855-6D4C-96D0-3AC0F0326E56}" srcOrd="0" destOrd="0" presId="urn:microsoft.com/office/officeart/2005/8/layout/hierarchy5"/>
    <dgm:cxn modelId="{49D0DEE1-DECF-D64C-B4AD-9DE5F89AEFBF}" type="presParOf" srcId="{DF255C12-021B-2742-8BF8-3D3C07AF0797}" destId="{601B5C21-69B6-764B-A6CB-5ACCBA3AC553}" srcOrd="1" destOrd="0" presId="urn:microsoft.com/office/officeart/2005/8/layout/hierarchy5"/>
    <dgm:cxn modelId="{57069251-8868-0E47-B809-C98E62186859}" type="presParOf" srcId="{601B5C21-69B6-764B-A6CB-5ACCBA3AC553}" destId="{705EC3F1-01E1-A842-B7B6-D393608CD19E}" srcOrd="0" destOrd="0" presId="urn:microsoft.com/office/officeart/2005/8/layout/hierarchy5"/>
    <dgm:cxn modelId="{5ADDBC14-B2CD-0543-BD8C-E1121D802504}" type="presParOf" srcId="{601B5C21-69B6-764B-A6CB-5ACCBA3AC553}" destId="{6E365179-0B92-624C-AF49-1170B2731AD6}" srcOrd="1" destOrd="0" presId="urn:microsoft.com/office/officeart/2005/8/layout/hierarchy5"/>
    <dgm:cxn modelId="{A24F2D86-ACD9-5D49-BF42-8FACFEFBE090}" type="presParOf" srcId="{C3166EAD-157D-6D4E-B9AF-A637B43F3D0C}" destId="{3ABC64D2-F365-1C42-BC1D-A37DF67F0569}"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E4178E-92C1-924F-82C6-D99BC4711D97}" type="doc">
      <dgm:prSet loTypeId="urn:microsoft.com/office/officeart/2005/8/layout/hierarchy5" loCatId="" qsTypeId="urn:microsoft.com/office/officeart/2005/8/quickstyle/simple3" qsCatId="simple" csTypeId="urn:microsoft.com/office/officeart/2005/8/colors/accent5_3" csCatId="accent5" phldr="1"/>
      <dgm:spPr/>
      <dgm:t>
        <a:bodyPr/>
        <a:lstStyle/>
        <a:p>
          <a:endParaRPr lang="en-US"/>
        </a:p>
      </dgm:t>
    </dgm:pt>
    <dgm:pt modelId="{F6AEBEEF-1748-2D40-B8A0-262271B27BBB}">
      <dgm:prSet phldrT="[Text]" custT="1"/>
      <dgm:spPr/>
      <dgm:t>
        <a:bodyPr/>
        <a:lstStyle/>
        <a:p>
          <a:endParaRPr lang="en-US" sz="1100" b="1">
            <a:solidFill>
              <a:sysClr val="windowText" lastClr="000000"/>
            </a:solidFill>
            <a:latin typeface="Times New Roman"/>
            <a:ea typeface="+mn-ea"/>
            <a:cs typeface="Times New Roman"/>
          </a:endParaRPr>
        </a:p>
        <a:p>
          <a:r>
            <a:rPr lang="en-US" sz="1100" b="1">
              <a:solidFill>
                <a:sysClr val="windowText" lastClr="000000"/>
              </a:solidFill>
              <a:latin typeface="Times New Roman"/>
              <a:ea typeface="+mn-ea"/>
              <a:cs typeface="Times New Roman"/>
            </a:rPr>
            <a:t>Refractory or recurrent </a:t>
          </a:r>
        </a:p>
        <a:p>
          <a:r>
            <a:rPr lang="en-US" sz="1100" b="1">
              <a:solidFill>
                <a:sysClr val="windowText" lastClr="000000"/>
              </a:solidFill>
              <a:latin typeface="Times New Roman"/>
              <a:ea typeface="+mn-ea"/>
              <a:cs typeface="Times New Roman"/>
            </a:rPr>
            <a:t>OvCa</a:t>
          </a:r>
        </a:p>
        <a:p>
          <a:endParaRPr lang="en-US" sz="1100" b="1">
            <a:latin typeface="Times New Roman"/>
            <a:cs typeface="Times New Roman"/>
          </a:endParaRPr>
        </a:p>
      </dgm:t>
    </dgm:pt>
    <dgm:pt modelId="{A0D668F7-28AA-F041-AE68-AEBF036AFB29}" type="parTrans" cxnId="{9B431785-31B8-5844-A429-6A86903D9A68}">
      <dgm:prSet/>
      <dgm:spPr/>
      <dgm:t>
        <a:bodyPr/>
        <a:lstStyle/>
        <a:p>
          <a:endParaRPr lang="en-US"/>
        </a:p>
      </dgm:t>
    </dgm:pt>
    <dgm:pt modelId="{F2D76882-0854-2B43-88AB-BA4B53BE514A}" type="sibTrans" cxnId="{9B431785-31B8-5844-A429-6A86903D9A68}">
      <dgm:prSet/>
      <dgm:spPr/>
      <dgm:t>
        <a:bodyPr/>
        <a:lstStyle/>
        <a:p>
          <a:endParaRPr lang="en-US"/>
        </a:p>
      </dgm:t>
    </dgm:pt>
    <dgm:pt modelId="{50B29485-46D3-3241-966E-7768ADA622CF}">
      <dgm:prSet phldrT="[Text]" custT="1"/>
      <dgm:spPr/>
      <dgm:t>
        <a:bodyPr/>
        <a:lstStyle/>
        <a:p>
          <a:r>
            <a:rPr lang="en-US" sz="1000" b="1">
              <a:latin typeface="Times New Roman"/>
              <a:cs typeface="Times New Roman"/>
            </a:rPr>
            <a:t>Disease progression, patient withdrawal, or toxicities</a:t>
          </a:r>
        </a:p>
      </dgm:t>
    </dgm:pt>
    <dgm:pt modelId="{811B5187-6E18-5F44-B6D3-07DE3627BC02}" type="parTrans" cxnId="{72E45855-DEFD-5C40-BA26-63679FD9DE2E}">
      <dgm:prSet/>
      <dgm:spPr>
        <a:ln>
          <a:headEnd type="none"/>
          <a:tailEnd type="arrow"/>
        </a:ln>
      </dgm:spPr>
      <dgm:t>
        <a:bodyPr/>
        <a:lstStyle/>
        <a:p>
          <a:endParaRPr lang="en-US"/>
        </a:p>
      </dgm:t>
    </dgm:pt>
    <dgm:pt modelId="{3DEB6A71-B8F4-2B47-ACFA-ABC5B3874101}" type="sibTrans" cxnId="{72E45855-DEFD-5C40-BA26-63679FD9DE2E}">
      <dgm:prSet/>
      <dgm:spPr/>
      <dgm:t>
        <a:bodyPr/>
        <a:lstStyle/>
        <a:p>
          <a:endParaRPr lang="en-US"/>
        </a:p>
      </dgm:t>
    </dgm:pt>
    <dgm:pt modelId="{88DE4E83-CC9C-F940-AED5-6A6B826B0730}">
      <dgm:prSet phldrT="[Text]" custT="1"/>
      <dgm:spPr/>
      <dgm:t>
        <a:bodyPr/>
        <a:lstStyle/>
        <a:p>
          <a:r>
            <a:rPr lang="en-US" sz="1100" b="1">
              <a:latin typeface="Times New Roman"/>
              <a:cs typeface="Times New Roman"/>
            </a:rPr>
            <a:t>Olaparib 300mg tablets bid daily, Cediranib 20mg once a day (5days</a:t>
          </a:r>
          <a:r>
            <a:rPr lang="en-US" sz="1100" b="1" baseline="0">
              <a:latin typeface="Times New Roman"/>
              <a:cs typeface="Times New Roman"/>
            </a:rPr>
            <a:t> on</a:t>
          </a:r>
          <a:r>
            <a:rPr lang="en-US" sz="1100" b="1">
              <a:latin typeface="Times New Roman"/>
              <a:cs typeface="Times New Roman"/>
            </a:rPr>
            <a:t>/2 days off) and</a:t>
          </a:r>
          <a:r>
            <a:rPr lang="en-US" sz="1100" b="1" baseline="0">
              <a:latin typeface="Times New Roman"/>
              <a:cs typeface="Times New Roman"/>
            </a:rPr>
            <a:t> Durvalumab IV 1500mg </a:t>
          </a:r>
        </a:p>
        <a:p>
          <a:r>
            <a:rPr lang="en-US" sz="1100" b="1" baseline="0">
              <a:latin typeface="Times New Roman"/>
              <a:cs typeface="Times New Roman"/>
            </a:rPr>
            <a:t>every 28 days</a:t>
          </a:r>
          <a:endParaRPr lang="en-US" sz="1100" b="1">
            <a:latin typeface="Times New Roman"/>
            <a:cs typeface="Times New Roman"/>
          </a:endParaRPr>
        </a:p>
      </dgm:t>
    </dgm:pt>
    <dgm:pt modelId="{1C44FF03-2BAF-6448-8623-128F6A42A6D9}" type="sibTrans" cxnId="{18EADBF3-A465-9A40-923C-CFC47DE40D7D}">
      <dgm:prSet/>
      <dgm:spPr/>
      <dgm:t>
        <a:bodyPr/>
        <a:lstStyle/>
        <a:p>
          <a:endParaRPr lang="en-US"/>
        </a:p>
      </dgm:t>
    </dgm:pt>
    <dgm:pt modelId="{B7E603A1-E726-E344-A11F-845635B7F6F5}" type="parTrans" cxnId="{18EADBF3-A465-9A40-923C-CFC47DE40D7D}">
      <dgm:prSet/>
      <dgm:spPr>
        <a:ln>
          <a:headEnd type="none"/>
          <a:tailEnd type="arrow"/>
        </a:ln>
      </dgm:spPr>
      <dgm:t>
        <a:bodyPr/>
        <a:lstStyle/>
        <a:p>
          <a:endParaRPr lang="en-US"/>
        </a:p>
      </dgm:t>
    </dgm:pt>
    <dgm:pt modelId="{C3166EAD-157D-6D4E-B9AF-A637B43F3D0C}" type="pres">
      <dgm:prSet presAssocID="{9CE4178E-92C1-924F-82C6-D99BC4711D97}" presName="mainComposite" presStyleCnt="0">
        <dgm:presLayoutVars>
          <dgm:chPref val="1"/>
          <dgm:dir/>
          <dgm:animOne val="branch"/>
          <dgm:animLvl val="lvl"/>
          <dgm:resizeHandles val="exact"/>
        </dgm:presLayoutVars>
      </dgm:prSet>
      <dgm:spPr/>
    </dgm:pt>
    <dgm:pt modelId="{5FBA3F37-C893-E344-9F0E-585F421FC3AF}" type="pres">
      <dgm:prSet presAssocID="{9CE4178E-92C1-924F-82C6-D99BC4711D97}" presName="hierFlow" presStyleCnt="0"/>
      <dgm:spPr/>
    </dgm:pt>
    <dgm:pt modelId="{23E37CD9-FD13-1F48-A55C-6691FDB37CC1}" type="pres">
      <dgm:prSet presAssocID="{9CE4178E-92C1-924F-82C6-D99BC4711D97}" presName="hierChild1" presStyleCnt="0">
        <dgm:presLayoutVars>
          <dgm:chPref val="1"/>
          <dgm:animOne val="branch"/>
          <dgm:animLvl val="lvl"/>
        </dgm:presLayoutVars>
      </dgm:prSet>
      <dgm:spPr/>
    </dgm:pt>
    <dgm:pt modelId="{E8A1BA16-26A0-7041-A8A1-97E1772AD35D}" type="pres">
      <dgm:prSet presAssocID="{F6AEBEEF-1748-2D40-B8A0-262271B27BBB}" presName="Name17" presStyleCnt="0"/>
      <dgm:spPr/>
    </dgm:pt>
    <dgm:pt modelId="{F89CF491-2C0E-D447-91AA-B015DF5E8E18}" type="pres">
      <dgm:prSet presAssocID="{F6AEBEEF-1748-2D40-B8A0-262271B27BBB}" presName="level1Shape" presStyleLbl="node0" presStyleIdx="0" presStyleCnt="1" custScaleX="205737" custScaleY="151054" custLinFactNeighborX="-8142" custLinFactNeighborY="-1621">
        <dgm:presLayoutVars>
          <dgm:chPref val="3"/>
        </dgm:presLayoutVars>
      </dgm:prSet>
      <dgm:spPr/>
    </dgm:pt>
    <dgm:pt modelId="{A868A022-7D13-094B-A885-1905C09C6AF3}" type="pres">
      <dgm:prSet presAssocID="{F6AEBEEF-1748-2D40-B8A0-262271B27BBB}" presName="hierChild2" presStyleCnt="0"/>
      <dgm:spPr/>
    </dgm:pt>
    <dgm:pt modelId="{53ED10A3-649B-E945-94B9-AA7335A33508}" type="pres">
      <dgm:prSet presAssocID="{B7E603A1-E726-E344-A11F-845635B7F6F5}" presName="Name25" presStyleLbl="parChTrans1D2" presStyleIdx="0" presStyleCnt="1"/>
      <dgm:spPr/>
    </dgm:pt>
    <dgm:pt modelId="{AC06B270-B130-4344-8CD2-2B71D684EAB2}" type="pres">
      <dgm:prSet presAssocID="{B7E603A1-E726-E344-A11F-845635B7F6F5}" presName="connTx" presStyleLbl="parChTrans1D2" presStyleIdx="0" presStyleCnt="1"/>
      <dgm:spPr/>
    </dgm:pt>
    <dgm:pt modelId="{843B1108-7C60-0E4A-AA8C-C046300D4B36}" type="pres">
      <dgm:prSet presAssocID="{88DE4E83-CC9C-F940-AED5-6A6B826B0730}" presName="Name30" presStyleCnt="0"/>
      <dgm:spPr/>
    </dgm:pt>
    <dgm:pt modelId="{E20BE0A0-4964-2448-AE70-2D72FD7F7731}" type="pres">
      <dgm:prSet presAssocID="{88DE4E83-CC9C-F940-AED5-6A6B826B0730}" presName="level2Shape" presStyleLbl="node2" presStyleIdx="0" presStyleCnt="1" custScaleX="128674" custScaleY="296131"/>
      <dgm:spPr/>
    </dgm:pt>
    <dgm:pt modelId="{DF255C12-021B-2742-8BF8-3D3C07AF0797}" type="pres">
      <dgm:prSet presAssocID="{88DE4E83-CC9C-F940-AED5-6A6B826B0730}" presName="hierChild3" presStyleCnt="0"/>
      <dgm:spPr/>
    </dgm:pt>
    <dgm:pt modelId="{7DCDB2E6-AB36-3747-95EE-F8E3C79068FD}" type="pres">
      <dgm:prSet presAssocID="{811B5187-6E18-5F44-B6D3-07DE3627BC02}" presName="Name25" presStyleLbl="parChTrans1D3" presStyleIdx="0" presStyleCnt="1"/>
      <dgm:spPr/>
    </dgm:pt>
    <dgm:pt modelId="{DB891E86-8855-6D4C-96D0-3AC0F0326E56}" type="pres">
      <dgm:prSet presAssocID="{811B5187-6E18-5F44-B6D3-07DE3627BC02}" presName="connTx" presStyleLbl="parChTrans1D3" presStyleIdx="0" presStyleCnt="1"/>
      <dgm:spPr/>
    </dgm:pt>
    <dgm:pt modelId="{601B5C21-69B6-764B-A6CB-5ACCBA3AC553}" type="pres">
      <dgm:prSet presAssocID="{50B29485-46D3-3241-966E-7768ADA622CF}" presName="Name30" presStyleCnt="0"/>
      <dgm:spPr/>
    </dgm:pt>
    <dgm:pt modelId="{705EC3F1-01E1-A842-B7B6-D393608CD19E}" type="pres">
      <dgm:prSet presAssocID="{50B29485-46D3-3241-966E-7768ADA622CF}" presName="level2Shape" presStyleLbl="node3" presStyleIdx="0" presStyleCnt="1" custScaleX="164278" custScaleY="145502"/>
      <dgm:spPr/>
    </dgm:pt>
    <dgm:pt modelId="{6E365179-0B92-624C-AF49-1170B2731AD6}" type="pres">
      <dgm:prSet presAssocID="{50B29485-46D3-3241-966E-7768ADA622CF}" presName="hierChild3" presStyleCnt="0"/>
      <dgm:spPr/>
    </dgm:pt>
    <dgm:pt modelId="{3ABC64D2-F365-1C42-BC1D-A37DF67F0569}" type="pres">
      <dgm:prSet presAssocID="{9CE4178E-92C1-924F-82C6-D99BC4711D97}" presName="bgShapesFlow" presStyleCnt="0"/>
      <dgm:spPr/>
    </dgm:pt>
  </dgm:ptLst>
  <dgm:cxnLst>
    <dgm:cxn modelId="{E69C8C42-C8DC-C34A-B939-7DFBE58C745E}" type="presOf" srcId="{B7E603A1-E726-E344-A11F-845635B7F6F5}" destId="{AC06B270-B130-4344-8CD2-2B71D684EAB2}" srcOrd="1" destOrd="0" presId="urn:microsoft.com/office/officeart/2005/8/layout/hierarchy5"/>
    <dgm:cxn modelId="{88536866-9D66-CD4D-B179-7678D8804BD4}" type="presOf" srcId="{811B5187-6E18-5F44-B6D3-07DE3627BC02}" destId="{7DCDB2E6-AB36-3747-95EE-F8E3C79068FD}" srcOrd="0" destOrd="0" presId="urn:microsoft.com/office/officeart/2005/8/layout/hierarchy5"/>
    <dgm:cxn modelId="{7E2B644C-0DCF-3648-9408-5E41B24D82A6}" type="presOf" srcId="{88DE4E83-CC9C-F940-AED5-6A6B826B0730}" destId="{E20BE0A0-4964-2448-AE70-2D72FD7F7731}" srcOrd="0" destOrd="0" presId="urn:microsoft.com/office/officeart/2005/8/layout/hierarchy5"/>
    <dgm:cxn modelId="{1E11C754-E67D-8949-A763-E74FD134B878}" type="presOf" srcId="{811B5187-6E18-5F44-B6D3-07DE3627BC02}" destId="{DB891E86-8855-6D4C-96D0-3AC0F0326E56}" srcOrd="1" destOrd="0" presId="urn:microsoft.com/office/officeart/2005/8/layout/hierarchy5"/>
    <dgm:cxn modelId="{72E45855-DEFD-5C40-BA26-63679FD9DE2E}" srcId="{88DE4E83-CC9C-F940-AED5-6A6B826B0730}" destId="{50B29485-46D3-3241-966E-7768ADA622CF}" srcOrd="0" destOrd="0" parTransId="{811B5187-6E18-5F44-B6D3-07DE3627BC02}" sibTransId="{3DEB6A71-B8F4-2B47-ACFA-ABC5B3874101}"/>
    <dgm:cxn modelId="{5C515E59-7DB8-374A-B7DD-2DC070CE7569}" type="presOf" srcId="{F6AEBEEF-1748-2D40-B8A0-262271B27BBB}" destId="{F89CF491-2C0E-D447-91AA-B015DF5E8E18}" srcOrd="0" destOrd="0" presId="urn:microsoft.com/office/officeart/2005/8/layout/hierarchy5"/>
    <dgm:cxn modelId="{9B431785-31B8-5844-A429-6A86903D9A68}" srcId="{9CE4178E-92C1-924F-82C6-D99BC4711D97}" destId="{F6AEBEEF-1748-2D40-B8A0-262271B27BBB}" srcOrd="0" destOrd="0" parTransId="{A0D668F7-28AA-F041-AE68-AEBF036AFB29}" sibTransId="{F2D76882-0854-2B43-88AB-BA4B53BE514A}"/>
    <dgm:cxn modelId="{C9BDCAA6-638B-754C-995A-67F2A61C79A8}" type="presOf" srcId="{9CE4178E-92C1-924F-82C6-D99BC4711D97}" destId="{C3166EAD-157D-6D4E-B9AF-A637B43F3D0C}" srcOrd="0" destOrd="0" presId="urn:microsoft.com/office/officeart/2005/8/layout/hierarchy5"/>
    <dgm:cxn modelId="{A6171CA8-69FA-674A-A914-5E6ED987AA76}" type="presOf" srcId="{B7E603A1-E726-E344-A11F-845635B7F6F5}" destId="{53ED10A3-649B-E945-94B9-AA7335A33508}" srcOrd="0" destOrd="0" presId="urn:microsoft.com/office/officeart/2005/8/layout/hierarchy5"/>
    <dgm:cxn modelId="{DADFEECE-55CB-E14B-AA1D-2271A3C2CB64}" type="presOf" srcId="{50B29485-46D3-3241-966E-7768ADA622CF}" destId="{705EC3F1-01E1-A842-B7B6-D393608CD19E}" srcOrd="0" destOrd="0" presId="urn:microsoft.com/office/officeart/2005/8/layout/hierarchy5"/>
    <dgm:cxn modelId="{18EADBF3-A465-9A40-923C-CFC47DE40D7D}" srcId="{F6AEBEEF-1748-2D40-B8A0-262271B27BBB}" destId="{88DE4E83-CC9C-F940-AED5-6A6B826B0730}" srcOrd="0" destOrd="0" parTransId="{B7E603A1-E726-E344-A11F-845635B7F6F5}" sibTransId="{1C44FF03-2BAF-6448-8623-128F6A42A6D9}"/>
    <dgm:cxn modelId="{17E8C236-A438-AD46-BF14-001C5A74EC80}" type="presParOf" srcId="{C3166EAD-157D-6D4E-B9AF-A637B43F3D0C}" destId="{5FBA3F37-C893-E344-9F0E-585F421FC3AF}" srcOrd="0" destOrd="0" presId="urn:microsoft.com/office/officeart/2005/8/layout/hierarchy5"/>
    <dgm:cxn modelId="{9E4CF151-BA48-7E40-8249-4662CF2E40FF}" type="presParOf" srcId="{5FBA3F37-C893-E344-9F0E-585F421FC3AF}" destId="{23E37CD9-FD13-1F48-A55C-6691FDB37CC1}" srcOrd="0" destOrd="0" presId="urn:microsoft.com/office/officeart/2005/8/layout/hierarchy5"/>
    <dgm:cxn modelId="{0D148E7C-CE48-C843-87DC-EE60B82B73B3}" type="presParOf" srcId="{23E37CD9-FD13-1F48-A55C-6691FDB37CC1}" destId="{E8A1BA16-26A0-7041-A8A1-97E1772AD35D}" srcOrd="0" destOrd="0" presId="urn:microsoft.com/office/officeart/2005/8/layout/hierarchy5"/>
    <dgm:cxn modelId="{B8CC57CE-2AB8-AB46-9B4C-AF355CF4CF81}" type="presParOf" srcId="{E8A1BA16-26A0-7041-A8A1-97E1772AD35D}" destId="{F89CF491-2C0E-D447-91AA-B015DF5E8E18}" srcOrd="0" destOrd="0" presId="urn:microsoft.com/office/officeart/2005/8/layout/hierarchy5"/>
    <dgm:cxn modelId="{BB7D26B8-25F2-3343-B5E7-D2830F8B96CF}" type="presParOf" srcId="{E8A1BA16-26A0-7041-A8A1-97E1772AD35D}" destId="{A868A022-7D13-094B-A885-1905C09C6AF3}" srcOrd="1" destOrd="0" presId="urn:microsoft.com/office/officeart/2005/8/layout/hierarchy5"/>
    <dgm:cxn modelId="{F70E09FD-05BB-8A47-962B-1DC7BF58F76C}" type="presParOf" srcId="{A868A022-7D13-094B-A885-1905C09C6AF3}" destId="{53ED10A3-649B-E945-94B9-AA7335A33508}" srcOrd="0" destOrd="0" presId="urn:microsoft.com/office/officeart/2005/8/layout/hierarchy5"/>
    <dgm:cxn modelId="{90A09C67-7F90-5244-9CDB-04819B8BDF51}" type="presParOf" srcId="{53ED10A3-649B-E945-94B9-AA7335A33508}" destId="{AC06B270-B130-4344-8CD2-2B71D684EAB2}" srcOrd="0" destOrd="0" presId="urn:microsoft.com/office/officeart/2005/8/layout/hierarchy5"/>
    <dgm:cxn modelId="{519C76B5-876D-A04F-A569-70A504846B55}" type="presParOf" srcId="{A868A022-7D13-094B-A885-1905C09C6AF3}" destId="{843B1108-7C60-0E4A-AA8C-C046300D4B36}" srcOrd="1" destOrd="0" presId="urn:microsoft.com/office/officeart/2005/8/layout/hierarchy5"/>
    <dgm:cxn modelId="{6EA40CF0-FB92-5548-924D-D714566D8B6D}" type="presParOf" srcId="{843B1108-7C60-0E4A-AA8C-C046300D4B36}" destId="{E20BE0A0-4964-2448-AE70-2D72FD7F7731}" srcOrd="0" destOrd="0" presId="urn:microsoft.com/office/officeart/2005/8/layout/hierarchy5"/>
    <dgm:cxn modelId="{24B7E34C-01AE-8A4B-9A1F-48AAC7184760}" type="presParOf" srcId="{843B1108-7C60-0E4A-AA8C-C046300D4B36}" destId="{DF255C12-021B-2742-8BF8-3D3C07AF0797}" srcOrd="1" destOrd="0" presId="urn:microsoft.com/office/officeart/2005/8/layout/hierarchy5"/>
    <dgm:cxn modelId="{E875C28A-86EE-B942-9824-EEB5EBF948F8}" type="presParOf" srcId="{DF255C12-021B-2742-8BF8-3D3C07AF0797}" destId="{7DCDB2E6-AB36-3747-95EE-F8E3C79068FD}" srcOrd="0" destOrd="0" presId="urn:microsoft.com/office/officeart/2005/8/layout/hierarchy5"/>
    <dgm:cxn modelId="{A36C399E-24DC-A34E-B9E1-290EA1D4A600}" type="presParOf" srcId="{7DCDB2E6-AB36-3747-95EE-F8E3C79068FD}" destId="{DB891E86-8855-6D4C-96D0-3AC0F0326E56}" srcOrd="0" destOrd="0" presId="urn:microsoft.com/office/officeart/2005/8/layout/hierarchy5"/>
    <dgm:cxn modelId="{AAB9045C-36A3-3546-9987-ED5049C3D51C}" type="presParOf" srcId="{DF255C12-021B-2742-8BF8-3D3C07AF0797}" destId="{601B5C21-69B6-764B-A6CB-5ACCBA3AC553}" srcOrd="1" destOrd="0" presId="urn:microsoft.com/office/officeart/2005/8/layout/hierarchy5"/>
    <dgm:cxn modelId="{3105B583-9A15-834E-9079-AD965C2B89D6}" type="presParOf" srcId="{601B5C21-69B6-764B-A6CB-5ACCBA3AC553}" destId="{705EC3F1-01E1-A842-B7B6-D393608CD19E}" srcOrd="0" destOrd="0" presId="urn:microsoft.com/office/officeart/2005/8/layout/hierarchy5"/>
    <dgm:cxn modelId="{111AAFDC-C0D0-204C-BEC8-100FEDF5A7B3}" type="presParOf" srcId="{601B5C21-69B6-764B-A6CB-5ACCBA3AC553}" destId="{6E365179-0B92-624C-AF49-1170B2731AD6}" srcOrd="1" destOrd="0" presId="urn:microsoft.com/office/officeart/2005/8/layout/hierarchy5"/>
    <dgm:cxn modelId="{18C66B9C-840B-9C4E-84F8-25546A45E1F3}" type="presParOf" srcId="{C3166EAD-157D-6D4E-B9AF-A637B43F3D0C}" destId="{3ABC64D2-F365-1C42-BC1D-A37DF67F0569}" srcOrd="1" destOrd="0" presId="urn:microsoft.com/office/officeart/2005/8/layout/hierarchy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CF491-2C0E-D447-91AA-B015DF5E8E18}">
      <dsp:nvSpPr>
        <dsp:cNvPr id="0" name=""/>
        <dsp:cNvSpPr/>
      </dsp:nvSpPr>
      <dsp:spPr>
        <a:xfrm>
          <a:off x="0" y="140773"/>
          <a:ext cx="2547843" cy="1823500"/>
        </a:xfrm>
        <a:prstGeom prst="roundRect">
          <a:avLst>
            <a:gd name="adj" fmla="val 10000"/>
          </a:avLst>
        </a:prstGeom>
        <a:gradFill rotWithShape="0">
          <a:gsLst>
            <a:gs pos="0">
              <a:srgbClr val="4BACC6">
                <a:shade val="80000"/>
                <a:hueOff val="0"/>
                <a:satOff val="0"/>
                <a:lumOff val="0"/>
                <a:alphaOff val="0"/>
                <a:tint val="50000"/>
                <a:satMod val="300000"/>
              </a:srgbClr>
            </a:gs>
            <a:gs pos="35000">
              <a:srgbClr val="4BACC6">
                <a:shade val="80000"/>
                <a:hueOff val="0"/>
                <a:satOff val="0"/>
                <a:lumOff val="0"/>
                <a:alphaOff val="0"/>
                <a:tint val="37000"/>
                <a:satMod val="300000"/>
              </a:srgbClr>
            </a:gs>
            <a:gs pos="100000">
              <a:srgbClr val="4BACC6">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1: Refractory or recurrent ovarian cancer (OvCa)</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2: Advanced or recurrent non-small cell lung cancer (NSCLC)</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3: Advanced or recurent small cell lung cancer (SCLC) </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4: Metastatic castrate-resistant prostate cancer (mCRPC)</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5: Advanced or recurrent triple negative breast cancer (TNBC)               </a:t>
          </a:r>
        </a:p>
      </dsp:txBody>
      <dsp:txXfrm>
        <a:off x="53408" y="194181"/>
        <a:ext cx="2441027" cy="1716684"/>
      </dsp:txXfrm>
    </dsp:sp>
    <dsp:sp modelId="{A8D1A5A0-02A1-AF4E-992E-115A677C91AC}">
      <dsp:nvSpPr>
        <dsp:cNvPr id="0" name=""/>
        <dsp:cNvSpPr/>
      </dsp:nvSpPr>
      <dsp:spPr>
        <a:xfrm rot="69375">
          <a:off x="2547809" y="1038405"/>
          <a:ext cx="329870" cy="34892"/>
        </a:xfrm>
        <a:custGeom>
          <a:avLst/>
          <a:gdLst/>
          <a:ahLst/>
          <a:cxnLst/>
          <a:rect l="0" t="0" r="0" b="0"/>
          <a:pathLst>
            <a:path>
              <a:moveTo>
                <a:pt x="0" y="31113"/>
              </a:moveTo>
              <a:lnTo>
                <a:pt x="345600" y="31113"/>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704497" y="1047605"/>
        <a:ext cx="16493" cy="16493"/>
      </dsp:txXfrm>
    </dsp:sp>
    <dsp:sp modelId="{AEC9993A-F165-BD46-869B-4D5204538CA7}">
      <dsp:nvSpPr>
        <dsp:cNvPr id="0" name=""/>
        <dsp:cNvSpPr/>
      </dsp:nvSpPr>
      <dsp:spPr>
        <a:xfrm>
          <a:off x="2877646" y="160867"/>
          <a:ext cx="1056771" cy="1796624"/>
        </a:xfrm>
        <a:prstGeom prst="roundRect">
          <a:avLst>
            <a:gd name="adj" fmla="val 10000"/>
          </a:avLst>
        </a:prstGeom>
        <a:gradFill rotWithShape="0">
          <a:gsLst>
            <a:gs pos="0">
              <a:srgbClr val="4BACC6">
                <a:tint val="99000"/>
                <a:hueOff val="0"/>
                <a:satOff val="0"/>
                <a:lumOff val="0"/>
                <a:alphaOff val="0"/>
                <a:tint val="50000"/>
                <a:satMod val="300000"/>
              </a:srgbClr>
            </a:gs>
            <a:gs pos="35000">
              <a:srgbClr val="4BACC6">
                <a:tint val="99000"/>
                <a:hueOff val="0"/>
                <a:satOff val="0"/>
                <a:lumOff val="0"/>
                <a:alphaOff val="0"/>
                <a:tint val="37000"/>
                <a:satMod val="300000"/>
              </a:srgbClr>
            </a:gs>
            <a:gs pos="100000">
              <a:srgbClr val="4BACC6">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 </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Olaparib 300mg  tablets bid daily and  Durvalumab IV  1500mg every 28days</a:t>
          </a:r>
        </a:p>
      </dsp:txBody>
      <dsp:txXfrm>
        <a:off x="2908598" y="191819"/>
        <a:ext cx="994867" cy="1734720"/>
      </dsp:txXfrm>
    </dsp:sp>
    <dsp:sp modelId="{F60DAC04-35EA-6F4B-A4EA-CB6FCC023E68}">
      <dsp:nvSpPr>
        <dsp:cNvPr id="0" name=""/>
        <dsp:cNvSpPr/>
      </dsp:nvSpPr>
      <dsp:spPr>
        <a:xfrm>
          <a:off x="3934417" y="1041733"/>
          <a:ext cx="328511" cy="34892"/>
        </a:xfrm>
        <a:custGeom>
          <a:avLst/>
          <a:gdLst/>
          <a:ahLst/>
          <a:cxnLst/>
          <a:rect l="0" t="0" r="0" b="0"/>
          <a:pathLst>
            <a:path>
              <a:moveTo>
                <a:pt x="0" y="31113"/>
              </a:moveTo>
              <a:lnTo>
                <a:pt x="344359" y="31113"/>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4090460" y="1050967"/>
        <a:ext cx="16425" cy="16425"/>
      </dsp:txXfrm>
    </dsp:sp>
    <dsp:sp modelId="{7ACE710D-9EF1-254D-8FDC-631A7A851AF3}">
      <dsp:nvSpPr>
        <dsp:cNvPr id="0" name=""/>
        <dsp:cNvSpPr/>
      </dsp:nvSpPr>
      <dsp:spPr>
        <a:xfrm>
          <a:off x="4262928" y="760435"/>
          <a:ext cx="1349179" cy="597488"/>
        </a:xfrm>
        <a:prstGeom prst="roundRect">
          <a:avLst>
            <a:gd name="adj" fmla="val 10000"/>
          </a:avLst>
        </a:prstGeom>
        <a:gradFill rotWithShape="0">
          <a:gsLst>
            <a:gs pos="0">
              <a:srgbClr val="4BACC6">
                <a:tint val="80000"/>
                <a:hueOff val="0"/>
                <a:satOff val="0"/>
                <a:lumOff val="0"/>
                <a:alphaOff val="0"/>
                <a:tint val="50000"/>
                <a:satMod val="300000"/>
              </a:srgbClr>
            </a:gs>
            <a:gs pos="35000">
              <a:srgbClr val="4BACC6">
                <a:tint val="80000"/>
                <a:hueOff val="0"/>
                <a:satOff val="0"/>
                <a:lumOff val="0"/>
                <a:alphaOff val="0"/>
                <a:tint val="37000"/>
                <a:satMod val="300000"/>
              </a:srgbClr>
            </a:gs>
            <a:gs pos="100000">
              <a:srgbClr val="4BACC6">
                <a:tint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Times New Roman"/>
              <a:ea typeface="+mn-ea"/>
              <a:cs typeface="Times New Roman"/>
            </a:rPr>
            <a:t>Disease progression, patient withdrawal, or toxicities</a:t>
          </a:r>
        </a:p>
      </dsp:txBody>
      <dsp:txXfrm>
        <a:off x="4280428" y="777935"/>
        <a:ext cx="1314179" cy="5624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CF491-2C0E-D447-91AA-B015DF5E8E18}">
      <dsp:nvSpPr>
        <dsp:cNvPr id="0" name=""/>
        <dsp:cNvSpPr/>
      </dsp:nvSpPr>
      <dsp:spPr>
        <a:xfrm>
          <a:off x="0" y="131632"/>
          <a:ext cx="2579425" cy="1161540"/>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1: Refractory or recurrent OvCa</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Cohort 2: Advanced or recurent NSCLC</a:t>
          </a:r>
        </a:p>
      </dsp:txBody>
      <dsp:txXfrm>
        <a:off x="34020" y="165652"/>
        <a:ext cx="2511385" cy="1093500"/>
      </dsp:txXfrm>
    </dsp:sp>
    <dsp:sp modelId="{53ED10A3-649B-E945-94B9-AA7335A33508}">
      <dsp:nvSpPr>
        <dsp:cNvPr id="0" name=""/>
        <dsp:cNvSpPr/>
      </dsp:nvSpPr>
      <dsp:spPr>
        <a:xfrm rot="69141">
          <a:off x="2579393" y="690825"/>
          <a:ext cx="319117" cy="49570"/>
        </a:xfrm>
        <a:custGeom>
          <a:avLst/>
          <a:gdLst/>
          <a:ahLst/>
          <a:cxnLst/>
          <a:rect l="0" t="0" r="0" b="0"/>
          <a:pathLst>
            <a:path>
              <a:moveTo>
                <a:pt x="0" y="24785"/>
              </a:moveTo>
              <a:lnTo>
                <a:pt x="319117" y="24785"/>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30974" y="707633"/>
        <a:ext cx="15955" cy="15955"/>
      </dsp:txXfrm>
    </dsp:sp>
    <dsp:sp modelId="{E20BE0A0-4964-2448-AE70-2D72FD7F7731}">
      <dsp:nvSpPr>
        <dsp:cNvPr id="0" name=""/>
        <dsp:cNvSpPr/>
      </dsp:nvSpPr>
      <dsp:spPr>
        <a:xfrm>
          <a:off x="2898479" y="132610"/>
          <a:ext cx="1018873" cy="1172419"/>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a:cs typeface="Times New Roman"/>
            </a:rPr>
            <a:t>Cediranib 20mg once a day (5 days</a:t>
          </a:r>
          <a:r>
            <a:rPr lang="en-US" sz="1100" b="1" kern="1200" baseline="0">
              <a:latin typeface="Times New Roman"/>
              <a:cs typeface="Times New Roman"/>
            </a:rPr>
            <a:t> on</a:t>
          </a:r>
          <a:r>
            <a:rPr lang="en-US" sz="1100" b="1" kern="1200">
              <a:latin typeface="Times New Roman"/>
              <a:cs typeface="Times New Roman"/>
            </a:rPr>
            <a:t>/2 days off) and</a:t>
          </a:r>
          <a:r>
            <a:rPr lang="en-US" sz="1100" b="1" kern="1200" baseline="0">
              <a:latin typeface="Times New Roman"/>
              <a:cs typeface="Times New Roman"/>
            </a:rPr>
            <a:t> Durvalumab IV 1500mg every 28 days</a:t>
          </a:r>
          <a:endParaRPr lang="en-US" sz="1100" b="1" kern="1200">
            <a:latin typeface="Times New Roman"/>
            <a:cs typeface="Times New Roman"/>
          </a:endParaRPr>
        </a:p>
      </dsp:txBody>
      <dsp:txXfrm>
        <a:off x="2928321" y="162452"/>
        <a:ext cx="959189" cy="1112735"/>
      </dsp:txXfrm>
    </dsp:sp>
    <dsp:sp modelId="{7DCDB2E6-AB36-3747-95EE-F8E3C79068FD}">
      <dsp:nvSpPr>
        <dsp:cNvPr id="0" name=""/>
        <dsp:cNvSpPr/>
      </dsp:nvSpPr>
      <dsp:spPr>
        <a:xfrm>
          <a:off x="3917352" y="694034"/>
          <a:ext cx="316730" cy="49570"/>
        </a:xfrm>
        <a:custGeom>
          <a:avLst/>
          <a:gdLst/>
          <a:ahLst/>
          <a:cxnLst/>
          <a:rect l="0" t="0" r="0" b="0"/>
          <a:pathLst>
            <a:path>
              <a:moveTo>
                <a:pt x="0" y="24785"/>
              </a:moveTo>
              <a:lnTo>
                <a:pt x="316730" y="24785"/>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67799" y="710901"/>
        <a:ext cx="15836" cy="15836"/>
      </dsp:txXfrm>
    </dsp:sp>
    <dsp:sp modelId="{705EC3F1-01E1-A842-B7B6-D393608CD19E}">
      <dsp:nvSpPr>
        <dsp:cNvPr id="0" name=""/>
        <dsp:cNvSpPr/>
      </dsp:nvSpPr>
      <dsp:spPr>
        <a:xfrm>
          <a:off x="4234082" y="430789"/>
          <a:ext cx="1300794" cy="576060"/>
        </a:xfrm>
        <a:prstGeom prst="roundRect">
          <a:avLst>
            <a:gd name="adj" fmla="val 10000"/>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a:cs typeface="Times New Roman"/>
            </a:rPr>
            <a:t>Disease progression, patient withdrawal, or toxicities</a:t>
          </a:r>
        </a:p>
      </dsp:txBody>
      <dsp:txXfrm>
        <a:off x="4250954" y="447661"/>
        <a:ext cx="1267050" cy="5423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CF491-2C0E-D447-91AA-B015DF5E8E18}">
      <dsp:nvSpPr>
        <dsp:cNvPr id="0" name=""/>
        <dsp:cNvSpPr/>
      </dsp:nvSpPr>
      <dsp:spPr>
        <a:xfrm>
          <a:off x="0" y="350019"/>
          <a:ext cx="1967024" cy="722103"/>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solidFill>
            <a:latin typeface="Times New Roman"/>
            <a:ea typeface="+mn-ea"/>
            <a:cs typeface="Times New Roman"/>
          </a:endParaRP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Refractory or recurrent </a:t>
          </a:r>
        </a:p>
        <a:p>
          <a:pPr marL="0" lvl="0" indent="0" algn="ctr" defTabSz="488950">
            <a:lnSpc>
              <a:spcPct val="90000"/>
            </a:lnSpc>
            <a:spcBef>
              <a:spcPct val="0"/>
            </a:spcBef>
            <a:spcAft>
              <a:spcPct val="35000"/>
            </a:spcAft>
            <a:buNone/>
          </a:pPr>
          <a:r>
            <a:rPr lang="en-US" sz="1100" b="1" kern="1200">
              <a:solidFill>
                <a:sysClr val="windowText" lastClr="000000"/>
              </a:solidFill>
              <a:latin typeface="Times New Roman"/>
              <a:ea typeface="+mn-ea"/>
              <a:cs typeface="Times New Roman"/>
            </a:rPr>
            <a:t>OvCa</a:t>
          </a:r>
        </a:p>
        <a:p>
          <a:pPr marL="0" lvl="0" indent="0" algn="ctr" defTabSz="488950">
            <a:lnSpc>
              <a:spcPct val="90000"/>
            </a:lnSpc>
            <a:spcBef>
              <a:spcPct val="0"/>
            </a:spcBef>
            <a:spcAft>
              <a:spcPct val="35000"/>
            </a:spcAft>
            <a:buNone/>
          </a:pPr>
          <a:endParaRPr lang="en-US" sz="1100" b="1" kern="1200">
            <a:latin typeface="Times New Roman"/>
            <a:cs typeface="Times New Roman"/>
          </a:endParaRPr>
        </a:p>
      </dsp:txBody>
      <dsp:txXfrm>
        <a:off x="21150" y="371169"/>
        <a:ext cx="1924724" cy="679803"/>
      </dsp:txXfrm>
    </dsp:sp>
    <dsp:sp modelId="{53ED10A3-649B-E945-94B9-AA7335A33508}">
      <dsp:nvSpPr>
        <dsp:cNvPr id="0" name=""/>
        <dsp:cNvSpPr/>
      </dsp:nvSpPr>
      <dsp:spPr>
        <a:xfrm rot="69247">
          <a:off x="1966985" y="685018"/>
          <a:ext cx="384728" cy="59853"/>
        </a:xfrm>
        <a:custGeom>
          <a:avLst/>
          <a:gdLst/>
          <a:ahLst/>
          <a:cxnLst/>
          <a:rect l="0" t="0" r="0" b="0"/>
          <a:pathLst>
            <a:path>
              <a:moveTo>
                <a:pt x="0" y="29926"/>
              </a:moveTo>
              <a:lnTo>
                <a:pt x="384728" y="29926"/>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49731" y="705327"/>
        <a:ext cx="19236" cy="19236"/>
      </dsp:txXfrm>
    </dsp:sp>
    <dsp:sp modelId="{E20BE0A0-4964-2448-AE70-2D72FD7F7731}">
      <dsp:nvSpPr>
        <dsp:cNvPr id="0" name=""/>
        <dsp:cNvSpPr/>
      </dsp:nvSpPr>
      <dsp:spPr>
        <a:xfrm>
          <a:off x="2351674" y="11002"/>
          <a:ext cx="1230235" cy="1415634"/>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a:cs typeface="Times New Roman"/>
            </a:rPr>
            <a:t>Olaparib 300mg tablets bid daily, Cediranib 20mg once a day (5days</a:t>
          </a:r>
          <a:r>
            <a:rPr lang="en-US" sz="1100" b="1" kern="1200" baseline="0">
              <a:latin typeface="Times New Roman"/>
              <a:cs typeface="Times New Roman"/>
            </a:rPr>
            <a:t> on</a:t>
          </a:r>
          <a:r>
            <a:rPr lang="en-US" sz="1100" b="1" kern="1200">
              <a:latin typeface="Times New Roman"/>
              <a:cs typeface="Times New Roman"/>
            </a:rPr>
            <a:t>/2 days off) and</a:t>
          </a:r>
          <a:r>
            <a:rPr lang="en-US" sz="1100" b="1" kern="1200" baseline="0">
              <a:latin typeface="Times New Roman"/>
              <a:cs typeface="Times New Roman"/>
            </a:rPr>
            <a:t> Durvalumab IV 1500mg </a:t>
          </a:r>
        </a:p>
        <a:p>
          <a:pPr marL="0" lvl="0" indent="0" algn="ctr" defTabSz="488950">
            <a:lnSpc>
              <a:spcPct val="90000"/>
            </a:lnSpc>
            <a:spcBef>
              <a:spcPct val="0"/>
            </a:spcBef>
            <a:spcAft>
              <a:spcPct val="35000"/>
            </a:spcAft>
            <a:buNone/>
          </a:pPr>
          <a:r>
            <a:rPr lang="en-US" sz="1100" b="1" kern="1200" baseline="0">
              <a:latin typeface="Times New Roman"/>
              <a:cs typeface="Times New Roman"/>
            </a:rPr>
            <a:t>every 28 days</a:t>
          </a:r>
          <a:endParaRPr lang="en-US" sz="1100" b="1" kern="1200">
            <a:latin typeface="Times New Roman"/>
            <a:cs typeface="Times New Roman"/>
          </a:endParaRPr>
        </a:p>
      </dsp:txBody>
      <dsp:txXfrm>
        <a:off x="2387706" y="47034"/>
        <a:ext cx="1158171" cy="1343570"/>
      </dsp:txXfrm>
    </dsp:sp>
    <dsp:sp modelId="{7DCDB2E6-AB36-3747-95EE-F8E3C79068FD}">
      <dsp:nvSpPr>
        <dsp:cNvPr id="0" name=""/>
        <dsp:cNvSpPr/>
      </dsp:nvSpPr>
      <dsp:spPr>
        <a:xfrm>
          <a:off x="3581909" y="688893"/>
          <a:ext cx="382434" cy="59853"/>
        </a:xfrm>
        <a:custGeom>
          <a:avLst/>
          <a:gdLst/>
          <a:ahLst/>
          <a:cxnLst/>
          <a:rect l="0" t="0" r="0" b="0"/>
          <a:pathLst>
            <a:path>
              <a:moveTo>
                <a:pt x="0" y="29926"/>
              </a:moveTo>
              <a:lnTo>
                <a:pt x="382434" y="29926"/>
              </a:lnTo>
            </a:path>
          </a:pathLst>
        </a:custGeom>
        <a:noFill/>
        <a:ln w="25400" cap="flat" cmpd="sng" algn="ctr">
          <a:solidFill>
            <a:scrgbClr r="0" g="0" b="0"/>
          </a:solidFill>
          <a:prstDash val="solid"/>
          <a:headEnd type="none"/>
          <a:tailEnd type="arrow"/>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63566" y="709259"/>
        <a:ext cx="19121" cy="19121"/>
      </dsp:txXfrm>
    </dsp:sp>
    <dsp:sp modelId="{705EC3F1-01E1-A842-B7B6-D393608CD19E}">
      <dsp:nvSpPr>
        <dsp:cNvPr id="0" name=""/>
        <dsp:cNvSpPr/>
      </dsp:nvSpPr>
      <dsp:spPr>
        <a:xfrm>
          <a:off x="3964344" y="371038"/>
          <a:ext cx="1570640" cy="695562"/>
        </a:xfrm>
        <a:prstGeom prst="roundRect">
          <a:avLst>
            <a:gd name="adj" fmla="val 10000"/>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a:cs typeface="Times New Roman"/>
            </a:rPr>
            <a:t>Disease progression, patient withdrawal, or toxicities</a:t>
          </a:r>
        </a:p>
      </dsp:txBody>
      <dsp:txXfrm>
        <a:off x="3984716" y="391410"/>
        <a:ext cx="1529896" cy="6548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C7B5E-62AA-4E6E-86C2-F5063D59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241</Pages>
  <Words>98647</Words>
  <Characters>562292</Characters>
  <Application>Microsoft Office Word</Application>
  <DocSecurity>4</DocSecurity>
  <Lines>4685</Lines>
  <Paragraphs>1319</Paragraphs>
  <ScaleCrop>false</ScaleCrop>
  <HeadingPairs>
    <vt:vector size="2" baseType="variant">
      <vt:variant>
        <vt:lpstr>Title</vt:lpstr>
      </vt:variant>
      <vt:variant>
        <vt:i4>1</vt:i4>
      </vt:variant>
    </vt:vector>
  </HeadingPairs>
  <TitlesOfParts>
    <vt:vector size="1" baseType="lpstr">
      <vt:lpstr>Abbreviated Title:</vt:lpstr>
    </vt:vector>
  </TitlesOfParts>
  <Company>NCI</Company>
  <LinksUpToDate>false</LinksUpToDate>
  <CharactersWithSpaces>659620</CharactersWithSpaces>
  <SharedDoc>false</SharedDoc>
  <HLinks>
    <vt:vector size="1458" baseType="variant">
      <vt:variant>
        <vt:i4>4587577</vt:i4>
      </vt:variant>
      <vt:variant>
        <vt:i4>1565</vt:i4>
      </vt:variant>
      <vt:variant>
        <vt:i4>0</vt:i4>
      </vt:variant>
      <vt:variant>
        <vt:i4>5</vt:i4>
      </vt:variant>
      <vt:variant>
        <vt:lpwstr/>
      </vt:variant>
      <vt:variant>
        <vt:lpwstr>_ENREF_72</vt:lpwstr>
      </vt:variant>
      <vt:variant>
        <vt:i4>7798800</vt:i4>
      </vt:variant>
      <vt:variant>
        <vt:i4>1562</vt:i4>
      </vt:variant>
      <vt:variant>
        <vt:i4>0</vt:i4>
      </vt:variant>
      <vt:variant>
        <vt:i4>5</vt:i4>
      </vt:variant>
      <vt:variant>
        <vt:lpwstr>http://www.accessdata.fda.gov/scripts/cdrh/cfdocs/cfcfr/CFRSearch.cfm?fr=312.33</vt:lpwstr>
      </vt:variant>
      <vt:variant>
        <vt:lpwstr/>
      </vt:variant>
      <vt:variant>
        <vt:i4>2818118</vt:i4>
      </vt:variant>
      <vt:variant>
        <vt:i4>1559</vt:i4>
      </vt:variant>
      <vt:variant>
        <vt:i4>0</vt:i4>
      </vt:variant>
      <vt:variant>
        <vt:i4>5</vt:i4>
      </vt:variant>
      <vt:variant>
        <vt:lpwstr>mailto:nciprotocolsupportoffice@mail.nih.gov</vt:lpwstr>
      </vt:variant>
      <vt:variant>
        <vt:lpwstr/>
      </vt:variant>
      <vt:variant>
        <vt:i4>4587546</vt:i4>
      </vt:variant>
      <vt:variant>
        <vt:i4>1550</vt:i4>
      </vt:variant>
      <vt:variant>
        <vt:i4>0</vt:i4>
      </vt:variant>
      <vt:variant>
        <vt:i4>5</vt:i4>
      </vt:variant>
      <vt:variant>
        <vt:lpwstr>http://ctep.cancer.gov/protocolDevelopment/electronic_applications/ctc.htm</vt:lpwstr>
      </vt:variant>
      <vt:variant>
        <vt:lpwstr>ctc_40</vt:lpwstr>
      </vt:variant>
      <vt:variant>
        <vt:i4>4390963</vt:i4>
      </vt:variant>
      <vt:variant>
        <vt:i4>1547</vt:i4>
      </vt:variant>
      <vt:variant>
        <vt:i4>0</vt:i4>
      </vt:variant>
      <vt:variant>
        <vt:i4>5</vt:i4>
      </vt:variant>
      <vt:variant>
        <vt:lpwstr/>
      </vt:variant>
      <vt:variant>
        <vt:lpwstr>_ENREF_28</vt:lpwstr>
      </vt:variant>
      <vt:variant>
        <vt:i4>4653114</vt:i4>
      </vt:variant>
      <vt:variant>
        <vt:i4>1543</vt:i4>
      </vt:variant>
      <vt:variant>
        <vt:i4>0</vt:i4>
      </vt:variant>
      <vt:variant>
        <vt:i4>5</vt:i4>
      </vt:variant>
      <vt:variant>
        <vt:lpwstr/>
      </vt:variant>
      <vt:variant>
        <vt:lpwstr>_ENREF_61</vt:lpwstr>
      </vt:variant>
      <vt:variant>
        <vt:i4>4653067</vt:i4>
      </vt:variant>
      <vt:variant>
        <vt:i4>1540</vt:i4>
      </vt:variant>
      <vt:variant>
        <vt:i4>0</vt:i4>
      </vt:variant>
      <vt:variant>
        <vt:i4>5</vt:i4>
      </vt:variant>
      <vt:variant>
        <vt:lpwstr/>
      </vt:variant>
      <vt:variant>
        <vt:lpwstr>_ENREF_6</vt:lpwstr>
      </vt:variant>
      <vt:variant>
        <vt:i4>4456499</vt:i4>
      </vt:variant>
      <vt:variant>
        <vt:i4>1533</vt:i4>
      </vt:variant>
      <vt:variant>
        <vt:i4>0</vt:i4>
      </vt:variant>
      <vt:variant>
        <vt:i4>5</vt:i4>
      </vt:variant>
      <vt:variant>
        <vt:lpwstr/>
      </vt:variant>
      <vt:variant>
        <vt:lpwstr>_ENREF_58</vt:lpwstr>
      </vt:variant>
      <vt:variant>
        <vt:i4>4456499</vt:i4>
      </vt:variant>
      <vt:variant>
        <vt:i4>1530</vt:i4>
      </vt:variant>
      <vt:variant>
        <vt:i4>0</vt:i4>
      </vt:variant>
      <vt:variant>
        <vt:i4>5</vt:i4>
      </vt:variant>
      <vt:variant>
        <vt:lpwstr/>
      </vt:variant>
      <vt:variant>
        <vt:lpwstr>_ENREF_58</vt:lpwstr>
      </vt:variant>
      <vt:variant>
        <vt:i4>4456499</vt:i4>
      </vt:variant>
      <vt:variant>
        <vt:i4>1527</vt:i4>
      </vt:variant>
      <vt:variant>
        <vt:i4>0</vt:i4>
      </vt:variant>
      <vt:variant>
        <vt:i4>5</vt:i4>
      </vt:variant>
      <vt:variant>
        <vt:lpwstr/>
      </vt:variant>
      <vt:variant>
        <vt:lpwstr>_ENREF_58</vt:lpwstr>
      </vt:variant>
      <vt:variant>
        <vt:i4>4456499</vt:i4>
      </vt:variant>
      <vt:variant>
        <vt:i4>1524</vt:i4>
      </vt:variant>
      <vt:variant>
        <vt:i4>0</vt:i4>
      </vt:variant>
      <vt:variant>
        <vt:i4>5</vt:i4>
      </vt:variant>
      <vt:variant>
        <vt:lpwstr/>
      </vt:variant>
      <vt:variant>
        <vt:lpwstr>_ENREF_58</vt:lpwstr>
      </vt:variant>
      <vt:variant>
        <vt:i4>4522043</vt:i4>
      </vt:variant>
      <vt:variant>
        <vt:i4>1518</vt:i4>
      </vt:variant>
      <vt:variant>
        <vt:i4>0</vt:i4>
      </vt:variant>
      <vt:variant>
        <vt:i4>5</vt:i4>
      </vt:variant>
      <vt:variant>
        <vt:lpwstr/>
      </vt:variant>
      <vt:variant>
        <vt:lpwstr>_ENREF_40</vt:lpwstr>
      </vt:variant>
      <vt:variant>
        <vt:i4>4587578</vt:i4>
      </vt:variant>
      <vt:variant>
        <vt:i4>1514</vt:i4>
      </vt:variant>
      <vt:variant>
        <vt:i4>0</vt:i4>
      </vt:variant>
      <vt:variant>
        <vt:i4>5</vt:i4>
      </vt:variant>
      <vt:variant>
        <vt:lpwstr/>
      </vt:variant>
      <vt:variant>
        <vt:lpwstr>_ENREF_71</vt:lpwstr>
      </vt:variant>
      <vt:variant>
        <vt:i4>4653106</vt:i4>
      </vt:variant>
      <vt:variant>
        <vt:i4>1511</vt:i4>
      </vt:variant>
      <vt:variant>
        <vt:i4>0</vt:i4>
      </vt:variant>
      <vt:variant>
        <vt:i4>5</vt:i4>
      </vt:variant>
      <vt:variant>
        <vt:lpwstr/>
      </vt:variant>
      <vt:variant>
        <vt:lpwstr>_ENREF_69</vt:lpwstr>
      </vt:variant>
      <vt:variant>
        <vt:i4>4653107</vt:i4>
      </vt:variant>
      <vt:variant>
        <vt:i4>1508</vt:i4>
      </vt:variant>
      <vt:variant>
        <vt:i4>0</vt:i4>
      </vt:variant>
      <vt:variant>
        <vt:i4>5</vt:i4>
      </vt:variant>
      <vt:variant>
        <vt:lpwstr/>
      </vt:variant>
      <vt:variant>
        <vt:lpwstr>_ENREF_68</vt:lpwstr>
      </vt:variant>
      <vt:variant>
        <vt:i4>4587579</vt:i4>
      </vt:variant>
      <vt:variant>
        <vt:i4>1498</vt:i4>
      </vt:variant>
      <vt:variant>
        <vt:i4>0</vt:i4>
      </vt:variant>
      <vt:variant>
        <vt:i4>5</vt:i4>
      </vt:variant>
      <vt:variant>
        <vt:lpwstr/>
      </vt:variant>
      <vt:variant>
        <vt:lpwstr>_ENREF_70</vt:lpwstr>
      </vt:variant>
      <vt:variant>
        <vt:i4>4653106</vt:i4>
      </vt:variant>
      <vt:variant>
        <vt:i4>1490</vt:i4>
      </vt:variant>
      <vt:variant>
        <vt:i4>0</vt:i4>
      </vt:variant>
      <vt:variant>
        <vt:i4>5</vt:i4>
      </vt:variant>
      <vt:variant>
        <vt:lpwstr/>
      </vt:variant>
      <vt:variant>
        <vt:lpwstr>_ENREF_69</vt:lpwstr>
      </vt:variant>
      <vt:variant>
        <vt:i4>4653107</vt:i4>
      </vt:variant>
      <vt:variant>
        <vt:i4>1482</vt:i4>
      </vt:variant>
      <vt:variant>
        <vt:i4>0</vt:i4>
      </vt:variant>
      <vt:variant>
        <vt:i4>5</vt:i4>
      </vt:variant>
      <vt:variant>
        <vt:lpwstr/>
      </vt:variant>
      <vt:variant>
        <vt:lpwstr>_ENREF_68</vt:lpwstr>
      </vt:variant>
      <vt:variant>
        <vt:i4>4653116</vt:i4>
      </vt:variant>
      <vt:variant>
        <vt:i4>1474</vt:i4>
      </vt:variant>
      <vt:variant>
        <vt:i4>0</vt:i4>
      </vt:variant>
      <vt:variant>
        <vt:i4>5</vt:i4>
      </vt:variant>
      <vt:variant>
        <vt:lpwstr/>
      </vt:variant>
      <vt:variant>
        <vt:lpwstr>_ENREF_67</vt:lpwstr>
      </vt:variant>
      <vt:variant>
        <vt:i4>4653117</vt:i4>
      </vt:variant>
      <vt:variant>
        <vt:i4>1468</vt:i4>
      </vt:variant>
      <vt:variant>
        <vt:i4>0</vt:i4>
      </vt:variant>
      <vt:variant>
        <vt:i4>5</vt:i4>
      </vt:variant>
      <vt:variant>
        <vt:lpwstr/>
      </vt:variant>
      <vt:variant>
        <vt:lpwstr>_ENREF_66</vt:lpwstr>
      </vt:variant>
      <vt:variant>
        <vt:i4>5767240</vt:i4>
      </vt:variant>
      <vt:variant>
        <vt:i4>1435</vt:i4>
      </vt:variant>
      <vt:variant>
        <vt:i4>0</vt:i4>
      </vt:variant>
      <vt:variant>
        <vt:i4>5</vt:i4>
      </vt:variant>
      <vt:variant>
        <vt:lpwstr>http://home.ccr.cancer.gov/intra/eligibility/welcome.htm</vt:lpwstr>
      </vt:variant>
      <vt:variant>
        <vt:lpwstr/>
      </vt:variant>
      <vt:variant>
        <vt:i4>1376267</vt:i4>
      </vt:variant>
      <vt:variant>
        <vt:i4>1417</vt:i4>
      </vt:variant>
      <vt:variant>
        <vt:i4>0</vt:i4>
      </vt:variant>
      <vt:variant>
        <vt:i4>5</vt:i4>
      </vt:variant>
      <vt:variant>
        <vt:lpwstr>mailto:Irene.Edwede@nih.gov</vt:lpwstr>
      </vt:variant>
      <vt:variant>
        <vt:lpwstr/>
      </vt:variant>
      <vt:variant>
        <vt:i4>1376267</vt:i4>
      </vt:variant>
      <vt:variant>
        <vt:i4>1414</vt:i4>
      </vt:variant>
      <vt:variant>
        <vt:i4>0</vt:i4>
      </vt:variant>
      <vt:variant>
        <vt:i4>5</vt:i4>
      </vt:variant>
      <vt:variant>
        <vt:lpwstr>mailto:Irene.Edwede@nih.gov</vt:lpwstr>
      </vt:variant>
      <vt:variant>
        <vt:lpwstr/>
      </vt:variant>
      <vt:variant>
        <vt:i4>1376267</vt:i4>
      </vt:variant>
      <vt:variant>
        <vt:i4>1411</vt:i4>
      </vt:variant>
      <vt:variant>
        <vt:i4>0</vt:i4>
      </vt:variant>
      <vt:variant>
        <vt:i4>5</vt:i4>
      </vt:variant>
      <vt:variant>
        <vt:lpwstr>mailto:Irene.Edwede@nih.gov</vt:lpwstr>
      </vt:variant>
      <vt:variant>
        <vt:lpwstr/>
      </vt:variant>
      <vt:variant>
        <vt:i4>5767240</vt:i4>
      </vt:variant>
      <vt:variant>
        <vt:i4>1408</vt:i4>
      </vt:variant>
      <vt:variant>
        <vt:i4>0</vt:i4>
      </vt:variant>
      <vt:variant>
        <vt:i4>5</vt:i4>
      </vt:variant>
      <vt:variant>
        <vt:lpwstr>http://home.ccr.cancer.gov/intra/eligibility/welcome.htm</vt:lpwstr>
      </vt:variant>
      <vt:variant>
        <vt:lpwstr/>
      </vt:variant>
      <vt:variant>
        <vt:i4>4653118</vt:i4>
      </vt:variant>
      <vt:variant>
        <vt:i4>1397</vt:i4>
      </vt:variant>
      <vt:variant>
        <vt:i4>0</vt:i4>
      </vt:variant>
      <vt:variant>
        <vt:i4>5</vt:i4>
      </vt:variant>
      <vt:variant>
        <vt:lpwstr/>
      </vt:variant>
      <vt:variant>
        <vt:lpwstr>_ENREF_65</vt:lpwstr>
      </vt:variant>
      <vt:variant>
        <vt:i4>4653114</vt:i4>
      </vt:variant>
      <vt:variant>
        <vt:i4>1381</vt:i4>
      </vt:variant>
      <vt:variant>
        <vt:i4>0</vt:i4>
      </vt:variant>
      <vt:variant>
        <vt:i4>5</vt:i4>
      </vt:variant>
      <vt:variant>
        <vt:lpwstr/>
      </vt:variant>
      <vt:variant>
        <vt:lpwstr>_ENREF_61</vt:lpwstr>
      </vt:variant>
      <vt:variant>
        <vt:i4>4653067</vt:i4>
      </vt:variant>
      <vt:variant>
        <vt:i4>1378</vt:i4>
      </vt:variant>
      <vt:variant>
        <vt:i4>0</vt:i4>
      </vt:variant>
      <vt:variant>
        <vt:i4>5</vt:i4>
      </vt:variant>
      <vt:variant>
        <vt:lpwstr/>
      </vt:variant>
      <vt:variant>
        <vt:lpwstr>_ENREF_6</vt:lpwstr>
      </vt:variant>
      <vt:variant>
        <vt:i4>4653112</vt:i4>
      </vt:variant>
      <vt:variant>
        <vt:i4>1366</vt:i4>
      </vt:variant>
      <vt:variant>
        <vt:i4>0</vt:i4>
      </vt:variant>
      <vt:variant>
        <vt:i4>5</vt:i4>
      </vt:variant>
      <vt:variant>
        <vt:lpwstr/>
      </vt:variant>
      <vt:variant>
        <vt:lpwstr>_ENREF_63</vt:lpwstr>
      </vt:variant>
      <vt:variant>
        <vt:i4>4653113</vt:i4>
      </vt:variant>
      <vt:variant>
        <vt:i4>1358</vt:i4>
      </vt:variant>
      <vt:variant>
        <vt:i4>0</vt:i4>
      </vt:variant>
      <vt:variant>
        <vt:i4>5</vt:i4>
      </vt:variant>
      <vt:variant>
        <vt:lpwstr/>
      </vt:variant>
      <vt:variant>
        <vt:lpwstr>_ENREF_62</vt:lpwstr>
      </vt:variant>
      <vt:variant>
        <vt:i4>4325434</vt:i4>
      </vt:variant>
      <vt:variant>
        <vt:i4>1344</vt:i4>
      </vt:variant>
      <vt:variant>
        <vt:i4>0</vt:i4>
      </vt:variant>
      <vt:variant>
        <vt:i4>5</vt:i4>
      </vt:variant>
      <vt:variant>
        <vt:lpwstr/>
      </vt:variant>
      <vt:variant>
        <vt:lpwstr>_ENREF_31</vt:lpwstr>
      </vt:variant>
      <vt:variant>
        <vt:i4>4325434</vt:i4>
      </vt:variant>
      <vt:variant>
        <vt:i4>1336</vt:i4>
      </vt:variant>
      <vt:variant>
        <vt:i4>0</vt:i4>
      </vt:variant>
      <vt:variant>
        <vt:i4>5</vt:i4>
      </vt:variant>
      <vt:variant>
        <vt:lpwstr/>
      </vt:variant>
      <vt:variant>
        <vt:lpwstr>_ENREF_31</vt:lpwstr>
      </vt:variant>
      <vt:variant>
        <vt:i4>4653114</vt:i4>
      </vt:variant>
      <vt:variant>
        <vt:i4>1326</vt:i4>
      </vt:variant>
      <vt:variant>
        <vt:i4>0</vt:i4>
      </vt:variant>
      <vt:variant>
        <vt:i4>5</vt:i4>
      </vt:variant>
      <vt:variant>
        <vt:lpwstr/>
      </vt:variant>
      <vt:variant>
        <vt:lpwstr>_ENREF_61</vt:lpwstr>
      </vt:variant>
      <vt:variant>
        <vt:i4>4653067</vt:i4>
      </vt:variant>
      <vt:variant>
        <vt:i4>1323</vt:i4>
      </vt:variant>
      <vt:variant>
        <vt:i4>0</vt:i4>
      </vt:variant>
      <vt:variant>
        <vt:i4>5</vt:i4>
      </vt:variant>
      <vt:variant>
        <vt:lpwstr/>
      </vt:variant>
      <vt:variant>
        <vt:lpwstr>_ENREF_6</vt:lpwstr>
      </vt:variant>
      <vt:variant>
        <vt:i4>4653115</vt:i4>
      </vt:variant>
      <vt:variant>
        <vt:i4>1315</vt:i4>
      </vt:variant>
      <vt:variant>
        <vt:i4>0</vt:i4>
      </vt:variant>
      <vt:variant>
        <vt:i4>5</vt:i4>
      </vt:variant>
      <vt:variant>
        <vt:lpwstr/>
      </vt:variant>
      <vt:variant>
        <vt:lpwstr>_ENREF_60</vt:lpwstr>
      </vt:variant>
      <vt:variant>
        <vt:i4>4456498</vt:i4>
      </vt:variant>
      <vt:variant>
        <vt:i4>1312</vt:i4>
      </vt:variant>
      <vt:variant>
        <vt:i4>0</vt:i4>
      </vt:variant>
      <vt:variant>
        <vt:i4>5</vt:i4>
      </vt:variant>
      <vt:variant>
        <vt:lpwstr/>
      </vt:variant>
      <vt:variant>
        <vt:lpwstr>_ENREF_59</vt:lpwstr>
      </vt:variant>
      <vt:variant>
        <vt:i4>4456499</vt:i4>
      </vt:variant>
      <vt:variant>
        <vt:i4>1284</vt:i4>
      </vt:variant>
      <vt:variant>
        <vt:i4>0</vt:i4>
      </vt:variant>
      <vt:variant>
        <vt:i4>5</vt:i4>
      </vt:variant>
      <vt:variant>
        <vt:lpwstr/>
      </vt:variant>
      <vt:variant>
        <vt:lpwstr>_ENREF_58</vt:lpwstr>
      </vt:variant>
      <vt:variant>
        <vt:i4>4325436</vt:i4>
      </vt:variant>
      <vt:variant>
        <vt:i4>1280</vt:i4>
      </vt:variant>
      <vt:variant>
        <vt:i4>0</vt:i4>
      </vt:variant>
      <vt:variant>
        <vt:i4>5</vt:i4>
      </vt:variant>
      <vt:variant>
        <vt:lpwstr/>
      </vt:variant>
      <vt:variant>
        <vt:lpwstr>_ENREF_37</vt:lpwstr>
      </vt:variant>
      <vt:variant>
        <vt:i4>4390962</vt:i4>
      </vt:variant>
      <vt:variant>
        <vt:i4>1277</vt:i4>
      </vt:variant>
      <vt:variant>
        <vt:i4>0</vt:i4>
      </vt:variant>
      <vt:variant>
        <vt:i4>5</vt:i4>
      </vt:variant>
      <vt:variant>
        <vt:lpwstr/>
      </vt:variant>
      <vt:variant>
        <vt:lpwstr>_ENREF_29</vt:lpwstr>
      </vt:variant>
      <vt:variant>
        <vt:i4>4456510</vt:i4>
      </vt:variant>
      <vt:variant>
        <vt:i4>1265</vt:i4>
      </vt:variant>
      <vt:variant>
        <vt:i4>0</vt:i4>
      </vt:variant>
      <vt:variant>
        <vt:i4>5</vt:i4>
      </vt:variant>
      <vt:variant>
        <vt:lpwstr/>
      </vt:variant>
      <vt:variant>
        <vt:lpwstr>_ENREF_55</vt:lpwstr>
      </vt:variant>
      <vt:variant>
        <vt:i4>4456511</vt:i4>
      </vt:variant>
      <vt:variant>
        <vt:i4>1257</vt:i4>
      </vt:variant>
      <vt:variant>
        <vt:i4>0</vt:i4>
      </vt:variant>
      <vt:variant>
        <vt:i4>5</vt:i4>
      </vt:variant>
      <vt:variant>
        <vt:lpwstr/>
      </vt:variant>
      <vt:variant>
        <vt:lpwstr>_ENREF_54</vt:lpwstr>
      </vt:variant>
      <vt:variant>
        <vt:i4>4456506</vt:i4>
      </vt:variant>
      <vt:variant>
        <vt:i4>1249</vt:i4>
      </vt:variant>
      <vt:variant>
        <vt:i4>0</vt:i4>
      </vt:variant>
      <vt:variant>
        <vt:i4>5</vt:i4>
      </vt:variant>
      <vt:variant>
        <vt:lpwstr/>
      </vt:variant>
      <vt:variant>
        <vt:lpwstr>_ENREF_51</vt:lpwstr>
      </vt:variant>
      <vt:variant>
        <vt:i4>4456507</vt:i4>
      </vt:variant>
      <vt:variant>
        <vt:i4>1241</vt:i4>
      </vt:variant>
      <vt:variant>
        <vt:i4>0</vt:i4>
      </vt:variant>
      <vt:variant>
        <vt:i4>5</vt:i4>
      </vt:variant>
      <vt:variant>
        <vt:lpwstr/>
      </vt:variant>
      <vt:variant>
        <vt:lpwstr>_ENREF_50</vt:lpwstr>
      </vt:variant>
      <vt:variant>
        <vt:i4>4522034</vt:i4>
      </vt:variant>
      <vt:variant>
        <vt:i4>1237</vt:i4>
      </vt:variant>
      <vt:variant>
        <vt:i4>0</vt:i4>
      </vt:variant>
      <vt:variant>
        <vt:i4>5</vt:i4>
      </vt:variant>
      <vt:variant>
        <vt:lpwstr/>
      </vt:variant>
      <vt:variant>
        <vt:lpwstr>_ENREF_49</vt:lpwstr>
      </vt:variant>
      <vt:variant>
        <vt:i4>4522035</vt:i4>
      </vt:variant>
      <vt:variant>
        <vt:i4>1234</vt:i4>
      </vt:variant>
      <vt:variant>
        <vt:i4>0</vt:i4>
      </vt:variant>
      <vt:variant>
        <vt:i4>5</vt:i4>
      </vt:variant>
      <vt:variant>
        <vt:lpwstr/>
      </vt:variant>
      <vt:variant>
        <vt:lpwstr>_ENREF_48</vt:lpwstr>
      </vt:variant>
      <vt:variant>
        <vt:i4>4522044</vt:i4>
      </vt:variant>
      <vt:variant>
        <vt:i4>1224</vt:i4>
      </vt:variant>
      <vt:variant>
        <vt:i4>0</vt:i4>
      </vt:variant>
      <vt:variant>
        <vt:i4>5</vt:i4>
      </vt:variant>
      <vt:variant>
        <vt:lpwstr/>
      </vt:variant>
      <vt:variant>
        <vt:lpwstr>_ENREF_47</vt:lpwstr>
      </vt:variant>
      <vt:variant>
        <vt:i4>4522045</vt:i4>
      </vt:variant>
      <vt:variant>
        <vt:i4>1216</vt:i4>
      </vt:variant>
      <vt:variant>
        <vt:i4>0</vt:i4>
      </vt:variant>
      <vt:variant>
        <vt:i4>5</vt:i4>
      </vt:variant>
      <vt:variant>
        <vt:lpwstr/>
      </vt:variant>
      <vt:variant>
        <vt:lpwstr>_ENREF_46</vt:lpwstr>
      </vt:variant>
      <vt:variant>
        <vt:i4>4522046</vt:i4>
      </vt:variant>
      <vt:variant>
        <vt:i4>1208</vt:i4>
      </vt:variant>
      <vt:variant>
        <vt:i4>0</vt:i4>
      </vt:variant>
      <vt:variant>
        <vt:i4>5</vt:i4>
      </vt:variant>
      <vt:variant>
        <vt:lpwstr/>
      </vt:variant>
      <vt:variant>
        <vt:lpwstr>_ENREF_45</vt:lpwstr>
      </vt:variant>
      <vt:variant>
        <vt:i4>4522047</vt:i4>
      </vt:variant>
      <vt:variant>
        <vt:i4>1202</vt:i4>
      </vt:variant>
      <vt:variant>
        <vt:i4>0</vt:i4>
      </vt:variant>
      <vt:variant>
        <vt:i4>5</vt:i4>
      </vt:variant>
      <vt:variant>
        <vt:lpwstr/>
      </vt:variant>
      <vt:variant>
        <vt:lpwstr>_ENREF_44</vt:lpwstr>
      </vt:variant>
      <vt:variant>
        <vt:i4>4325436</vt:i4>
      </vt:variant>
      <vt:variant>
        <vt:i4>1194</vt:i4>
      </vt:variant>
      <vt:variant>
        <vt:i4>0</vt:i4>
      </vt:variant>
      <vt:variant>
        <vt:i4>5</vt:i4>
      </vt:variant>
      <vt:variant>
        <vt:lpwstr/>
      </vt:variant>
      <vt:variant>
        <vt:lpwstr>_ENREF_37</vt:lpwstr>
      </vt:variant>
      <vt:variant>
        <vt:i4>4522040</vt:i4>
      </vt:variant>
      <vt:variant>
        <vt:i4>1186</vt:i4>
      </vt:variant>
      <vt:variant>
        <vt:i4>0</vt:i4>
      </vt:variant>
      <vt:variant>
        <vt:i4>5</vt:i4>
      </vt:variant>
      <vt:variant>
        <vt:lpwstr/>
      </vt:variant>
      <vt:variant>
        <vt:lpwstr>_ENREF_43</vt:lpwstr>
      </vt:variant>
      <vt:variant>
        <vt:i4>4522041</vt:i4>
      </vt:variant>
      <vt:variant>
        <vt:i4>1173</vt:i4>
      </vt:variant>
      <vt:variant>
        <vt:i4>0</vt:i4>
      </vt:variant>
      <vt:variant>
        <vt:i4>5</vt:i4>
      </vt:variant>
      <vt:variant>
        <vt:lpwstr/>
      </vt:variant>
      <vt:variant>
        <vt:lpwstr>_ENREF_42</vt:lpwstr>
      </vt:variant>
      <vt:variant>
        <vt:i4>4522042</vt:i4>
      </vt:variant>
      <vt:variant>
        <vt:i4>1170</vt:i4>
      </vt:variant>
      <vt:variant>
        <vt:i4>0</vt:i4>
      </vt:variant>
      <vt:variant>
        <vt:i4>5</vt:i4>
      </vt:variant>
      <vt:variant>
        <vt:lpwstr/>
      </vt:variant>
      <vt:variant>
        <vt:lpwstr>_ENREF_41</vt:lpwstr>
      </vt:variant>
      <vt:variant>
        <vt:i4>4522043</vt:i4>
      </vt:variant>
      <vt:variant>
        <vt:i4>1160</vt:i4>
      </vt:variant>
      <vt:variant>
        <vt:i4>0</vt:i4>
      </vt:variant>
      <vt:variant>
        <vt:i4>5</vt:i4>
      </vt:variant>
      <vt:variant>
        <vt:lpwstr/>
      </vt:variant>
      <vt:variant>
        <vt:lpwstr>_ENREF_40</vt:lpwstr>
      </vt:variant>
      <vt:variant>
        <vt:i4>4325426</vt:i4>
      </vt:variant>
      <vt:variant>
        <vt:i4>1154</vt:i4>
      </vt:variant>
      <vt:variant>
        <vt:i4>0</vt:i4>
      </vt:variant>
      <vt:variant>
        <vt:i4>5</vt:i4>
      </vt:variant>
      <vt:variant>
        <vt:lpwstr/>
      </vt:variant>
      <vt:variant>
        <vt:lpwstr>_ENREF_39</vt:lpwstr>
      </vt:variant>
      <vt:variant>
        <vt:i4>4325427</vt:i4>
      </vt:variant>
      <vt:variant>
        <vt:i4>1148</vt:i4>
      </vt:variant>
      <vt:variant>
        <vt:i4>0</vt:i4>
      </vt:variant>
      <vt:variant>
        <vt:i4>5</vt:i4>
      </vt:variant>
      <vt:variant>
        <vt:lpwstr/>
      </vt:variant>
      <vt:variant>
        <vt:lpwstr>_ENREF_38</vt:lpwstr>
      </vt:variant>
      <vt:variant>
        <vt:i4>4325436</vt:i4>
      </vt:variant>
      <vt:variant>
        <vt:i4>1140</vt:i4>
      </vt:variant>
      <vt:variant>
        <vt:i4>0</vt:i4>
      </vt:variant>
      <vt:variant>
        <vt:i4>5</vt:i4>
      </vt:variant>
      <vt:variant>
        <vt:lpwstr/>
      </vt:variant>
      <vt:variant>
        <vt:lpwstr>_ENREF_37</vt:lpwstr>
      </vt:variant>
      <vt:variant>
        <vt:i4>4325436</vt:i4>
      </vt:variant>
      <vt:variant>
        <vt:i4>1132</vt:i4>
      </vt:variant>
      <vt:variant>
        <vt:i4>0</vt:i4>
      </vt:variant>
      <vt:variant>
        <vt:i4>5</vt:i4>
      </vt:variant>
      <vt:variant>
        <vt:lpwstr/>
      </vt:variant>
      <vt:variant>
        <vt:lpwstr>_ENREF_37</vt:lpwstr>
      </vt:variant>
      <vt:variant>
        <vt:i4>4325436</vt:i4>
      </vt:variant>
      <vt:variant>
        <vt:i4>1124</vt:i4>
      </vt:variant>
      <vt:variant>
        <vt:i4>0</vt:i4>
      </vt:variant>
      <vt:variant>
        <vt:i4>5</vt:i4>
      </vt:variant>
      <vt:variant>
        <vt:lpwstr/>
      </vt:variant>
      <vt:variant>
        <vt:lpwstr>_ENREF_37</vt:lpwstr>
      </vt:variant>
      <vt:variant>
        <vt:i4>4325437</vt:i4>
      </vt:variant>
      <vt:variant>
        <vt:i4>1116</vt:i4>
      </vt:variant>
      <vt:variant>
        <vt:i4>0</vt:i4>
      </vt:variant>
      <vt:variant>
        <vt:i4>5</vt:i4>
      </vt:variant>
      <vt:variant>
        <vt:lpwstr/>
      </vt:variant>
      <vt:variant>
        <vt:lpwstr>_ENREF_36</vt:lpwstr>
      </vt:variant>
      <vt:variant>
        <vt:i4>4325438</vt:i4>
      </vt:variant>
      <vt:variant>
        <vt:i4>1108</vt:i4>
      </vt:variant>
      <vt:variant>
        <vt:i4>0</vt:i4>
      </vt:variant>
      <vt:variant>
        <vt:i4>5</vt:i4>
      </vt:variant>
      <vt:variant>
        <vt:lpwstr/>
      </vt:variant>
      <vt:variant>
        <vt:lpwstr>_ENREF_35</vt:lpwstr>
      </vt:variant>
      <vt:variant>
        <vt:i4>4325439</vt:i4>
      </vt:variant>
      <vt:variant>
        <vt:i4>1100</vt:i4>
      </vt:variant>
      <vt:variant>
        <vt:i4>0</vt:i4>
      </vt:variant>
      <vt:variant>
        <vt:i4>5</vt:i4>
      </vt:variant>
      <vt:variant>
        <vt:lpwstr/>
      </vt:variant>
      <vt:variant>
        <vt:lpwstr>_ENREF_34</vt:lpwstr>
      </vt:variant>
      <vt:variant>
        <vt:i4>4325432</vt:i4>
      </vt:variant>
      <vt:variant>
        <vt:i4>1092</vt:i4>
      </vt:variant>
      <vt:variant>
        <vt:i4>0</vt:i4>
      </vt:variant>
      <vt:variant>
        <vt:i4>5</vt:i4>
      </vt:variant>
      <vt:variant>
        <vt:lpwstr/>
      </vt:variant>
      <vt:variant>
        <vt:lpwstr>_ENREF_33</vt:lpwstr>
      </vt:variant>
      <vt:variant>
        <vt:i4>4390962</vt:i4>
      </vt:variant>
      <vt:variant>
        <vt:i4>1086</vt:i4>
      </vt:variant>
      <vt:variant>
        <vt:i4>0</vt:i4>
      </vt:variant>
      <vt:variant>
        <vt:i4>5</vt:i4>
      </vt:variant>
      <vt:variant>
        <vt:lpwstr/>
      </vt:variant>
      <vt:variant>
        <vt:lpwstr>_ENREF_29</vt:lpwstr>
      </vt:variant>
      <vt:variant>
        <vt:i4>4325433</vt:i4>
      </vt:variant>
      <vt:variant>
        <vt:i4>1080</vt:i4>
      </vt:variant>
      <vt:variant>
        <vt:i4>0</vt:i4>
      </vt:variant>
      <vt:variant>
        <vt:i4>5</vt:i4>
      </vt:variant>
      <vt:variant>
        <vt:lpwstr/>
      </vt:variant>
      <vt:variant>
        <vt:lpwstr>_ENREF_32</vt:lpwstr>
      </vt:variant>
      <vt:variant>
        <vt:i4>4325435</vt:i4>
      </vt:variant>
      <vt:variant>
        <vt:i4>1076</vt:i4>
      </vt:variant>
      <vt:variant>
        <vt:i4>0</vt:i4>
      </vt:variant>
      <vt:variant>
        <vt:i4>5</vt:i4>
      </vt:variant>
      <vt:variant>
        <vt:lpwstr/>
      </vt:variant>
      <vt:variant>
        <vt:lpwstr>_ENREF_30</vt:lpwstr>
      </vt:variant>
      <vt:variant>
        <vt:i4>4390962</vt:i4>
      </vt:variant>
      <vt:variant>
        <vt:i4>1073</vt:i4>
      </vt:variant>
      <vt:variant>
        <vt:i4>0</vt:i4>
      </vt:variant>
      <vt:variant>
        <vt:i4>5</vt:i4>
      </vt:variant>
      <vt:variant>
        <vt:lpwstr/>
      </vt:variant>
      <vt:variant>
        <vt:lpwstr>_ENREF_29</vt:lpwstr>
      </vt:variant>
      <vt:variant>
        <vt:i4>4653067</vt:i4>
      </vt:variant>
      <vt:variant>
        <vt:i4>1063</vt:i4>
      </vt:variant>
      <vt:variant>
        <vt:i4>0</vt:i4>
      </vt:variant>
      <vt:variant>
        <vt:i4>5</vt:i4>
      </vt:variant>
      <vt:variant>
        <vt:lpwstr/>
      </vt:variant>
      <vt:variant>
        <vt:lpwstr>_ENREF_6</vt:lpwstr>
      </vt:variant>
      <vt:variant>
        <vt:i4>4325434</vt:i4>
      </vt:variant>
      <vt:variant>
        <vt:i4>1055</vt:i4>
      </vt:variant>
      <vt:variant>
        <vt:i4>0</vt:i4>
      </vt:variant>
      <vt:variant>
        <vt:i4>5</vt:i4>
      </vt:variant>
      <vt:variant>
        <vt:lpwstr/>
      </vt:variant>
      <vt:variant>
        <vt:lpwstr>_ENREF_31</vt:lpwstr>
      </vt:variant>
      <vt:variant>
        <vt:i4>4325435</vt:i4>
      </vt:variant>
      <vt:variant>
        <vt:i4>1051</vt:i4>
      </vt:variant>
      <vt:variant>
        <vt:i4>0</vt:i4>
      </vt:variant>
      <vt:variant>
        <vt:i4>5</vt:i4>
      </vt:variant>
      <vt:variant>
        <vt:lpwstr/>
      </vt:variant>
      <vt:variant>
        <vt:lpwstr>_ENREF_30</vt:lpwstr>
      </vt:variant>
      <vt:variant>
        <vt:i4>4390962</vt:i4>
      </vt:variant>
      <vt:variant>
        <vt:i4>1048</vt:i4>
      </vt:variant>
      <vt:variant>
        <vt:i4>0</vt:i4>
      </vt:variant>
      <vt:variant>
        <vt:i4>5</vt:i4>
      </vt:variant>
      <vt:variant>
        <vt:lpwstr/>
      </vt:variant>
      <vt:variant>
        <vt:lpwstr>_ENREF_29</vt:lpwstr>
      </vt:variant>
      <vt:variant>
        <vt:i4>4325435</vt:i4>
      </vt:variant>
      <vt:variant>
        <vt:i4>1040</vt:i4>
      </vt:variant>
      <vt:variant>
        <vt:i4>0</vt:i4>
      </vt:variant>
      <vt:variant>
        <vt:i4>5</vt:i4>
      </vt:variant>
      <vt:variant>
        <vt:lpwstr/>
      </vt:variant>
      <vt:variant>
        <vt:lpwstr>_ENREF_30</vt:lpwstr>
      </vt:variant>
      <vt:variant>
        <vt:i4>4390962</vt:i4>
      </vt:variant>
      <vt:variant>
        <vt:i4>1037</vt:i4>
      </vt:variant>
      <vt:variant>
        <vt:i4>0</vt:i4>
      </vt:variant>
      <vt:variant>
        <vt:i4>5</vt:i4>
      </vt:variant>
      <vt:variant>
        <vt:lpwstr/>
      </vt:variant>
      <vt:variant>
        <vt:lpwstr>_ENREF_29</vt:lpwstr>
      </vt:variant>
      <vt:variant>
        <vt:i4>4390963</vt:i4>
      </vt:variant>
      <vt:variant>
        <vt:i4>1027</vt:i4>
      </vt:variant>
      <vt:variant>
        <vt:i4>0</vt:i4>
      </vt:variant>
      <vt:variant>
        <vt:i4>5</vt:i4>
      </vt:variant>
      <vt:variant>
        <vt:lpwstr/>
      </vt:variant>
      <vt:variant>
        <vt:lpwstr>_ENREF_28</vt:lpwstr>
      </vt:variant>
      <vt:variant>
        <vt:i4>4390972</vt:i4>
      </vt:variant>
      <vt:variant>
        <vt:i4>1019</vt:i4>
      </vt:variant>
      <vt:variant>
        <vt:i4>0</vt:i4>
      </vt:variant>
      <vt:variant>
        <vt:i4>5</vt:i4>
      </vt:variant>
      <vt:variant>
        <vt:lpwstr/>
      </vt:variant>
      <vt:variant>
        <vt:lpwstr>_ENREF_27</vt:lpwstr>
      </vt:variant>
      <vt:variant>
        <vt:i4>4390973</vt:i4>
      </vt:variant>
      <vt:variant>
        <vt:i4>1011</vt:i4>
      </vt:variant>
      <vt:variant>
        <vt:i4>0</vt:i4>
      </vt:variant>
      <vt:variant>
        <vt:i4>5</vt:i4>
      </vt:variant>
      <vt:variant>
        <vt:lpwstr/>
      </vt:variant>
      <vt:variant>
        <vt:lpwstr>_ENREF_26</vt:lpwstr>
      </vt:variant>
      <vt:variant>
        <vt:i4>4390974</vt:i4>
      </vt:variant>
      <vt:variant>
        <vt:i4>1005</vt:i4>
      </vt:variant>
      <vt:variant>
        <vt:i4>0</vt:i4>
      </vt:variant>
      <vt:variant>
        <vt:i4>5</vt:i4>
      </vt:variant>
      <vt:variant>
        <vt:lpwstr/>
      </vt:variant>
      <vt:variant>
        <vt:lpwstr>_ENREF_25</vt:lpwstr>
      </vt:variant>
      <vt:variant>
        <vt:i4>4390975</vt:i4>
      </vt:variant>
      <vt:variant>
        <vt:i4>997</vt:i4>
      </vt:variant>
      <vt:variant>
        <vt:i4>0</vt:i4>
      </vt:variant>
      <vt:variant>
        <vt:i4>5</vt:i4>
      </vt:variant>
      <vt:variant>
        <vt:lpwstr/>
      </vt:variant>
      <vt:variant>
        <vt:lpwstr>_ENREF_24</vt:lpwstr>
      </vt:variant>
      <vt:variant>
        <vt:i4>4390975</vt:i4>
      </vt:variant>
      <vt:variant>
        <vt:i4>989</vt:i4>
      </vt:variant>
      <vt:variant>
        <vt:i4>0</vt:i4>
      </vt:variant>
      <vt:variant>
        <vt:i4>5</vt:i4>
      </vt:variant>
      <vt:variant>
        <vt:lpwstr/>
      </vt:variant>
      <vt:variant>
        <vt:lpwstr>_ENREF_24</vt:lpwstr>
      </vt:variant>
      <vt:variant>
        <vt:i4>4194354</vt:i4>
      </vt:variant>
      <vt:variant>
        <vt:i4>981</vt:i4>
      </vt:variant>
      <vt:variant>
        <vt:i4>0</vt:i4>
      </vt:variant>
      <vt:variant>
        <vt:i4>5</vt:i4>
      </vt:variant>
      <vt:variant>
        <vt:lpwstr/>
      </vt:variant>
      <vt:variant>
        <vt:lpwstr>_ENREF_19</vt:lpwstr>
      </vt:variant>
      <vt:variant>
        <vt:i4>4456459</vt:i4>
      </vt:variant>
      <vt:variant>
        <vt:i4>975</vt:i4>
      </vt:variant>
      <vt:variant>
        <vt:i4>0</vt:i4>
      </vt:variant>
      <vt:variant>
        <vt:i4>5</vt:i4>
      </vt:variant>
      <vt:variant>
        <vt:lpwstr/>
      </vt:variant>
      <vt:variant>
        <vt:lpwstr>_ENREF_5</vt:lpwstr>
      </vt:variant>
      <vt:variant>
        <vt:i4>4456459</vt:i4>
      </vt:variant>
      <vt:variant>
        <vt:i4>969</vt:i4>
      </vt:variant>
      <vt:variant>
        <vt:i4>0</vt:i4>
      </vt:variant>
      <vt:variant>
        <vt:i4>5</vt:i4>
      </vt:variant>
      <vt:variant>
        <vt:lpwstr/>
      </vt:variant>
      <vt:variant>
        <vt:lpwstr>_ENREF_5</vt:lpwstr>
      </vt:variant>
      <vt:variant>
        <vt:i4>4456459</vt:i4>
      </vt:variant>
      <vt:variant>
        <vt:i4>960</vt:i4>
      </vt:variant>
      <vt:variant>
        <vt:i4>0</vt:i4>
      </vt:variant>
      <vt:variant>
        <vt:i4>5</vt:i4>
      </vt:variant>
      <vt:variant>
        <vt:lpwstr/>
      </vt:variant>
      <vt:variant>
        <vt:lpwstr>_ENREF_5</vt:lpwstr>
      </vt:variant>
      <vt:variant>
        <vt:i4>4390968</vt:i4>
      </vt:variant>
      <vt:variant>
        <vt:i4>949</vt:i4>
      </vt:variant>
      <vt:variant>
        <vt:i4>0</vt:i4>
      </vt:variant>
      <vt:variant>
        <vt:i4>5</vt:i4>
      </vt:variant>
      <vt:variant>
        <vt:lpwstr/>
      </vt:variant>
      <vt:variant>
        <vt:lpwstr>_ENREF_23</vt:lpwstr>
      </vt:variant>
      <vt:variant>
        <vt:i4>4390969</vt:i4>
      </vt:variant>
      <vt:variant>
        <vt:i4>945</vt:i4>
      </vt:variant>
      <vt:variant>
        <vt:i4>0</vt:i4>
      </vt:variant>
      <vt:variant>
        <vt:i4>5</vt:i4>
      </vt:variant>
      <vt:variant>
        <vt:lpwstr/>
      </vt:variant>
      <vt:variant>
        <vt:lpwstr>_ENREF_22</vt:lpwstr>
      </vt:variant>
      <vt:variant>
        <vt:i4>4390970</vt:i4>
      </vt:variant>
      <vt:variant>
        <vt:i4>942</vt:i4>
      </vt:variant>
      <vt:variant>
        <vt:i4>0</vt:i4>
      </vt:variant>
      <vt:variant>
        <vt:i4>5</vt:i4>
      </vt:variant>
      <vt:variant>
        <vt:lpwstr/>
      </vt:variant>
      <vt:variant>
        <vt:lpwstr>_ENREF_21</vt:lpwstr>
      </vt:variant>
      <vt:variant>
        <vt:i4>4390971</vt:i4>
      </vt:variant>
      <vt:variant>
        <vt:i4>934</vt:i4>
      </vt:variant>
      <vt:variant>
        <vt:i4>0</vt:i4>
      </vt:variant>
      <vt:variant>
        <vt:i4>5</vt:i4>
      </vt:variant>
      <vt:variant>
        <vt:lpwstr/>
      </vt:variant>
      <vt:variant>
        <vt:lpwstr>_ENREF_20</vt:lpwstr>
      </vt:variant>
      <vt:variant>
        <vt:i4>4194354</vt:i4>
      </vt:variant>
      <vt:variant>
        <vt:i4>931</vt:i4>
      </vt:variant>
      <vt:variant>
        <vt:i4>0</vt:i4>
      </vt:variant>
      <vt:variant>
        <vt:i4>5</vt:i4>
      </vt:variant>
      <vt:variant>
        <vt:lpwstr/>
      </vt:variant>
      <vt:variant>
        <vt:lpwstr>_ENREF_19</vt:lpwstr>
      </vt:variant>
      <vt:variant>
        <vt:i4>4194355</vt:i4>
      </vt:variant>
      <vt:variant>
        <vt:i4>919</vt:i4>
      </vt:variant>
      <vt:variant>
        <vt:i4>0</vt:i4>
      </vt:variant>
      <vt:variant>
        <vt:i4>5</vt:i4>
      </vt:variant>
      <vt:variant>
        <vt:lpwstr/>
      </vt:variant>
      <vt:variant>
        <vt:lpwstr>_ENREF_18</vt:lpwstr>
      </vt:variant>
      <vt:variant>
        <vt:i4>4194364</vt:i4>
      </vt:variant>
      <vt:variant>
        <vt:i4>913</vt:i4>
      </vt:variant>
      <vt:variant>
        <vt:i4>0</vt:i4>
      </vt:variant>
      <vt:variant>
        <vt:i4>5</vt:i4>
      </vt:variant>
      <vt:variant>
        <vt:lpwstr/>
      </vt:variant>
      <vt:variant>
        <vt:lpwstr>_ENREF_17</vt:lpwstr>
      </vt:variant>
      <vt:variant>
        <vt:i4>4194364</vt:i4>
      </vt:variant>
      <vt:variant>
        <vt:i4>907</vt:i4>
      </vt:variant>
      <vt:variant>
        <vt:i4>0</vt:i4>
      </vt:variant>
      <vt:variant>
        <vt:i4>5</vt:i4>
      </vt:variant>
      <vt:variant>
        <vt:lpwstr/>
      </vt:variant>
      <vt:variant>
        <vt:lpwstr>_ENREF_17</vt:lpwstr>
      </vt:variant>
      <vt:variant>
        <vt:i4>4194365</vt:i4>
      </vt:variant>
      <vt:variant>
        <vt:i4>899</vt:i4>
      </vt:variant>
      <vt:variant>
        <vt:i4>0</vt:i4>
      </vt:variant>
      <vt:variant>
        <vt:i4>5</vt:i4>
      </vt:variant>
      <vt:variant>
        <vt:lpwstr/>
      </vt:variant>
      <vt:variant>
        <vt:lpwstr>_ENREF_16</vt:lpwstr>
      </vt:variant>
      <vt:variant>
        <vt:i4>4194366</vt:i4>
      </vt:variant>
      <vt:variant>
        <vt:i4>891</vt:i4>
      </vt:variant>
      <vt:variant>
        <vt:i4>0</vt:i4>
      </vt:variant>
      <vt:variant>
        <vt:i4>5</vt:i4>
      </vt:variant>
      <vt:variant>
        <vt:lpwstr/>
      </vt:variant>
      <vt:variant>
        <vt:lpwstr>_ENREF_15</vt:lpwstr>
      </vt:variant>
      <vt:variant>
        <vt:i4>4194367</vt:i4>
      </vt:variant>
      <vt:variant>
        <vt:i4>883</vt:i4>
      </vt:variant>
      <vt:variant>
        <vt:i4>0</vt:i4>
      </vt:variant>
      <vt:variant>
        <vt:i4>5</vt:i4>
      </vt:variant>
      <vt:variant>
        <vt:lpwstr/>
      </vt:variant>
      <vt:variant>
        <vt:lpwstr>_ENREF_14</vt:lpwstr>
      </vt:variant>
      <vt:variant>
        <vt:i4>4194362</vt:i4>
      </vt:variant>
      <vt:variant>
        <vt:i4>875</vt:i4>
      </vt:variant>
      <vt:variant>
        <vt:i4>0</vt:i4>
      </vt:variant>
      <vt:variant>
        <vt:i4>5</vt:i4>
      </vt:variant>
      <vt:variant>
        <vt:lpwstr/>
      </vt:variant>
      <vt:variant>
        <vt:lpwstr>_ENREF_11</vt:lpwstr>
      </vt:variant>
      <vt:variant>
        <vt:i4>4194363</vt:i4>
      </vt:variant>
      <vt:variant>
        <vt:i4>869</vt:i4>
      </vt:variant>
      <vt:variant>
        <vt:i4>0</vt:i4>
      </vt:variant>
      <vt:variant>
        <vt:i4>5</vt:i4>
      </vt:variant>
      <vt:variant>
        <vt:lpwstr/>
      </vt:variant>
      <vt:variant>
        <vt:lpwstr>_ENREF_10</vt:lpwstr>
      </vt:variant>
      <vt:variant>
        <vt:i4>4718603</vt:i4>
      </vt:variant>
      <vt:variant>
        <vt:i4>865</vt:i4>
      </vt:variant>
      <vt:variant>
        <vt:i4>0</vt:i4>
      </vt:variant>
      <vt:variant>
        <vt:i4>5</vt:i4>
      </vt:variant>
      <vt:variant>
        <vt:lpwstr/>
      </vt:variant>
      <vt:variant>
        <vt:lpwstr>_ENREF_9</vt:lpwstr>
      </vt:variant>
      <vt:variant>
        <vt:i4>4587531</vt:i4>
      </vt:variant>
      <vt:variant>
        <vt:i4>862</vt:i4>
      </vt:variant>
      <vt:variant>
        <vt:i4>0</vt:i4>
      </vt:variant>
      <vt:variant>
        <vt:i4>5</vt:i4>
      </vt:variant>
      <vt:variant>
        <vt:lpwstr/>
      </vt:variant>
      <vt:variant>
        <vt:lpwstr>_ENREF_7</vt:lpwstr>
      </vt:variant>
      <vt:variant>
        <vt:i4>4653067</vt:i4>
      </vt:variant>
      <vt:variant>
        <vt:i4>852</vt:i4>
      </vt:variant>
      <vt:variant>
        <vt:i4>0</vt:i4>
      </vt:variant>
      <vt:variant>
        <vt:i4>5</vt:i4>
      </vt:variant>
      <vt:variant>
        <vt:lpwstr/>
      </vt:variant>
      <vt:variant>
        <vt:lpwstr>_ENREF_6</vt:lpwstr>
      </vt:variant>
      <vt:variant>
        <vt:i4>4784139</vt:i4>
      </vt:variant>
      <vt:variant>
        <vt:i4>844</vt:i4>
      </vt:variant>
      <vt:variant>
        <vt:i4>0</vt:i4>
      </vt:variant>
      <vt:variant>
        <vt:i4>5</vt:i4>
      </vt:variant>
      <vt:variant>
        <vt:lpwstr/>
      </vt:variant>
      <vt:variant>
        <vt:lpwstr>_ENREF_8</vt:lpwstr>
      </vt:variant>
      <vt:variant>
        <vt:i4>4784139</vt:i4>
      </vt:variant>
      <vt:variant>
        <vt:i4>840</vt:i4>
      </vt:variant>
      <vt:variant>
        <vt:i4>0</vt:i4>
      </vt:variant>
      <vt:variant>
        <vt:i4>5</vt:i4>
      </vt:variant>
      <vt:variant>
        <vt:lpwstr/>
      </vt:variant>
      <vt:variant>
        <vt:lpwstr>_ENREF_8</vt:lpwstr>
      </vt:variant>
      <vt:variant>
        <vt:i4>4587531</vt:i4>
      </vt:variant>
      <vt:variant>
        <vt:i4>837</vt:i4>
      </vt:variant>
      <vt:variant>
        <vt:i4>0</vt:i4>
      </vt:variant>
      <vt:variant>
        <vt:i4>5</vt:i4>
      </vt:variant>
      <vt:variant>
        <vt:lpwstr/>
      </vt:variant>
      <vt:variant>
        <vt:lpwstr>_ENREF_7</vt:lpwstr>
      </vt:variant>
      <vt:variant>
        <vt:i4>4653067</vt:i4>
      </vt:variant>
      <vt:variant>
        <vt:i4>830</vt:i4>
      </vt:variant>
      <vt:variant>
        <vt:i4>0</vt:i4>
      </vt:variant>
      <vt:variant>
        <vt:i4>5</vt:i4>
      </vt:variant>
      <vt:variant>
        <vt:lpwstr/>
      </vt:variant>
      <vt:variant>
        <vt:lpwstr>_ENREF_6</vt:lpwstr>
      </vt:variant>
      <vt:variant>
        <vt:i4>4521995</vt:i4>
      </vt:variant>
      <vt:variant>
        <vt:i4>822</vt:i4>
      </vt:variant>
      <vt:variant>
        <vt:i4>0</vt:i4>
      </vt:variant>
      <vt:variant>
        <vt:i4>5</vt:i4>
      </vt:variant>
      <vt:variant>
        <vt:lpwstr/>
      </vt:variant>
      <vt:variant>
        <vt:lpwstr>_ENREF_4</vt:lpwstr>
      </vt:variant>
      <vt:variant>
        <vt:i4>4325387</vt:i4>
      </vt:variant>
      <vt:variant>
        <vt:i4>816</vt:i4>
      </vt:variant>
      <vt:variant>
        <vt:i4>0</vt:i4>
      </vt:variant>
      <vt:variant>
        <vt:i4>5</vt:i4>
      </vt:variant>
      <vt:variant>
        <vt:lpwstr/>
      </vt:variant>
      <vt:variant>
        <vt:lpwstr>_ENREF_3</vt:lpwstr>
      </vt:variant>
      <vt:variant>
        <vt:i4>4390923</vt:i4>
      </vt:variant>
      <vt:variant>
        <vt:i4>810</vt:i4>
      </vt:variant>
      <vt:variant>
        <vt:i4>0</vt:i4>
      </vt:variant>
      <vt:variant>
        <vt:i4>5</vt:i4>
      </vt:variant>
      <vt:variant>
        <vt:lpwstr/>
      </vt:variant>
      <vt:variant>
        <vt:lpwstr>_ENREF_2</vt:lpwstr>
      </vt:variant>
      <vt:variant>
        <vt:i4>4194315</vt:i4>
      </vt:variant>
      <vt:variant>
        <vt:i4>804</vt:i4>
      </vt:variant>
      <vt:variant>
        <vt:i4>0</vt:i4>
      </vt:variant>
      <vt:variant>
        <vt:i4>5</vt:i4>
      </vt:variant>
      <vt:variant>
        <vt:lpwstr/>
      </vt:variant>
      <vt:variant>
        <vt:lpwstr>_ENREF_1</vt:lpwstr>
      </vt:variant>
      <vt:variant>
        <vt:i4>1835014</vt:i4>
      </vt:variant>
      <vt:variant>
        <vt:i4>797</vt:i4>
      </vt:variant>
      <vt:variant>
        <vt:i4>0</vt:i4>
      </vt:variant>
      <vt:variant>
        <vt:i4>5</vt:i4>
      </vt:variant>
      <vt:variant>
        <vt:lpwstr/>
      </vt:variant>
      <vt:variant>
        <vt:lpwstr>_Toc399165862</vt:lpwstr>
      </vt:variant>
      <vt:variant>
        <vt:i4>1835013</vt:i4>
      </vt:variant>
      <vt:variant>
        <vt:i4>791</vt:i4>
      </vt:variant>
      <vt:variant>
        <vt:i4>0</vt:i4>
      </vt:variant>
      <vt:variant>
        <vt:i4>5</vt:i4>
      </vt:variant>
      <vt:variant>
        <vt:lpwstr/>
      </vt:variant>
      <vt:variant>
        <vt:lpwstr>_Toc399165861</vt:lpwstr>
      </vt:variant>
      <vt:variant>
        <vt:i4>1835012</vt:i4>
      </vt:variant>
      <vt:variant>
        <vt:i4>785</vt:i4>
      </vt:variant>
      <vt:variant>
        <vt:i4>0</vt:i4>
      </vt:variant>
      <vt:variant>
        <vt:i4>5</vt:i4>
      </vt:variant>
      <vt:variant>
        <vt:lpwstr/>
      </vt:variant>
      <vt:variant>
        <vt:lpwstr>_Toc399165860</vt:lpwstr>
      </vt:variant>
      <vt:variant>
        <vt:i4>2031629</vt:i4>
      </vt:variant>
      <vt:variant>
        <vt:i4>779</vt:i4>
      </vt:variant>
      <vt:variant>
        <vt:i4>0</vt:i4>
      </vt:variant>
      <vt:variant>
        <vt:i4>5</vt:i4>
      </vt:variant>
      <vt:variant>
        <vt:lpwstr/>
      </vt:variant>
      <vt:variant>
        <vt:lpwstr>_Toc399165859</vt:lpwstr>
      </vt:variant>
      <vt:variant>
        <vt:i4>2031628</vt:i4>
      </vt:variant>
      <vt:variant>
        <vt:i4>773</vt:i4>
      </vt:variant>
      <vt:variant>
        <vt:i4>0</vt:i4>
      </vt:variant>
      <vt:variant>
        <vt:i4>5</vt:i4>
      </vt:variant>
      <vt:variant>
        <vt:lpwstr/>
      </vt:variant>
      <vt:variant>
        <vt:lpwstr>_Toc399165858</vt:lpwstr>
      </vt:variant>
      <vt:variant>
        <vt:i4>2031619</vt:i4>
      </vt:variant>
      <vt:variant>
        <vt:i4>767</vt:i4>
      </vt:variant>
      <vt:variant>
        <vt:i4>0</vt:i4>
      </vt:variant>
      <vt:variant>
        <vt:i4>5</vt:i4>
      </vt:variant>
      <vt:variant>
        <vt:lpwstr/>
      </vt:variant>
      <vt:variant>
        <vt:lpwstr>_Toc399165857</vt:lpwstr>
      </vt:variant>
      <vt:variant>
        <vt:i4>2031618</vt:i4>
      </vt:variant>
      <vt:variant>
        <vt:i4>761</vt:i4>
      </vt:variant>
      <vt:variant>
        <vt:i4>0</vt:i4>
      </vt:variant>
      <vt:variant>
        <vt:i4>5</vt:i4>
      </vt:variant>
      <vt:variant>
        <vt:lpwstr/>
      </vt:variant>
      <vt:variant>
        <vt:lpwstr>_Toc399165856</vt:lpwstr>
      </vt:variant>
      <vt:variant>
        <vt:i4>2031617</vt:i4>
      </vt:variant>
      <vt:variant>
        <vt:i4>755</vt:i4>
      </vt:variant>
      <vt:variant>
        <vt:i4>0</vt:i4>
      </vt:variant>
      <vt:variant>
        <vt:i4>5</vt:i4>
      </vt:variant>
      <vt:variant>
        <vt:lpwstr/>
      </vt:variant>
      <vt:variant>
        <vt:lpwstr>_Toc399165855</vt:lpwstr>
      </vt:variant>
      <vt:variant>
        <vt:i4>2031616</vt:i4>
      </vt:variant>
      <vt:variant>
        <vt:i4>749</vt:i4>
      </vt:variant>
      <vt:variant>
        <vt:i4>0</vt:i4>
      </vt:variant>
      <vt:variant>
        <vt:i4>5</vt:i4>
      </vt:variant>
      <vt:variant>
        <vt:lpwstr/>
      </vt:variant>
      <vt:variant>
        <vt:lpwstr>_Toc399165854</vt:lpwstr>
      </vt:variant>
      <vt:variant>
        <vt:i4>2031623</vt:i4>
      </vt:variant>
      <vt:variant>
        <vt:i4>743</vt:i4>
      </vt:variant>
      <vt:variant>
        <vt:i4>0</vt:i4>
      </vt:variant>
      <vt:variant>
        <vt:i4>5</vt:i4>
      </vt:variant>
      <vt:variant>
        <vt:lpwstr/>
      </vt:variant>
      <vt:variant>
        <vt:lpwstr>_Toc399165853</vt:lpwstr>
      </vt:variant>
      <vt:variant>
        <vt:i4>2031622</vt:i4>
      </vt:variant>
      <vt:variant>
        <vt:i4>737</vt:i4>
      </vt:variant>
      <vt:variant>
        <vt:i4>0</vt:i4>
      </vt:variant>
      <vt:variant>
        <vt:i4>5</vt:i4>
      </vt:variant>
      <vt:variant>
        <vt:lpwstr/>
      </vt:variant>
      <vt:variant>
        <vt:lpwstr>_Toc399165852</vt:lpwstr>
      </vt:variant>
      <vt:variant>
        <vt:i4>2031621</vt:i4>
      </vt:variant>
      <vt:variant>
        <vt:i4>731</vt:i4>
      </vt:variant>
      <vt:variant>
        <vt:i4>0</vt:i4>
      </vt:variant>
      <vt:variant>
        <vt:i4>5</vt:i4>
      </vt:variant>
      <vt:variant>
        <vt:lpwstr/>
      </vt:variant>
      <vt:variant>
        <vt:lpwstr>_Toc399165851</vt:lpwstr>
      </vt:variant>
      <vt:variant>
        <vt:i4>2031620</vt:i4>
      </vt:variant>
      <vt:variant>
        <vt:i4>725</vt:i4>
      </vt:variant>
      <vt:variant>
        <vt:i4>0</vt:i4>
      </vt:variant>
      <vt:variant>
        <vt:i4>5</vt:i4>
      </vt:variant>
      <vt:variant>
        <vt:lpwstr/>
      </vt:variant>
      <vt:variant>
        <vt:lpwstr>_Toc399165850</vt:lpwstr>
      </vt:variant>
      <vt:variant>
        <vt:i4>1966093</vt:i4>
      </vt:variant>
      <vt:variant>
        <vt:i4>719</vt:i4>
      </vt:variant>
      <vt:variant>
        <vt:i4>0</vt:i4>
      </vt:variant>
      <vt:variant>
        <vt:i4>5</vt:i4>
      </vt:variant>
      <vt:variant>
        <vt:lpwstr/>
      </vt:variant>
      <vt:variant>
        <vt:lpwstr>_Toc399165849</vt:lpwstr>
      </vt:variant>
      <vt:variant>
        <vt:i4>1966092</vt:i4>
      </vt:variant>
      <vt:variant>
        <vt:i4>713</vt:i4>
      </vt:variant>
      <vt:variant>
        <vt:i4>0</vt:i4>
      </vt:variant>
      <vt:variant>
        <vt:i4>5</vt:i4>
      </vt:variant>
      <vt:variant>
        <vt:lpwstr/>
      </vt:variant>
      <vt:variant>
        <vt:lpwstr>_Toc399165848</vt:lpwstr>
      </vt:variant>
      <vt:variant>
        <vt:i4>1966083</vt:i4>
      </vt:variant>
      <vt:variant>
        <vt:i4>707</vt:i4>
      </vt:variant>
      <vt:variant>
        <vt:i4>0</vt:i4>
      </vt:variant>
      <vt:variant>
        <vt:i4>5</vt:i4>
      </vt:variant>
      <vt:variant>
        <vt:lpwstr/>
      </vt:variant>
      <vt:variant>
        <vt:lpwstr>_Toc399165847</vt:lpwstr>
      </vt:variant>
      <vt:variant>
        <vt:i4>1966082</vt:i4>
      </vt:variant>
      <vt:variant>
        <vt:i4>701</vt:i4>
      </vt:variant>
      <vt:variant>
        <vt:i4>0</vt:i4>
      </vt:variant>
      <vt:variant>
        <vt:i4>5</vt:i4>
      </vt:variant>
      <vt:variant>
        <vt:lpwstr/>
      </vt:variant>
      <vt:variant>
        <vt:lpwstr>_Toc399165846</vt:lpwstr>
      </vt:variant>
      <vt:variant>
        <vt:i4>1966081</vt:i4>
      </vt:variant>
      <vt:variant>
        <vt:i4>695</vt:i4>
      </vt:variant>
      <vt:variant>
        <vt:i4>0</vt:i4>
      </vt:variant>
      <vt:variant>
        <vt:i4>5</vt:i4>
      </vt:variant>
      <vt:variant>
        <vt:lpwstr/>
      </vt:variant>
      <vt:variant>
        <vt:lpwstr>_Toc399165845</vt:lpwstr>
      </vt:variant>
      <vt:variant>
        <vt:i4>1966080</vt:i4>
      </vt:variant>
      <vt:variant>
        <vt:i4>689</vt:i4>
      </vt:variant>
      <vt:variant>
        <vt:i4>0</vt:i4>
      </vt:variant>
      <vt:variant>
        <vt:i4>5</vt:i4>
      </vt:variant>
      <vt:variant>
        <vt:lpwstr/>
      </vt:variant>
      <vt:variant>
        <vt:lpwstr>_Toc399165844</vt:lpwstr>
      </vt:variant>
      <vt:variant>
        <vt:i4>1966087</vt:i4>
      </vt:variant>
      <vt:variant>
        <vt:i4>683</vt:i4>
      </vt:variant>
      <vt:variant>
        <vt:i4>0</vt:i4>
      </vt:variant>
      <vt:variant>
        <vt:i4>5</vt:i4>
      </vt:variant>
      <vt:variant>
        <vt:lpwstr/>
      </vt:variant>
      <vt:variant>
        <vt:lpwstr>_Toc399165843</vt:lpwstr>
      </vt:variant>
      <vt:variant>
        <vt:i4>1966086</vt:i4>
      </vt:variant>
      <vt:variant>
        <vt:i4>677</vt:i4>
      </vt:variant>
      <vt:variant>
        <vt:i4>0</vt:i4>
      </vt:variant>
      <vt:variant>
        <vt:i4>5</vt:i4>
      </vt:variant>
      <vt:variant>
        <vt:lpwstr/>
      </vt:variant>
      <vt:variant>
        <vt:lpwstr>_Toc399165842</vt:lpwstr>
      </vt:variant>
      <vt:variant>
        <vt:i4>1966085</vt:i4>
      </vt:variant>
      <vt:variant>
        <vt:i4>671</vt:i4>
      </vt:variant>
      <vt:variant>
        <vt:i4>0</vt:i4>
      </vt:variant>
      <vt:variant>
        <vt:i4>5</vt:i4>
      </vt:variant>
      <vt:variant>
        <vt:lpwstr/>
      </vt:variant>
      <vt:variant>
        <vt:lpwstr>_Toc399165841</vt:lpwstr>
      </vt:variant>
      <vt:variant>
        <vt:i4>1966084</vt:i4>
      </vt:variant>
      <vt:variant>
        <vt:i4>665</vt:i4>
      </vt:variant>
      <vt:variant>
        <vt:i4>0</vt:i4>
      </vt:variant>
      <vt:variant>
        <vt:i4>5</vt:i4>
      </vt:variant>
      <vt:variant>
        <vt:lpwstr/>
      </vt:variant>
      <vt:variant>
        <vt:lpwstr>_Toc399165840</vt:lpwstr>
      </vt:variant>
      <vt:variant>
        <vt:i4>1638413</vt:i4>
      </vt:variant>
      <vt:variant>
        <vt:i4>659</vt:i4>
      </vt:variant>
      <vt:variant>
        <vt:i4>0</vt:i4>
      </vt:variant>
      <vt:variant>
        <vt:i4>5</vt:i4>
      </vt:variant>
      <vt:variant>
        <vt:lpwstr/>
      </vt:variant>
      <vt:variant>
        <vt:lpwstr>_Toc399165839</vt:lpwstr>
      </vt:variant>
      <vt:variant>
        <vt:i4>1638412</vt:i4>
      </vt:variant>
      <vt:variant>
        <vt:i4>653</vt:i4>
      </vt:variant>
      <vt:variant>
        <vt:i4>0</vt:i4>
      </vt:variant>
      <vt:variant>
        <vt:i4>5</vt:i4>
      </vt:variant>
      <vt:variant>
        <vt:lpwstr/>
      </vt:variant>
      <vt:variant>
        <vt:lpwstr>_Toc399165838</vt:lpwstr>
      </vt:variant>
      <vt:variant>
        <vt:i4>1638403</vt:i4>
      </vt:variant>
      <vt:variant>
        <vt:i4>647</vt:i4>
      </vt:variant>
      <vt:variant>
        <vt:i4>0</vt:i4>
      </vt:variant>
      <vt:variant>
        <vt:i4>5</vt:i4>
      </vt:variant>
      <vt:variant>
        <vt:lpwstr/>
      </vt:variant>
      <vt:variant>
        <vt:lpwstr>_Toc399165837</vt:lpwstr>
      </vt:variant>
      <vt:variant>
        <vt:i4>1638402</vt:i4>
      </vt:variant>
      <vt:variant>
        <vt:i4>641</vt:i4>
      </vt:variant>
      <vt:variant>
        <vt:i4>0</vt:i4>
      </vt:variant>
      <vt:variant>
        <vt:i4>5</vt:i4>
      </vt:variant>
      <vt:variant>
        <vt:lpwstr/>
      </vt:variant>
      <vt:variant>
        <vt:lpwstr>_Toc399165836</vt:lpwstr>
      </vt:variant>
      <vt:variant>
        <vt:i4>1638401</vt:i4>
      </vt:variant>
      <vt:variant>
        <vt:i4>635</vt:i4>
      </vt:variant>
      <vt:variant>
        <vt:i4>0</vt:i4>
      </vt:variant>
      <vt:variant>
        <vt:i4>5</vt:i4>
      </vt:variant>
      <vt:variant>
        <vt:lpwstr/>
      </vt:variant>
      <vt:variant>
        <vt:lpwstr>_Toc399165835</vt:lpwstr>
      </vt:variant>
      <vt:variant>
        <vt:i4>1638400</vt:i4>
      </vt:variant>
      <vt:variant>
        <vt:i4>629</vt:i4>
      </vt:variant>
      <vt:variant>
        <vt:i4>0</vt:i4>
      </vt:variant>
      <vt:variant>
        <vt:i4>5</vt:i4>
      </vt:variant>
      <vt:variant>
        <vt:lpwstr/>
      </vt:variant>
      <vt:variant>
        <vt:lpwstr>_Toc399165834</vt:lpwstr>
      </vt:variant>
      <vt:variant>
        <vt:i4>1638407</vt:i4>
      </vt:variant>
      <vt:variant>
        <vt:i4>623</vt:i4>
      </vt:variant>
      <vt:variant>
        <vt:i4>0</vt:i4>
      </vt:variant>
      <vt:variant>
        <vt:i4>5</vt:i4>
      </vt:variant>
      <vt:variant>
        <vt:lpwstr/>
      </vt:variant>
      <vt:variant>
        <vt:lpwstr>_Toc399165833</vt:lpwstr>
      </vt:variant>
      <vt:variant>
        <vt:i4>1638406</vt:i4>
      </vt:variant>
      <vt:variant>
        <vt:i4>617</vt:i4>
      </vt:variant>
      <vt:variant>
        <vt:i4>0</vt:i4>
      </vt:variant>
      <vt:variant>
        <vt:i4>5</vt:i4>
      </vt:variant>
      <vt:variant>
        <vt:lpwstr/>
      </vt:variant>
      <vt:variant>
        <vt:lpwstr>_Toc399165832</vt:lpwstr>
      </vt:variant>
      <vt:variant>
        <vt:i4>1638405</vt:i4>
      </vt:variant>
      <vt:variant>
        <vt:i4>611</vt:i4>
      </vt:variant>
      <vt:variant>
        <vt:i4>0</vt:i4>
      </vt:variant>
      <vt:variant>
        <vt:i4>5</vt:i4>
      </vt:variant>
      <vt:variant>
        <vt:lpwstr/>
      </vt:variant>
      <vt:variant>
        <vt:lpwstr>_Toc399165831</vt:lpwstr>
      </vt:variant>
      <vt:variant>
        <vt:i4>1638404</vt:i4>
      </vt:variant>
      <vt:variant>
        <vt:i4>605</vt:i4>
      </vt:variant>
      <vt:variant>
        <vt:i4>0</vt:i4>
      </vt:variant>
      <vt:variant>
        <vt:i4>5</vt:i4>
      </vt:variant>
      <vt:variant>
        <vt:lpwstr/>
      </vt:variant>
      <vt:variant>
        <vt:lpwstr>_Toc399165830</vt:lpwstr>
      </vt:variant>
      <vt:variant>
        <vt:i4>1572877</vt:i4>
      </vt:variant>
      <vt:variant>
        <vt:i4>599</vt:i4>
      </vt:variant>
      <vt:variant>
        <vt:i4>0</vt:i4>
      </vt:variant>
      <vt:variant>
        <vt:i4>5</vt:i4>
      </vt:variant>
      <vt:variant>
        <vt:lpwstr/>
      </vt:variant>
      <vt:variant>
        <vt:lpwstr>_Toc399165829</vt:lpwstr>
      </vt:variant>
      <vt:variant>
        <vt:i4>1572876</vt:i4>
      </vt:variant>
      <vt:variant>
        <vt:i4>593</vt:i4>
      </vt:variant>
      <vt:variant>
        <vt:i4>0</vt:i4>
      </vt:variant>
      <vt:variant>
        <vt:i4>5</vt:i4>
      </vt:variant>
      <vt:variant>
        <vt:lpwstr/>
      </vt:variant>
      <vt:variant>
        <vt:lpwstr>_Toc399165828</vt:lpwstr>
      </vt:variant>
      <vt:variant>
        <vt:i4>1572867</vt:i4>
      </vt:variant>
      <vt:variant>
        <vt:i4>587</vt:i4>
      </vt:variant>
      <vt:variant>
        <vt:i4>0</vt:i4>
      </vt:variant>
      <vt:variant>
        <vt:i4>5</vt:i4>
      </vt:variant>
      <vt:variant>
        <vt:lpwstr/>
      </vt:variant>
      <vt:variant>
        <vt:lpwstr>_Toc399165827</vt:lpwstr>
      </vt:variant>
      <vt:variant>
        <vt:i4>1572866</vt:i4>
      </vt:variant>
      <vt:variant>
        <vt:i4>581</vt:i4>
      </vt:variant>
      <vt:variant>
        <vt:i4>0</vt:i4>
      </vt:variant>
      <vt:variant>
        <vt:i4>5</vt:i4>
      </vt:variant>
      <vt:variant>
        <vt:lpwstr/>
      </vt:variant>
      <vt:variant>
        <vt:lpwstr>_Toc399165826</vt:lpwstr>
      </vt:variant>
      <vt:variant>
        <vt:i4>1572865</vt:i4>
      </vt:variant>
      <vt:variant>
        <vt:i4>575</vt:i4>
      </vt:variant>
      <vt:variant>
        <vt:i4>0</vt:i4>
      </vt:variant>
      <vt:variant>
        <vt:i4>5</vt:i4>
      </vt:variant>
      <vt:variant>
        <vt:lpwstr/>
      </vt:variant>
      <vt:variant>
        <vt:lpwstr>_Toc399165825</vt:lpwstr>
      </vt:variant>
      <vt:variant>
        <vt:i4>1572864</vt:i4>
      </vt:variant>
      <vt:variant>
        <vt:i4>569</vt:i4>
      </vt:variant>
      <vt:variant>
        <vt:i4>0</vt:i4>
      </vt:variant>
      <vt:variant>
        <vt:i4>5</vt:i4>
      </vt:variant>
      <vt:variant>
        <vt:lpwstr/>
      </vt:variant>
      <vt:variant>
        <vt:lpwstr>_Toc399165824</vt:lpwstr>
      </vt:variant>
      <vt:variant>
        <vt:i4>1572871</vt:i4>
      </vt:variant>
      <vt:variant>
        <vt:i4>563</vt:i4>
      </vt:variant>
      <vt:variant>
        <vt:i4>0</vt:i4>
      </vt:variant>
      <vt:variant>
        <vt:i4>5</vt:i4>
      </vt:variant>
      <vt:variant>
        <vt:lpwstr/>
      </vt:variant>
      <vt:variant>
        <vt:lpwstr>_Toc399165823</vt:lpwstr>
      </vt:variant>
      <vt:variant>
        <vt:i4>1572870</vt:i4>
      </vt:variant>
      <vt:variant>
        <vt:i4>557</vt:i4>
      </vt:variant>
      <vt:variant>
        <vt:i4>0</vt:i4>
      </vt:variant>
      <vt:variant>
        <vt:i4>5</vt:i4>
      </vt:variant>
      <vt:variant>
        <vt:lpwstr/>
      </vt:variant>
      <vt:variant>
        <vt:lpwstr>_Toc399165822</vt:lpwstr>
      </vt:variant>
      <vt:variant>
        <vt:i4>1572869</vt:i4>
      </vt:variant>
      <vt:variant>
        <vt:i4>551</vt:i4>
      </vt:variant>
      <vt:variant>
        <vt:i4>0</vt:i4>
      </vt:variant>
      <vt:variant>
        <vt:i4>5</vt:i4>
      </vt:variant>
      <vt:variant>
        <vt:lpwstr/>
      </vt:variant>
      <vt:variant>
        <vt:lpwstr>_Toc399165821</vt:lpwstr>
      </vt:variant>
      <vt:variant>
        <vt:i4>1572868</vt:i4>
      </vt:variant>
      <vt:variant>
        <vt:i4>545</vt:i4>
      </vt:variant>
      <vt:variant>
        <vt:i4>0</vt:i4>
      </vt:variant>
      <vt:variant>
        <vt:i4>5</vt:i4>
      </vt:variant>
      <vt:variant>
        <vt:lpwstr/>
      </vt:variant>
      <vt:variant>
        <vt:lpwstr>_Toc399165820</vt:lpwstr>
      </vt:variant>
      <vt:variant>
        <vt:i4>1769485</vt:i4>
      </vt:variant>
      <vt:variant>
        <vt:i4>539</vt:i4>
      </vt:variant>
      <vt:variant>
        <vt:i4>0</vt:i4>
      </vt:variant>
      <vt:variant>
        <vt:i4>5</vt:i4>
      </vt:variant>
      <vt:variant>
        <vt:lpwstr/>
      </vt:variant>
      <vt:variant>
        <vt:lpwstr>_Toc399165819</vt:lpwstr>
      </vt:variant>
      <vt:variant>
        <vt:i4>1769484</vt:i4>
      </vt:variant>
      <vt:variant>
        <vt:i4>533</vt:i4>
      </vt:variant>
      <vt:variant>
        <vt:i4>0</vt:i4>
      </vt:variant>
      <vt:variant>
        <vt:i4>5</vt:i4>
      </vt:variant>
      <vt:variant>
        <vt:lpwstr/>
      </vt:variant>
      <vt:variant>
        <vt:lpwstr>_Toc399165818</vt:lpwstr>
      </vt:variant>
      <vt:variant>
        <vt:i4>1769475</vt:i4>
      </vt:variant>
      <vt:variant>
        <vt:i4>527</vt:i4>
      </vt:variant>
      <vt:variant>
        <vt:i4>0</vt:i4>
      </vt:variant>
      <vt:variant>
        <vt:i4>5</vt:i4>
      </vt:variant>
      <vt:variant>
        <vt:lpwstr/>
      </vt:variant>
      <vt:variant>
        <vt:lpwstr>_Toc399165817</vt:lpwstr>
      </vt:variant>
      <vt:variant>
        <vt:i4>1769474</vt:i4>
      </vt:variant>
      <vt:variant>
        <vt:i4>521</vt:i4>
      </vt:variant>
      <vt:variant>
        <vt:i4>0</vt:i4>
      </vt:variant>
      <vt:variant>
        <vt:i4>5</vt:i4>
      </vt:variant>
      <vt:variant>
        <vt:lpwstr/>
      </vt:variant>
      <vt:variant>
        <vt:lpwstr>_Toc399165816</vt:lpwstr>
      </vt:variant>
      <vt:variant>
        <vt:i4>1769473</vt:i4>
      </vt:variant>
      <vt:variant>
        <vt:i4>515</vt:i4>
      </vt:variant>
      <vt:variant>
        <vt:i4>0</vt:i4>
      </vt:variant>
      <vt:variant>
        <vt:i4>5</vt:i4>
      </vt:variant>
      <vt:variant>
        <vt:lpwstr/>
      </vt:variant>
      <vt:variant>
        <vt:lpwstr>_Toc399165815</vt:lpwstr>
      </vt:variant>
      <vt:variant>
        <vt:i4>1769472</vt:i4>
      </vt:variant>
      <vt:variant>
        <vt:i4>509</vt:i4>
      </vt:variant>
      <vt:variant>
        <vt:i4>0</vt:i4>
      </vt:variant>
      <vt:variant>
        <vt:i4>5</vt:i4>
      </vt:variant>
      <vt:variant>
        <vt:lpwstr/>
      </vt:variant>
      <vt:variant>
        <vt:lpwstr>_Toc399165814</vt:lpwstr>
      </vt:variant>
      <vt:variant>
        <vt:i4>1769479</vt:i4>
      </vt:variant>
      <vt:variant>
        <vt:i4>503</vt:i4>
      </vt:variant>
      <vt:variant>
        <vt:i4>0</vt:i4>
      </vt:variant>
      <vt:variant>
        <vt:i4>5</vt:i4>
      </vt:variant>
      <vt:variant>
        <vt:lpwstr/>
      </vt:variant>
      <vt:variant>
        <vt:lpwstr>_Toc399165813</vt:lpwstr>
      </vt:variant>
      <vt:variant>
        <vt:i4>1769478</vt:i4>
      </vt:variant>
      <vt:variant>
        <vt:i4>497</vt:i4>
      </vt:variant>
      <vt:variant>
        <vt:i4>0</vt:i4>
      </vt:variant>
      <vt:variant>
        <vt:i4>5</vt:i4>
      </vt:variant>
      <vt:variant>
        <vt:lpwstr/>
      </vt:variant>
      <vt:variant>
        <vt:lpwstr>_Toc399165812</vt:lpwstr>
      </vt:variant>
      <vt:variant>
        <vt:i4>1769477</vt:i4>
      </vt:variant>
      <vt:variant>
        <vt:i4>491</vt:i4>
      </vt:variant>
      <vt:variant>
        <vt:i4>0</vt:i4>
      </vt:variant>
      <vt:variant>
        <vt:i4>5</vt:i4>
      </vt:variant>
      <vt:variant>
        <vt:lpwstr/>
      </vt:variant>
      <vt:variant>
        <vt:lpwstr>_Toc399165811</vt:lpwstr>
      </vt:variant>
      <vt:variant>
        <vt:i4>1769476</vt:i4>
      </vt:variant>
      <vt:variant>
        <vt:i4>485</vt:i4>
      </vt:variant>
      <vt:variant>
        <vt:i4>0</vt:i4>
      </vt:variant>
      <vt:variant>
        <vt:i4>5</vt:i4>
      </vt:variant>
      <vt:variant>
        <vt:lpwstr/>
      </vt:variant>
      <vt:variant>
        <vt:lpwstr>_Toc399165810</vt:lpwstr>
      </vt:variant>
      <vt:variant>
        <vt:i4>1703949</vt:i4>
      </vt:variant>
      <vt:variant>
        <vt:i4>479</vt:i4>
      </vt:variant>
      <vt:variant>
        <vt:i4>0</vt:i4>
      </vt:variant>
      <vt:variant>
        <vt:i4>5</vt:i4>
      </vt:variant>
      <vt:variant>
        <vt:lpwstr/>
      </vt:variant>
      <vt:variant>
        <vt:lpwstr>_Toc399165809</vt:lpwstr>
      </vt:variant>
      <vt:variant>
        <vt:i4>1703948</vt:i4>
      </vt:variant>
      <vt:variant>
        <vt:i4>473</vt:i4>
      </vt:variant>
      <vt:variant>
        <vt:i4>0</vt:i4>
      </vt:variant>
      <vt:variant>
        <vt:i4>5</vt:i4>
      </vt:variant>
      <vt:variant>
        <vt:lpwstr/>
      </vt:variant>
      <vt:variant>
        <vt:lpwstr>_Toc399165808</vt:lpwstr>
      </vt:variant>
      <vt:variant>
        <vt:i4>1703939</vt:i4>
      </vt:variant>
      <vt:variant>
        <vt:i4>467</vt:i4>
      </vt:variant>
      <vt:variant>
        <vt:i4>0</vt:i4>
      </vt:variant>
      <vt:variant>
        <vt:i4>5</vt:i4>
      </vt:variant>
      <vt:variant>
        <vt:lpwstr/>
      </vt:variant>
      <vt:variant>
        <vt:lpwstr>_Toc399165807</vt:lpwstr>
      </vt:variant>
      <vt:variant>
        <vt:i4>1703938</vt:i4>
      </vt:variant>
      <vt:variant>
        <vt:i4>461</vt:i4>
      </vt:variant>
      <vt:variant>
        <vt:i4>0</vt:i4>
      </vt:variant>
      <vt:variant>
        <vt:i4>5</vt:i4>
      </vt:variant>
      <vt:variant>
        <vt:lpwstr/>
      </vt:variant>
      <vt:variant>
        <vt:lpwstr>_Toc399165806</vt:lpwstr>
      </vt:variant>
      <vt:variant>
        <vt:i4>1703937</vt:i4>
      </vt:variant>
      <vt:variant>
        <vt:i4>455</vt:i4>
      </vt:variant>
      <vt:variant>
        <vt:i4>0</vt:i4>
      </vt:variant>
      <vt:variant>
        <vt:i4>5</vt:i4>
      </vt:variant>
      <vt:variant>
        <vt:lpwstr/>
      </vt:variant>
      <vt:variant>
        <vt:lpwstr>_Toc399165805</vt:lpwstr>
      </vt:variant>
      <vt:variant>
        <vt:i4>1703936</vt:i4>
      </vt:variant>
      <vt:variant>
        <vt:i4>449</vt:i4>
      </vt:variant>
      <vt:variant>
        <vt:i4>0</vt:i4>
      </vt:variant>
      <vt:variant>
        <vt:i4>5</vt:i4>
      </vt:variant>
      <vt:variant>
        <vt:lpwstr/>
      </vt:variant>
      <vt:variant>
        <vt:lpwstr>_Toc399165804</vt:lpwstr>
      </vt:variant>
      <vt:variant>
        <vt:i4>1703943</vt:i4>
      </vt:variant>
      <vt:variant>
        <vt:i4>443</vt:i4>
      </vt:variant>
      <vt:variant>
        <vt:i4>0</vt:i4>
      </vt:variant>
      <vt:variant>
        <vt:i4>5</vt:i4>
      </vt:variant>
      <vt:variant>
        <vt:lpwstr/>
      </vt:variant>
      <vt:variant>
        <vt:lpwstr>_Toc399165803</vt:lpwstr>
      </vt:variant>
      <vt:variant>
        <vt:i4>1703942</vt:i4>
      </vt:variant>
      <vt:variant>
        <vt:i4>437</vt:i4>
      </vt:variant>
      <vt:variant>
        <vt:i4>0</vt:i4>
      </vt:variant>
      <vt:variant>
        <vt:i4>5</vt:i4>
      </vt:variant>
      <vt:variant>
        <vt:lpwstr/>
      </vt:variant>
      <vt:variant>
        <vt:lpwstr>_Toc399165802</vt:lpwstr>
      </vt:variant>
      <vt:variant>
        <vt:i4>1703941</vt:i4>
      </vt:variant>
      <vt:variant>
        <vt:i4>431</vt:i4>
      </vt:variant>
      <vt:variant>
        <vt:i4>0</vt:i4>
      </vt:variant>
      <vt:variant>
        <vt:i4>5</vt:i4>
      </vt:variant>
      <vt:variant>
        <vt:lpwstr/>
      </vt:variant>
      <vt:variant>
        <vt:lpwstr>_Toc399165801</vt:lpwstr>
      </vt:variant>
      <vt:variant>
        <vt:i4>1703940</vt:i4>
      </vt:variant>
      <vt:variant>
        <vt:i4>425</vt:i4>
      </vt:variant>
      <vt:variant>
        <vt:i4>0</vt:i4>
      </vt:variant>
      <vt:variant>
        <vt:i4>5</vt:i4>
      </vt:variant>
      <vt:variant>
        <vt:lpwstr/>
      </vt:variant>
      <vt:variant>
        <vt:lpwstr>_Toc399165800</vt:lpwstr>
      </vt:variant>
      <vt:variant>
        <vt:i4>1245186</vt:i4>
      </vt:variant>
      <vt:variant>
        <vt:i4>419</vt:i4>
      </vt:variant>
      <vt:variant>
        <vt:i4>0</vt:i4>
      </vt:variant>
      <vt:variant>
        <vt:i4>5</vt:i4>
      </vt:variant>
      <vt:variant>
        <vt:lpwstr/>
      </vt:variant>
      <vt:variant>
        <vt:lpwstr>_Toc399165799</vt:lpwstr>
      </vt:variant>
      <vt:variant>
        <vt:i4>1245187</vt:i4>
      </vt:variant>
      <vt:variant>
        <vt:i4>413</vt:i4>
      </vt:variant>
      <vt:variant>
        <vt:i4>0</vt:i4>
      </vt:variant>
      <vt:variant>
        <vt:i4>5</vt:i4>
      </vt:variant>
      <vt:variant>
        <vt:lpwstr/>
      </vt:variant>
      <vt:variant>
        <vt:lpwstr>_Toc399165798</vt:lpwstr>
      </vt:variant>
      <vt:variant>
        <vt:i4>1245196</vt:i4>
      </vt:variant>
      <vt:variant>
        <vt:i4>407</vt:i4>
      </vt:variant>
      <vt:variant>
        <vt:i4>0</vt:i4>
      </vt:variant>
      <vt:variant>
        <vt:i4>5</vt:i4>
      </vt:variant>
      <vt:variant>
        <vt:lpwstr/>
      </vt:variant>
      <vt:variant>
        <vt:lpwstr>_Toc399165797</vt:lpwstr>
      </vt:variant>
      <vt:variant>
        <vt:i4>1245197</vt:i4>
      </vt:variant>
      <vt:variant>
        <vt:i4>401</vt:i4>
      </vt:variant>
      <vt:variant>
        <vt:i4>0</vt:i4>
      </vt:variant>
      <vt:variant>
        <vt:i4>5</vt:i4>
      </vt:variant>
      <vt:variant>
        <vt:lpwstr/>
      </vt:variant>
      <vt:variant>
        <vt:lpwstr>_Toc399165796</vt:lpwstr>
      </vt:variant>
      <vt:variant>
        <vt:i4>1245198</vt:i4>
      </vt:variant>
      <vt:variant>
        <vt:i4>395</vt:i4>
      </vt:variant>
      <vt:variant>
        <vt:i4>0</vt:i4>
      </vt:variant>
      <vt:variant>
        <vt:i4>5</vt:i4>
      </vt:variant>
      <vt:variant>
        <vt:lpwstr/>
      </vt:variant>
      <vt:variant>
        <vt:lpwstr>_Toc399165795</vt:lpwstr>
      </vt:variant>
      <vt:variant>
        <vt:i4>1245199</vt:i4>
      </vt:variant>
      <vt:variant>
        <vt:i4>389</vt:i4>
      </vt:variant>
      <vt:variant>
        <vt:i4>0</vt:i4>
      </vt:variant>
      <vt:variant>
        <vt:i4>5</vt:i4>
      </vt:variant>
      <vt:variant>
        <vt:lpwstr/>
      </vt:variant>
      <vt:variant>
        <vt:lpwstr>_Toc399165794</vt:lpwstr>
      </vt:variant>
      <vt:variant>
        <vt:i4>1245192</vt:i4>
      </vt:variant>
      <vt:variant>
        <vt:i4>383</vt:i4>
      </vt:variant>
      <vt:variant>
        <vt:i4>0</vt:i4>
      </vt:variant>
      <vt:variant>
        <vt:i4>5</vt:i4>
      </vt:variant>
      <vt:variant>
        <vt:lpwstr/>
      </vt:variant>
      <vt:variant>
        <vt:lpwstr>_Toc399165793</vt:lpwstr>
      </vt:variant>
      <vt:variant>
        <vt:i4>1245193</vt:i4>
      </vt:variant>
      <vt:variant>
        <vt:i4>377</vt:i4>
      </vt:variant>
      <vt:variant>
        <vt:i4>0</vt:i4>
      </vt:variant>
      <vt:variant>
        <vt:i4>5</vt:i4>
      </vt:variant>
      <vt:variant>
        <vt:lpwstr/>
      </vt:variant>
      <vt:variant>
        <vt:lpwstr>_Toc399165792</vt:lpwstr>
      </vt:variant>
      <vt:variant>
        <vt:i4>1245194</vt:i4>
      </vt:variant>
      <vt:variant>
        <vt:i4>371</vt:i4>
      </vt:variant>
      <vt:variant>
        <vt:i4>0</vt:i4>
      </vt:variant>
      <vt:variant>
        <vt:i4>5</vt:i4>
      </vt:variant>
      <vt:variant>
        <vt:lpwstr/>
      </vt:variant>
      <vt:variant>
        <vt:lpwstr>_Toc399165791</vt:lpwstr>
      </vt:variant>
      <vt:variant>
        <vt:i4>1245195</vt:i4>
      </vt:variant>
      <vt:variant>
        <vt:i4>365</vt:i4>
      </vt:variant>
      <vt:variant>
        <vt:i4>0</vt:i4>
      </vt:variant>
      <vt:variant>
        <vt:i4>5</vt:i4>
      </vt:variant>
      <vt:variant>
        <vt:lpwstr/>
      </vt:variant>
      <vt:variant>
        <vt:lpwstr>_Toc399165790</vt:lpwstr>
      </vt:variant>
      <vt:variant>
        <vt:i4>1179650</vt:i4>
      </vt:variant>
      <vt:variant>
        <vt:i4>359</vt:i4>
      </vt:variant>
      <vt:variant>
        <vt:i4>0</vt:i4>
      </vt:variant>
      <vt:variant>
        <vt:i4>5</vt:i4>
      </vt:variant>
      <vt:variant>
        <vt:lpwstr/>
      </vt:variant>
      <vt:variant>
        <vt:lpwstr>_Toc399165789</vt:lpwstr>
      </vt:variant>
      <vt:variant>
        <vt:i4>1179651</vt:i4>
      </vt:variant>
      <vt:variant>
        <vt:i4>353</vt:i4>
      </vt:variant>
      <vt:variant>
        <vt:i4>0</vt:i4>
      </vt:variant>
      <vt:variant>
        <vt:i4>5</vt:i4>
      </vt:variant>
      <vt:variant>
        <vt:lpwstr/>
      </vt:variant>
      <vt:variant>
        <vt:lpwstr>_Toc399165788</vt:lpwstr>
      </vt:variant>
      <vt:variant>
        <vt:i4>1179660</vt:i4>
      </vt:variant>
      <vt:variant>
        <vt:i4>347</vt:i4>
      </vt:variant>
      <vt:variant>
        <vt:i4>0</vt:i4>
      </vt:variant>
      <vt:variant>
        <vt:i4>5</vt:i4>
      </vt:variant>
      <vt:variant>
        <vt:lpwstr/>
      </vt:variant>
      <vt:variant>
        <vt:lpwstr>_Toc399165787</vt:lpwstr>
      </vt:variant>
      <vt:variant>
        <vt:i4>1179661</vt:i4>
      </vt:variant>
      <vt:variant>
        <vt:i4>341</vt:i4>
      </vt:variant>
      <vt:variant>
        <vt:i4>0</vt:i4>
      </vt:variant>
      <vt:variant>
        <vt:i4>5</vt:i4>
      </vt:variant>
      <vt:variant>
        <vt:lpwstr/>
      </vt:variant>
      <vt:variant>
        <vt:lpwstr>_Toc399165786</vt:lpwstr>
      </vt:variant>
      <vt:variant>
        <vt:i4>1179662</vt:i4>
      </vt:variant>
      <vt:variant>
        <vt:i4>335</vt:i4>
      </vt:variant>
      <vt:variant>
        <vt:i4>0</vt:i4>
      </vt:variant>
      <vt:variant>
        <vt:i4>5</vt:i4>
      </vt:variant>
      <vt:variant>
        <vt:lpwstr/>
      </vt:variant>
      <vt:variant>
        <vt:lpwstr>_Toc399165785</vt:lpwstr>
      </vt:variant>
      <vt:variant>
        <vt:i4>1179663</vt:i4>
      </vt:variant>
      <vt:variant>
        <vt:i4>329</vt:i4>
      </vt:variant>
      <vt:variant>
        <vt:i4>0</vt:i4>
      </vt:variant>
      <vt:variant>
        <vt:i4>5</vt:i4>
      </vt:variant>
      <vt:variant>
        <vt:lpwstr/>
      </vt:variant>
      <vt:variant>
        <vt:lpwstr>_Toc399165784</vt:lpwstr>
      </vt:variant>
      <vt:variant>
        <vt:i4>1179656</vt:i4>
      </vt:variant>
      <vt:variant>
        <vt:i4>323</vt:i4>
      </vt:variant>
      <vt:variant>
        <vt:i4>0</vt:i4>
      </vt:variant>
      <vt:variant>
        <vt:i4>5</vt:i4>
      </vt:variant>
      <vt:variant>
        <vt:lpwstr/>
      </vt:variant>
      <vt:variant>
        <vt:lpwstr>_Toc399165783</vt:lpwstr>
      </vt:variant>
      <vt:variant>
        <vt:i4>1179657</vt:i4>
      </vt:variant>
      <vt:variant>
        <vt:i4>317</vt:i4>
      </vt:variant>
      <vt:variant>
        <vt:i4>0</vt:i4>
      </vt:variant>
      <vt:variant>
        <vt:i4>5</vt:i4>
      </vt:variant>
      <vt:variant>
        <vt:lpwstr/>
      </vt:variant>
      <vt:variant>
        <vt:lpwstr>_Toc399165782</vt:lpwstr>
      </vt:variant>
      <vt:variant>
        <vt:i4>1179658</vt:i4>
      </vt:variant>
      <vt:variant>
        <vt:i4>311</vt:i4>
      </vt:variant>
      <vt:variant>
        <vt:i4>0</vt:i4>
      </vt:variant>
      <vt:variant>
        <vt:i4>5</vt:i4>
      </vt:variant>
      <vt:variant>
        <vt:lpwstr/>
      </vt:variant>
      <vt:variant>
        <vt:lpwstr>_Toc399165781</vt:lpwstr>
      </vt:variant>
      <vt:variant>
        <vt:i4>1179659</vt:i4>
      </vt:variant>
      <vt:variant>
        <vt:i4>305</vt:i4>
      </vt:variant>
      <vt:variant>
        <vt:i4>0</vt:i4>
      </vt:variant>
      <vt:variant>
        <vt:i4>5</vt:i4>
      </vt:variant>
      <vt:variant>
        <vt:lpwstr/>
      </vt:variant>
      <vt:variant>
        <vt:lpwstr>_Toc399165780</vt:lpwstr>
      </vt:variant>
      <vt:variant>
        <vt:i4>1900546</vt:i4>
      </vt:variant>
      <vt:variant>
        <vt:i4>299</vt:i4>
      </vt:variant>
      <vt:variant>
        <vt:i4>0</vt:i4>
      </vt:variant>
      <vt:variant>
        <vt:i4>5</vt:i4>
      </vt:variant>
      <vt:variant>
        <vt:lpwstr/>
      </vt:variant>
      <vt:variant>
        <vt:lpwstr>_Toc399165779</vt:lpwstr>
      </vt:variant>
      <vt:variant>
        <vt:i4>1900547</vt:i4>
      </vt:variant>
      <vt:variant>
        <vt:i4>293</vt:i4>
      </vt:variant>
      <vt:variant>
        <vt:i4>0</vt:i4>
      </vt:variant>
      <vt:variant>
        <vt:i4>5</vt:i4>
      </vt:variant>
      <vt:variant>
        <vt:lpwstr/>
      </vt:variant>
      <vt:variant>
        <vt:lpwstr>_Toc399165778</vt:lpwstr>
      </vt:variant>
      <vt:variant>
        <vt:i4>1900556</vt:i4>
      </vt:variant>
      <vt:variant>
        <vt:i4>287</vt:i4>
      </vt:variant>
      <vt:variant>
        <vt:i4>0</vt:i4>
      </vt:variant>
      <vt:variant>
        <vt:i4>5</vt:i4>
      </vt:variant>
      <vt:variant>
        <vt:lpwstr/>
      </vt:variant>
      <vt:variant>
        <vt:lpwstr>_Toc399165777</vt:lpwstr>
      </vt:variant>
      <vt:variant>
        <vt:i4>1900557</vt:i4>
      </vt:variant>
      <vt:variant>
        <vt:i4>281</vt:i4>
      </vt:variant>
      <vt:variant>
        <vt:i4>0</vt:i4>
      </vt:variant>
      <vt:variant>
        <vt:i4>5</vt:i4>
      </vt:variant>
      <vt:variant>
        <vt:lpwstr/>
      </vt:variant>
      <vt:variant>
        <vt:lpwstr>_Toc399165776</vt:lpwstr>
      </vt:variant>
      <vt:variant>
        <vt:i4>1900558</vt:i4>
      </vt:variant>
      <vt:variant>
        <vt:i4>275</vt:i4>
      </vt:variant>
      <vt:variant>
        <vt:i4>0</vt:i4>
      </vt:variant>
      <vt:variant>
        <vt:i4>5</vt:i4>
      </vt:variant>
      <vt:variant>
        <vt:lpwstr/>
      </vt:variant>
      <vt:variant>
        <vt:lpwstr>_Toc399165775</vt:lpwstr>
      </vt:variant>
      <vt:variant>
        <vt:i4>1900559</vt:i4>
      </vt:variant>
      <vt:variant>
        <vt:i4>269</vt:i4>
      </vt:variant>
      <vt:variant>
        <vt:i4>0</vt:i4>
      </vt:variant>
      <vt:variant>
        <vt:i4>5</vt:i4>
      </vt:variant>
      <vt:variant>
        <vt:lpwstr/>
      </vt:variant>
      <vt:variant>
        <vt:lpwstr>_Toc399165774</vt:lpwstr>
      </vt:variant>
      <vt:variant>
        <vt:i4>1900552</vt:i4>
      </vt:variant>
      <vt:variant>
        <vt:i4>263</vt:i4>
      </vt:variant>
      <vt:variant>
        <vt:i4>0</vt:i4>
      </vt:variant>
      <vt:variant>
        <vt:i4>5</vt:i4>
      </vt:variant>
      <vt:variant>
        <vt:lpwstr/>
      </vt:variant>
      <vt:variant>
        <vt:lpwstr>_Toc399165773</vt:lpwstr>
      </vt:variant>
      <vt:variant>
        <vt:i4>1900553</vt:i4>
      </vt:variant>
      <vt:variant>
        <vt:i4>257</vt:i4>
      </vt:variant>
      <vt:variant>
        <vt:i4>0</vt:i4>
      </vt:variant>
      <vt:variant>
        <vt:i4>5</vt:i4>
      </vt:variant>
      <vt:variant>
        <vt:lpwstr/>
      </vt:variant>
      <vt:variant>
        <vt:lpwstr>_Toc399165772</vt:lpwstr>
      </vt:variant>
      <vt:variant>
        <vt:i4>1900554</vt:i4>
      </vt:variant>
      <vt:variant>
        <vt:i4>251</vt:i4>
      </vt:variant>
      <vt:variant>
        <vt:i4>0</vt:i4>
      </vt:variant>
      <vt:variant>
        <vt:i4>5</vt:i4>
      </vt:variant>
      <vt:variant>
        <vt:lpwstr/>
      </vt:variant>
      <vt:variant>
        <vt:lpwstr>_Toc399165771</vt:lpwstr>
      </vt:variant>
      <vt:variant>
        <vt:i4>1900555</vt:i4>
      </vt:variant>
      <vt:variant>
        <vt:i4>245</vt:i4>
      </vt:variant>
      <vt:variant>
        <vt:i4>0</vt:i4>
      </vt:variant>
      <vt:variant>
        <vt:i4>5</vt:i4>
      </vt:variant>
      <vt:variant>
        <vt:lpwstr/>
      </vt:variant>
      <vt:variant>
        <vt:lpwstr>_Toc399165770</vt:lpwstr>
      </vt:variant>
      <vt:variant>
        <vt:i4>1835010</vt:i4>
      </vt:variant>
      <vt:variant>
        <vt:i4>239</vt:i4>
      </vt:variant>
      <vt:variant>
        <vt:i4>0</vt:i4>
      </vt:variant>
      <vt:variant>
        <vt:i4>5</vt:i4>
      </vt:variant>
      <vt:variant>
        <vt:lpwstr/>
      </vt:variant>
      <vt:variant>
        <vt:lpwstr>_Toc399165769</vt:lpwstr>
      </vt:variant>
      <vt:variant>
        <vt:i4>1835011</vt:i4>
      </vt:variant>
      <vt:variant>
        <vt:i4>233</vt:i4>
      </vt:variant>
      <vt:variant>
        <vt:i4>0</vt:i4>
      </vt:variant>
      <vt:variant>
        <vt:i4>5</vt:i4>
      </vt:variant>
      <vt:variant>
        <vt:lpwstr/>
      </vt:variant>
      <vt:variant>
        <vt:lpwstr>_Toc399165768</vt:lpwstr>
      </vt:variant>
      <vt:variant>
        <vt:i4>1835020</vt:i4>
      </vt:variant>
      <vt:variant>
        <vt:i4>227</vt:i4>
      </vt:variant>
      <vt:variant>
        <vt:i4>0</vt:i4>
      </vt:variant>
      <vt:variant>
        <vt:i4>5</vt:i4>
      </vt:variant>
      <vt:variant>
        <vt:lpwstr/>
      </vt:variant>
      <vt:variant>
        <vt:lpwstr>_Toc399165767</vt:lpwstr>
      </vt:variant>
      <vt:variant>
        <vt:i4>1835021</vt:i4>
      </vt:variant>
      <vt:variant>
        <vt:i4>221</vt:i4>
      </vt:variant>
      <vt:variant>
        <vt:i4>0</vt:i4>
      </vt:variant>
      <vt:variant>
        <vt:i4>5</vt:i4>
      </vt:variant>
      <vt:variant>
        <vt:lpwstr/>
      </vt:variant>
      <vt:variant>
        <vt:lpwstr>_Toc399165766</vt:lpwstr>
      </vt:variant>
      <vt:variant>
        <vt:i4>1835022</vt:i4>
      </vt:variant>
      <vt:variant>
        <vt:i4>215</vt:i4>
      </vt:variant>
      <vt:variant>
        <vt:i4>0</vt:i4>
      </vt:variant>
      <vt:variant>
        <vt:i4>5</vt:i4>
      </vt:variant>
      <vt:variant>
        <vt:lpwstr/>
      </vt:variant>
      <vt:variant>
        <vt:lpwstr>_Toc399165765</vt:lpwstr>
      </vt:variant>
      <vt:variant>
        <vt:i4>1835023</vt:i4>
      </vt:variant>
      <vt:variant>
        <vt:i4>209</vt:i4>
      </vt:variant>
      <vt:variant>
        <vt:i4>0</vt:i4>
      </vt:variant>
      <vt:variant>
        <vt:i4>5</vt:i4>
      </vt:variant>
      <vt:variant>
        <vt:lpwstr/>
      </vt:variant>
      <vt:variant>
        <vt:lpwstr>_Toc399165764</vt:lpwstr>
      </vt:variant>
      <vt:variant>
        <vt:i4>1835016</vt:i4>
      </vt:variant>
      <vt:variant>
        <vt:i4>203</vt:i4>
      </vt:variant>
      <vt:variant>
        <vt:i4>0</vt:i4>
      </vt:variant>
      <vt:variant>
        <vt:i4>5</vt:i4>
      </vt:variant>
      <vt:variant>
        <vt:lpwstr/>
      </vt:variant>
      <vt:variant>
        <vt:lpwstr>_Toc399165763</vt:lpwstr>
      </vt:variant>
      <vt:variant>
        <vt:i4>1835017</vt:i4>
      </vt:variant>
      <vt:variant>
        <vt:i4>197</vt:i4>
      </vt:variant>
      <vt:variant>
        <vt:i4>0</vt:i4>
      </vt:variant>
      <vt:variant>
        <vt:i4>5</vt:i4>
      </vt:variant>
      <vt:variant>
        <vt:lpwstr/>
      </vt:variant>
      <vt:variant>
        <vt:lpwstr>_Toc399165762</vt:lpwstr>
      </vt:variant>
      <vt:variant>
        <vt:i4>1835018</vt:i4>
      </vt:variant>
      <vt:variant>
        <vt:i4>191</vt:i4>
      </vt:variant>
      <vt:variant>
        <vt:i4>0</vt:i4>
      </vt:variant>
      <vt:variant>
        <vt:i4>5</vt:i4>
      </vt:variant>
      <vt:variant>
        <vt:lpwstr/>
      </vt:variant>
      <vt:variant>
        <vt:lpwstr>_Toc399165761</vt:lpwstr>
      </vt:variant>
      <vt:variant>
        <vt:i4>1835019</vt:i4>
      </vt:variant>
      <vt:variant>
        <vt:i4>185</vt:i4>
      </vt:variant>
      <vt:variant>
        <vt:i4>0</vt:i4>
      </vt:variant>
      <vt:variant>
        <vt:i4>5</vt:i4>
      </vt:variant>
      <vt:variant>
        <vt:lpwstr/>
      </vt:variant>
      <vt:variant>
        <vt:lpwstr>_Toc399165760</vt:lpwstr>
      </vt:variant>
      <vt:variant>
        <vt:i4>2031618</vt:i4>
      </vt:variant>
      <vt:variant>
        <vt:i4>179</vt:i4>
      </vt:variant>
      <vt:variant>
        <vt:i4>0</vt:i4>
      </vt:variant>
      <vt:variant>
        <vt:i4>5</vt:i4>
      </vt:variant>
      <vt:variant>
        <vt:lpwstr/>
      </vt:variant>
      <vt:variant>
        <vt:lpwstr>_Toc399165759</vt:lpwstr>
      </vt:variant>
      <vt:variant>
        <vt:i4>2031619</vt:i4>
      </vt:variant>
      <vt:variant>
        <vt:i4>173</vt:i4>
      </vt:variant>
      <vt:variant>
        <vt:i4>0</vt:i4>
      </vt:variant>
      <vt:variant>
        <vt:i4>5</vt:i4>
      </vt:variant>
      <vt:variant>
        <vt:lpwstr/>
      </vt:variant>
      <vt:variant>
        <vt:lpwstr>_Toc399165758</vt:lpwstr>
      </vt:variant>
      <vt:variant>
        <vt:i4>2031628</vt:i4>
      </vt:variant>
      <vt:variant>
        <vt:i4>167</vt:i4>
      </vt:variant>
      <vt:variant>
        <vt:i4>0</vt:i4>
      </vt:variant>
      <vt:variant>
        <vt:i4>5</vt:i4>
      </vt:variant>
      <vt:variant>
        <vt:lpwstr/>
      </vt:variant>
      <vt:variant>
        <vt:lpwstr>_Toc399165757</vt:lpwstr>
      </vt:variant>
      <vt:variant>
        <vt:i4>2031629</vt:i4>
      </vt:variant>
      <vt:variant>
        <vt:i4>161</vt:i4>
      </vt:variant>
      <vt:variant>
        <vt:i4>0</vt:i4>
      </vt:variant>
      <vt:variant>
        <vt:i4>5</vt:i4>
      </vt:variant>
      <vt:variant>
        <vt:lpwstr/>
      </vt:variant>
      <vt:variant>
        <vt:lpwstr>_Toc399165756</vt:lpwstr>
      </vt:variant>
      <vt:variant>
        <vt:i4>2031630</vt:i4>
      </vt:variant>
      <vt:variant>
        <vt:i4>155</vt:i4>
      </vt:variant>
      <vt:variant>
        <vt:i4>0</vt:i4>
      </vt:variant>
      <vt:variant>
        <vt:i4>5</vt:i4>
      </vt:variant>
      <vt:variant>
        <vt:lpwstr/>
      </vt:variant>
      <vt:variant>
        <vt:lpwstr>_Toc399165755</vt:lpwstr>
      </vt:variant>
      <vt:variant>
        <vt:i4>2031631</vt:i4>
      </vt:variant>
      <vt:variant>
        <vt:i4>149</vt:i4>
      </vt:variant>
      <vt:variant>
        <vt:i4>0</vt:i4>
      </vt:variant>
      <vt:variant>
        <vt:i4>5</vt:i4>
      </vt:variant>
      <vt:variant>
        <vt:lpwstr/>
      </vt:variant>
      <vt:variant>
        <vt:lpwstr>_Toc399165754</vt:lpwstr>
      </vt:variant>
      <vt:variant>
        <vt:i4>2031624</vt:i4>
      </vt:variant>
      <vt:variant>
        <vt:i4>143</vt:i4>
      </vt:variant>
      <vt:variant>
        <vt:i4>0</vt:i4>
      </vt:variant>
      <vt:variant>
        <vt:i4>5</vt:i4>
      </vt:variant>
      <vt:variant>
        <vt:lpwstr/>
      </vt:variant>
      <vt:variant>
        <vt:lpwstr>_Toc399165753</vt:lpwstr>
      </vt:variant>
      <vt:variant>
        <vt:i4>2031625</vt:i4>
      </vt:variant>
      <vt:variant>
        <vt:i4>137</vt:i4>
      </vt:variant>
      <vt:variant>
        <vt:i4>0</vt:i4>
      </vt:variant>
      <vt:variant>
        <vt:i4>5</vt:i4>
      </vt:variant>
      <vt:variant>
        <vt:lpwstr/>
      </vt:variant>
      <vt:variant>
        <vt:lpwstr>_Toc399165752</vt:lpwstr>
      </vt:variant>
      <vt:variant>
        <vt:i4>2031626</vt:i4>
      </vt:variant>
      <vt:variant>
        <vt:i4>131</vt:i4>
      </vt:variant>
      <vt:variant>
        <vt:i4>0</vt:i4>
      </vt:variant>
      <vt:variant>
        <vt:i4>5</vt:i4>
      </vt:variant>
      <vt:variant>
        <vt:lpwstr/>
      </vt:variant>
      <vt:variant>
        <vt:lpwstr>_Toc399165751</vt:lpwstr>
      </vt:variant>
      <vt:variant>
        <vt:i4>2031627</vt:i4>
      </vt:variant>
      <vt:variant>
        <vt:i4>125</vt:i4>
      </vt:variant>
      <vt:variant>
        <vt:i4>0</vt:i4>
      </vt:variant>
      <vt:variant>
        <vt:i4>5</vt:i4>
      </vt:variant>
      <vt:variant>
        <vt:lpwstr/>
      </vt:variant>
      <vt:variant>
        <vt:lpwstr>_Toc399165750</vt:lpwstr>
      </vt:variant>
      <vt:variant>
        <vt:i4>1966082</vt:i4>
      </vt:variant>
      <vt:variant>
        <vt:i4>119</vt:i4>
      </vt:variant>
      <vt:variant>
        <vt:i4>0</vt:i4>
      </vt:variant>
      <vt:variant>
        <vt:i4>5</vt:i4>
      </vt:variant>
      <vt:variant>
        <vt:lpwstr/>
      </vt:variant>
      <vt:variant>
        <vt:lpwstr>_Toc399165749</vt:lpwstr>
      </vt:variant>
      <vt:variant>
        <vt:i4>1966083</vt:i4>
      </vt:variant>
      <vt:variant>
        <vt:i4>113</vt:i4>
      </vt:variant>
      <vt:variant>
        <vt:i4>0</vt:i4>
      </vt:variant>
      <vt:variant>
        <vt:i4>5</vt:i4>
      </vt:variant>
      <vt:variant>
        <vt:lpwstr/>
      </vt:variant>
      <vt:variant>
        <vt:lpwstr>_Toc399165748</vt:lpwstr>
      </vt:variant>
      <vt:variant>
        <vt:i4>1966092</vt:i4>
      </vt:variant>
      <vt:variant>
        <vt:i4>107</vt:i4>
      </vt:variant>
      <vt:variant>
        <vt:i4>0</vt:i4>
      </vt:variant>
      <vt:variant>
        <vt:i4>5</vt:i4>
      </vt:variant>
      <vt:variant>
        <vt:lpwstr/>
      </vt:variant>
      <vt:variant>
        <vt:lpwstr>_Toc399165747</vt:lpwstr>
      </vt:variant>
      <vt:variant>
        <vt:i4>1966093</vt:i4>
      </vt:variant>
      <vt:variant>
        <vt:i4>101</vt:i4>
      </vt:variant>
      <vt:variant>
        <vt:i4>0</vt:i4>
      </vt:variant>
      <vt:variant>
        <vt:i4>5</vt:i4>
      </vt:variant>
      <vt:variant>
        <vt:lpwstr/>
      </vt:variant>
      <vt:variant>
        <vt:lpwstr>_Toc399165746</vt:lpwstr>
      </vt:variant>
      <vt:variant>
        <vt:i4>1966094</vt:i4>
      </vt:variant>
      <vt:variant>
        <vt:i4>95</vt:i4>
      </vt:variant>
      <vt:variant>
        <vt:i4>0</vt:i4>
      </vt:variant>
      <vt:variant>
        <vt:i4>5</vt:i4>
      </vt:variant>
      <vt:variant>
        <vt:lpwstr/>
      </vt:variant>
      <vt:variant>
        <vt:lpwstr>_Toc399165745</vt:lpwstr>
      </vt:variant>
      <vt:variant>
        <vt:i4>1966095</vt:i4>
      </vt:variant>
      <vt:variant>
        <vt:i4>89</vt:i4>
      </vt:variant>
      <vt:variant>
        <vt:i4>0</vt:i4>
      </vt:variant>
      <vt:variant>
        <vt:i4>5</vt:i4>
      </vt:variant>
      <vt:variant>
        <vt:lpwstr/>
      </vt:variant>
      <vt:variant>
        <vt:lpwstr>_Toc399165744</vt:lpwstr>
      </vt:variant>
      <vt:variant>
        <vt:i4>1966088</vt:i4>
      </vt:variant>
      <vt:variant>
        <vt:i4>83</vt:i4>
      </vt:variant>
      <vt:variant>
        <vt:i4>0</vt:i4>
      </vt:variant>
      <vt:variant>
        <vt:i4>5</vt:i4>
      </vt:variant>
      <vt:variant>
        <vt:lpwstr/>
      </vt:variant>
      <vt:variant>
        <vt:lpwstr>_Toc399165743</vt:lpwstr>
      </vt:variant>
      <vt:variant>
        <vt:i4>1966089</vt:i4>
      </vt:variant>
      <vt:variant>
        <vt:i4>77</vt:i4>
      </vt:variant>
      <vt:variant>
        <vt:i4>0</vt:i4>
      </vt:variant>
      <vt:variant>
        <vt:i4>5</vt:i4>
      </vt:variant>
      <vt:variant>
        <vt:lpwstr/>
      </vt:variant>
      <vt:variant>
        <vt:lpwstr>_Toc399165742</vt:lpwstr>
      </vt:variant>
      <vt:variant>
        <vt:i4>1966090</vt:i4>
      </vt:variant>
      <vt:variant>
        <vt:i4>71</vt:i4>
      </vt:variant>
      <vt:variant>
        <vt:i4>0</vt:i4>
      </vt:variant>
      <vt:variant>
        <vt:i4>5</vt:i4>
      </vt:variant>
      <vt:variant>
        <vt:lpwstr/>
      </vt:variant>
      <vt:variant>
        <vt:lpwstr>_Toc399165741</vt:lpwstr>
      </vt:variant>
      <vt:variant>
        <vt:i4>1966091</vt:i4>
      </vt:variant>
      <vt:variant>
        <vt:i4>65</vt:i4>
      </vt:variant>
      <vt:variant>
        <vt:i4>0</vt:i4>
      </vt:variant>
      <vt:variant>
        <vt:i4>5</vt:i4>
      </vt:variant>
      <vt:variant>
        <vt:lpwstr/>
      </vt:variant>
      <vt:variant>
        <vt:lpwstr>_Toc399165740</vt:lpwstr>
      </vt:variant>
      <vt:variant>
        <vt:i4>1638402</vt:i4>
      </vt:variant>
      <vt:variant>
        <vt:i4>59</vt:i4>
      </vt:variant>
      <vt:variant>
        <vt:i4>0</vt:i4>
      </vt:variant>
      <vt:variant>
        <vt:i4>5</vt:i4>
      </vt:variant>
      <vt:variant>
        <vt:lpwstr/>
      </vt:variant>
      <vt:variant>
        <vt:lpwstr>_Toc399165739</vt:lpwstr>
      </vt:variant>
      <vt:variant>
        <vt:i4>1638403</vt:i4>
      </vt:variant>
      <vt:variant>
        <vt:i4>53</vt:i4>
      </vt:variant>
      <vt:variant>
        <vt:i4>0</vt:i4>
      </vt:variant>
      <vt:variant>
        <vt:i4>5</vt:i4>
      </vt:variant>
      <vt:variant>
        <vt:lpwstr/>
      </vt:variant>
      <vt:variant>
        <vt:lpwstr>_Toc399165738</vt:lpwstr>
      </vt:variant>
      <vt:variant>
        <vt:i4>1638412</vt:i4>
      </vt:variant>
      <vt:variant>
        <vt:i4>47</vt:i4>
      </vt:variant>
      <vt:variant>
        <vt:i4>0</vt:i4>
      </vt:variant>
      <vt:variant>
        <vt:i4>5</vt:i4>
      </vt:variant>
      <vt:variant>
        <vt:lpwstr/>
      </vt:variant>
      <vt:variant>
        <vt:lpwstr>_Toc399165737</vt:lpwstr>
      </vt:variant>
      <vt:variant>
        <vt:i4>1638413</vt:i4>
      </vt:variant>
      <vt:variant>
        <vt:i4>41</vt:i4>
      </vt:variant>
      <vt:variant>
        <vt:i4>0</vt:i4>
      </vt:variant>
      <vt:variant>
        <vt:i4>5</vt:i4>
      </vt:variant>
      <vt:variant>
        <vt:lpwstr/>
      </vt:variant>
      <vt:variant>
        <vt:lpwstr>_Toc399165736</vt:lpwstr>
      </vt:variant>
      <vt:variant>
        <vt:i4>1638414</vt:i4>
      </vt:variant>
      <vt:variant>
        <vt:i4>35</vt:i4>
      </vt:variant>
      <vt:variant>
        <vt:i4>0</vt:i4>
      </vt:variant>
      <vt:variant>
        <vt:i4>5</vt:i4>
      </vt:variant>
      <vt:variant>
        <vt:lpwstr/>
      </vt:variant>
      <vt:variant>
        <vt:lpwstr>_Toc399165735</vt:lpwstr>
      </vt:variant>
      <vt:variant>
        <vt:i4>1638415</vt:i4>
      </vt:variant>
      <vt:variant>
        <vt:i4>29</vt:i4>
      </vt:variant>
      <vt:variant>
        <vt:i4>0</vt:i4>
      </vt:variant>
      <vt:variant>
        <vt:i4>5</vt:i4>
      </vt:variant>
      <vt:variant>
        <vt:lpwstr/>
      </vt:variant>
      <vt:variant>
        <vt:lpwstr>_Toc399165734</vt:lpwstr>
      </vt:variant>
      <vt:variant>
        <vt:i4>1638408</vt:i4>
      </vt:variant>
      <vt:variant>
        <vt:i4>23</vt:i4>
      </vt:variant>
      <vt:variant>
        <vt:i4>0</vt:i4>
      </vt:variant>
      <vt:variant>
        <vt:i4>5</vt:i4>
      </vt:variant>
      <vt:variant>
        <vt:lpwstr/>
      </vt:variant>
      <vt:variant>
        <vt:lpwstr>_Toc399165733</vt:lpwstr>
      </vt:variant>
      <vt:variant>
        <vt:i4>1638409</vt:i4>
      </vt:variant>
      <vt:variant>
        <vt:i4>17</vt:i4>
      </vt:variant>
      <vt:variant>
        <vt:i4>0</vt:i4>
      </vt:variant>
      <vt:variant>
        <vt:i4>5</vt:i4>
      </vt:variant>
      <vt:variant>
        <vt:lpwstr/>
      </vt:variant>
      <vt:variant>
        <vt:lpwstr>_Toc399165732</vt:lpwstr>
      </vt:variant>
      <vt:variant>
        <vt:i4>5439493</vt:i4>
      </vt:variant>
      <vt:variant>
        <vt:i4>12</vt:i4>
      </vt:variant>
      <vt:variant>
        <vt:i4>0</vt:i4>
      </vt:variant>
      <vt:variant>
        <vt:i4>5</vt:i4>
      </vt:variant>
      <vt:variant>
        <vt:lpwstr>mailto:kimberley_macneill@dfci.harvard.edu</vt:lpwstr>
      </vt:variant>
      <vt:variant>
        <vt:lpwstr/>
      </vt:variant>
      <vt:variant>
        <vt:i4>6160396</vt:i4>
      </vt:variant>
      <vt:variant>
        <vt:i4>9</vt:i4>
      </vt:variant>
      <vt:variant>
        <vt:i4>0</vt:i4>
      </vt:variant>
      <vt:variant>
        <vt:i4>5</vt:i4>
      </vt:variant>
      <vt:variant>
        <vt:lpwstr>mailto:sbibeault@partners.org</vt:lpwstr>
      </vt:variant>
      <vt:variant>
        <vt:lpwstr/>
      </vt:variant>
      <vt:variant>
        <vt:i4>7340042</vt:i4>
      </vt:variant>
      <vt:variant>
        <vt:i4>6</vt:i4>
      </vt:variant>
      <vt:variant>
        <vt:i4>0</vt:i4>
      </vt:variant>
      <vt:variant>
        <vt:i4>5</vt:i4>
      </vt:variant>
      <vt:variant>
        <vt:lpwstr>mailto:mrussell-einhorn@partners.org</vt:lpwstr>
      </vt:variant>
      <vt:variant>
        <vt:lpwstr/>
      </vt:variant>
      <vt:variant>
        <vt:i4>1376309</vt:i4>
      </vt:variant>
      <vt:variant>
        <vt:i4>3</vt:i4>
      </vt:variant>
      <vt:variant>
        <vt:i4>0</vt:i4>
      </vt:variant>
      <vt:variant>
        <vt:i4>5</vt:i4>
      </vt:variant>
      <vt:variant>
        <vt:lpwstr>javascript:linkTo_UnCryptMailto('ocknvq,wocvwnqpkuBrctvpgtu0qti');</vt:lpwstr>
      </vt:variant>
      <vt:variant>
        <vt:lpwstr/>
      </vt:variant>
      <vt:variant>
        <vt:i4>1179672</vt:i4>
      </vt:variant>
      <vt:variant>
        <vt:i4>0</vt:i4>
      </vt:variant>
      <vt:variant>
        <vt:i4>0</vt:i4>
      </vt:variant>
      <vt:variant>
        <vt:i4>5</vt:i4>
      </vt:variant>
      <vt:variant>
        <vt:lpwstr>mailto:jliu1@partners.org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Title:</dc:title>
  <dc:creator>Sharon</dc:creator>
  <cp:lastModifiedBy>Tabata, Junya (NIH/NCI) [F]</cp:lastModifiedBy>
  <cp:revision>2</cp:revision>
  <cp:lastPrinted>2020-06-26T19:47:00Z</cp:lastPrinted>
  <dcterms:created xsi:type="dcterms:W3CDTF">2024-12-19T20:55:00Z</dcterms:created>
  <dcterms:modified xsi:type="dcterms:W3CDTF">2024-12-19T20:55:00Z</dcterms:modified>
</cp:coreProperties>
</file>