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CF598" w14:textId="77777777" w:rsidR="00A933C1" w:rsidRPr="00A933C1" w:rsidRDefault="0041356E" w:rsidP="00A933C1">
      <w:pPr>
        <w:pStyle w:val="Heading1"/>
        <w:rPr>
          <w:rStyle w:val="Emphasis"/>
          <w:rFonts w:ascii="Times New Roman" w:hAnsi="Times New Roman" w:cs="Times New Roman"/>
          <w:sz w:val="28"/>
          <w:szCs w:val="28"/>
        </w:rPr>
      </w:pPr>
      <w:r w:rsidRPr="00A933C1">
        <w:rPr>
          <w:rFonts w:ascii="Times New Roman" w:hAnsi="Times New Roman" w:cs="Times New Roman"/>
          <w:sz w:val="28"/>
          <w:szCs w:val="28"/>
        </w:rPr>
        <w:t xml:space="preserve">Supplementary Methods for the </w:t>
      </w:r>
      <w:r w:rsidR="00A933C1" w:rsidRPr="00A933C1">
        <w:rPr>
          <w:rStyle w:val="Emphasis"/>
          <w:rFonts w:ascii="Times New Roman" w:hAnsi="Times New Roman" w:cs="Times New Roman"/>
          <w:sz w:val="28"/>
          <w:szCs w:val="28"/>
        </w:rPr>
        <w:t>Ancestry-specific genetic effects on urinary 6-sulfatoxymelatonin: a multi-ancestry GWAS meta-analysis</w:t>
      </w:r>
    </w:p>
    <w:p w14:paraId="00000002" w14:textId="531686DC" w:rsidR="00D15613" w:rsidRDefault="0041356E" w:rsidP="00A933C1">
      <w:pPr>
        <w:rPr>
          <w:rFonts w:ascii="Play" w:eastAsia="Play" w:hAnsi="Play" w:cs="Play"/>
          <w:color w:val="0F4761"/>
          <w:sz w:val="32"/>
          <w:szCs w:val="32"/>
        </w:rPr>
      </w:pPr>
      <w:r>
        <w:rPr>
          <w:rFonts w:ascii="Play" w:eastAsia="Play" w:hAnsi="Play" w:cs="Play"/>
          <w:color w:val="0F4761"/>
          <w:sz w:val="32"/>
          <w:szCs w:val="32"/>
        </w:rPr>
        <w:t>Contents</w:t>
      </w:r>
    </w:p>
    <w:sdt>
      <w:sdtPr>
        <w:id w:val="-580101269"/>
        <w:docPartObj>
          <w:docPartGallery w:val="Table of Contents"/>
          <w:docPartUnique/>
        </w:docPartObj>
      </w:sdtPr>
      <w:sdtEndPr>
        <w:rPr>
          <w:rFonts w:ascii="Times New Roman" w:hAnsi="Times New Roman" w:cs="Times New Roman"/>
          <w:sz w:val="24"/>
          <w:szCs w:val="24"/>
        </w:rPr>
      </w:sdtEndPr>
      <w:sdtContent>
        <w:p w14:paraId="1CE6F662" w14:textId="01D7859A" w:rsidR="00DE2853" w:rsidRPr="00DE2853" w:rsidRDefault="00D15613">
          <w:pPr>
            <w:pStyle w:val="TOC2"/>
            <w:tabs>
              <w:tab w:val="right" w:leader="dot" w:pos="9016"/>
            </w:tabs>
            <w:rPr>
              <w:rFonts w:ascii="Times New Roman" w:eastAsiaTheme="minorEastAsia" w:hAnsi="Times New Roman" w:cs="Times New Roman"/>
              <w:noProof/>
              <w:kern w:val="2"/>
              <w:sz w:val="24"/>
              <w:szCs w:val="24"/>
              <w14:ligatures w14:val="standardContextual"/>
            </w:rPr>
          </w:pPr>
          <w:r w:rsidRPr="00DE2853">
            <w:rPr>
              <w:rFonts w:ascii="Times New Roman" w:hAnsi="Times New Roman" w:cs="Times New Roman"/>
              <w:sz w:val="24"/>
              <w:szCs w:val="24"/>
            </w:rPr>
            <w:fldChar w:fldCharType="begin"/>
          </w:r>
          <w:r w:rsidRPr="00DE2853">
            <w:rPr>
              <w:rFonts w:ascii="Times New Roman" w:hAnsi="Times New Roman" w:cs="Times New Roman"/>
              <w:sz w:val="24"/>
              <w:szCs w:val="24"/>
            </w:rPr>
            <w:instrText xml:space="preserve"> TOC \h \u \z \t "Heading 1,1,Heading 2,2,Heading 3,3,"</w:instrText>
          </w:r>
          <w:r w:rsidRPr="00DE2853">
            <w:rPr>
              <w:rFonts w:ascii="Times New Roman" w:hAnsi="Times New Roman" w:cs="Times New Roman"/>
              <w:sz w:val="24"/>
              <w:szCs w:val="24"/>
            </w:rPr>
            <w:fldChar w:fldCharType="separate"/>
          </w:r>
          <w:hyperlink w:anchor="_Toc207488906" w:history="1">
            <w:r w:rsidR="00DE2853" w:rsidRPr="00DE2853">
              <w:rPr>
                <w:rStyle w:val="Hyperlink"/>
                <w:rFonts w:ascii="Times New Roman" w:hAnsi="Times New Roman" w:cs="Times New Roman"/>
                <w:noProof/>
                <w:sz w:val="24"/>
                <w:szCs w:val="24"/>
                <w:highlight w:val="white"/>
              </w:rPr>
              <w:t>Cohorts’ descriptions, GWAS phenotyping and genotyping</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_Toc207488906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1</w:t>
            </w:r>
            <w:r w:rsidR="00DE2853" w:rsidRPr="00DE2853">
              <w:rPr>
                <w:rFonts w:ascii="Times New Roman" w:hAnsi="Times New Roman" w:cs="Times New Roman"/>
                <w:noProof/>
                <w:webHidden/>
                <w:sz w:val="24"/>
                <w:szCs w:val="24"/>
              </w:rPr>
              <w:fldChar w:fldCharType="end"/>
            </w:r>
          </w:hyperlink>
        </w:p>
        <w:p w14:paraId="6386DE5F" w14:textId="04933A0A" w:rsidR="00DE2853" w:rsidRPr="00DE2853" w:rsidRDefault="008424CA">
          <w:pPr>
            <w:pStyle w:val="TOC3"/>
            <w:tabs>
              <w:tab w:val="right" w:leader="dot" w:pos="9016"/>
            </w:tabs>
            <w:rPr>
              <w:rFonts w:ascii="Times New Roman" w:eastAsiaTheme="minorEastAsia" w:hAnsi="Times New Roman" w:cs="Times New Roman"/>
              <w:noProof/>
              <w:kern w:val="2"/>
              <w:sz w:val="24"/>
              <w:szCs w:val="24"/>
              <w14:ligatures w14:val="standardContextual"/>
            </w:rPr>
          </w:pPr>
          <w:hyperlink w:anchor="_Toc207488907" w:history="1">
            <w:r w:rsidR="00DE2853" w:rsidRPr="00DE2853">
              <w:rPr>
                <w:rStyle w:val="Hyperlink"/>
                <w:rFonts w:ascii="Times New Roman" w:hAnsi="Times New Roman" w:cs="Times New Roman"/>
                <w:noProof/>
                <w:sz w:val="24"/>
                <w:szCs w:val="24"/>
              </w:rPr>
              <w:t>The Taiwan Biobank</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_Toc207488907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1</w:t>
            </w:r>
            <w:r w:rsidR="00DE2853" w:rsidRPr="00DE2853">
              <w:rPr>
                <w:rFonts w:ascii="Times New Roman" w:hAnsi="Times New Roman" w:cs="Times New Roman"/>
                <w:noProof/>
                <w:webHidden/>
                <w:sz w:val="24"/>
                <w:szCs w:val="24"/>
              </w:rPr>
              <w:fldChar w:fldCharType="end"/>
            </w:r>
          </w:hyperlink>
        </w:p>
        <w:p w14:paraId="480DDB5F" w14:textId="6A85B4D8" w:rsidR="00DE2853" w:rsidRPr="00DE2853" w:rsidRDefault="008424CA">
          <w:pPr>
            <w:pStyle w:val="TOC3"/>
            <w:tabs>
              <w:tab w:val="right" w:leader="dot" w:pos="9016"/>
            </w:tabs>
            <w:rPr>
              <w:rFonts w:ascii="Times New Roman" w:eastAsiaTheme="minorEastAsia" w:hAnsi="Times New Roman" w:cs="Times New Roman"/>
              <w:noProof/>
              <w:kern w:val="2"/>
              <w:sz w:val="24"/>
              <w:szCs w:val="24"/>
              <w14:ligatures w14:val="standardContextual"/>
            </w:rPr>
          </w:pPr>
          <w:hyperlink w:anchor="_Toc207488908" w:history="1">
            <w:r w:rsidR="00DE2853" w:rsidRPr="00DE2853">
              <w:rPr>
                <w:rStyle w:val="Hyperlink"/>
                <w:rFonts w:ascii="Times New Roman" w:eastAsia="Times New Roman" w:hAnsi="Times New Roman" w:cs="Times New Roman"/>
                <w:noProof/>
                <w:sz w:val="24"/>
                <w:szCs w:val="24"/>
              </w:rPr>
              <w:t>Nurses’ Health Study Cohorts</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_Toc207488908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2</w:t>
            </w:r>
            <w:r w:rsidR="00DE2853" w:rsidRPr="00DE2853">
              <w:rPr>
                <w:rFonts w:ascii="Times New Roman" w:hAnsi="Times New Roman" w:cs="Times New Roman"/>
                <w:noProof/>
                <w:webHidden/>
                <w:sz w:val="24"/>
                <w:szCs w:val="24"/>
              </w:rPr>
              <w:fldChar w:fldCharType="end"/>
            </w:r>
          </w:hyperlink>
        </w:p>
        <w:p w14:paraId="56A5A4D3" w14:textId="0B1B99CC" w:rsidR="00DE2853" w:rsidRPr="00DE2853" w:rsidRDefault="008424CA">
          <w:pPr>
            <w:pStyle w:val="TOC3"/>
            <w:tabs>
              <w:tab w:val="right" w:leader="dot" w:pos="9016"/>
            </w:tabs>
            <w:rPr>
              <w:rFonts w:ascii="Times New Roman" w:eastAsiaTheme="minorEastAsia" w:hAnsi="Times New Roman" w:cs="Times New Roman"/>
              <w:noProof/>
              <w:kern w:val="2"/>
              <w:sz w:val="24"/>
              <w:szCs w:val="24"/>
              <w14:ligatures w14:val="standardContextual"/>
            </w:rPr>
          </w:pPr>
          <w:hyperlink w:anchor="_Toc207488909" w:history="1">
            <w:r w:rsidR="00DE2853" w:rsidRPr="00DE2853">
              <w:rPr>
                <w:rStyle w:val="Hyperlink"/>
                <w:rFonts w:ascii="Times New Roman" w:eastAsia="Times New Roman" w:hAnsi="Times New Roman" w:cs="Times New Roman"/>
                <w:noProof/>
                <w:sz w:val="24"/>
                <w:szCs w:val="24"/>
              </w:rPr>
              <w:t>The Osteoporotic Fractures in Men (MrOS) Study</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_Toc207488909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2</w:t>
            </w:r>
            <w:r w:rsidR="00DE2853" w:rsidRPr="00DE2853">
              <w:rPr>
                <w:rFonts w:ascii="Times New Roman" w:hAnsi="Times New Roman" w:cs="Times New Roman"/>
                <w:noProof/>
                <w:webHidden/>
                <w:sz w:val="24"/>
                <w:szCs w:val="24"/>
              </w:rPr>
              <w:fldChar w:fldCharType="end"/>
            </w:r>
          </w:hyperlink>
        </w:p>
        <w:p w14:paraId="2BB12046" w14:textId="0D56ACFB" w:rsidR="00DE2853" w:rsidRPr="00DE2853" w:rsidRDefault="008424CA">
          <w:pPr>
            <w:pStyle w:val="TOC3"/>
            <w:tabs>
              <w:tab w:val="right" w:leader="dot" w:pos="9016"/>
            </w:tabs>
            <w:rPr>
              <w:rFonts w:ascii="Times New Roman" w:eastAsiaTheme="minorEastAsia" w:hAnsi="Times New Roman" w:cs="Times New Roman"/>
              <w:noProof/>
              <w:kern w:val="2"/>
              <w:sz w:val="24"/>
              <w:szCs w:val="24"/>
              <w14:ligatures w14:val="standardContextual"/>
            </w:rPr>
          </w:pPr>
          <w:hyperlink w:anchor="_Toc207488910" w:history="1">
            <w:r w:rsidR="00DE2853" w:rsidRPr="00DE2853">
              <w:rPr>
                <w:rStyle w:val="Hyperlink"/>
                <w:rFonts w:ascii="Times New Roman" w:eastAsia="Times New Roman" w:hAnsi="Times New Roman" w:cs="Times New Roman"/>
                <w:noProof/>
                <w:sz w:val="24"/>
                <w:szCs w:val="24"/>
              </w:rPr>
              <w:t>The Multiethnic Cohort</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_Toc207488910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3</w:t>
            </w:r>
            <w:r w:rsidR="00DE2853" w:rsidRPr="00DE2853">
              <w:rPr>
                <w:rFonts w:ascii="Times New Roman" w:hAnsi="Times New Roman" w:cs="Times New Roman"/>
                <w:noProof/>
                <w:webHidden/>
                <w:sz w:val="24"/>
                <w:szCs w:val="24"/>
              </w:rPr>
              <w:fldChar w:fldCharType="end"/>
            </w:r>
          </w:hyperlink>
        </w:p>
        <w:p w14:paraId="452FED4E" w14:textId="5348B127" w:rsidR="00DE2853" w:rsidRPr="00DE2853" w:rsidRDefault="008424CA">
          <w:pPr>
            <w:pStyle w:val="TOC2"/>
            <w:tabs>
              <w:tab w:val="right" w:leader="dot" w:pos="9016"/>
            </w:tabs>
            <w:rPr>
              <w:rFonts w:ascii="Times New Roman" w:eastAsiaTheme="minorEastAsia" w:hAnsi="Times New Roman" w:cs="Times New Roman"/>
              <w:noProof/>
              <w:kern w:val="2"/>
              <w:sz w:val="24"/>
              <w:szCs w:val="24"/>
              <w14:ligatures w14:val="standardContextual"/>
            </w:rPr>
          </w:pPr>
          <w:hyperlink w:anchor="_Toc207488911" w:history="1">
            <w:r w:rsidR="00DE2853" w:rsidRPr="00DE2853">
              <w:rPr>
                <w:rStyle w:val="Hyperlink"/>
                <w:rFonts w:ascii="Times New Roman" w:hAnsi="Times New Roman" w:cs="Times New Roman"/>
                <w:noProof/>
                <w:sz w:val="24"/>
                <w:szCs w:val="24"/>
              </w:rPr>
              <w:t>Cohort-specific heritabilities and genetic correlation analysis</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_Toc207488911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4</w:t>
            </w:r>
            <w:r w:rsidR="00DE2853" w:rsidRPr="00DE2853">
              <w:rPr>
                <w:rFonts w:ascii="Times New Roman" w:hAnsi="Times New Roman" w:cs="Times New Roman"/>
                <w:noProof/>
                <w:webHidden/>
                <w:sz w:val="24"/>
                <w:szCs w:val="24"/>
              </w:rPr>
              <w:fldChar w:fldCharType="end"/>
            </w:r>
          </w:hyperlink>
        </w:p>
        <w:p w14:paraId="5AAF94F0" w14:textId="3B591B5E" w:rsidR="00DE2853" w:rsidRPr="00DE2853" w:rsidRDefault="008424CA">
          <w:pPr>
            <w:pStyle w:val="TOC2"/>
            <w:tabs>
              <w:tab w:val="right" w:leader="dot" w:pos="9016"/>
            </w:tabs>
            <w:rPr>
              <w:rFonts w:ascii="Times New Roman" w:eastAsiaTheme="minorEastAsia" w:hAnsi="Times New Roman" w:cs="Times New Roman"/>
              <w:noProof/>
              <w:kern w:val="2"/>
              <w:sz w:val="24"/>
              <w:szCs w:val="24"/>
              <w14:ligatures w14:val="standardContextual"/>
            </w:rPr>
          </w:pPr>
          <w:hyperlink w:anchor="_Toc207488912" w:history="1">
            <w:r w:rsidR="00DE2853" w:rsidRPr="00DE2853">
              <w:rPr>
                <w:rStyle w:val="Hyperlink"/>
                <w:rFonts w:ascii="Times New Roman" w:hAnsi="Times New Roman" w:cs="Times New Roman"/>
                <w:noProof/>
                <w:sz w:val="24"/>
                <w:szCs w:val="24"/>
              </w:rPr>
              <w:t>Functional mapping and pathway analysis</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_Toc207488912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5</w:t>
            </w:r>
            <w:r w:rsidR="00DE2853" w:rsidRPr="00DE2853">
              <w:rPr>
                <w:rFonts w:ascii="Times New Roman" w:hAnsi="Times New Roman" w:cs="Times New Roman"/>
                <w:noProof/>
                <w:webHidden/>
                <w:sz w:val="24"/>
                <w:szCs w:val="24"/>
              </w:rPr>
              <w:fldChar w:fldCharType="end"/>
            </w:r>
          </w:hyperlink>
        </w:p>
        <w:p w14:paraId="1CF19F98" w14:textId="2E407914" w:rsidR="00DE2853" w:rsidRPr="00DE2853" w:rsidRDefault="008424CA">
          <w:pPr>
            <w:pStyle w:val="TOC2"/>
            <w:tabs>
              <w:tab w:val="right" w:leader="dot" w:pos="9016"/>
            </w:tabs>
            <w:rPr>
              <w:rFonts w:ascii="Times New Roman" w:eastAsiaTheme="minorEastAsia" w:hAnsi="Times New Roman" w:cs="Times New Roman"/>
              <w:noProof/>
              <w:kern w:val="2"/>
              <w:sz w:val="24"/>
              <w:szCs w:val="24"/>
              <w14:ligatures w14:val="standardContextual"/>
            </w:rPr>
          </w:pPr>
          <w:hyperlink w:anchor="_Toc207488913" w:history="1">
            <w:r w:rsidR="00DE2853" w:rsidRPr="00DE2853">
              <w:rPr>
                <w:rStyle w:val="Hyperlink"/>
                <w:rFonts w:ascii="Times New Roman" w:hAnsi="Times New Roman" w:cs="Times New Roman"/>
                <w:noProof/>
                <w:sz w:val="24"/>
                <w:szCs w:val="24"/>
              </w:rPr>
              <w:t>MR-MEGA</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_Toc207488913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5</w:t>
            </w:r>
            <w:r w:rsidR="00DE2853" w:rsidRPr="00DE2853">
              <w:rPr>
                <w:rFonts w:ascii="Times New Roman" w:hAnsi="Times New Roman" w:cs="Times New Roman"/>
                <w:noProof/>
                <w:webHidden/>
                <w:sz w:val="24"/>
                <w:szCs w:val="24"/>
              </w:rPr>
              <w:fldChar w:fldCharType="end"/>
            </w:r>
          </w:hyperlink>
        </w:p>
        <w:p w14:paraId="7C844CFA" w14:textId="47724CBB" w:rsidR="00DE2853" w:rsidRPr="00DE2853" w:rsidRDefault="008424CA">
          <w:pPr>
            <w:pStyle w:val="TOC2"/>
            <w:tabs>
              <w:tab w:val="right" w:leader="dot" w:pos="9016"/>
            </w:tabs>
            <w:rPr>
              <w:rFonts w:ascii="Times New Roman" w:eastAsiaTheme="minorEastAsia" w:hAnsi="Times New Roman" w:cs="Times New Roman"/>
              <w:noProof/>
              <w:kern w:val="2"/>
              <w:sz w:val="24"/>
              <w:szCs w:val="24"/>
              <w14:ligatures w14:val="standardContextual"/>
            </w:rPr>
          </w:pPr>
          <w:hyperlink w:anchor="_Toc207488914" w:history="1">
            <w:r w:rsidR="00DE2853" w:rsidRPr="00DE2853">
              <w:rPr>
                <w:rStyle w:val="Hyperlink"/>
                <w:rFonts w:ascii="Times New Roman" w:hAnsi="Times New Roman" w:cs="Times New Roman"/>
                <w:noProof/>
                <w:sz w:val="24"/>
                <w:szCs w:val="24"/>
              </w:rPr>
              <w:t>Polygenic Risk score and PheWAS analysis</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_Toc207488914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6</w:t>
            </w:r>
            <w:r w:rsidR="00DE2853" w:rsidRPr="00DE2853">
              <w:rPr>
                <w:rFonts w:ascii="Times New Roman" w:hAnsi="Times New Roman" w:cs="Times New Roman"/>
                <w:noProof/>
                <w:webHidden/>
                <w:sz w:val="24"/>
                <w:szCs w:val="24"/>
              </w:rPr>
              <w:fldChar w:fldCharType="end"/>
            </w:r>
          </w:hyperlink>
        </w:p>
        <w:p w14:paraId="7A8A0CF3" w14:textId="12DF2A78" w:rsidR="00DE2853" w:rsidRPr="00DE2853" w:rsidRDefault="008424CA">
          <w:pPr>
            <w:pStyle w:val="TOC2"/>
            <w:tabs>
              <w:tab w:val="right" w:leader="dot" w:pos="9016"/>
            </w:tabs>
            <w:rPr>
              <w:rFonts w:ascii="Times New Roman" w:eastAsiaTheme="minorEastAsia" w:hAnsi="Times New Roman" w:cs="Times New Roman"/>
              <w:noProof/>
              <w:kern w:val="2"/>
              <w:sz w:val="24"/>
              <w:szCs w:val="24"/>
              <w14:ligatures w14:val="standardContextual"/>
            </w:rPr>
          </w:pPr>
          <w:hyperlink w:anchor="_Toc207488915" w:history="1">
            <w:r w:rsidR="00DE2853" w:rsidRPr="00DE2853">
              <w:rPr>
                <w:rStyle w:val="Hyperlink"/>
                <w:rFonts w:ascii="Times New Roman" w:hAnsi="Times New Roman" w:cs="Times New Roman"/>
                <w:noProof/>
                <w:sz w:val="24"/>
                <w:szCs w:val="24"/>
              </w:rPr>
              <w:t>References</w:t>
            </w:r>
            <w:r w:rsidR="00DE2853" w:rsidRPr="00DE2853">
              <w:rPr>
                <w:rFonts w:ascii="Times New Roman" w:hAnsi="Times New Roman" w:cs="Times New Roman"/>
                <w:noProof/>
                <w:webHidden/>
                <w:sz w:val="24"/>
                <w:szCs w:val="24"/>
              </w:rPr>
              <w:tab/>
            </w:r>
            <w:r w:rsidR="00DE2853" w:rsidRPr="00DE2853">
              <w:rPr>
                <w:rFonts w:ascii="Times New Roman" w:hAnsi="Times New Roman" w:cs="Times New Roman"/>
                <w:noProof/>
                <w:webHidden/>
                <w:sz w:val="24"/>
                <w:szCs w:val="24"/>
              </w:rPr>
              <w:fldChar w:fldCharType="begin"/>
            </w:r>
            <w:r w:rsidR="00DE2853" w:rsidRPr="00DE2853">
              <w:rPr>
                <w:rFonts w:ascii="Times New Roman" w:hAnsi="Times New Roman" w:cs="Times New Roman"/>
                <w:noProof/>
                <w:webHidden/>
                <w:sz w:val="24"/>
                <w:szCs w:val="24"/>
              </w:rPr>
              <w:instrText xml:space="preserve"> PAGEREF _Toc207488915 \h </w:instrText>
            </w:r>
            <w:r w:rsidR="00DE2853" w:rsidRPr="00DE2853">
              <w:rPr>
                <w:rFonts w:ascii="Times New Roman" w:hAnsi="Times New Roman" w:cs="Times New Roman"/>
                <w:noProof/>
                <w:webHidden/>
                <w:sz w:val="24"/>
                <w:szCs w:val="24"/>
              </w:rPr>
            </w:r>
            <w:r w:rsidR="00DE2853" w:rsidRPr="00DE2853">
              <w:rPr>
                <w:rFonts w:ascii="Times New Roman" w:hAnsi="Times New Roman" w:cs="Times New Roman"/>
                <w:noProof/>
                <w:webHidden/>
                <w:sz w:val="24"/>
                <w:szCs w:val="24"/>
              </w:rPr>
              <w:fldChar w:fldCharType="separate"/>
            </w:r>
            <w:r w:rsidR="00DE2853" w:rsidRPr="00DE2853">
              <w:rPr>
                <w:rFonts w:ascii="Times New Roman" w:hAnsi="Times New Roman" w:cs="Times New Roman"/>
                <w:noProof/>
                <w:webHidden/>
                <w:sz w:val="24"/>
                <w:szCs w:val="24"/>
              </w:rPr>
              <w:t>7</w:t>
            </w:r>
            <w:r w:rsidR="00DE2853" w:rsidRPr="00DE2853">
              <w:rPr>
                <w:rFonts w:ascii="Times New Roman" w:hAnsi="Times New Roman" w:cs="Times New Roman"/>
                <w:noProof/>
                <w:webHidden/>
                <w:sz w:val="24"/>
                <w:szCs w:val="24"/>
              </w:rPr>
              <w:fldChar w:fldCharType="end"/>
            </w:r>
          </w:hyperlink>
        </w:p>
        <w:p w14:paraId="0000000C" w14:textId="1D1FC954" w:rsidR="00D15613" w:rsidRPr="00DE2853" w:rsidRDefault="00D15613">
          <w:pPr>
            <w:widowControl w:val="0"/>
            <w:tabs>
              <w:tab w:val="right" w:leader="dot" w:pos="12000"/>
            </w:tabs>
            <w:spacing w:before="60" w:after="0" w:line="240" w:lineRule="auto"/>
            <w:rPr>
              <w:rFonts w:ascii="Times New Roman" w:eastAsia="Arial" w:hAnsi="Times New Roman" w:cs="Times New Roman"/>
              <w:b/>
              <w:color w:val="000000"/>
              <w:sz w:val="24"/>
              <w:szCs w:val="24"/>
            </w:rPr>
          </w:pPr>
          <w:r w:rsidRPr="00DE2853">
            <w:rPr>
              <w:rFonts w:ascii="Times New Roman" w:hAnsi="Times New Roman" w:cs="Times New Roman"/>
              <w:sz w:val="24"/>
              <w:szCs w:val="24"/>
            </w:rPr>
            <w:fldChar w:fldCharType="end"/>
          </w:r>
        </w:p>
      </w:sdtContent>
    </w:sdt>
    <w:p w14:paraId="0000000D" w14:textId="77777777" w:rsidR="00D15613" w:rsidRDefault="00D15613"/>
    <w:p w14:paraId="0000000E" w14:textId="6314B8FA" w:rsidR="00D15613" w:rsidRDefault="00922508">
      <w:pPr>
        <w:pStyle w:val="Heading2"/>
        <w:rPr>
          <w:highlight w:val="white"/>
        </w:rPr>
      </w:pPr>
      <w:bookmarkStart w:id="0" w:name="_Toc207488906"/>
      <w:r>
        <w:rPr>
          <w:highlight w:val="white"/>
        </w:rPr>
        <w:t>Cohorts’ descriptions, GWAS phenotyping and genotyping</w:t>
      </w:r>
      <w:bookmarkEnd w:id="0"/>
    </w:p>
    <w:p w14:paraId="0000000F" w14:textId="77777777" w:rsidR="00D15613" w:rsidRDefault="0041356E">
      <w:pPr>
        <w:pStyle w:val="Heading3"/>
      </w:pPr>
      <w:bookmarkStart w:id="1" w:name="_Toc207488907"/>
      <w:r>
        <w:t>The Taiwan Biobank</w:t>
      </w:r>
      <w:bookmarkEnd w:id="1"/>
      <w:r>
        <w:t xml:space="preserve"> </w:t>
      </w:r>
    </w:p>
    <w:p w14:paraId="6B04790E" w14:textId="77777777" w:rsidR="005A67B0" w:rsidRDefault="004135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Taiwan Biobank study recruited 5,000 cancer-free individuals of East Asian ancestry, excluding participants with neurological or psychiatric disorders. First morning urinary melatonin metabolite (aMT6s) levels were measured using an enzyme-linked immunosorbent assay (ELISA) and normalized to creatinine concentrations to adjust for urine dilution. Genotyping was conducted with the Axiom-TWB chip, and quality control procedures were applied using PLINK 1.9</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These included the exclusion of single nucleotide polymorphisms (SNPs) and individuals with high missingness, extreme heterozygosity, or close relatedness. Genotype imputation was performed using SHAPEIT for phasing and IMPUTE2, using the 1000 Genomes Project East Asian reference panel. Variants with insertion-deletion polymorphisms (indels) were excluded from the analysis. Ultimately, 2,373 participants had both urine samples and genotyping data available, meeting the exclusion criteria and passing </w:t>
      </w:r>
      <w:r>
        <w:rPr>
          <w:rFonts w:ascii="Times New Roman" w:eastAsia="Times New Roman" w:hAnsi="Times New Roman" w:cs="Times New Roman"/>
          <w:sz w:val="24"/>
          <w:szCs w:val="24"/>
        </w:rPr>
        <w:lastRenderedPageBreak/>
        <w:t>quality checks. GWAS was performed using a linear regression model in PLINK 1.9</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adjusted for sex, age at sample collection and 10 first principal components of ancestry. </w:t>
      </w:r>
    </w:p>
    <w:p w14:paraId="00000010" w14:textId="371F4FE7" w:rsidR="00D15613" w:rsidRPr="005A67B0" w:rsidRDefault="005A67B0">
      <w:pPr>
        <w:spacing w:after="0" w:line="480" w:lineRule="auto"/>
        <w:rPr>
          <w:rFonts w:ascii="Times New Roman" w:eastAsia="Times New Roman" w:hAnsi="Times New Roman" w:cs="Times New Roman"/>
          <w:sz w:val="24"/>
          <w:szCs w:val="24"/>
        </w:rPr>
      </w:pPr>
      <w:r w:rsidRPr="002A22E0">
        <w:rPr>
          <w:rFonts w:ascii="Times New Roman" w:hAnsi="Times New Roman" w:cs="Times New Roman"/>
          <w:sz w:val="24"/>
          <w:szCs w:val="24"/>
        </w:rPr>
        <w:t>Urinary concentrations of aMT6s in participants from the Taiwan Biobank were quantified using an enzyme-linked immunosorbent assay (ELISA; Human Melatonin Sulfate Kit, Elabscience) following the manufacturer’s instructions. The assay showed no notable cross-reactivity or interference with melatonin sulfate analogs. Calibration standards prepared by serial dilution were analyzed in duplicate. Urine creatinine levels were determined with a chemistry analyzer (AU5800, Beckman Coulter) employing the compensated Jaffe method.</w:t>
      </w:r>
      <w:r w:rsidRPr="005A67B0">
        <w:rPr>
          <w:rFonts w:ascii="Times New Roman" w:eastAsia="Times New Roman" w:hAnsi="Times New Roman" w:cs="Times New Roman"/>
          <w:sz w:val="24"/>
          <w:szCs w:val="24"/>
        </w:rPr>
        <w:t xml:space="preserve"> </w:t>
      </w:r>
      <w:r w:rsidR="0041356E" w:rsidRPr="005A67B0">
        <w:rPr>
          <w:rFonts w:ascii="Times New Roman" w:eastAsia="Times New Roman" w:hAnsi="Times New Roman" w:cs="Times New Roman"/>
          <w:sz w:val="24"/>
          <w:szCs w:val="24"/>
        </w:rPr>
        <w:t>Further details have been described elsewhere</w:t>
      </w:r>
      <w:r w:rsidR="0041356E" w:rsidRPr="005A67B0">
        <w:rPr>
          <w:rFonts w:ascii="Times New Roman" w:eastAsia="Times New Roman" w:hAnsi="Times New Roman" w:cs="Times New Roman"/>
          <w:sz w:val="24"/>
          <w:szCs w:val="24"/>
          <w:vertAlign w:val="superscript"/>
        </w:rPr>
        <w:t>2</w:t>
      </w:r>
      <w:r w:rsidR="0041356E" w:rsidRPr="005A67B0">
        <w:rPr>
          <w:rFonts w:ascii="Times New Roman" w:eastAsia="Times New Roman" w:hAnsi="Times New Roman" w:cs="Times New Roman"/>
          <w:sz w:val="24"/>
          <w:szCs w:val="24"/>
        </w:rPr>
        <w:t xml:space="preserve">. </w:t>
      </w:r>
    </w:p>
    <w:p w14:paraId="00000011" w14:textId="77777777" w:rsidR="00D15613" w:rsidRDefault="0041356E">
      <w:pPr>
        <w:pStyle w:val="Heading3"/>
        <w:spacing w:before="0" w:line="480" w:lineRule="auto"/>
        <w:rPr>
          <w:rFonts w:ascii="Times New Roman" w:eastAsia="Times New Roman" w:hAnsi="Times New Roman" w:cs="Times New Roman"/>
        </w:rPr>
      </w:pPr>
      <w:bookmarkStart w:id="2" w:name="_Toc207488908"/>
      <w:r>
        <w:rPr>
          <w:rFonts w:ascii="Times New Roman" w:eastAsia="Times New Roman" w:hAnsi="Times New Roman" w:cs="Times New Roman"/>
        </w:rPr>
        <w:t>Nurses’ Health Study Cohorts</w:t>
      </w:r>
      <w:bookmarkEnd w:id="2"/>
    </w:p>
    <w:p w14:paraId="00000012" w14:textId="77777777" w:rsidR="00D15613" w:rsidRDefault="0041356E">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NHS1 and NHS2, urinary melatonin levels were assessed in 28 nested case-control studies (12 in NHS1 and 16 in NHS2). A total of 6,979 disease-free women (3,330 from NHS1 and 3,649 from NHS2) provided first-morning spot urine samples, which were assayed for 6-sulfatoxymelatonin (</w:t>
      </w:r>
      <w:r>
        <w:rPr>
          <w:rFonts w:ascii="Times New Roman" w:eastAsia="Times New Roman" w:hAnsi="Times New Roman" w:cs="Times New Roman"/>
          <w:color w:val="0D0D0D"/>
          <w:sz w:val="24"/>
          <w:szCs w:val="24"/>
        </w:rPr>
        <w:t>aMT6s</w:t>
      </w:r>
      <w:r>
        <w:rPr>
          <w:rFonts w:ascii="Times New Roman" w:eastAsia="Times New Roman" w:hAnsi="Times New Roman" w:cs="Times New Roman"/>
          <w:color w:val="000000"/>
          <w:sz w:val="24"/>
          <w:szCs w:val="24"/>
        </w:rPr>
        <w:t>; ng/mL) and creatinine (Cr; mg/dL). Participants self-identifying as Black, Indigenous American, Asian, Hawaiian, other, unknown, or multi-racial were excluded, leaving 6,691 subjects. To account for urine volume, melatonin levels were adjusted to creatinine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log-transformed and further standardized (z-scored) to mitigate batch effects across studies. In the study sample (N = 6,658), 3,861 participants (2,133 from NHS1 and 1,730 from NHS2) had available genetic data. These samples were genotyped on five genotyping platforms: Affymetrix, HumanCoreExome2, Illumina HumanHap, OmniExpress, and OncoArray. Genotype imputation was performed using the TopMed reference panel with minimac4, and variants with imputation quality (R² &lt; 0.7) or minor allele frequency (MAF &lt; 0.01) were excluded. Additionally, individuals with a kinship coefficient &gt; 0.1 were excluded (16 from NHS1 and 11 from NHS2). Single-variant GWAS was performed with </w:t>
      </w:r>
      <w:r>
        <w:rPr>
          <w:rFonts w:ascii="Times New Roman" w:eastAsia="Times New Roman" w:hAnsi="Times New Roman" w:cs="Times New Roman"/>
          <w:sz w:val="24"/>
          <w:szCs w:val="24"/>
        </w:rPr>
        <w:t>PLINK 2.0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lastRenderedPageBreak/>
        <w:t xml:space="preserve">using </w:t>
      </w:r>
      <w:r>
        <w:rPr>
          <w:rFonts w:ascii="Times New Roman" w:eastAsia="Times New Roman" w:hAnsi="Times New Roman" w:cs="Times New Roman"/>
          <w:sz w:val="24"/>
          <w:szCs w:val="24"/>
        </w:rPr>
        <w:t>linear regression model adjusted for age at sample collection, study and 10 first principal components of ancestry</w:t>
      </w:r>
      <w:r>
        <w:rPr>
          <w:rFonts w:ascii="Times New Roman" w:eastAsia="Times New Roman" w:hAnsi="Times New Roman" w:cs="Times New Roman"/>
          <w:color w:val="000000"/>
          <w:sz w:val="24"/>
          <w:szCs w:val="24"/>
        </w:rPr>
        <w:t xml:space="preserve">. </w:t>
      </w:r>
    </w:p>
    <w:p w14:paraId="00000013" w14:textId="77777777" w:rsidR="00D15613" w:rsidRDefault="0041356E">
      <w:pPr>
        <w:pStyle w:val="Heading3"/>
        <w:spacing w:before="0" w:line="480" w:lineRule="auto"/>
        <w:rPr>
          <w:rFonts w:ascii="Times New Roman" w:eastAsia="Times New Roman" w:hAnsi="Times New Roman" w:cs="Times New Roman"/>
        </w:rPr>
      </w:pPr>
      <w:bookmarkStart w:id="3" w:name="_Toc207488909"/>
      <w:r>
        <w:rPr>
          <w:rFonts w:ascii="Times New Roman" w:eastAsia="Times New Roman" w:hAnsi="Times New Roman" w:cs="Times New Roman"/>
        </w:rPr>
        <w:t>The Osteoporotic Fractures in Men (MrOS) Study</w:t>
      </w:r>
      <w:bookmarkEnd w:id="3"/>
    </w:p>
    <w:p w14:paraId="00000014" w14:textId="77777777" w:rsidR="00D15613" w:rsidRDefault="004135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Between 2000 and 2002, 5,994 community-dwelling men aged 65 or older were enrolled to participate in MrOS</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study, an ancillary study of the Osteoporotic Fractures in Men Study, at six clinic sites in the United States (Birmingham, AL; Minneapolis, MN; Palo Alto, CA; Portland, OR; San Diego, CA; and the Monongahela Valley near Pittsburgh, PA). A total of 2,883 spot urine melatonin assays were conducted at the Oregon Clinical and Translational Research Institute (OCTRI) Core Laboratory at Oregon Health and Science University (OHSU) in June 2010. The assays were performed on first-morning void urine samples collected at baseline during the MrOS Sleep Study. Melatonin concentrations were determined as the average of duplicate assay measurements and were normalized to creatinine levels obtained using the Buhlmann 6-sulphatoxymelatonin ELISA (ALPCO Diagnostics Windham, NH) performed at the Portland Oregon Veterans Administration Clinical Laboratory. Furthermore, 2,482 of European ancestry men participating in the MrOS Sleep Study were genotyped (Illumina Human Omni1 Quad v1.0) and consented to DNA use for genetic studies. Imputation was performed using the 1000 Genomes Project reference panel. After exclusion of missing values and outliers, 2,175 white men were included in GWAS analyses. Cohort specific GWAS models were run using PLINK 1.9</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by applying linear regression model adjusted for age, 10 first principal components of ancestry, study site and assessment season to account for potential variation in melatonin levels due to geographic location and seasonal differences. </w:t>
      </w:r>
    </w:p>
    <w:p w14:paraId="00000015" w14:textId="77777777" w:rsidR="00D15613" w:rsidRDefault="0041356E">
      <w:pPr>
        <w:pStyle w:val="Heading3"/>
        <w:spacing w:before="0" w:line="480" w:lineRule="auto"/>
        <w:rPr>
          <w:rFonts w:ascii="Times New Roman" w:eastAsia="Times New Roman" w:hAnsi="Times New Roman" w:cs="Times New Roman"/>
        </w:rPr>
      </w:pPr>
      <w:bookmarkStart w:id="4" w:name="_Toc207488910"/>
      <w:r>
        <w:rPr>
          <w:rFonts w:ascii="Times New Roman" w:eastAsia="Times New Roman" w:hAnsi="Times New Roman" w:cs="Times New Roman"/>
        </w:rPr>
        <w:t>The Multiethnic Cohort</w:t>
      </w:r>
      <w:bookmarkEnd w:id="4"/>
      <w:r>
        <w:rPr>
          <w:rFonts w:ascii="Times New Roman" w:eastAsia="Times New Roman" w:hAnsi="Times New Roman" w:cs="Times New Roman"/>
        </w:rPr>
        <w:t xml:space="preserve"> </w:t>
      </w:r>
    </w:p>
    <w:p w14:paraId="00000016" w14:textId="77777777" w:rsidR="00D15613" w:rsidRDefault="0041356E">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Multiethnic Cohort (MEC) is an ongoing prospective study based in Hawaii and </w:t>
      </w:r>
      <w:r>
        <w:rPr>
          <w:rFonts w:ascii="Times New Roman" w:eastAsia="Times New Roman" w:hAnsi="Times New Roman" w:cs="Times New Roman"/>
          <w:sz w:val="24"/>
          <w:szCs w:val="24"/>
        </w:rPr>
        <w:t>California</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color w:val="000000"/>
          <w:sz w:val="24"/>
          <w:szCs w:val="24"/>
        </w:rPr>
        <w:t xml:space="preserve">, established between 1993 and 1996, during which 215,000 men and women were </w:t>
      </w:r>
      <w:r>
        <w:rPr>
          <w:rFonts w:ascii="Times New Roman" w:eastAsia="Times New Roman" w:hAnsi="Times New Roman" w:cs="Times New Roman"/>
          <w:color w:val="000000"/>
          <w:sz w:val="24"/>
          <w:szCs w:val="24"/>
        </w:rPr>
        <w:lastRenderedPageBreak/>
        <w:t xml:space="preserve">recruited. Among these, 31,136 men provided either a first morning void or overnight urine sample collected between 1995 and 2005. Participants in Hawaii collected overnight urine samples, while those in California provided first morning void urine samples. Both types of samples are designed to capture peak melatonin production during the night.  Urinary 6-sulfatoxymelatonin levels were measured using the Melatonin-Sulfate ELISA (IBL International), while urinary creatinine levels were determined using the Creatinine Jaffe method on a Hitachi 912 analyzer (Roche Diagnostics). Genotyping was conducted using the Applied Biosystems TaqMan assay, and imputation was performed using the 1000 Genomes Project reference panel. Urine samples, along with genetic data, were available for a total of 3,335 men, representing participants from Black, Native Hawaiian, Latino, Japanese American, and White ethnic groups (Table 1). GWAS linear regression models adjusted for 10 first principal components, age, study site and collection season were run using PLINK </w:t>
      </w:r>
      <w:r>
        <w:rPr>
          <w:rFonts w:ascii="Times New Roman" w:eastAsia="Times New Roman" w:hAnsi="Times New Roman" w:cs="Times New Roman"/>
          <w:sz w:val="24"/>
          <w:szCs w:val="24"/>
        </w:rPr>
        <w:t>1.9</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p w14:paraId="00000017" w14:textId="77777777" w:rsidR="00D15613" w:rsidRDefault="0041356E">
      <w:pPr>
        <w:pStyle w:val="Heading2"/>
      </w:pPr>
      <w:bookmarkStart w:id="5" w:name="_Toc207488911"/>
      <w:r>
        <w:t>Cohort-specific heritabilities and genetic correlation analysis</w:t>
      </w:r>
      <w:bookmarkEnd w:id="5"/>
      <w:r>
        <w:t xml:space="preserve"> </w:t>
      </w:r>
    </w:p>
    <w:p w14:paraId="00000018" w14:textId="77777777" w:rsidR="00D15613" w:rsidRDefault="004135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our meta-analysis included studies with different ethnic backgrounds, we calculated cohort-specific heritability estimates from corresponding GWAS summary statistics </w:t>
      </w:r>
      <w:r>
        <w:rPr>
          <w:rFonts w:ascii="Times New Roman" w:eastAsia="Times New Roman" w:hAnsi="Times New Roman" w:cs="Times New Roman"/>
          <w:color w:val="000000"/>
          <w:sz w:val="24"/>
          <w:szCs w:val="24"/>
        </w:rPr>
        <w:t xml:space="preserve">using </w:t>
      </w:r>
      <w:r>
        <w:rPr>
          <w:rFonts w:ascii="Times New Roman" w:eastAsia="Times New Roman" w:hAnsi="Times New Roman" w:cs="Times New Roman"/>
          <w:sz w:val="24"/>
          <w:szCs w:val="24"/>
        </w:rPr>
        <w:t>Linkage Disequilibrium Score Regression (LDSC)</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To ensure only well-imputed, common SNPs, summary statistics were filtered to include only high-quality SNPs from the HapMap 3 reference panel (</w:t>
      </w:r>
      <w:hyperlink r:id="rId7">
        <w:r w:rsidR="00D15613">
          <w:rPr>
            <w:rFonts w:ascii="Times New Roman" w:eastAsia="Times New Roman" w:hAnsi="Times New Roman" w:cs="Times New Roman"/>
            <w:color w:val="467886"/>
            <w:sz w:val="24"/>
            <w:szCs w:val="24"/>
            <w:u w:val="single"/>
          </w:rPr>
          <w:t>https://ibg.colorado.edu/cdrom2021/Day06-nivard/GenomicSEM_practical/eur_w_ld_chr/</w:t>
        </w:r>
      </w:hyperlink>
      <w:r>
        <w:rPr>
          <w:rFonts w:ascii="Times New Roman" w:eastAsia="Times New Roman" w:hAnsi="Times New Roman" w:cs="Times New Roman"/>
          <w:sz w:val="24"/>
          <w:szCs w:val="24"/>
        </w:rPr>
        <w:t xml:space="preserve"> ). The </w:t>
      </w:r>
      <w:r>
        <w:rPr>
          <w:rFonts w:ascii="Times New Roman" w:eastAsia="Times New Roman" w:hAnsi="Times New Roman" w:cs="Times New Roman"/>
          <w:color w:val="000000"/>
          <w:sz w:val="24"/>
          <w:szCs w:val="24"/>
          <w:highlight w:val="white"/>
        </w:rPr>
        <w:t xml:space="preserve">European </w:t>
      </w:r>
      <w:r>
        <w:rPr>
          <w:rFonts w:ascii="Times New Roman" w:eastAsia="Times New Roman" w:hAnsi="Times New Roman" w:cs="Times New Roman"/>
          <w:sz w:val="24"/>
          <w:szCs w:val="24"/>
          <w:highlight w:val="white"/>
        </w:rPr>
        <w:t xml:space="preserve">LD score panel </w:t>
      </w:r>
      <w:r>
        <w:rPr>
          <w:rFonts w:ascii="Times New Roman" w:eastAsia="Times New Roman" w:hAnsi="Times New Roman" w:cs="Times New Roman"/>
          <w:color w:val="000000"/>
          <w:sz w:val="24"/>
          <w:szCs w:val="24"/>
          <w:highlight w:val="white"/>
        </w:rPr>
        <w:t>(</w:t>
      </w:r>
      <w:hyperlink r:id="rId8">
        <w:r w:rsidR="00D15613">
          <w:rPr>
            <w:rFonts w:ascii="Times New Roman" w:eastAsia="Times New Roman" w:hAnsi="Times New Roman" w:cs="Times New Roman"/>
            <w:color w:val="467886"/>
            <w:sz w:val="24"/>
            <w:szCs w:val="24"/>
            <w:u w:val="single"/>
          </w:rPr>
          <w:t>https://zenodo.org/records/8182036</w:t>
        </w:r>
      </w:hyperlink>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 xml:space="preserve">from the 1000 Genomes Project </w:t>
      </w:r>
      <w:r>
        <w:rPr>
          <w:rFonts w:ascii="Times New Roman" w:eastAsia="Times New Roman" w:hAnsi="Times New Roman" w:cs="Times New Roman"/>
          <w:sz w:val="24"/>
          <w:szCs w:val="24"/>
        </w:rPr>
        <w:t>was used to calculate heritability in the NHS and MrOS, and the corresponding East Asian ancestry specific LD</w:t>
      </w:r>
      <w:r>
        <w:rPr>
          <w:rFonts w:ascii="Times New Roman" w:eastAsia="Times New Roman" w:hAnsi="Times New Roman" w:cs="Times New Roman"/>
          <w:color w:val="0563C1"/>
          <w:sz w:val="24"/>
          <w:szCs w:val="24"/>
        </w:rPr>
        <w:t xml:space="preserve"> </w:t>
      </w:r>
      <w:r>
        <w:rPr>
          <w:rFonts w:ascii="Times New Roman" w:eastAsia="Times New Roman" w:hAnsi="Times New Roman" w:cs="Times New Roman"/>
          <w:sz w:val="24"/>
          <w:szCs w:val="24"/>
        </w:rPr>
        <w:t>panel (</w:t>
      </w:r>
      <w:hyperlink r:id="rId9">
        <w:r w:rsidR="00D15613">
          <w:rPr>
            <w:rFonts w:ascii="Times New Roman" w:eastAsia="Times New Roman" w:hAnsi="Times New Roman" w:cs="Times New Roman"/>
            <w:color w:val="467886"/>
            <w:sz w:val="24"/>
            <w:szCs w:val="24"/>
            <w:u w:val="single"/>
          </w:rPr>
          <w:t>https://drive.google.com/file/d/1BtpWx02ON33KfjyCFSdmoWYlMZWImh2f/view</w:t>
        </w:r>
      </w:hyperlink>
      <w:r>
        <w:rPr>
          <w:rFonts w:ascii="Times New Roman" w:eastAsia="Times New Roman" w:hAnsi="Times New Roman" w:cs="Times New Roman"/>
          <w:sz w:val="24"/>
          <w:szCs w:val="24"/>
        </w:rPr>
        <w:t xml:space="preserve"> ) was used to calculate heritability in the TBB cohort.</w:t>
      </w:r>
    </w:p>
    <w:p w14:paraId="00000019" w14:textId="77777777" w:rsidR="00D15613" w:rsidRDefault="0041356E">
      <w:pPr>
        <w:pBdr>
          <w:top w:val="nil"/>
          <w:left w:val="nil"/>
          <w:bottom w:val="nil"/>
          <w:right w:val="nil"/>
          <w:between w:val="nil"/>
        </w:pBdr>
        <w:spacing w:after="0" w:line="480" w:lineRule="auto"/>
        <w:rPr>
          <w:rFonts w:ascii="Times New Roman" w:eastAsia="Times New Roman" w:hAnsi="Times New Roman" w:cs="Times New Roman"/>
          <w:b/>
          <w:strike/>
          <w:color w:val="000000"/>
          <w:sz w:val="24"/>
          <w:szCs w:val="24"/>
        </w:rPr>
      </w:pPr>
      <w:r>
        <w:rPr>
          <w:rFonts w:ascii="Times New Roman" w:eastAsia="Times New Roman" w:hAnsi="Times New Roman" w:cs="Times New Roman"/>
          <w:color w:val="000000"/>
          <w:sz w:val="24"/>
          <w:szCs w:val="24"/>
        </w:rPr>
        <w:lastRenderedPageBreak/>
        <w:t xml:space="preserve">To investigate genetic correlations between European (EUR) and East Asian (EAS) populations for urinary 6-sulfatoxymelatonin levels, we used precomputed genetic scores for EUR and EAS populations from the 1000 </w:t>
      </w:r>
      <w:r>
        <w:rPr>
          <w:rFonts w:ascii="Times New Roman" w:eastAsia="Times New Roman" w:hAnsi="Times New Roman" w:cs="Times New Roman"/>
          <w:sz w:val="24"/>
          <w:szCs w:val="24"/>
        </w:rPr>
        <w:t>Genomes Project</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color w:val="000000"/>
          <w:sz w:val="24"/>
          <w:szCs w:val="24"/>
        </w:rPr>
        <w:t xml:space="preserve">, together with summary statistics derived from our GWAS results. We </w:t>
      </w:r>
      <w:r>
        <w:rPr>
          <w:rFonts w:ascii="Times New Roman" w:eastAsia="Times New Roman" w:hAnsi="Times New Roman" w:cs="Times New Roman"/>
          <w:sz w:val="24"/>
          <w:szCs w:val="24"/>
        </w:rPr>
        <w:t>used the Python</w:t>
      </w:r>
      <w:r>
        <w:rPr>
          <w:rFonts w:ascii="Times New Roman" w:eastAsia="Times New Roman" w:hAnsi="Times New Roman" w:cs="Times New Roman"/>
          <w:color w:val="000000"/>
          <w:sz w:val="24"/>
          <w:szCs w:val="24"/>
        </w:rPr>
        <w:t xml:space="preserve"> package Popcor</w:t>
      </w: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which utilizes GWAS summary statistics from different populations applying a Bayesian approach. Popcorn provides cross population genetic-effect-correlation, being a correlation coefficient of per-allele SNP effect sizes, as well as genetic-impact correlation, which is a correlation between per-allele SNP effect sizes weighted by allele specific frequency</w:t>
      </w:r>
      <w:r>
        <w:rPr>
          <w:rFonts w:ascii="Times New Roman" w:eastAsia="Times New Roman" w:hAnsi="Times New Roman" w:cs="Times New Roman"/>
          <w:color w:val="1F2328"/>
          <w:sz w:val="24"/>
          <w:szCs w:val="24"/>
          <w:highlight w:val="white"/>
        </w:rPr>
        <w:t>.</w:t>
      </w:r>
      <w:r>
        <w:rPr>
          <w:rFonts w:ascii="Times New Roman" w:eastAsia="Times New Roman" w:hAnsi="Times New Roman" w:cs="Times New Roman"/>
          <w:color w:val="000000"/>
          <w:sz w:val="24"/>
          <w:szCs w:val="24"/>
        </w:rPr>
        <w:t xml:space="preserve"> Genetic correlations were also calculated using linkage disequilibrium score regression </w:t>
      </w:r>
      <w:r>
        <w:rPr>
          <w:rFonts w:ascii="Times New Roman" w:eastAsia="Times New Roman" w:hAnsi="Times New Roman" w:cs="Times New Roman"/>
          <w:sz w:val="24"/>
          <w:szCs w:val="24"/>
        </w:rPr>
        <w:t>(LDSC)</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color w:val="000000"/>
          <w:sz w:val="24"/>
          <w:szCs w:val="24"/>
        </w:rPr>
        <w:t xml:space="preserve">. </w:t>
      </w:r>
    </w:p>
    <w:p w14:paraId="0000001A" w14:textId="77777777" w:rsidR="00D15613" w:rsidRDefault="0041356E">
      <w:pPr>
        <w:pStyle w:val="Heading2"/>
      </w:pPr>
      <w:bookmarkStart w:id="6" w:name="_Toc207488912"/>
      <w:r>
        <w:t>Functional mapping and pathway analysis</w:t>
      </w:r>
      <w:bookmarkEnd w:id="6"/>
    </w:p>
    <w:p w14:paraId="0000001B" w14:textId="77777777" w:rsidR="00D15613" w:rsidRPr="00DE0E9F" w:rsidRDefault="0041356E">
      <w:pPr>
        <w:spacing w:after="0" w:line="480" w:lineRule="auto"/>
        <w:rPr>
          <w:rFonts w:ascii="Times New Roman" w:eastAsia="Times New Roman" w:hAnsi="Times New Roman" w:cs="Times New Roman"/>
          <w:sz w:val="24"/>
          <w:szCs w:val="24"/>
        </w:rPr>
      </w:pPr>
      <w:r w:rsidRPr="00DE0E9F">
        <w:rPr>
          <w:rFonts w:ascii="Times New Roman" w:eastAsia="Times New Roman" w:hAnsi="Times New Roman" w:cs="Times New Roman"/>
          <w:sz w:val="24"/>
          <w:szCs w:val="24"/>
        </w:rPr>
        <w:t>In FUMA, independent significant SNPs are identified by grouping all significant variants with LD r</w:t>
      </w:r>
      <w:r w:rsidRPr="00DE0E9F">
        <w:rPr>
          <w:rFonts w:ascii="Times New Roman" w:eastAsia="Times New Roman" w:hAnsi="Times New Roman" w:cs="Times New Roman"/>
          <w:sz w:val="24"/>
          <w:szCs w:val="24"/>
          <w:vertAlign w:val="superscript"/>
        </w:rPr>
        <w:t>2</w:t>
      </w:r>
      <w:sdt>
        <w:sdtPr>
          <w:rPr>
            <w:rFonts w:ascii="Times New Roman" w:hAnsi="Times New Roman" w:cs="Times New Roman"/>
          </w:rPr>
          <w:tag w:val="goog_rdk_0"/>
          <w:id w:val="-333166638"/>
        </w:sdtPr>
        <w:sdtEndPr/>
        <w:sdtContent>
          <w:r w:rsidRPr="00DE0E9F">
            <w:rPr>
              <w:rFonts w:ascii="Times New Roman" w:eastAsia="Gungsuh" w:hAnsi="Times New Roman" w:cs="Times New Roman"/>
              <w:sz w:val="24"/>
              <w:szCs w:val="24"/>
            </w:rPr>
            <w:t>≥0.6. A locus is defined by merging LD blocks of independent significant SNPs that are located within 250 kilobases of one another. The boundaries of the locus are determined by locating SNPs in LD (r</w:t>
          </w:r>
        </w:sdtContent>
      </w:sdt>
      <w:r w:rsidRPr="00DE0E9F">
        <w:rPr>
          <w:rFonts w:ascii="Times New Roman" w:eastAsia="Times New Roman" w:hAnsi="Times New Roman" w:cs="Times New Roman"/>
          <w:sz w:val="24"/>
          <w:szCs w:val="24"/>
          <w:vertAlign w:val="superscript"/>
        </w:rPr>
        <w:t>2</w:t>
      </w:r>
      <w:sdt>
        <w:sdtPr>
          <w:rPr>
            <w:rFonts w:ascii="Times New Roman" w:hAnsi="Times New Roman" w:cs="Times New Roman"/>
          </w:rPr>
          <w:tag w:val="goog_rdk_1"/>
          <w:id w:val="-1446037091"/>
        </w:sdtPr>
        <w:sdtEndPr/>
        <w:sdtContent>
          <w:r w:rsidRPr="00DE0E9F">
            <w:rPr>
              <w:rFonts w:ascii="Times New Roman" w:eastAsia="Gungsuh" w:hAnsi="Times New Roman" w:cs="Times New Roman"/>
              <w:sz w:val="24"/>
              <w:szCs w:val="24"/>
            </w:rPr>
            <w:t>≥0.6) with the independent significant SNPs and establishing a region that includes all such SNPs within the locus. Additionally, lead SNPs within the locus are identified through successive clumping of all independent significant SNPs in the genomic region using an LD threshold of r</w:t>
          </w:r>
        </w:sdtContent>
      </w:sdt>
      <w:r w:rsidRPr="00DE0E9F">
        <w:rPr>
          <w:rFonts w:ascii="Times New Roman" w:eastAsia="Times New Roman" w:hAnsi="Times New Roman" w:cs="Times New Roman"/>
          <w:sz w:val="24"/>
          <w:szCs w:val="24"/>
          <w:vertAlign w:val="superscript"/>
        </w:rPr>
        <w:t>2</w:t>
      </w:r>
      <w:sdt>
        <w:sdtPr>
          <w:rPr>
            <w:rFonts w:ascii="Times New Roman" w:hAnsi="Times New Roman" w:cs="Times New Roman"/>
          </w:rPr>
          <w:tag w:val="goog_rdk_2"/>
          <w:id w:val="-1354649027"/>
        </w:sdtPr>
        <w:sdtEndPr/>
        <w:sdtContent>
          <w:r w:rsidRPr="00DE0E9F">
            <w:rPr>
              <w:rFonts w:ascii="Times New Roman" w:eastAsia="Gungsuh" w:hAnsi="Times New Roman" w:cs="Times New Roman"/>
              <w:sz w:val="24"/>
              <w:szCs w:val="24"/>
            </w:rPr>
            <w:t>≥0.1. To check for enrichment in gene ontology and gene expression data from tissues in GTEx v8</w:t>
          </w:r>
        </w:sdtContent>
      </w:sdt>
      <w:r w:rsidRPr="00DE0E9F">
        <w:rPr>
          <w:rFonts w:ascii="Times New Roman" w:eastAsia="Times New Roman" w:hAnsi="Times New Roman" w:cs="Times New Roman"/>
          <w:sz w:val="24"/>
          <w:szCs w:val="24"/>
          <w:vertAlign w:val="superscript"/>
        </w:rPr>
        <w:t>10</w:t>
      </w:r>
      <w:r w:rsidRPr="00DE0E9F">
        <w:rPr>
          <w:rFonts w:ascii="Times New Roman" w:eastAsia="Times New Roman" w:hAnsi="Times New Roman" w:cs="Times New Roman"/>
          <w:sz w:val="24"/>
          <w:szCs w:val="24"/>
        </w:rPr>
        <w:t xml:space="preserve"> we used MAGMA</w:t>
      </w:r>
      <w:r w:rsidRPr="00DE0E9F">
        <w:rPr>
          <w:rFonts w:ascii="Times New Roman" w:eastAsia="Times New Roman" w:hAnsi="Times New Roman" w:cs="Times New Roman"/>
          <w:sz w:val="24"/>
          <w:szCs w:val="24"/>
          <w:vertAlign w:val="superscript"/>
        </w:rPr>
        <w:t>11</w:t>
      </w:r>
      <w:r w:rsidRPr="00DE0E9F">
        <w:rPr>
          <w:rFonts w:ascii="Times New Roman" w:eastAsia="Times New Roman" w:hAnsi="Times New Roman" w:cs="Times New Roman"/>
          <w:sz w:val="24"/>
          <w:szCs w:val="24"/>
        </w:rPr>
        <w:t xml:space="preserve"> v1.08.  The gene expression dataset provided by FUMA was utilized to conduct tissue enrichment analysis. Pathway analyses of genes mapped by FUMA's SNP2GENE tool were carried out via FUMA GENE2FUNC with default parameters.</w:t>
      </w:r>
    </w:p>
    <w:p w14:paraId="0000001C" w14:textId="77777777" w:rsidR="00D15613" w:rsidRDefault="0041356E">
      <w:pPr>
        <w:pStyle w:val="Heading2"/>
        <w:spacing w:after="0" w:line="480" w:lineRule="auto"/>
        <w:rPr>
          <w:sz w:val="28"/>
          <w:szCs w:val="28"/>
        </w:rPr>
      </w:pPr>
      <w:bookmarkStart w:id="7" w:name="_Toc207488913"/>
      <w:r>
        <w:rPr>
          <w:sz w:val="28"/>
          <w:szCs w:val="28"/>
        </w:rPr>
        <w:t>MR-MEGA</w:t>
      </w:r>
      <w:bookmarkEnd w:id="7"/>
    </w:p>
    <w:p w14:paraId="0000001D" w14:textId="77777777" w:rsidR="00D15613" w:rsidRDefault="0041356E">
      <w:pPr>
        <w:spacing w:after="0" w:line="48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MR-MEGA conducts a meta-regression analysis by creating axes of genetic variation specific to each cohort, which are next used as covariates in the meta-analysis to adjust for possible differences in population structure. This approach allows distinguishing between ancestral </w:t>
      </w:r>
      <w:r>
        <w:rPr>
          <w:rFonts w:ascii="Times New Roman" w:eastAsia="Times New Roman" w:hAnsi="Times New Roman" w:cs="Times New Roman"/>
          <w:sz w:val="24"/>
          <w:szCs w:val="24"/>
        </w:rPr>
        <w:lastRenderedPageBreak/>
        <w:t>and residual sources of heterogeneity. Although MR-MEGA shows an increased power to detect SNPs associations under both fixed and random effects meta-analysis settings</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for variants with homogenous effects across populations its power is reduced</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To account for these aspects and potentially detect genetic variants with both homogeneous and heterogeneous effects across study cohorts, we applied both METAL and MR-MEGA methods.</w:t>
      </w:r>
    </w:p>
    <w:p w14:paraId="0000001E" w14:textId="77777777" w:rsidR="00D15613" w:rsidRDefault="00D15613">
      <w:pPr>
        <w:spacing w:after="0" w:line="480" w:lineRule="auto"/>
        <w:rPr>
          <w:rFonts w:ascii="Times New Roman" w:eastAsia="Times New Roman" w:hAnsi="Times New Roman" w:cs="Times New Roman"/>
          <w:sz w:val="24"/>
          <w:szCs w:val="24"/>
        </w:rPr>
      </w:pPr>
    </w:p>
    <w:p w14:paraId="0000001F" w14:textId="588ADDBB" w:rsidR="00D15613" w:rsidRDefault="0041356E">
      <w:pPr>
        <w:pStyle w:val="Heading2"/>
      </w:pPr>
      <w:bookmarkStart w:id="8" w:name="_Toc207488914"/>
      <w:r>
        <w:t xml:space="preserve">Polygenic Risk score </w:t>
      </w:r>
      <w:r w:rsidR="00180CE5">
        <w:t xml:space="preserve">and PheWAS </w:t>
      </w:r>
      <w:r>
        <w:t>analysis</w:t>
      </w:r>
      <w:bookmarkEnd w:id="8"/>
      <w:r>
        <w:t xml:space="preserve"> </w:t>
      </w:r>
    </w:p>
    <w:p w14:paraId="00000020" w14:textId="77777777" w:rsidR="00D15613" w:rsidRDefault="004135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Polygenic Risk Scores for the urinary aMT6s were constructed by using PRS-CSx</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w:t>
      </w:r>
      <w:hyperlink r:id="rId10">
        <w:r w:rsidR="00D15613">
          <w:rPr>
            <w:rFonts w:ascii="Times New Roman" w:eastAsia="Times New Roman" w:hAnsi="Times New Roman" w:cs="Times New Roman"/>
            <w:color w:val="0563C1"/>
            <w:sz w:val="24"/>
            <w:szCs w:val="24"/>
            <w:u w:val="single"/>
          </w:rPr>
          <w:t>https://github.com/getian107/PRScsx</w:t>
        </w:r>
      </w:hyperlink>
      <w:r>
        <w:rPr>
          <w:rFonts w:ascii="Times New Roman" w:eastAsia="Times New Roman" w:hAnsi="Times New Roman" w:cs="Times New Roman"/>
          <w:sz w:val="24"/>
          <w:szCs w:val="24"/>
        </w:rPr>
        <w:t>) which integrates GWAS summary statistics from multiple populations and uses continuous shrinkage (CS) priors across populations. We applied PRS-CSx to cohort specific summary statistics and performed i</w:t>
      </w:r>
      <w:r>
        <w:rPr>
          <w:rFonts w:ascii="Times New Roman" w:eastAsia="Times New Roman" w:hAnsi="Times New Roman" w:cs="Times New Roman"/>
          <w:color w:val="1F2328"/>
          <w:sz w:val="24"/>
          <w:szCs w:val="24"/>
          <w:highlight w:val="white"/>
        </w:rPr>
        <w:t xml:space="preserve">nverse-variance-weighted meta-analysis (option ‘--meta’). This approach provides </w:t>
      </w:r>
      <w:r>
        <w:rPr>
          <w:rFonts w:ascii="Times New Roman" w:eastAsia="Times New Roman" w:hAnsi="Times New Roman" w:cs="Times New Roman"/>
          <w:sz w:val="24"/>
          <w:szCs w:val="24"/>
        </w:rPr>
        <w:t>all posterior samples of the SNPs effect sizes (after excluding burn-in samples and accounting for thinning) enabling calculation of posterior means, variances, individual PRSs, and confidence intervals. We obtained posterior effect size estimates for East Asian and European populations, as well as posterior effect sizes estimates from meta-analysis of all participating cohorts. Studies participating in the meta-analysis (TBB, NHS, MrOS and MEC) were used as discovery cohorts. The threshold for selecting SNPs was set to a p-value of 0.05. Obtained posterior effect size estimates were then used to calculate ancestry specific (EAS and EUR) and overall (META-PRS) polygenic risk scores using UK Biobank</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as a validation cohort. </w:t>
      </w:r>
    </w:p>
    <w:p w14:paraId="00000021" w14:textId="77777777" w:rsidR="00D15613" w:rsidRDefault="004135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the UK Biobank, we used the DeepPheWAS pipeline:</w:t>
      </w:r>
    </w:p>
    <w:p w14:paraId="00000022" w14:textId="77777777" w:rsidR="00D15613" w:rsidRDefault="004135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https://richard-packer.github.io/DeepPheWAS_site/docs/Data.html</w:t>
      </w:r>
    </w:p>
    <w:p w14:paraId="00000023" w14:textId="77777777" w:rsidR="00D15613" w:rsidRDefault="004135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analysis included 1,510 phenotypes defined by ICD-9 and ICD-10 codes.</w:t>
      </w:r>
    </w:p>
    <w:p w14:paraId="00000024" w14:textId="77777777" w:rsidR="00D15613" w:rsidRDefault="004135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Phenotypes were created as described here </w:t>
      </w:r>
      <w:hyperlink r:id="rId11">
        <w:r w:rsidR="00D15613">
          <w:rPr>
            <w:rFonts w:ascii="Times New Roman" w:eastAsia="Times New Roman" w:hAnsi="Times New Roman" w:cs="Times New Roman"/>
            <w:color w:val="1155CC"/>
            <w:sz w:val="24"/>
            <w:szCs w:val="24"/>
            <w:u w:val="single"/>
          </w:rPr>
          <w:t>https://richard-packer.github.io/DeepPheWAS_site/docs/Running%20a%20PheWAS/phenotype_prep.html</w:t>
        </w:r>
      </w:hyperlink>
      <w:r>
        <w:rPr>
          <w:rFonts w:ascii="Times New Roman" w:eastAsia="Times New Roman" w:hAnsi="Times New Roman" w:cs="Times New Roman"/>
          <w:sz w:val="24"/>
          <w:szCs w:val="24"/>
        </w:rPr>
        <w:t xml:space="preserve"> </w:t>
      </w:r>
    </w:p>
    <w:p w14:paraId="00000025" w14:textId="77777777" w:rsidR="00D15613" w:rsidRDefault="004135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./01_phenotype_preparation.R script with default parameters (i.e. 50 and 100 as arguments --</w:t>
      </w:r>
      <w:proofErr w:type="spellStart"/>
      <w:r>
        <w:rPr>
          <w:rFonts w:ascii="Times New Roman" w:eastAsia="Times New Roman" w:hAnsi="Times New Roman" w:cs="Times New Roman"/>
          <w:sz w:val="24"/>
          <w:szCs w:val="24"/>
        </w:rPr>
        <w:t>quantitative_Case_N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binary_Case_N</w:t>
      </w:r>
      <w:proofErr w:type="spellEnd"/>
      <w:r>
        <w:rPr>
          <w:rFonts w:ascii="Times New Roman" w:eastAsia="Times New Roman" w:hAnsi="Times New Roman" w:cs="Times New Roman"/>
          <w:sz w:val="24"/>
          <w:szCs w:val="24"/>
        </w:rPr>
        <w:t>,  respectively) and excluding related individuals. Phenotypes with fewer than 500 cases were excluded from the study. This selection process resulted in a final set of 1,090 phenotypes.</w:t>
      </w:r>
    </w:p>
    <w:p w14:paraId="00000027" w14:textId="37AD29CE" w:rsidR="00D15613" w:rsidRPr="00552FDC" w:rsidRDefault="0041356E">
      <w:pPr>
        <w:spacing w:after="0" w:line="480" w:lineRule="auto"/>
        <w:rPr>
          <w:rFonts w:ascii="Times New Roman" w:eastAsia="Times New Roman" w:hAnsi="Times New Roman" w:cs="Times New Roman"/>
          <w:color w:val="1F2328"/>
          <w:sz w:val="24"/>
          <w:szCs w:val="24"/>
          <w:highlight w:val="white"/>
        </w:rPr>
      </w:pPr>
      <w:r>
        <w:rPr>
          <w:rFonts w:ascii="Times New Roman" w:eastAsia="Times New Roman" w:hAnsi="Times New Roman" w:cs="Times New Roman"/>
          <w:sz w:val="24"/>
          <w:szCs w:val="24"/>
        </w:rPr>
        <w:t>Further</w:t>
      </w:r>
      <w:r w:rsidR="00693616">
        <w:rPr>
          <w:rFonts w:ascii="Times New Roman" w:eastAsia="Times New Roman" w:hAnsi="Times New Roman" w:cs="Times New Roman"/>
          <w:sz w:val="24"/>
          <w:szCs w:val="24"/>
        </w:rPr>
        <w:t xml:space="preserve"> details and results can be found in </w:t>
      </w:r>
      <w:r w:rsidR="00C21ACC">
        <w:rPr>
          <w:rFonts w:ascii="Times New Roman" w:eastAsia="Times New Roman" w:hAnsi="Times New Roman" w:cs="Times New Roman"/>
          <w:sz w:val="24"/>
          <w:szCs w:val="24"/>
        </w:rPr>
        <w:t>“</w:t>
      </w:r>
      <w:r w:rsidR="00C21ACC" w:rsidRPr="00C21ACC">
        <w:rPr>
          <w:rFonts w:ascii="Times New Roman" w:eastAsia="Times New Roman" w:hAnsi="Times New Roman" w:cs="Times New Roman"/>
          <w:sz w:val="24"/>
          <w:szCs w:val="24"/>
        </w:rPr>
        <w:t>Supplement_D_PRS_and_PheWAS_methods_and_results.docx</w:t>
      </w:r>
      <w:r w:rsidR="00C21A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028" w14:textId="77777777" w:rsidR="00D15613" w:rsidRDefault="0041356E">
      <w:pPr>
        <w:pStyle w:val="Heading2"/>
      </w:pPr>
      <w:bookmarkStart w:id="9" w:name="_Toc207488915"/>
      <w:r>
        <w:t>References</w:t>
      </w:r>
      <w:bookmarkEnd w:id="9"/>
    </w:p>
    <w:p w14:paraId="00000029"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1.</w:t>
      </w:r>
      <w:r>
        <w:rPr>
          <w:color w:val="000000"/>
        </w:rPr>
        <w:tab/>
        <w:t xml:space="preserve">Purcell, S. </w:t>
      </w:r>
      <w:r>
        <w:rPr>
          <w:i/>
          <w:color w:val="000000"/>
        </w:rPr>
        <w:t>et al.</w:t>
      </w:r>
      <w:r>
        <w:rPr>
          <w:color w:val="000000"/>
        </w:rPr>
        <w:t xml:space="preserve"> PLINK: A Tool Set for Whole-Genome Association and Population-Based Linkage Analyses. </w:t>
      </w:r>
      <w:r>
        <w:rPr>
          <w:i/>
          <w:color w:val="000000"/>
        </w:rPr>
        <w:t>Am. J. Hum. Genet.</w:t>
      </w:r>
      <w:r>
        <w:rPr>
          <w:color w:val="000000"/>
        </w:rPr>
        <w:t xml:space="preserve"> </w:t>
      </w:r>
      <w:r>
        <w:rPr>
          <w:b/>
          <w:color w:val="000000"/>
        </w:rPr>
        <w:t>81</w:t>
      </w:r>
      <w:r>
        <w:rPr>
          <w:color w:val="000000"/>
        </w:rPr>
        <w:t>, 559–575 (2007).</w:t>
      </w:r>
    </w:p>
    <w:p w14:paraId="0000002A"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2.</w:t>
      </w:r>
      <w:r>
        <w:rPr>
          <w:color w:val="000000"/>
        </w:rPr>
        <w:tab/>
        <w:t xml:space="preserve">Liu, P.-H. </w:t>
      </w:r>
      <w:r>
        <w:rPr>
          <w:i/>
          <w:color w:val="000000"/>
        </w:rPr>
        <w:t>et al.</w:t>
      </w:r>
      <w:r>
        <w:rPr>
          <w:color w:val="000000"/>
        </w:rPr>
        <w:t xml:space="preserve"> A genome-wide association study for melatonin secretion. </w:t>
      </w:r>
      <w:r>
        <w:rPr>
          <w:i/>
          <w:color w:val="000000"/>
        </w:rPr>
        <w:t>Sci. Rep.</w:t>
      </w:r>
      <w:r>
        <w:rPr>
          <w:color w:val="000000"/>
        </w:rPr>
        <w:t xml:space="preserve"> </w:t>
      </w:r>
      <w:r>
        <w:rPr>
          <w:b/>
          <w:color w:val="000000"/>
        </w:rPr>
        <w:t>12</w:t>
      </w:r>
      <w:r>
        <w:rPr>
          <w:color w:val="000000"/>
        </w:rPr>
        <w:t>, 8025 (2022).</w:t>
      </w:r>
    </w:p>
    <w:p w14:paraId="0000002B"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3.</w:t>
      </w:r>
      <w:r>
        <w:rPr>
          <w:color w:val="000000"/>
        </w:rPr>
        <w:tab/>
        <w:t xml:space="preserve">Chang, C. C. </w:t>
      </w:r>
      <w:r>
        <w:rPr>
          <w:i/>
          <w:color w:val="000000"/>
        </w:rPr>
        <w:t>et al.</w:t>
      </w:r>
      <w:r>
        <w:rPr>
          <w:color w:val="000000"/>
        </w:rPr>
        <w:t xml:space="preserve"> Second-generation PLINK: rising to the challenge of larger and richer datasets. </w:t>
      </w:r>
      <w:proofErr w:type="spellStart"/>
      <w:r>
        <w:rPr>
          <w:i/>
          <w:color w:val="000000"/>
        </w:rPr>
        <w:t>GigaScience</w:t>
      </w:r>
      <w:proofErr w:type="spellEnd"/>
      <w:r>
        <w:rPr>
          <w:color w:val="000000"/>
        </w:rPr>
        <w:t xml:space="preserve"> </w:t>
      </w:r>
      <w:r>
        <w:rPr>
          <w:b/>
          <w:color w:val="000000"/>
        </w:rPr>
        <w:t>4</w:t>
      </w:r>
      <w:r>
        <w:rPr>
          <w:color w:val="000000"/>
        </w:rPr>
        <w:t>, 7 (2015).</w:t>
      </w:r>
    </w:p>
    <w:p w14:paraId="0000002C"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4.</w:t>
      </w:r>
      <w:r>
        <w:rPr>
          <w:color w:val="000000"/>
        </w:rPr>
        <w:tab/>
        <w:t xml:space="preserve">Blackwell, T. </w:t>
      </w:r>
      <w:r>
        <w:rPr>
          <w:i/>
          <w:color w:val="000000"/>
        </w:rPr>
        <w:t>et al.</w:t>
      </w:r>
      <w:r>
        <w:rPr>
          <w:color w:val="000000"/>
        </w:rPr>
        <w:t xml:space="preserve"> Associations Between Sleep Architecture and Sleep‐Disordered Breathing and Cognition in Older Community‐Dwelling Men: The Osteoporotic Fractures in Men Sleep Study. </w:t>
      </w:r>
      <w:r>
        <w:rPr>
          <w:i/>
          <w:color w:val="000000"/>
        </w:rPr>
        <w:t xml:space="preserve">J. Am. </w:t>
      </w:r>
      <w:proofErr w:type="spellStart"/>
      <w:r>
        <w:rPr>
          <w:i/>
          <w:color w:val="000000"/>
        </w:rPr>
        <w:t>Geriatr</w:t>
      </w:r>
      <w:proofErr w:type="spellEnd"/>
      <w:r>
        <w:rPr>
          <w:i/>
          <w:color w:val="000000"/>
        </w:rPr>
        <w:t>. Soc.</w:t>
      </w:r>
      <w:r>
        <w:rPr>
          <w:color w:val="000000"/>
        </w:rPr>
        <w:t xml:space="preserve"> </w:t>
      </w:r>
      <w:r>
        <w:rPr>
          <w:b/>
          <w:color w:val="000000"/>
        </w:rPr>
        <w:t>59</w:t>
      </w:r>
      <w:r>
        <w:rPr>
          <w:color w:val="000000"/>
        </w:rPr>
        <w:t>, 2217–2225 (2011).</w:t>
      </w:r>
    </w:p>
    <w:p w14:paraId="0000002D"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5.</w:t>
      </w:r>
      <w:r>
        <w:rPr>
          <w:color w:val="000000"/>
        </w:rPr>
        <w:tab/>
        <w:t xml:space="preserve">Kolonel, L. N. </w:t>
      </w:r>
      <w:r>
        <w:rPr>
          <w:i/>
          <w:color w:val="000000"/>
        </w:rPr>
        <w:t>et al.</w:t>
      </w:r>
      <w:r>
        <w:rPr>
          <w:color w:val="000000"/>
        </w:rPr>
        <w:t xml:space="preserve"> A Multiethnic Cohort in Hawaii and Los Angeles: Baseline Characteristics. </w:t>
      </w:r>
      <w:r>
        <w:rPr>
          <w:i/>
          <w:color w:val="000000"/>
        </w:rPr>
        <w:t>Am. J. Epidemiol.</w:t>
      </w:r>
      <w:r>
        <w:rPr>
          <w:color w:val="000000"/>
        </w:rPr>
        <w:t xml:space="preserve"> </w:t>
      </w:r>
      <w:r>
        <w:rPr>
          <w:b/>
          <w:color w:val="000000"/>
        </w:rPr>
        <w:t>151</w:t>
      </w:r>
      <w:r>
        <w:rPr>
          <w:color w:val="000000"/>
        </w:rPr>
        <w:t>, 346–357 (2000).</w:t>
      </w:r>
    </w:p>
    <w:p w14:paraId="0000002E"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6.</w:t>
      </w:r>
      <w:r>
        <w:rPr>
          <w:color w:val="000000"/>
        </w:rPr>
        <w:tab/>
        <w:t xml:space="preserve">Schizophrenia Working Group of the Psychiatric Genomics Consortium </w:t>
      </w:r>
      <w:r>
        <w:rPr>
          <w:i/>
          <w:color w:val="000000"/>
        </w:rPr>
        <w:t>et al.</w:t>
      </w:r>
      <w:r>
        <w:rPr>
          <w:color w:val="000000"/>
        </w:rPr>
        <w:t xml:space="preserve"> LD Score regression distinguishes confounding from polygenicity in genome-wide association studies. </w:t>
      </w:r>
      <w:r>
        <w:rPr>
          <w:i/>
          <w:color w:val="000000"/>
        </w:rPr>
        <w:t>Nat. Genet.</w:t>
      </w:r>
      <w:r>
        <w:rPr>
          <w:color w:val="000000"/>
        </w:rPr>
        <w:t xml:space="preserve"> </w:t>
      </w:r>
      <w:r>
        <w:rPr>
          <w:b/>
          <w:color w:val="000000"/>
        </w:rPr>
        <w:t>47</w:t>
      </w:r>
      <w:r>
        <w:rPr>
          <w:color w:val="000000"/>
        </w:rPr>
        <w:t>, 291–295 (2015).</w:t>
      </w:r>
    </w:p>
    <w:p w14:paraId="0000002F"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7.</w:t>
      </w:r>
      <w:r>
        <w:rPr>
          <w:color w:val="000000"/>
        </w:rPr>
        <w:tab/>
        <w:t xml:space="preserve">Pain, O. European LD scores from 1000 Genomes. </w:t>
      </w:r>
      <w:proofErr w:type="spellStart"/>
      <w:r>
        <w:rPr>
          <w:color w:val="000000"/>
        </w:rPr>
        <w:t>Zenodo</w:t>
      </w:r>
      <w:proofErr w:type="spellEnd"/>
      <w:r>
        <w:rPr>
          <w:color w:val="000000"/>
        </w:rPr>
        <w:t xml:space="preserve"> https://doi.org/10.5281/ZENODO.8182036 (2023).</w:t>
      </w:r>
    </w:p>
    <w:p w14:paraId="00000030"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lastRenderedPageBreak/>
        <w:t>8.</w:t>
      </w:r>
      <w:r>
        <w:rPr>
          <w:color w:val="000000"/>
        </w:rPr>
        <w:tab/>
        <w:t xml:space="preserve">Brown, B. C., Ye, C. J., Price, A. L. &amp; </w:t>
      </w:r>
      <w:proofErr w:type="spellStart"/>
      <w:r>
        <w:rPr>
          <w:color w:val="000000"/>
        </w:rPr>
        <w:t>Zaitlen</w:t>
      </w:r>
      <w:proofErr w:type="spellEnd"/>
      <w:r>
        <w:rPr>
          <w:color w:val="000000"/>
        </w:rPr>
        <w:t xml:space="preserve">, N. Transethnic Genetic-Correlation Estimates from Summary Statistics. </w:t>
      </w:r>
      <w:r>
        <w:rPr>
          <w:i/>
          <w:color w:val="000000"/>
        </w:rPr>
        <w:t>Am. J. Hum. Genet.</w:t>
      </w:r>
      <w:r>
        <w:rPr>
          <w:color w:val="000000"/>
        </w:rPr>
        <w:t xml:space="preserve"> </w:t>
      </w:r>
      <w:r>
        <w:rPr>
          <w:b/>
          <w:color w:val="000000"/>
        </w:rPr>
        <w:t>99</w:t>
      </w:r>
      <w:r>
        <w:rPr>
          <w:color w:val="000000"/>
        </w:rPr>
        <w:t>, 76–88 (2016).</w:t>
      </w:r>
    </w:p>
    <w:p w14:paraId="00000031"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9.</w:t>
      </w:r>
      <w:r>
        <w:rPr>
          <w:color w:val="000000"/>
        </w:rPr>
        <w:tab/>
      </w:r>
      <w:proofErr w:type="spellStart"/>
      <w:r>
        <w:rPr>
          <w:color w:val="000000"/>
        </w:rPr>
        <w:t>Bulik</w:t>
      </w:r>
      <w:proofErr w:type="spellEnd"/>
      <w:r>
        <w:rPr>
          <w:color w:val="000000"/>
        </w:rPr>
        <w:t xml:space="preserve">-Sullivan, B. </w:t>
      </w:r>
      <w:r>
        <w:rPr>
          <w:i/>
          <w:color w:val="000000"/>
        </w:rPr>
        <w:t>et al.</w:t>
      </w:r>
      <w:r>
        <w:rPr>
          <w:color w:val="000000"/>
        </w:rPr>
        <w:t xml:space="preserve"> An Atlas of Genetic Correlations across Human Diseases and Traits. Preprint at https://doi.org/10.1101/014498 (2015).</w:t>
      </w:r>
    </w:p>
    <w:p w14:paraId="00000032"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10.</w:t>
      </w:r>
      <w:r>
        <w:rPr>
          <w:color w:val="000000"/>
        </w:rPr>
        <w:tab/>
        <w:t xml:space="preserve">The GTEx Consortium </w:t>
      </w:r>
      <w:r>
        <w:rPr>
          <w:i/>
          <w:color w:val="000000"/>
        </w:rPr>
        <w:t>et al.</w:t>
      </w:r>
      <w:r>
        <w:rPr>
          <w:color w:val="000000"/>
        </w:rPr>
        <w:t xml:space="preserve"> The GTEx Consortium atlas of genetic regulatory effects across human tissues. </w:t>
      </w:r>
      <w:r>
        <w:rPr>
          <w:i/>
          <w:color w:val="000000"/>
        </w:rPr>
        <w:t>Science</w:t>
      </w:r>
      <w:r>
        <w:rPr>
          <w:color w:val="000000"/>
        </w:rPr>
        <w:t xml:space="preserve"> </w:t>
      </w:r>
      <w:r>
        <w:rPr>
          <w:b/>
          <w:color w:val="000000"/>
        </w:rPr>
        <w:t>369</w:t>
      </w:r>
      <w:r>
        <w:rPr>
          <w:color w:val="000000"/>
        </w:rPr>
        <w:t>, 1318–1330 (2020).</w:t>
      </w:r>
    </w:p>
    <w:p w14:paraId="00000033"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11.</w:t>
      </w:r>
      <w:r>
        <w:rPr>
          <w:color w:val="000000"/>
        </w:rPr>
        <w:tab/>
        <w:t xml:space="preserve">Watanabe, K., </w:t>
      </w:r>
      <w:proofErr w:type="spellStart"/>
      <w:r>
        <w:rPr>
          <w:color w:val="000000"/>
        </w:rPr>
        <w:t>Umićević</w:t>
      </w:r>
      <w:proofErr w:type="spellEnd"/>
      <w:r>
        <w:rPr>
          <w:color w:val="000000"/>
        </w:rPr>
        <w:t xml:space="preserve"> </w:t>
      </w:r>
      <w:proofErr w:type="spellStart"/>
      <w:r>
        <w:rPr>
          <w:color w:val="000000"/>
        </w:rPr>
        <w:t>Mirkov</w:t>
      </w:r>
      <w:proofErr w:type="spellEnd"/>
      <w:r>
        <w:rPr>
          <w:color w:val="000000"/>
        </w:rPr>
        <w:t xml:space="preserve">, M., De Leeuw, C. A., Van Den Heuvel, M. P. &amp; </w:t>
      </w:r>
      <w:proofErr w:type="spellStart"/>
      <w:r>
        <w:rPr>
          <w:color w:val="000000"/>
        </w:rPr>
        <w:t>Posthuma</w:t>
      </w:r>
      <w:proofErr w:type="spellEnd"/>
      <w:r>
        <w:rPr>
          <w:color w:val="000000"/>
        </w:rPr>
        <w:t xml:space="preserve">, D. Genetic mapping of cell type specificity for complex traits. </w:t>
      </w:r>
      <w:r>
        <w:rPr>
          <w:i/>
          <w:color w:val="000000"/>
        </w:rPr>
        <w:t>Nat. Commun.</w:t>
      </w:r>
      <w:r>
        <w:rPr>
          <w:color w:val="000000"/>
        </w:rPr>
        <w:t xml:space="preserve"> </w:t>
      </w:r>
      <w:r>
        <w:rPr>
          <w:b/>
          <w:color w:val="000000"/>
        </w:rPr>
        <w:t>10</w:t>
      </w:r>
      <w:r>
        <w:rPr>
          <w:color w:val="000000"/>
        </w:rPr>
        <w:t>, 3222 (2019).</w:t>
      </w:r>
    </w:p>
    <w:p w14:paraId="00000034"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12.</w:t>
      </w:r>
      <w:r>
        <w:rPr>
          <w:color w:val="000000"/>
        </w:rPr>
        <w:tab/>
        <w:t xml:space="preserve">Ruan, Y. </w:t>
      </w:r>
      <w:r>
        <w:rPr>
          <w:i/>
          <w:color w:val="000000"/>
        </w:rPr>
        <w:t>et al.</w:t>
      </w:r>
      <w:r>
        <w:rPr>
          <w:color w:val="000000"/>
        </w:rPr>
        <w:t xml:space="preserve"> Improving polygenic prediction in ancestrally diverse populations. </w:t>
      </w:r>
      <w:r>
        <w:rPr>
          <w:i/>
          <w:color w:val="000000"/>
        </w:rPr>
        <w:t>Nat. Genet.</w:t>
      </w:r>
      <w:r>
        <w:rPr>
          <w:color w:val="000000"/>
        </w:rPr>
        <w:t xml:space="preserve"> </w:t>
      </w:r>
      <w:r>
        <w:rPr>
          <w:b/>
          <w:color w:val="000000"/>
        </w:rPr>
        <w:t>54</w:t>
      </w:r>
      <w:r>
        <w:rPr>
          <w:color w:val="000000"/>
        </w:rPr>
        <w:t>, 573–580 (2022).</w:t>
      </w:r>
    </w:p>
    <w:p w14:paraId="00000035" w14:textId="77777777" w:rsidR="00D15613" w:rsidRDefault="0041356E">
      <w:pPr>
        <w:pBdr>
          <w:top w:val="nil"/>
          <w:left w:val="nil"/>
          <w:bottom w:val="nil"/>
          <w:right w:val="nil"/>
          <w:between w:val="nil"/>
        </w:pBdr>
        <w:tabs>
          <w:tab w:val="left" w:pos="380"/>
        </w:tabs>
        <w:spacing w:after="0" w:line="480" w:lineRule="auto"/>
        <w:ind w:left="384" w:hanging="384"/>
        <w:rPr>
          <w:color w:val="000000"/>
        </w:rPr>
      </w:pPr>
      <w:r>
        <w:rPr>
          <w:color w:val="000000"/>
        </w:rPr>
        <w:t>13.</w:t>
      </w:r>
      <w:r>
        <w:rPr>
          <w:color w:val="000000"/>
        </w:rPr>
        <w:tab/>
      </w:r>
      <w:proofErr w:type="spellStart"/>
      <w:r>
        <w:rPr>
          <w:color w:val="000000"/>
        </w:rPr>
        <w:t>Sudlow</w:t>
      </w:r>
      <w:proofErr w:type="spellEnd"/>
      <w:r>
        <w:rPr>
          <w:color w:val="000000"/>
        </w:rPr>
        <w:t xml:space="preserve">, C. </w:t>
      </w:r>
      <w:r>
        <w:rPr>
          <w:i/>
          <w:color w:val="000000"/>
        </w:rPr>
        <w:t>et al.</w:t>
      </w:r>
      <w:r>
        <w:rPr>
          <w:color w:val="000000"/>
        </w:rPr>
        <w:t xml:space="preserve"> UK Biobank: An Open Access Resource for Identifying the Causes of a Wide Range of Complex Diseases of Middle and Old Age. </w:t>
      </w:r>
      <w:r>
        <w:rPr>
          <w:i/>
          <w:color w:val="000000"/>
        </w:rPr>
        <w:t>PLOS Med.</w:t>
      </w:r>
      <w:r>
        <w:rPr>
          <w:color w:val="000000"/>
        </w:rPr>
        <w:t xml:space="preserve"> </w:t>
      </w:r>
      <w:r>
        <w:rPr>
          <w:b/>
          <w:color w:val="000000"/>
        </w:rPr>
        <w:t>12</w:t>
      </w:r>
      <w:r>
        <w:rPr>
          <w:color w:val="000000"/>
        </w:rPr>
        <w:t>, e1001779 (2015).</w:t>
      </w:r>
    </w:p>
    <w:p w14:paraId="00000036" w14:textId="77777777" w:rsidR="00D15613" w:rsidRDefault="00D15613"/>
    <w:sectPr w:rsidR="00D15613">
      <w:footerReference w:type="default" r:id="rId12"/>
      <w:pgSz w:w="11906" w:h="16838"/>
      <w:pgMar w:top="1440" w:right="1440" w:bottom="1440" w:left="1440" w:header="708" w:footer="708"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E7C86" w14:textId="77777777" w:rsidR="008424CA" w:rsidRDefault="008424CA">
      <w:pPr>
        <w:spacing w:after="0" w:line="240" w:lineRule="auto"/>
      </w:pPr>
      <w:r>
        <w:separator/>
      </w:r>
    </w:p>
  </w:endnote>
  <w:endnote w:type="continuationSeparator" w:id="0">
    <w:p w14:paraId="55B91256" w14:textId="77777777" w:rsidR="008424CA" w:rsidRDefault="00842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0224060-538A-400C-AFDF-1B3F0D968210}"/>
    <w:embedBold r:id="rId2" w:fontKey="{A6F52B13-8DF2-47A1-A94D-0B30FA93BB8B}"/>
    <w:embedItalic r:id="rId3" w:fontKey="{63EFBF2C-9FBB-4762-8408-E08D11F6F748}"/>
  </w:font>
  <w:font w:name="Aptos Display">
    <w:altName w:val="Calibri"/>
    <w:charset w:val="00"/>
    <w:family w:val="swiss"/>
    <w:pitch w:val="variable"/>
    <w:sig w:usb0="20000287" w:usb1="00000003" w:usb2="00000000" w:usb3="00000000" w:csb0="0000019F" w:csb1="00000000"/>
    <w:embedRegular r:id="rId4" w:fontKey="{62E70678-DF53-4F3F-940E-4B234B441767}"/>
  </w:font>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Aptos">
    <w:altName w:val="Calibri"/>
    <w:charset w:val="00"/>
    <w:family w:val="swiss"/>
    <w:pitch w:val="variable"/>
    <w:sig w:usb0="20000287" w:usb1="00000003" w:usb2="00000000" w:usb3="00000000" w:csb0="0000019F" w:csb1="00000000"/>
    <w:embedRegular r:id="rId5" w:fontKey="{034C632D-17DB-4983-A749-C2C4F13037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7" w14:textId="51B6DA73" w:rsidR="00D15613" w:rsidRDefault="0041356E">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22508">
      <w:rPr>
        <w:noProof/>
        <w:color w:val="000000"/>
      </w:rPr>
      <w:t>1</w:t>
    </w:r>
    <w:r>
      <w:rPr>
        <w:color w:val="000000"/>
      </w:rPr>
      <w:fldChar w:fldCharType="end"/>
    </w:r>
  </w:p>
  <w:p w14:paraId="00000038" w14:textId="77777777" w:rsidR="00D15613" w:rsidRDefault="00D15613">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FE796" w14:textId="77777777" w:rsidR="008424CA" w:rsidRDefault="008424CA">
      <w:pPr>
        <w:spacing w:after="0" w:line="240" w:lineRule="auto"/>
      </w:pPr>
      <w:r>
        <w:separator/>
      </w:r>
    </w:p>
  </w:footnote>
  <w:footnote w:type="continuationSeparator" w:id="0">
    <w:p w14:paraId="417B46F6" w14:textId="77777777" w:rsidR="008424CA" w:rsidRDefault="008424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613"/>
    <w:rsid w:val="00180CE5"/>
    <w:rsid w:val="00280955"/>
    <w:rsid w:val="002A22E0"/>
    <w:rsid w:val="0035037C"/>
    <w:rsid w:val="0041356E"/>
    <w:rsid w:val="004A627F"/>
    <w:rsid w:val="004C3A7C"/>
    <w:rsid w:val="00552FDC"/>
    <w:rsid w:val="00586835"/>
    <w:rsid w:val="005A67B0"/>
    <w:rsid w:val="0067417C"/>
    <w:rsid w:val="00693616"/>
    <w:rsid w:val="00694F4E"/>
    <w:rsid w:val="008424CA"/>
    <w:rsid w:val="008D3C88"/>
    <w:rsid w:val="00922508"/>
    <w:rsid w:val="00992D7C"/>
    <w:rsid w:val="00A933C1"/>
    <w:rsid w:val="00C21ACC"/>
    <w:rsid w:val="00C543B7"/>
    <w:rsid w:val="00D15613"/>
    <w:rsid w:val="00DE0E9F"/>
    <w:rsid w:val="00DE2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DFE0C"/>
  <w15:docId w15:val="{1FBF1516-CC97-124C-83C6-74A41886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6F3"/>
  </w:style>
  <w:style w:type="paragraph" w:styleId="Heading1">
    <w:name w:val="heading 1"/>
    <w:basedOn w:val="Normal"/>
    <w:next w:val="Normal"/>
    <w:link w:val="Heading1Char"/>
    <w:uiPriority w:val="9"/>
    <w:qFormat/>
    <w:rsid w:val="003236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236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236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36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36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36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36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36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36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3236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236F3"/>
    <w:rPr>
      <w:rFonts w:asciiTheme="majorHAnsi" w:eastAsiaTheme="majorEastAsia" w:hAnsiTheme="majorHAnsi" w:cstheme="majorBidi"/>
      <w:noProof/>
      <w:color w:val="0F4761" w:themeColor="accent1" w:themeShade="BF"/>
      <w:sz w:val="40"/>
      <w:szCs w:val="40"/>
    </w:rPr>
  </w:style>
  <w:style w:type="character" w:customStyle="1" w:styleId="Heading2Char">
    <w:name w:val="Heading 2 Char"/>
    <w:basedOn w:val="DefaultParagraphFont"/>
    <w:link w:val="Heading2"/>
    <w:uiPriority w:val="9"/>
    <w:rsid w:val="003236F3"/>
    <w:rPr>
      <w:rFonts w:asciiTheme="majorHAnsi" w:eastAsiaTheme="majorEastAsia" w:hAnsiTheme="majorHAnsi" w:cstheme="majorBidi"/>
      <w:noProof/>
      <w:color w:val="0F4761" w:themeColor="accent1" w:themeShade="BF"/>
      <w:sz w:val="32"/>
      <w:szCs w:val="32"/>
    </w:rPr>
  </w:style>
  <w:style w:type="character" w:customStyle="1" w:styleId="Heading3Char">
    <w:name w:val="Heading 3 Char"/>
    <w:basedOn w:val="DefaultParagraphFont"/>
    <w:link w:val="Heading3"/>
    <w:uiPriority w:val="9"/>
    <w:rsid w:val="003236F3"/>
    <w:rPr>
      <w:rFonts w:eastAsiaTheme="majorEastAsia"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3236F3"/>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3236F3"/>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3236F3"/>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3236F3"/>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3236F3"/>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3236F3"/>
    <w:rPr>
      <w:rFonts w:eastAsiaTheme="majorEastAsia" w:cstheme="majorBidi"/>
      <w:noProof/>
      <w:color w:val="272727" w:themeColor="text1" w:themeTint="D8"/>
    </w:rPr>
  </w:style>
  <w:style w:type="character" w:customStyle="1" w:styleId="TitleChar">
    <w:name w:val="Title Char"/>
    <w:basedOn w:val="DefaultParagraphFont"/>
    <w:link w:val="Title"/>
    <w:uiPriority w:val="10"/>
    <w:rsid w:val="003236F3"/>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236F3"/>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3236F3"/>
    <w:pPr>
      <w:spacing w:before="160"/>
      <w:jc w:val="center"/>
    </w:pPr>
    <w:rPr>
      <w:i/>
      <w:iCs/>
      <w:color w:val="404040" w:themeColor="text1" w:themeTint="BF"/>
    </w:rPr>
  </w:style>
  <w:style w:type="character" w:customStyle="1" w:styleId="QuoteChar">
    <w:name w:val="Quote Char"/>
    <w:basedOn w:val="DefaultParagraphFont"/>
    <w:link w:val="Quote"/>
    <w:uiPriority w:val="29"/>
    <w:rsid w:val="003236F3"/>
    <w:rPr>
      <w:i/>
      <w:iCs/>
      <w:noProof/>
      <w:color w:val="404040" w:themeColor="text1" w:themeTint="BF"/>
    </w:rPr>
  </w:style>
  <w:style w:type="paragraph" w:styleId="ListParagraph">
    <w:name w:val="List Paragraph"/>
    <w:basedOn w:val="Normal"/>
    <w:uiPriority w:val="34"/>
    <w:qFormat/>
    <w:rsid w:val="003236F3"/>
    <w:pPr>
      <w:ind w:left="720"/>
      <w:contextualSpacing/>
    </w:pPr>
  </w:style>
  <w:style w:type="character" w:styleId="IntenseEmphasis">
    <w:name w:val="Intense Emphasis"/>
    <w:basedOn w:val="DefaultParagraphFont"/>
    <w:uiPriority w:val="21"/>
    <w:qFormat/>
    <w:rsid w:val="003236F3"/>
    <w:rPr>
      <w:i/>
      <w:iCs/>
      <w:color w:val="0F4761" w:themeColor="accent1" w:themeShade="BF"/>
    </w:rPr>
  </w:style>
  <w:style w:type="paragraph" w:styleId="IntenseQuote">
    <w:name w:val="Intense Quote"/>
    <w:basedOn w:val="Normal"/>
    <w:next w:val="Normal"/>
    <w:link w:val="IntenseQuoteChar"/>
    <w:uiPriority w:val="30"/>
    <w:qFormat/>
    <w:rsid w:val="003236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36F3"/>
    <w:rPr>
      <w:i/>
      <w:iCs/>
      <w:noProof/>
      <w:color w:val="0F4761" w:themeColor="accent1" w:themeShade="BF"/>
    </w:rPr>
  </w:style>
  <w:style w:type="character" w:styleId="IntenseReference">
    <w:name w:val="Intense Reference"/>
    <w:basedOn w:val="DefaultParagraphFont"/>
    <w:uiPriority w:val="32"/>
    <w:qFormat/>
    <w:rsid w:val="003236F3"/>
    <w:rPr>
      <w:b/>
      <w:bCs/>
      <w:smallCaps/>
      <w:color w:val="0F4761" w:themeColor="accent1" w:themeShade="BF"/>
      <w:spacing w:val="5"/>
    </w:rPr>
  </w:style>
  <w:style w:type="character" w:styleId="Hyperlink">
    <w:name w:val="Hyperlink"/>
    <w:basedOn w:val="DefaultParagraphFont"/>
    <w:uiPriority w:val="99"/>
    <w:unhideWhenUsed/>
    <w:rsid w:val="003236F3"/>
    <w:rPr>
      <w:color w:val="467886" w:themeColor="hyperlink"/>
      <w:u w:val="single"/>
    </w:rPr>
  </w:style>
  <w:style w:type="character" w:styleId="Strong">
    <w:name w:val="Strong"/>
    <w:basedOn w:val="DefaultParagraphFont"/>
    <w:uiPriority w:val="22"/>
    <w:qFormat/>
    <w:rsid w:val="003236F3"/>
    <w:rPr>
      <w:b/>
      <w:bCs/>
    </w:rPr>
  </w:style>
  <w:style w:type="paragraph" w:styleId="Footer">
    <w:name w:val="footer"/>
    <w:basedOn w:val="Normal"/>
    <w:link w:val="FooterChar"/>
    <w:uiPriority w:val="99"/>
    <w:unhideWhenUsed/>
    <w:rsid w:val="003236F3"/>
    <w:pPr>
      <w:tabs>
        <w:tab w:val="center" w:pos="4703"/>
        <w:tab w:val="right" w:pos="9406"/>
      </w:tabs>
      <w:spacing w:after="0" w:line="240" w:lineRule="auto"/>
    </w:pPr>
  </w:style>
  <w:style w:type="character" w:customStyle="1" w:styleId="FooterChar">
    <w:name w:val="Footer Char"/>
    <w:basedOn w:val="DefaultParagraphFont"/>
    <w:link w:val="Footer"/>
    <w:uiPriority w:val="99"/>
    <w:rsid w:val="003236F3"/>
    <w:rPr>
      <w:rFonts w:ascii="Calibri" w:eastAsia="Calibri" w:hAnsi="Calibri" w:cs="Calibri"/>
      <w:kern w:val="0"/>
      <w:sz w:val="22"/>
      <w:szCs w:val="22"/>
    </w:rPr>
  </w:style>
  <w:style w:type="character" w:styleId="LineNumber">
    <w:name w:val="line number"/>
    <w:basedOn w:val="DefaultParagraphFont"/>
    <w:uiPriority w:val="99"/>
    <w:semiHidden/>
    <w:unhideWhenUsed/>
    <w:rsid w:val="003236F3"/>
  </w:style>
  <w:style w:type="character" w:styleId="Emphasis">
    <w:name w:val="Emphasis"/>
    <w:basedOn w:val="DefaultParagraphFont"/>
    <w:uiPriority w:val="20"/>
    <w:qFormat/>
    <w:rsid w:val="003236F3"/>
    <w:rPr>
      <w:i/>
      <w:iCs/>
    </w:rPr>
  </w:style>
  <w:style w:type="paragraph" w:styleId="Bibliography">
    <w:name w:val="Bibliography"/>
    <w:basedOn w:val="Normal"/>
    <w:next w:val="Normal"/>
    <w:uiPriority w:val="37"/>
    <w:unhideWhenUsed/>
    <w:rsid w:val="00B93693"/>
    <w:pPr>
      <w:tabs>
        <w:tab w:val="left" w:pos="380"/>
      </w:tabs>
      <w:spacing w:after="0" w:line="480" w:lineRule="auto"/>
      <w:ind w:left="384" w:hanging="384"/>
    </w:pPr>
  </w:style>
  <w:style w:type="paragraph" w:styleId="TOCHeading">
    <w:name w:val="TOC Heading"/>
    <w:basedOn w:val="Heading1"/>
    <w:next w:val="Normal"/>
    <w:uiPriority w:val="39"/>
    <w:unhideWhenUsed/>
    <w:qFormat/>
    <w:rsid w:val="00687E64"/>
    <w:pPr>
      <w:spacing w:before="240" w:after="0"/>
      <w:outlineLvl w:val="9"/>
    </w:pPr>
    <w:rPr>
      <w:sz w:val="32"/>
      <w:szCs w:val="32"/>
    </w:rPr>
  </w:style>
  <w:style w:type="paragraph" w:styleId="TOC1">
    <w:name w:val="toc 1"/>
    <w:basedOn w:val="Normal"/>
    <w:next w:val="Normal"/>
    <w:autoRedefine/>
    <w:uiPriority w:val="39"/>
    <w:unhideWhenUsed/>
    <w:rsid w:val="00687E64"/>
    <w:pPr>
      <w:spacing w:after="100"/>
    </w:pPr>
  </w:style>
  <w:style w:type="paragraph" w:styleId="TOC2">
    <w:name w:val="toc 2"/>
    <w:basedOn w:val="Normal"/>
    <w:next w:val="Normal"/>
    <w:autoRedefine/>
    <w:uiPriority w:val="39"/>
    <w:unhideWhenUsed/>
    <w:rsid w:val="00687E64"/>
    <w:pPr>
      <w:spacing w:after="100"/>
      <w:ind w:left="220"/>
    </w:pPr>
  </w:style>
  <w:style w:type="paragraph" w:styleId="TOC3">
    <w:name w:val="toc 3"/>
    <w:basedOn w:val="Normal"/>
    <w:next w:val="Normal"/>
    <w:autoRedefine/>
    <w:uiPriority w:val="39"/>
    <w:unhideWhenUsed/>
    <w:rsid w:val="00687E64"/>
    <w:pPr>
      <w:spacing w:after="100"/>
      <w:ind w:left="440"/>
    </w:pPr>
  </w:style>
  <w:style w:type="paragraph" w:styleId="Revision">
    <w:name w:val="Revision"/>
    <w:hidden/>
    <w:uiPriority w:val="99"/>
    <w:semiHidden/>
    <w:rsid w:val="005A67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enodo.org/records/818203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bg.colorado.edu/cdrom2021/Day06-nivard/GenomicSEM_practical/eur_w_ld_ch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ichard-packer.github.io/DeepPheWAS_site/docs/Running%20a%20PheWAS/phenotype_prep.html" TargetMode="External"/><Relationship Id="rId5" Type="http://schemas.openxmlformats.org/officeDocument/2006/relationships/footnotes" Target="footnotes.xml"/><Relationship Id="rId10" Type="http://schemas.openxmlformats.org/officeDocument/2006/relationships/hyperlink" Target="https://github.com/getian107/PRScsx" TargetMode="External"/><Relationship Id="rId4" Type="http://schemas.openxmlformats.org/officeDocument/2006/relationships/webSettings" Target="webSettings.xml"/><Relationship Id="rId9" Type="http://schemas.openxmlformats.org/officeDocument/2006/relationships/hyperlink" Target="https://drive.google.com/file/d/1BtpWx02ON33KfjyCFSdmoWYlMZWImh2f/view"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9dyXGn3ySZwtmY5Kcoa3r8zWVA==">CgMxLjAaJQoBMBIgCh4IB0IaCg9UaW1lcyBOZXcgUm9tYW4SB0d1bmdzdWgaJQoBMRIgCh4IB0IaCg9UaW1lcyBOZXcgUm9tYW4SB0d1bmdzdWgaJQoBMhIgCh4IB0IaCg9UaW1lcyBOZXcgUm9tYW4SB0d1bmdzdWgyDmgudTloNWZqdmUxNjBlMg5oLjhqejNpZHkxNjhnaTIOaC5hb2lvdnRudjZpd3kyDmguOWRrMnpkeGRlNmdjMg5oLmZqbzc3ZGs2eDN2bDIOaC5qcXJtdDVqcWljNnoyDmgucWI0bGRkazNhcHM3Mg5oLmg3cmdtYTZ5anVtYjIOaC5nbHhpYTQzNmx6cTgyDmguODh1MWtjb2JmMzM2OAByITFpcEc2aWxjNWVkOGxLZTR0dVFEcVZXMEctZDY0LUtU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2233</Words>
  <Characters>12730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Zebrowska</dc:creator>
  <cp:lastModifiedBy>Magdalena Zebrowska</cp:lastModifiedBy>
  <cp:revision>4</cp:revision>
  <dcterms:created xsi:type="dcterms:W3CDTF">2025-09-25T13:01:00Z</dcterms:created>
  <dcterms:modified xsi:type="dcterms:W3CDTF">2025-09-26T14:44:00Z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id="VDimeiYs"/&gt;&lt;style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