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932AA9">
      <w:pPr>
        <w:jc w:val="center"/>
        <w:rPr>
          <w:rFonts w:hint="default" w:ascii="Times New Roman" w:hAnsi="Times New Roman" w:eastAsia="Times New Roman" w:cs="Times New Roman"/>
          <w:b/>
          <w:sz w:val="22"/>
          <w:szCs w:val="22"/>
          <w:lang w:eastAsia="en-GB"/>
        </w:rPr>
      </w:pPr>
      <w:r>
        <w:rPr>
          <w:rFonts w:hint="default" w:ascii="Times New Roman" w:hAnsi="Times New Roman" w:eastAsia="Times New Roman" w:cs="Times New Roman"/>
          <w:b/>
          <w:sz w:val="22"/>
          <w:szCs w:val="22"/>
          <w:lang w:eastAsia="en-GB"/>
        </w:rPr>
        <w:t>STROBE-MR checklist of recommended items to address in reports of Mendelian randomization studies</w:t>
      </w:r>
      <w:r>
        <w:rPr>
          <w:rFonts w:hint="default" w:ascii="Times New Roman" w:hAnsi="Times New Roman" w:eastAsia="Times New Roman" w:cs="Times New Roman"/>
          <w:b/>
          <w:bCs/>
          <w:sz w:val="22"/>
          <w:szCs w:val="22"/>
          <w:lang w:eastAsia="en-GB"/>
        </w:rPr>
        <w:fldChar w:fldCharType="begin" w:fldLock="1"/>
      </w:r>
      <w:r>
        <w:rPr>
          <w:rFonts w:hint="default" w:ascii="Times New Roman" w:hAnsi="Times New Roman" w:eastAsia="Times New Roman" w:cs="Times New Roman"/>
          <w:b/>
          <w:bCs/>
          <w:sz w:val="22"/>
          <w:szCs w:val="22"/>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hint="default" w:ascii="Times New Roman" w:hAnsi="Times New Roman" w:eastAsia="Times New Roman" w:cs="Times New Roman"/>
          <w:b/>
          <w:bCs/>
          <w:sz w:val="22"/>
          <w:szCs w:val="22"/>
          <w:lang w:eastAsia="en-GB"/>
        </w:rPr>
        <w:fldChar w:fldCharType="separate"/>
      </w:r>
      <w:r>
        <w:rPr>
          <w:rFonts w:hint="default" w:ascii="Times New Roman" w:hAnsi="Times New Roman" w:eastAsia="Times New Roman" w:cs="Times New Roman"/>
          <w:b/>
          <w:bCs/>
          <w:sz w:val="22"/>
          <w:szCs w:val="22"/>
          <w:vertAlign w:val="superscript"/>
          <w:lang w:eastAsia="en-GB"/>
        </w:rPr>
        <w:t>1</w:t>
      </w:r>
      <w:r>
        <w:rPr>
          <w:rFonts w:hint="default" w:ascii="Times New Roman" w:hAnsi="Times New Roman" w:eastAsia="Times New Roman" w:cs="Times New Roman"/>
          <w:b/>
          <w:bCs/>
          <w:sz w:val="22"/>
          <w:szCs w:val="22"/>
          <w:lang w:eastAsia="en-GB"/>
        </w:rPr>
        <w:fldChar w:fldCharType="end"/>
      </w:r>
      <w:r>
        <w:rPr>
          <w:rFonts w:hint="eastAsia" w:ascii="Times New Roman" w:hAnsi="Times New Roman" w:eastAsia="宋体" w:cs="Times New Roman"/>
          <w:b/>
          <w:bCs/>
          <w:sz w:val="22"/>
          <w:szCs w:val="22"/>
          <w:vertAlign w:val="superscript"/>
          <w:lang w:val="en-US" w:eastAsia="zh-CN"/>
        </w:rPr>
        <w:t>,</w:t>
      </w:r>
      <w:r>
        <w:rPr>
          <w:rFonts w:hint="default" w:ascii="Times New Roman" w:hAnsi="Times New Roman" w:eastAsia="Times New Roman" w:cs="Times New Roman"/>
          <w:b/>
          <w:bCs/>
          <w:sz w:val="22"/>
          <w:szCs w:val="22"/>
          <w:lang w:eastAsia="en-GB"/>
        </w:rPr>
        <w:fldChar w:fldCharType="begin" w:fldLock="1"/>
      </w:r>
      <w:r>
        <w:rPr>
          <w:rFonts w:hint="default" w:ascii="Times New Roman" w:hAnsi="Times New Roman" w:eastAsia="Times New Roman" w:cs="Times New Roman"/>
          <w:b/>
          <w:bCs/>
          <w:sz w:val="22"/>
          <w:szCs w:val="22"/>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hint="default" w:ascii="Times New Roman" w:hAnsi="Times New Roman" w:eastAsia="Times New Roman" w:cs="Times New Roman"/>
          <w:b/>
          <w:bCs/>
          <w:sz w:val="22"/>
          <w:szCs w:val="22"/>
          <w:lang w:eastAsia="en-GB"/>
        </w:rPr>
        <w:fldChar w:fldCharType="separate"/>
      </w:r>
      <w:r>
        <w:rPr>
          <w:rFonts w:hint="default" w:ascii="Times New Roman" w:hAnsi="Times New Roman" w:eastAsia="Times New Roman" w:cs="Times New Roman"/>
          <w:b/>
          <w:bCs/>
          <w:sz w:val="22"/>
          <w:szCs w:val="22"/>
          <w:vertAlign w:val="superscript"/>
          <w:lang w:eastAsia="en-GB"/>
        </w:rPr>
        <w:t>2</w:t>
      </w:r>
      <w:r>
        <w:rPr>
          <w:rFonts w:hint="default" w:ascii="Times New Roman" w:hAnsi="Times New Roman" w:eastAsia="Times New Roman" w:cs="Times New Roman"/>
          <w:b/>
          <w:bCs/>
          <w:sz w:val="22"/>
          <w:szCs w:val="22"/>
          <w:lang w:eastAsia="en-GB"/>
        </w:rPr>
        <w:fldChar w:fldCharType="end"/>
      </w:r>
    </w:p>
    <w:p w14:paraId="3EE539AD">
      <w:pPr>
        <w:jc w:val="center"/>
        <w:rPr>
          <w:rFonts w:hint="default" w:ascii="Times New Roman" w:hAnsi="Times New Roman" w:eastAsia="Times New Roman" w:cs="Times New Roman"/>
          <w:b/>
          <w:sz w:val="22"/>
          <w:szCs w:val="22"/>
          <w:lang w:eastAsia="en-GB"/>
        </w:rPr>
      </w:pPr>
    </w:p>
    <w:tbl>
      <w:tblPr>
        <w:tblStyle w:val="3"/>
        <w:tblW w:w="14490" w:type="dxa"/>
        <w:tblInd w:w="0" w:type="dxa"/>
        <w:tblLayout w:type="autofit"/>
        <w:tblCellMar>
          <w:top w:w="0" w:type="dxa"/>
          <w:left w:w="108" w:type="dxa"/>
          <w:bottom w:w="0" w:type="dxa"/>
          <w:right w:w="108" w:type="dxa"/>
        </w:tblCellMar>
      </w:tblPr>
      <w:tblGrid>
        <w:gridCol w:w="656"/>
        <w:gridCol w:w="1977"/>
        <w:gridCol w:w="4636"/>
        <w:gridCol w:w="871"/>
        <w:gridCol w:w="6350"/>
      </w:tblGrid>
      <w:tr w14:paraId="68BC94E2">
        <w:tblPrEx>
          <w:tblCellMar>
            <w:top w:w="0" w:type="dxa"/>
            <w:left w:w="108" w:type="dxa"/>
            <w:bottom w:w="0" w:type="dxa"/>
            <w:right w:w="108" w:type="dxa"/>
          </w:tblCellMar>
        </w:tblPrEx>
        <w:tc>
          <w:tcPr>
            <w:tcW w:w="587" w:type="dxa"/>
            <w:tcBorders>
              <w:top w:val="single" w:color="auto" w:sz="4" w:space="0"/>
              <w:bottom w:val="single" w:color="7F7F7F" w:sz="6" w:space="0"/>
            </w:tcBorders>
            <w:shd w:val="clear" w:color="auto" w:fill="auto"/>
          </w:tcPr>
          <w:p w14:paraId="00DEF8A5">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r>
              <w:rPr>
                <w:rFonts w:hint="default" w:ascii="Times New Roman" w:hAnsi="Times New Roman" w:eastAsia="Cambria" w:cs="Times New Roman"/>
                <w:b/>
                <w:bCs/>
                <w:sz w:val="22"/>
                <w:szCs w:val="22"/>
                <w:lang w:val="en-GB" w:eastAsia="en-US"/>
              </w:rPr>
              <w:t>Item No.</w:t>
            </w:r>
          </w:p>
        </w:tc>
        <w:tc>
          <w:tcPr>
            <w:tcW w:w="1787" w:type="dxa"/>
            <w:tcBorders>
              <w:top w:val="single" w:color="auto" w:sz="4" w:space="0"/>
              <w:bottom w:val="single" w:color="7F7F7F" w:sz="6" w:space="0"/>
            </w:tcBorders>
            <w:shd w:val="clear" w:color="auto" w:fill="auto"/>
          </w:tcPr>
          <w:p w14:paraId="04F587D2">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r>
              <w:rPr>
                <w:rFonts w:hint="default" w:ascii="Times New Roman" w:hAnsi="Times New Roman" w:eastAsia="Cambria" w:cs="Times New Roman"/>
                <w:b/>
                <w:bCs/>
                <w:sz w:val="22"/>
                <w:szCs w:val="22"/>
                <w:lang w:val="en-GB" w:eastAsia="en-US"/>
              </w:rPr>
              <w:t>Section</w:t>
            </w:r>
          </w:p>
        </w:tc>
        <w:tc>
          <w:tcPr>
            <w:tcW w:w="5470" w:type="dxa"/>
            <w:tcBorders>
              <w:top w:val="single" w:color="auto" w:sz="4" w:space="0"/>
              <w:bottom w:val="single" w:color="7F7F7F" w:sz="6" w:space="0"/>
            </w:tcBorders>
            <w:shd w:val="clear" w:color="auto" w:fill="auto"/>
          </w:tcPr>
          <w:p w14:paraId="5A682768">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r>
              <w:rPr>
                <w:rFonts w:hint="default" w:ascii="Times New Roman" w:hAnsi="Times New Roman" w:eastAsia="Cambria" w:cs="Times New Roman"/>
                <w:b/>
                <w:bCs/>
                <w:sz w:val="22"/>
                <w:szCs w:val="22"/>
                <w:lang w:val="en-GB" w:eastAsia="en-US"/>
              </w:rPr>
              <w:t>Checklist item</w:t>
            </w:r>
          </w:p>
        </w:tc>
        <w:tc>
          <w:tcPr>
            <w:tcW w:w="927" w:type="dxa"/>
            <w:tcBorders>
              <w:top w:val="single" w:color="auto" w:sz="4" w:space="0"/>
              <w:bottom w:val="single" w:color="7F7F7F" w:sz="6" w:space="0"/>
            </w:tcBorders>
          </w:tcPr>
          <w:p w14:paraId="26D050FB">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r>
              <w:rPr>
                <w:rFonts w:hint="default" w:ascii="Times New Roman" w:hAnsi="Times New Roman" w:eastAsia="Cambria" w:cs="Times New Roman"/>
                <w:b/>
                <w:bCs/>
                <w:sz w:val="22"/>
                <w:szCs w:val="22"/>
                <w:lang w:val="en-GB" w:eastAsia="en-US"/>
              </w:rPr>
              <w:t>Page No.</w:t>
            </w:r>
          </w:p>
        </w:tc>
        <w:tc>
          <w:tcPr>
            <w:tcW w:w="5719" w:type="dxa"/>
            <w:tcBorders>
              <w:top w:val="single" w:color="auto" w:sz="4" w:space="0"/>
              <w:bottom w:val="single" w:color="7F7F7F" w:sz="6" w:space="0"/>
            </w:tcBorders>
          </w:tcPr>
          <w:p w14:paraId="3B169EDD">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r>
              <w:rPr>
                <w:rFonts w:hint="default" w:ascii="Times New Roman" w:hAnsi="Times New Roman" w:eastAsia="Cambria" w:cs="Times New Roman"/>
                <w:b/>
                <w:bCs/>
                <w:sz w:val="22"/>
                <w:szCs w:val="22"/>
                <w:lang w:val="en-GB" w:eastAsia="en-US"/>
              </w:rPr>
              <w:t>Relevant text from manuscript</w:t>
            </w:r>
          </w:p>
        </w:tc>
      </w:tr>
      <w:tr w14:paraId="6D71F361">
        <w:tblPrEx>
          <w:tblCellMar>
            <w:top w:w="0" w:type="dxa"/>
            <w:left w:w="108" w:type="dxa"/>
            <w:bottom w:w="0" w:type="dxa"/>
            <w:right w:w="108" w:type="dxa"/>
          </w:tblCellMar>
        </w:tblPrEx>
        <w:tc>
          <w:tcPr>
            <w:tcW w:w="587" w:type="dxa"/>
            <w:tcBorders>
              <w:top w:val="single" w:color="7F7F7F" w:sz="6" w:space="0"/>
              <w:bottom w:val="single" w:color="7F7F7F" w:sz="6" w:space="0"/>
            </w:tcBorders>
            <w:shd w:val="clear" w:color="auto" w:fill="EEEEEE"/>
            <w:vAlign w:val="center"/>
          </w:tcPr>
          <w:p w14:paraId="25A8835C">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w:t>
            </w:r>
          </w:p>
        </w:tc>
        <w:tc>
          <w:tcPr>
            <w:tcW w:w="1787" w:type="dxa"/>
            <w:tcBorders>
              <w:top w:val="single" w:color="7F7F7F" w:sz="6" w:space="0"/>
              <w:bottom w:val="single" w:color="7F7F7F" w:sz="6" w:space="0"/>
            </w:tcBorders>
            <w:shd w:val="clear" w:color="auto" w:fill="EEEEEE"/>
            <w:vAlign w:val="center"/>
          </w:tcPr>
          <w:p w14:paraId="4CC4316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TITLE and ABSTRACT</w:t>
            </w:r>
          </w:p>
        </w:tc>
        <w:tc>
          <w:tcPr>
            <w:tcW w:w="5470" w:type="dxa"/>
            <w:tcBorders>
              <w:top w:val="single" w:color="7F7F7F" w:sz="6" w:space="0"/>
              <w:bottom w:val="single" w:color="7F7F7F" w:sz="6" w:space="0"/>
            </w:tcBorders>
            <w:shd w:val="clear" w:color="auto" w:fill="EEEEEE"/>
            <w:vAlign w:val="center"/>
          </w:tcPr>
          <w:p w14:paraId="1DA8BD46">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Indicate Mendelian random</w:t>
            </w:r>
            <w:bookmarkStart w:id="0" w:name="_GoBack"/>
            <w:bookmarkEnd w:id="0"/>
            <w:r>
              <w:rPr>
                <w:rFonts w:hint="default" w:ascii="Times New Roman" w:hAnsi="Times New Roman" w:eastAsia="Times New Roman" w:cs="Times New Roman"/>
                <w:sz w:val="22"/>
                <w:szCs w:val="22"/>
                <w:lang w:val="en-GB" w:eastAsia="en-GB"/>
              </w:rPr>
              <w:t>ization (MR) as the study’s design in the title and/or the abstract if that is a main purpose of the study</w:t>
            </w:r>
          </w:p>
        </w:tc>
        <w:tc>
          <w:tcPr>
            <w:tcW w:w="927" w:type="dxa"/>
            <w:tcBorders>
              <w:top w:val="single" w:color="7F7F7F" w:sz="6" w:space="0"/>
              <w:bottom w:val="single" w:color="7F7F7F" w:sz="6" w:space="0"/>
            </w:tcBorders>
            <w:shd w:val="clear" w:color="auto" w:fill="EEEEEE"/>
            <w:vAlign w:val="center"/>
          </w:tcPr>
          <w:p w14:paraId="428F187D">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2</w:t>
            </w:r>
          </w:p>
        </w:tc>
        <w:tc>
          <w:tcPr>
            <w:tcW w:w="5719" w:type="dxa"/>
            <w:tcBorders>
              <w:top w:val="single" w:color="7F7F7F" w:sz="6" w:space="0"/>
              <w:bottom w:val="single" w:color="7F7F7F" w:sz="6" w:space="0"/>
            </w:tcBorders>
            <w:shd w:val="clear" w:color="auto" w:fill="EEEEEE"/>
            <w:vAlign w:val="center"/>
          </w:tcPr>
          <w:p w14:paraId="2F6D1FA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Summary data-based mendelian randomization and single-cell RNA sequencing analyses identify key genes associated with ubiquitination in prostate cancer</w:t>
            </w:r>
          </w:p>
          <w:p w14:paraId="5E8607ED">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Causal inference was performed through Summary data-based Mendelian randomization (SMR) complemented by MR methodologies to discern genes exhibiting robust causal links with PCa progression.</w:t>
            </w:r>
          </w:p>
        </w:tc>
      </w:tr>
      <w:tr w14:paraId="641E6A58">
        <w:tblPrEx>
          <w:tblCellMar>
            <w:top w:w="0" w:type="dxa"/>
            <w:left w:w="108" w:type="dxa"/>
            <w:bottom w:w="0" w:type="dxa"/>
            <w:right w:w="108" w:type="dxa"/>
          </w:tblCellMar>
        </w:tblPrEx>
        <w:tc>
          <w:tcPr>
            <w:tcW w:w="587" w:type="dxa"/>
            <w:tcBorders>
              <w:top w:val="single" w:color="7F7F7F" w:sz="6" w:space="0"/>
            </w:tcBorders>
            <w:shd w:val="clear" w:color="auto" w:fill="auto"/>
            <w:vAlign w:val="center"/>
          </w:tcPr>
          <w:p w14:paraId="4792BEFB">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p>
        </w:tc>
        <w:tc>
          <w:tcPr>
            <w:tcW w:w="1787" w:type="dxa"/>
            <w:tcBorders>
              <w:top w:val="single" w:color="7F7F7F" w:sz="6" w:space="0"/>
            </w:tcBorders>
            <w:shd w:val="clear" w:color="auto" w:fill="auto"/>
            <w:vAlign w:val="center"/>
          </w:tcPr>
          <w:p w14:paraId="63B58F01">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INTRODUCTION</w:t>
            </w:r>
          </w:p>
        </w:tc>
        <w:tc>
          <w:tcPr>
            <w:tcW w:w="5470" w:type="dxa"/>
            <w:tcBorders>
              <w:top w:val="single" w:color="7F7F7F" w:sz="6" w:space="0"/>
            </w:tcBorders>
            <w:shd w:val="clear" w:color="auto" w:fill="auto"/>
            <w:vAlign w:val="center"/>
          </w:tcPr>
          <w:p w14:paraId="473C01D0">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tcBorders>
              <w:top w:val="single" w:color="7F7F7F" w:sz="6" w:space="0"/>
            </w:tcBorders>
            <w:vAlign w:val="center"/>
          </w:tcPr>
          <w:p w14:paraId="6681F500">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tcBorders>
              <w:top w:val="single" w:color="7F7F7F" w:sz="6" w:space="0"/>
            </w:tcBorders>
            <w:vAlign w:val="center"/>
          </w:tcPr>
          <w:p w14:paraId="7A6DC6E9">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7DB622D8">
        <w:tblPrEx>
          <w:tblCellMar>
            <w:top w:w="0" w:type="dxa"/>
            <w:left w:w="108" w:type="dxa"/>
            <w:bottom w:w="0" w:type="dxa"/>
            <w:right w:w="108" w:type="dxa"/>
          </w:tblCellMar>
        </w:tblPrEx>
        <w:tc>
          <w:tcPr>
            <w:tcW w:w="587" w:type="dxa"/>
            <w:shd w:val="clear" w:color="auto" w:fill="EEEEEE"/>
            <w:vAlign w:val="center"/>
          </w:tcPr>
          <w:p w14:paraId="7DE28D61">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2</w:t>
            </w:r>
          </w:p>
        </w:tc>
        <w:tc>
          <w:tcPr>
            <w:tcW w:w="1787" w:type="dxa"/>
            <w:shd w:val="clear" w:color="auto" w:fill="EEEEEE"/>
            <w:vAlign w:val="center"/>
          </w:tcPr>
          <w:p w14:paraId="7756B327">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Background</w:t>
            </w:r>
          </w:p>
        </w:tc>
        <w:tc>
          <w:tcPr>
            <w:tcW w:w="5470" w:type="dxa"/>
            <w:shd w:val="clear" w:color="auto" w:fill="EEEEEE"/>
            <w:vAlign w:val="center"/>
          </w:tcPr>
          <w:p w14:paraId="5423D52E">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927" w:type="dxa"/>
            <w:shd w:val="clear" w:color="auto" w:fill="EEEEEE"/>
            <w:vAlign w:val="center"/>
          </w:tcPr>
          <w:p w14:paraId="460FB29C">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4</w:t>
            </w:r>
          </w:p>
        </w:tc>
        <w:tc>
          <w:tcPr>
            <w:tcW w:w="5719" w:type="dxa"/>
            <w:shd w:val="clear" w:color="auto" w:fill="EEEEEE"/>
            <w:vAlign w:val="center"/>
          </w:tcPr>
          <w:p w14:paraId="508A3F28">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The synergistic application of MR and SMR methodologies enhances causal inference validity by confirming putative associations identified through initial correlation screening, thereby strengthening research conclusions and establishing robust foundations for translational applications.</w:t>
            </w:r>
          </w:p>
        </w:tc>
      </w:tr>
      <w:tr w14:paraId="7907A3D3">
        <w:tblPrEx>
          <w:tblCellMar>
            <w:top w:w="0" w:type="dxa"/>
            <w:left w:w="108" w:type="dxa"/>
            <w:bottom w:w="0" w:type="dxa"/>
            <w:right w:w="108" w:type="dxa"/>
          </w:tblCellMar>
        </w:tblPrEx>
        <w:tc>
          <w:tcPr>
            <w:tcW w:w="587" w:type="dxa"/>
            <w:tcBorders>
              <w:bottom w:val="single" w:color="7F7F7F" w:sz="6" w:space="0"/>
            </w:tcBorders>
            <w:shd w:val="clear" w:color="auto" w:fill="auto"/>
            <w:vAlign w:val="center"/>
          </w:tcPr>
          <w:p w14:paraId="4F63B034">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3</w:t>
            </w:r>
          </w:p>
        </w:tc>
        <w:tc>
          <w:tcPr>
            <w:tcW w:w="1787" w:type="dxa"/>
            <w:tcBorders>
              <w:bottom w:val="single" w:color="7F7F7F" w:sz="6" w:space="0"/>
            </w:tcBorders>
            <w:shd w:val="clear" w:color="auto" w:fill="auto"/>
            <w:vAlign w:val="center"/>
          </w:tcPr>
          <w:p w14:paraId="3E6B9EE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Objectives</w:t>
            </w:r>
          </w:p>
        </w:tc>
        <w:tc>
          <w:tcPr>
            <w:tcW w:w="5470" w:type="dxa"/>
            <w:tcBorders>
              <w:bottom w:val="single" w:color="7F7F7F" w:sz="6" w:space="0"/>
            </w:tcBorders>
            <w:shd w:val="clear" w:color="auto" w:fill="auto"/>
            <w:vAlign w:val="center"/>
          </w:tcPr>
          <w:p w14:paraId="41BC8A04">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State specific objectives clearly, including pre-specified causal hypotheses (if any). State that MR is a method that, under specific assumptions, intends to estimate causal effects</w:t>
            </w:r>
          </w:p>
        </w:tc>
        <w:tc>
          <w:tcPr>
            <w:tcW w:w="927" w:type="dxa"/>
            <w:tcBorders>
              <w:bottom w:val="single" w:color="7F7F7F" w:sz="6" w:space="0"/>
            </w:tcBorders>
            <w:vAlign w:val="center"/>
          </w:tcPr>
          <w:p w14:paraId="2294F6C5">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p w14:paraId="2B773AD0">
            <w:pPr>
              <w:bidi w:val="0"/>
              <w:jc w:val="center"/>
              <w:rPr>
                <w:rFonts w:hint="default" w:ascii="Times New Roman" w:hAnsi="Times New Roman" w:eastAsia="宋体" w:cs="Times New Roman"/>
                <w:sz w:val="22"/>
                <w:szCs w:val="22"/>
                <w:lang w:val="en-US" w:eastAsia="zh-CN" w:bidi="ar-SA"/>
              </w:rPr>
            </w:pPr>
            <w:r>
              <w:rPr>
                <w:rFonts w:hint="default" w:ascii="Times New Roman" w:hAnsi="Times New Roman" w:eastAsia="宋体" w:cs="Times New Roman"/>
                <w:sz w:val="22"/>
                <w:szCs w:val="22"/>
                <w:lang w:val="en-US" w:eastAsia="zh-CN" w:bidi="ar-SA"/>
              </w:rPr>
              <w:t>4</w:t>
            </w:r>
          </w:p>
        </w:tc>
        <w:tc>
          <w:tcPr>
            <w:tcW w:w="5719" w:type="dxa"/>
            <w:tcBorders>
              <w:bottom w:val="single" w:color="7F7F7F" w:sz="6" w:space="0"/>
            </w:tcBorders>
            <w:vAlign w:val="center"/>
          </w:tcPr>
          <w:p w14:paraId="11250836">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Through systematic integration of single-cell transcriptional profiling, differential gene expression assessment, SMR examination, and Mendelian randomization approaches, pivotal genetic markers linked to ubiquitination processes in prostate carcinogenesis were identified.</w:t>
            </w:r>
          </w:p>
        </w:tc>
      </w:tr>
      <w:tr w14:paraId="59599383">
        <w:tblPrEx>
          <w:tblCellMar>
            <w:top w:w="0" w:type="dxa"/>
            <w:left w:w="108" w:type="dxa"/>
            <w:bottom w:w="0" w:type="dxa"/>
            <w:right w:w="108" w:type="dxa"/>
          </w:tblCellMar>
        </w:tblPrEx>
        <w:tc>
          <w:tcPr>
            <w:tcW w:w="587" w:type="dxa"/>
            <w:tcBorders>
              <w:top w:val="single" w:color="7F7F7F" w:sz="6" w:space="0"/>
            </w:tcBorders>
            <w:shd w:val="clear" w:color="auto" w:fill="EEEEEE"/>
            <w:vAlign w:val="center"/>
          </w:tcPr>
          <w:p w14:paraId="3524D6D4">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p>
        </w:tc>
        <w:tc>
          <w:tcPr>
            <w:tcW w:w="1787" w:type="dxa"/>
            <w:tcBorders>
              <w:top w:val="single" w:color="7F7F7F" w:sz="6" w:space="0"/>
            </w:tcBorders>
            <w:shd w:val="clear" w:color="auto" w:fill="EEEEEE"/>
            <w:vAlign w:val="center"/>
          </w:tcPr>
          <w:p w14:paraId="6152628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METHODS</w:t>
            </w:r>
          </w:p>
        </w:tc>
        <w:tc>
          <w:tcPr>
            <w:tcW w:w="5470" w:type="dxa"/>
            <w:tcBorders>
              <w:top w:val="single" w:color="7F7F7F" w:sz="6" w:space="0"/>
            </w:tcBorders>
            <w:shd w:val="clear" w:color="auto" w:fill="EEEEEE"/>
            <w:vAlign w:val="center"/>
          </w:tcPr>
          <w:p w14:paraId="309B8567">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tcBorders>
              <w:top w:val="single" w:color="7F7F7F" w:sz="6" w:space="0"/>
            </w:tcBorders>
            <w:shd w:val="clear" w:color="auto" w:fill="EEEEEE"/>
            <w:vAlign w:val="center"/>
          </w:tcPr>
          <w:p w14:paraId="2FFEF450">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tcBorders>
              <w:top w:val="single" w:color="7F7F7F" w:sz="6" w:space="0"/>
            </w:tcBorders>
            <w:shd w:val="clear" w:color="auto" w:fill="EEEEEE"/>
            <w:vAlign w:val="center"/>
          </w:tcPr>
          <w:p w14:paraId="6CB9315A">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6440155E">
        <w:tblPrEx>
          <w:tblCellMar>
            <w:top w:w="0" w:type="dxa"/>
            <w:left w:w="108" w:type="dxa"/>
            <w:bottom w:w="0" w:type="dxa"/>
            <w:right w:w="108" w:type="dxa"/>
          </w:tblCellMar>
        </w:tblPrEx>
        <w:tc>
          <w:tcPr>
            <w:tcW w:w="587" w:type="dxa"/>
            <w:shd w:val="clear" w:color="auto" w:fill="auto"/>
            <w:vAlign w:val="center"/>
          </w:tcPr>
          <w:p w14:paraId="5C7CF349">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4</w:t>
            </w:r>
          </w:p>
        </w:tc>
        <w:tc>
          <w:tcPr>
            <w:tcW w:w="1787" w:type="dxa"/>
            <w:shd w:val="clear" w:color="auto" w:fill="auto"/>
            <w:vAlign w:val="center"/>
          </w:tcPr>
          <w:p w14:paraId="408E2A89">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Study design and data sources</w:t>
            </w:r>
          </w:p>
        </w:tc>
        <w:tc>
          <w:tcPr>
            <w:tcW w:w="5470" w:type="dxa"/>
            <w:shd w:val="clear" w:color="auto" w:fill="auto"/>
            <w:vAlign w:val="center"/>
          </w:tcPr>
          <w:p w14:paraId="29029CA4">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Present key elements of the study design early in the article. Consider including a table listing sources of data for all phases of the study. For each data source contributing to the analysis, describe the following:</w:t>
            </w:r>
          </w:p>
        </w:tc>
        <w:tc>
          <w:tcPr>
            <w:tcW w:w="927" w:type="dxa"/>
            <w:vAlign w:val="center"/>
          </w:tcPr>
          <w:p w14:paraId="0E181C75">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c>
          <w:tcPr>
            <w:tcW w:w="5719" w:type="dxa"/>
            <w:vAlign w:val="center"/>
          </w:tcPr>
          <w:p w14:paraId="23CE0AC6">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47D5AE21">
        <w:tblPrEx>
          <w:tblCellMar>
            <w:top w:w="0" w:type="dxa"/>
            <w:left w:w="108" w:type="dxa"/>
            <w:bottom w:w="0" w:type="dxa"/>
            <w:right w:w="108" w:type="dxa"/>
          </w:tblCellMar>
        </w:tblPrEx>
        <w:tc>
          <w:tcPr>
            <w:tcW w:w="587" w:type="dxa"/>
            <w:shd w:val="clear" w:color="auto" w:fill="EEEEEE"/>
            <w:vAlign w:val="center"/>
          </w:tcPr>
          <w:p w14:paraId="0980B688">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29E72ACB">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EEEEEE"/>
            <w:vAlign w:val="center"/>
          </w:tcPr>
          <w:p w14:paraId="246167BE">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shd w:val="clear" w:color="auto" w:fill="FFFFFF"/>
                <w:lang w:val="en-GB" w:eastAsia="en-GB"/>
              </w:rPr>
              <w:t xml:space="preserve">Setting: </w:t>
            </w:r>
            <w:r>
              <w:rPr>
                <w:rFonts w:hint="default" w:ascii="Times New Roman" w:hAnsi="Times New Roman" w:eastAsia="Times New Roman" w:cs="Times New Roman"/>
                <w:sz w:val="22"/>
                <w:szCs w:val="22"/>
                <w:lang w:val="en-GB" w:eastAsia="en-GB"/>
              </w:rPr>
              <w:t xml:space="preserve">Describe the study design and the underlying population, if possible. </w:t>
            </w:r>
            <w:r>
              <w:rPr>
                <w:rFonts w:hint="default" w:ascii="Times New Roman" w:hAnsi="Times New Roman" w:eastAsia="Times New Roman" w:cs="Times New Roman"/>
                <w:sz w:val="22"/>
                <w:szCs w:val="22"/>
                <w:shd w:val="clear" w:color="auto" w:fill="FFFFFF"/>
                <w:lang w:val="en-GB" w:eastAsia="en-GB"/>
              </w:rPr>
              <w:t xml:space="preserve">Describe the setting, locations, and relevant dates, including periods </w:t>
            </w:r>
            <w:r>
              <w:rPr>
                <w:rFonts w:hint="default" w:ascii="Times New Roman" w:hAnsi="Times New Roman" w:eastAsia="Times New Roman" w:cs="Times New Roman"/>
                <w:color w:val="000000"/>
                <w:sz w:val="22"/>
                <w:szCs w:val="22"/>
                <w:shd w:val="clear" w:color="auto" w:fill="FFFFFF"/>
                <w:lang w:val="en-GB" w:eastAsia="en-GB"/>
              </w:rPr>
              <w:t>of recruitment, exposure, follow-up, and data collection, when available.</w:t>
            </w:r>
          </w:p>
        </w:tc>
        <w:tc>
          <w:tcPr>
            <w:tcW w:w="927" w:type="dxa"/>
            <w:shd w:val="clear" w:color="auto" w:fill="EEEEEE"/>
            <w:vAlign w:val="center"/>
          </w:tcPr>
          <w:p w14:paraId="048ED5CF">
            <w:pPr>
              <w:spacing w:before="96" w:beforeLines="40" w:after="96" w:afterLines="40" w:line="24" w:lineRule="atLeast"/>
              <w:jc w:val="center"/>
              <w:rPr>
                <w:rFonts w:hint="default" w:ascii="Times New Roman" w:hAnsi="Times New Roman" w:eastAsia="宋体" w:cs="Times New Roman"/>
                <w:sz w:val="22"/>
                <w:szCs w:val="22"/>
                <w:shd w:val="clear" w:color="auto" w:fill="FFFFFF"/>
                <w:lang w:val="en-US" w:eastAsia="zh-CN"/>
              </w:rPr>
            </w:pPr>
            <w:r>
              <w:rPr>
                <w:rFonts w:hint="default" w:ascii="Times New Roman" w:hAnsi="Times New Roman" w:eastAsia="宋体" w:cs="Times New Roman"/>
                <w:sz w:val="22"/>
                <w:szCs w:val="22"/>
                <w:shd w:val="clear" w:color="auto" w:fill="FFFFFF"/>
                <w:lang w:val="en-US" w:eastAsia="zh-CN"/>
              </w:rPr>
              <w:t>5-6</w:t>
            </w:r>
          </w:p>
        </w:tc>
        <w:tc>
          <w:tcPr>
            <w:tcW w:w="5719" w:type="dxa"/>
            <w:shd w:val="clear" w:color="auto" w:fill="EEEEEE"/>
            <w:vAlign w:val="center"/>
          </w:tcPr>
          <w:p w14:paraId="33F4171D">
            <w:pPr>
              <w:spacing w:before="96" w:beforeLines="40" w:after="96" w:afterLines="40" w:line="24" w:lineRule="atLeast"/>
              <w:jc w:val="center"/>
              <w:rPr>
                <w:rFonts w:hint="default" w:ascii="Times New Roman" w:hAnsi="Times New Roman" w:eastAsia="Times New Roman" w:cs="Times New Roman"/>
                <w:sz w:val="22"/>
                <w:szCs w:val="22"/>
                <w:shd w:val="clear" w:color="auto" w:fill="FFFFFF"/>
                <w:lang w:val="en-GB" w:eastAsia="en-GB"/>
              </w:rPr>
            </w:pPr>
            <w:r>
              <w:rPr>
                <w:rFonts w:hint="default" w:ascii="Times New Roman" w:hAnsi="Times New Roman" w:eastAsia="Times New Roman" w:cs="Times New Roman"/>
                <w:sz w:val="22"/>
                <w:szCs w:val="22"/>
                <w:shd w:val="clear" w:color="auto" w:fill="FFFFFF"/>
                <w:lang w:val="en-GB" w:eastAsia="en-GB"/>
              </w:rPr>
              <w:t>mQTL resources were acquired from the SMR data repository (https://yanglab.westlake.edu.cn/software/smr/#mQTLsummarydata), where cis-acting methylation regulators meeting genome-wide significance thresholds (P&lt;5×10⁻⁸) were selected and reformatted. Prostate cancer genetic associations were derived from GWAS Catalog accession ebi-a-GCST90018905, containing 20,534,089 single nucleotide polymorphisms (SNPs) analyzed across 301,559 European-ancestry subjects (17,271 affected individuals; 284,288 population controls).</w:t>
            </w:r>
          </w:p>
        </w:tc>
      </w:tr>
      <w:tr w14:paraId="376A6F82">
        <w:tblPrEx>
          <w:tblCellMar>
            <w:top w:w="0" w:type="dxa"/>
            <w:left w:w="108" w:type="dxa"/>
            <w:bottom w:w="0" w:type="dxa"/>
            <w:right w:w="108" w:type="dxa"/>
          </w:tblCellMar>
        </w:tblPrEx>
        <w:tc>
          <w:tcPr>
            <w:tcW w:w="587" w:type="dxa"/>
            <w:shd w:val="clear" w:color="auto" w:fill="auto"/>
            <w:vAlign w:val="center"/>
          </w:tcPr>
          <w:p w14:paraId="6B85F41D">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0CF2EB5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shd w:val="clear" w:color="auto" w:fill="auto"/>
            <w:vAlign w:val="center"/>
          </w:tcPr>
          <w:p w14:paraId="5E3BCE69">
            <w:pPr>
              <w:spacing w:before="96" w:beforeLines="40" w:after="96" w:afterLines="40" w:line="24" w:lineRule="atLeast"/>
              <w:jc w:val="center"/>
              <w:textAlignment w:val="baseline"/>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shd w:val="clear" w:color="auto" w:fill="FFFFFF"/>
                <w:lang w:val="en-GB" w:eastAsia="en-GB"/>
              </w:rPr>
              <w:t xml:space="preserve">Participants: Give the eligibility criteria, and the sources and methods of selection of participants. </w:t>
            </w:r>
            <w:r>
              <w:rPr>
                <w:rFonts w:hint="default" w:ascii="Times New Roman" w:hAnsi="Times New Roman" w:eastAsia="Times New Roman" w:cs="Times New Roman"/>
                <w:color w:val="000000"/>
                <w:sz w:val="22"/>
                <w:szCs w:val="22"/>
              </w:rPr>
              <w:t>Report the sample size, and whether any power or sample size calculations were carried out prior to the main analysis</w:t>
            </w:r>
          </w:p>
        </w:tc>
        <w:tc>
          <w:tcPr>
            <w:tcW w:w="927" w:type="dxa"/>
            <w:vAlign w:val="center"/>
          </w:tcPr>
          <w:p w14:paraId="29ACC32C">
            <w:pPr>
              <w:spacing w:before="96" w:beforeLines="40" w:after="96" w:afterLines="40" w:line="24" w:lineRule="atLeast"/>
              <w:jc w:val="center"/>
              <w:textAlignment w:val="baseline"/>
              <w:rPr>
                <w:rFonts w:hint="default" w:ascii="Times New Roman" w:hAnsi="Times New Roman" w:eastAsia="宋体" w:cs="Times New Roman"/>
                <w:sz w:val="22"/>
                <w:szCs w:val="22"/>
                <w:shd w:val="clear" w:color="auto" w:fill="FFFFFF"/>
                <w:lang w:val="en-US" w:eastAsia="zh-CN"/>
              </w:rPr>
            </w:pPr>
            <w:r>
              <w:rPr>
                <w:rFonts w:hint="default" w:ascii="Times New Roman" w:hAnsi="Times New Roman" w:eastAsia="宋体" w:cs="Times New Roman"/>
                <w:sz w:val="22"/>
                <w:szCs w:val="22"/>
                <w:shd w:val="clear" w:color="auto" w:fill="FFFFFF"/>
                <w:lang w:val="en-US" w:eastAsia="zh-CN"/>
              </w:rPr>
              <w:t>5</w:t>
            </w:r>
          </w:p>
        </w:tc>
        <w:tc>
          <w:tcPr>
            <w:tcW w:w="5719" w:type="dxa"/>
            <w:vAlign w:val="center"/>
          </w:tcPr>
          <w:p w14:paraId="37C3B4C3">
            <w:pPr>
              <w:spacing w:before="96" w:beforeLines="40" w:after="96" w:afterLines="40" w:line="24" w:lineRule="atLeast"/>
              <w:jc w:val="center"/>
              <w:textAlignment w:val="baseline"/>
              <w:rPr>
                <w:rFonts w:hint="default" w:ascii="Times New Roman" w:hAnsi="Times New Roman" w:eastAsia="Times New Roman" w:cs="Times New Roman"/>
                <w:sz w:val="22"/>
                <w:szCs w:val="22"/>
                <w:shd w:val="clear" w:color="auto" w:fill="FFFFFF"/>
                <w:lang w:val="en-GB" w:eastAsia="en-GB"/>
              </w:rPr>
            </w:pPr>
            <w:r>
              <w:rPr>
                <w:rFonts w:hint="default" w:ascii="Times New Roman" w:hAnsi="Times New Roman" w:eastAsia="Times New Roman" w:cs="Times New Roman"/>
                <w:sz w:val="22"/>
                <w:szCs w:val="22"/>
                <w:shd w:val="clear" w:color="auto" w:fill="FFFFFF"/>
                <w:lang w:val="en-GB" w:eastAsia="en-GB"/>
              </w:rPr>
              <w:t>mQTL resources were acquired from the SMR data repository (https://yanglab.westlake.edu.cn/software/smr/#mQTLsummarydata), where cis-acting methylation regulators meeting genome-wide significance thresholds (P&lt;5×10⁻⁸) were selected and reformatted.</w:t>
            </w:r>
          </w:p>
        </w:tc>
      </w:tr>
      <w:tr w14:paraId="04B065C7">
        <w:tblPrEx>
          <w:tblCellMar>
            <w:top w:w="0" w:type="dxa"/>
            <w:left w:w="108" w:type="dxa"/>
            <w:bottom w:w="0" w:type="dxa"/>
            <w:right w:w="108" w:type="dxa"/>
          </w:tblCellMar>
        </w:tblPrEx>
        <w:tc>
          <w:tcPr>
            <w:tcW w:w="587" w:type="dxa"/>
            <w:shd w:val="clear" w:color="auto" w:fill="EEEEEE"/>
            <w:vAlign w:val="center"/>
          </w:tcPr>
          <w:p w14:paraId="09448E25">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260DD299">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c)</w:t>
            </w:r>
          </w:p>
        </w:tc>
        <w:tc>
          <w:tcPr>
            <w:tcW w:w="5470" w:type="dxa"/>
            <w:shd w:val="clear" w:color="auto" w:fill="EEEEEE"/>
            <w:vAlign w:val="center"/>
          </w:tcPr>
          <w:p w14:paraId="7B54F10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Describe measurement, quality control and selection of genetic variants</w:t>
            </w:r>
          </w:p>
        </w:tc>
        <w:tc>
          <w:tcPr>
            <w:tcW w:w="927" w:type="dxa"/>
            <w:shd w:val="clear" w:color="auto" w:fill="EEEEEE"/>
            <w:vAlign w:val="center"/>
          </w:tcPr>
          <w:p w14:paraId="2CDB28F5">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7</w:t>
            </w:r>
          </w:p>
        </w:tc>
        <w:tc>
          <w:tcPr>
            <w:tcW w:w="5719" w:type="dxa"/>
            <w:shd w:val="clear" w:color="auto" w:fill="EEEEEE"/>
            <w:vAlign w:val="center"/>
          </w:tcPr>
          <w:p w14:paraId="26B556E6">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Following data acquisition, instrumental variables (IVs) for exposure factors were extracted through the "TwoSampleMR" package (v0.5.6) [18] using genome-wide significance criteria (P&lt;5×10⁻⁸). Linkage disequilibrium (LD) pruning was performed (clump=TRUE; r²=0.001; window=1000kb) to eliminate correlated SNPs. IV strength assessment via F-statistics led to exclusion of variants with F&lt;10. Outcome-associated SNPs (PCa) were systematically removed while retaining exposure-linked variants (eQTL/mQTL). Allelic effect harmonization was achieved using the package's 'harmonise_data' function. Final selection required exposures to demonstrate ≥3 independent SNPs for subsequent analytical phases.</w:t>
            </w:r>
          </w:p>
        </w:tc>
      </w:tr>
      <w:tr w14:paraId="215DDE8E">
        <w:tblPrEx>
          <w:tblCellMar>
            <w:top w:w="0" w:type="dxa"/>
            <w:left w:w="108" w:type="dxa"/>
            <w:bottom w:w="0" w:type="dxa"/>
            <w:right w:w="108" w:type="dxa"/>
          </w:tblCellMar>
        </w:tblPrEx>
        <w:tc>
          <w:tcPr>
            <w:tcW w:w="587" w:type="dxa"/>
            <w:shd w:val="clear" w:color="auto" w:fill="auto"/>
            <w:vAlign w:val="center"/>
          </w:tcPr>
          <w:p w14:paraId="7E3D460D">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0FB55AD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d)</w:t>
            </w:r>
          </w:p>
        </w:tc>
        <w:tc>
          <w:tcPr>
            <w:tcW w:w="5470" w:type="dxa"/>
            <w:shd w:val="clear" w:color="auto" w:fill="auto"/>
            <w:vAlign w:val="center"/>
          </w:tcPr>
          <w:p w14:paraId="3B6B6065">
            <w:pPr>
              <w:spacing w:before="96" w:beforeLines="40" w:after="96" w:afterLines="40" w:line="24" w:lineRule="atLeast"/>
              <w:jc w:val="center"/>
              <w:textAlignment w:val="baseline"/>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shd w:val="clear" w:color="auto" w:fill="FFFFFF"/>
                <w:lang w:val="en-GB" w:eastAsia="en-GB"/>
              </w:rPr>
              <w:t>For each exposure, outcome, and other relevant variables, describe methods of assessment and diagnostic criteria for diseases</w:t>
            </w:r>
          </w:p>
        </w:tc>
        <w:tc>
          <w:tcPr>
            <w:tcW w:w="927" w:type="dxa"/>
            <w:vAlign w:val="center"/>
          </w:tcPr>
          <w:p w14:paraId="37FB656C">
            <w:pPr>
              <w:spacing w:before="96" w:beforeLines="40" w:after="96" w:afterLines="40" w:line="24" w:lineRule="atLeast"/>
              <w:jc w:val="center"/>
              <w:textAlignment w:val="baseline"/>
              <w:rPr>
                <w:rFonts w:hint="default" w:ascii="Times New Roman" w:hAnsi="Times New Roman" w:eastAsia="宋体" w:cs="Times New Roman"/>
                <w:sz w:val="22"/>
                <w:szCs w:val="22"/>
                <w:shd w:val="clear" w:color="auto" w:fill="FFFFFF"/>
                <w:lang w:val="en-US" w:eastAsia="zh-CN"/>
              </w:rPr>
            </w:pPr>
            <w:r>
              <w:rPr>
                <w:rFonts w:hint="default" w:ascii="Times New Roman" w:hAnsi="Times New Roman" w:eastAsia="宋体" w:cs="Times New Roman"/>
                <w:sz w:val="22"/>
                <w:szCs w:val="22"/>
                <w:shd w:val="clear" w:color="auto" w:fill="FFFFFF"/>
                <w:lang w:val="en-US" w:eastAsia="zh-CN"/>
              </w:rPr>
              <w:t>7</w:t>
            </w:r>
          </w:p>
        </w:tc>
        <w:tc>
          <w:tcPr>
            <w:tcW w:w="5719" w:type="dxa"/>
            <w:vAlign w:val="center"/>
          </w:tcPr>
          <w:p w14:paraId="18BB4B57">
            <w:pPr>
              <w:spacing w:before="96" w:beforeLines="40" w:after="96" w:afterLines="40" w:line="24" w:lineRule="atLeast"/>
              <w:jc w:val="center"/>
              <w:textAlignment w:val="baseline"/>
              <w:rPr>
                <w:rFonts w:hint="default" w:ascii="Times New Roman" w:hAnsi="Times New Roman" w:eastAsia="Times New Roman" w:cs="Times New Roman"/>
                <w:sz w:val="22"/>
                <w:szCs w:val="22"/>
                <w:shd w:val="clear" w:color="auto" w:fill="FFFFFF"/>
                <w:lang w:val="en-GB" w:eastAsia="en-GB"/>
              </w:rPr>
            </w:pPr>
            <w:r>
              <w:rPr>
                <w:rFonts w:hint="default" w:ascii="Times New Roman" w:hAnsi="Times New Roman" w:eastAsia="Times New Roman" w:cs="Times New Roman"/>
                <w:sz w:val="22"/>
                <w:szCs w:val="22"/>
                <w:shd w:val="clear" w:color="auto" w:fill="FFFFFF"/>
                <w:lang w:val="en-GB" w:eastAsia="en-GB"/>
              </w:rPr>
              <w:t>In this analytical framework, cis-acting eQTL and mQTL associated with prioritized candidate genes served as exposure proxies, while PCa susceptibility data functioned as the clinical outcome.</w:t>
            </w:r>
          </w:p>
        </w:tc>
      </w:tr>
      <w:tr w14:paraId="69A6C8B1">
        <w:tblPrEx>
          <w:tblCellMar>
            <w:top w:w="0" w:type="dxa"/>
            <w:left w:w="108" w:type="dxa"/>
            <w:bottom w:w="0" w:type="dxa"/>
            <w:right w:w="108" w:type="dxa"/>
          </w:tblCellMar>
        </w:tblPrEx>
        <w:tc>
          <w:tcPr>
            <w:tcW w:w="587" w:type="dxa"/>
            <w:shd w:val="clear" w:color="auto" w:fill="EEEEEE"/>
            <w:vAlign w:val="center"/>
          </w:tcPr>
          <w:p w14:paraId="292FBB97">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273C46B4">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e)</w:t>
            </w:r>
          </w:p>
        </w:tc>
        <w:tc>
          <w:tcPr>
            <w:tcW w:w="5470" w:type="dxa"/>
            <w:shd w:val="clear" w:color="auto" w:fill="EEEEEE"/>
            <w:vAlign w:val="center"/>
          </w:tcPr>
          <w:p w14:paraId="4E713FBB">
            <w:pPr>
              <w:spacing w:before="96" w:beforeLines="40" w:after="96" w:afterLines="40" w:line="24" w:lineRule="atLeast"/>
              <w:jc w:val="center"/>
              <w:textAlignment w:val="baseline"/>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shd w:val="clear" w:color="auto" w:fill="FFFFFF"/>
                <w:lang w:val="en-GB" w:eastAsia="en-GB"/>
              </w:rPr>
              <w:t>Provide details of ethics committee approval and participant informed consent, if relevant</w:t>
            </w:r>
          </w:p>
        </w:tc>
        <w:tc>
          <w:tcPr>
            <w:tcW w:w="927" w:type="dxa"/>
            <w:shd w:val="clear" w:color="auto" w:fill="EEEEEE"/>
            <w:vAlign w:val="center"/>
          </w:tcPr>
          <w:p w14:paraId="2754FA07">
            <w:pPr>
              <w:spacing w:before="96" w:beforeLines="40" w:after="96" w:afterLines="40" w:line="24" w:lineRule="atLeast"/>
              <w:jc w:val="center"/>
              <w:textAlignment w:val="baseline"/>
              <w:rPr>
                <w:rFonts w:hint="default" w:ascii="Times New Roman" w:hAnsi="Times New Roman" w:eastAsia="宋体" w:cs="Times New Roman"/>
                <w:sz w:val="22"/>
                <w:szCs w:val="22"/>
                <w:shd w:val="clear" w:color="auto" w:fill="FFFFFF"/>
                <w:lang w:val="en-US" w:eastAsia="zh-CN"/>
              </w:rPr>
            </w:pPr>
            <w:r>
              <w:rPr>
                <w:rFonts w:hint="default" w:ascii="Times New Roman" w:hAnsi="Times New Roman" w:eastAsia="宋体" w:cs="Times New Roman"/>
                <w:sz w:val="22"/>
                <w:szCs w:val="22"/>
                <w:shd w:val="clear" w:color="auto" w:fill="FFFFFF"/>
                <w:lang w:val="en-US" w:eastAsia="zh-CN"/>
              </w:rPr>
              <w:t>NA</w:t>
            </w:r>
          </w:p>
        </w:tc>
        <w:tc>
          <w:tcPr>
            <w:tcW w:w="5719" w:type="dxa"/>
            <w:shd w:val="clear" w:color="auto" w:fill="EEEEEE"/>
            <w:vAlign w:val="center"/>
          </w:tcPr>
          <w:p w14:paraId="6067A95B">
            <w:pPr>
              <w:spacing w:before="96" w:beforeLines="40" w:after="96" w:afterLines="40" w:line="24" w:lineRule="atLeast"/>
              <w:jc w:val="center"/>
              <w:textAlignment w:val="baseline"/>
              <w:rPr>
                <w:rFonts w:hint="default" w:ascii="Times New Roman" w:hAnsi="Times New Roman" w:eastAsia="Times New Roman" w:cs="Times New Roman"/>
                <w:sz w:val="22"/>
                <w:szCs w:val="22"/>
                <w:shd w:val="clear" w:color="auto" w:fill="FFFFFF"/>
                <w:lang w:val="en-GB" w:eastAsia="en-GB"/>
              </w:rPr>
            </w:pPr>
          </w:p>
        </w:tc>
      </w:tr>
      <w:tr w14:paraId="23EA53EC">
        <w:tblPrEx>
          <w:tblCellMar>
            <w:top w:w="0" w:type="dxa"/>
            <w:left w:w="108" w:type="dxa"/>
            <w:bottom w:w="0" w:type="dxa"/>
            <w:right w:w="108" w:type="dxa"/>
          </w:tblCellMar>
        </w:tblPrEx>
        <w:tc>
          <w:tcPr>
            <w:tcW w:w="587" w:type="dxa"/>
            <w:shd w:val="clear" w:color="auto" w:fill="auto"/>
            <w:vAlign w:val="center"/>
          </w:tcPr>
          <w:p w14:paraId="3E6E0D63">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5</w:t>
            </w:r>
          </w:p>
        </w:tc>
        <w:tc>
          <w:tcPr>
            <w:tcW w:w="1787" w:type="dxa"/>
            <w:shd w:val="clear" w:color="auto" w:fill="auto"/>
            <w:vAlign w:val="center"/>
          </w:tcPr>
          <w:p w14:paraId="1F0455B3">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Assumptions</w:t>
            </w:r>
          </w:p>
          <w:p w14:paraId="0458797D">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470" w:type="dxa"/>
            <w:shd w:val="clear" w:color="auto" w:fill="auto"/>
            <w:vAlign w:val="center"/>
          </w:tcPr>
          <w:p w14:paraId="5139727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Explicitly state the three core IV assumptions for the main analysis (relevance, independence and exclusion restriction) as well assumptions for any additional or sensitivity analysis</w:t>
            </w:r>
          </w:p>
        </w:tc>
        <w:tc>
          <w:tcPr>
            <w:tcW w:w="927" w:type="dxa"/>
            <w:vAlign w:val="center"/>
          </w:tcPr>
          <w:p w14:paraId="6A2AE76D">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7</w:t>
            </w:r>
          </w:p>
        </w:tc>
        <w:tc>
          <w:tcPr>
            <w:tcW w:w="5719" w:type="dxa"/>
            <w:vAlign w:val="center"/>
          </w:tcPr>
          <w:p w14:paraId="7A54DE1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MR validation procedures confirmed compliance with three fundamental epidemiological prerequisites: (i) Instrument independence criterion (genetic variants unrelated to confounding variables), (ii) Exposure relevance requirement (direct IV-exposure associations), and (iii) Pathway exclusivity principle (IV-outcome effects mediated solely through specified exposures).</w:t>
            </w:r>
          </w:p>
        </w:tc>
      </w:tr>
      <w:tr w14:paraId="6209F8C8">
        <w:tblPrEx>
          <w:tblCellMar>
            <w:top w:w="0" w:type="dxa"/>
            <w:left w:w="108" w:type="dxa"/>
            <w:bottom w:w="0" w:type="dxa"/>
            <w:right w:w="108" w:type="dxa"/>
          </w:tblCellMar>
        </w:tblPrEx>
        <w:tc>
          <w:tcPr>
            <w:tcW w:w="587" w:type="dxa"/>
            <w:shd w:val="clear" w:color="auto" w:fill="EEEEEE"/>
            <w:vAlign w:val="center"/>
          </w:tcPr>
          <w:p w14:paraId="6FA239C8">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6</w:t>
            </w:r>
          </w:p>
        </w:tc>
        <w:tc>
          <w:tcPr>
            <w:tcW w:w="1787" w:type="dxa"/>
            <w:shd w:val="clear" w:color="auto" w:fill="EEEEEE"/>
            <w:vAlign w:val="center"/>
          </w:tcPr>
          <w:p w14:paraId="3D8F9E93">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Statistical methods: main analysis</w:t>
            </w:r>
          </w:p>
        </w:tc>
        <w:tc>
          <w:tcPr>
            <w:tcW w:w="5470" w:type="dxa"/>
            <w:shd w:val="clear" w:color="auto" w:fill="EEEEEE"/>
            <w:vAlign w:val="center"/>
          </w:tcPr>
          <w:p w14:paraId="49C33D0D">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Describe statistical methods and statistics used</w:t>
            </w:r>
          </w:p>
        </w:tc>
        <w:tc>
          <w:tcPr>
            <w:tcW w:w="927" w:type="dxa"/>
            <w:shd w:val="clear" w:color="auto" w:fill="EEEEEE"/>
            <w:vAlign w:val="center"/>
          </w:tcPr>
          <w:p w14:paraId="0D1191BA">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7-8</w:t>
            </w:r>
          </w:p>
        </w:tc>
        <w:tc>
          <w:tcPr>
            <w:tcW w:w="5719" w:type="dxa"/>
            <w:shd w:val="clear" w:color="auto" w:fill="EEEEEE"/>
            <w:vAlign w:val="center"/>
          </w:tcPr>
          <w:p w14:paraId="75DF0C4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The SMR approach was subsequently applied following the selection of instrumental variables, employing the "SMR" software package (version 1.3.1) [19]. Statistical thresholds for establishing causal associations between exposure variables (eQTLs and mQTLs) and PCa were defined as: P-value &lt; 0.05, false discovery rate &lt; 0.05, and HEIDI test P-value &gt; 0.05. For all analyzed exposures, effect estimates were quantified through odds ratios (OR) with corresponding 95% confidence intervals.</w:t>
            </w:r>
          </w:p>
          <w:p w14:paraId="625A882D">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Following the selection of IVs, five analytical approaches [inverse-variance weighted (IVW) [20], MR Egger [21], weighted median [22], simple mode  [23], and weighted mode [22]] were implemented through the 'mr' function within the "TwoSampleMR" package (version 0.5.6) for Mendelian randomization analysis.</w:t>
            </w:r>
          </w:p>
        </w:tc>
      </w:tr>
      <w:tr w14:paraId="4346E621">
        <w:tblPrEx>
          <w:tblCellMar>
            <w:top w:w="0" w:type="dxa"/>
            <w:left w:w="108" w:type="dxa"/>
            <w:bottom w:w="0" w:type="dxa"/>
            <w:right w:w="108" w:type="dxa"/>
          </w:tblCellMar>
        </w:tblPrEx>
        <w:tc>
          <w:tcPr>
            <w:tcW w:w="587" w:type="dxa"/>
            <w:shd w:val="clear" w:color="auto" w:fill="auto"/>
            <w:vAlign w:val="center"/>
          </w:tcPr>
          <w:p w14:paraId="339A016D">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3635743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auto"/>
            <w:vAlign w:val="center"/>
          </w:tcPr>
          <w:p w14:paraId="3BB90022">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Describe how quantitative variables were handled in the analyses (i.e., scale, units, model)</w:t>
            </w:r>
          </w:p>
        </w:tc>
        <w:tc>
          <w:tcPr>
            <w:tcW w:w="927" w:type="dxa"/>
            <w:vAlign w:val="center"/>
          </w:tcPr>
          <w:p w14:paraId="22720A53">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8</w:t>
            </w:r>
          </w:p>
        </w:tc>
        <w:tc>
          <w:tcPr>
            <w:tcW w:w="5719" w:type="dxa"/>
            <w:vAlign w:val="center"/>
          </w:tcPr>
          <w:p w14:paraId="76159846">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Following the selection of IVs, five analytical approaches [inverse-variance weighted (IVW) [20], MR Egger [21], weighted median [22], simple mode  [23], and weighted mode [22]] were implemented through the 'mr' function within the "TwoSampleMR" package (version 0.5.6) for Mendelian randomization analysis. IVW regression was prioritized as the principal analytical method.</w:t>
            </w:r>
          </w:p>
        </w:tc>
      </w:tr>
      <w:tr w14:paraId="642A4D4B">
        <w:tblPrEx>
          <w:tblCellMar>
            <w:top w:w="0" w:type="dxa"/>
            <w:left w:w="108" w:type="dxa"/>
            <w:bottom w:w="0" w:type="dxa"/>
            <w:right w:w="108" w:type="dxa"/>
          </w:tblCellMar>
        </w:tblPrEx>
        <w:tc>
          <w:tcPr>
            <w:tcW w:w="587" w:type="dxa"/>
            <w:shd w:val="clear" w:color="auto" w:fill="EEEEEE"/>
            <w:vAlign w:val="center"/>
          </w:tcPr>
          <w:p w14:paraId="11F7484C">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569D49F3">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shd w:val="clear" w:color="auto" w:fill="EEEEEE"/>
            <w:vAlign w:val="center"/>
          </w:tcPr>
          <w:p w14:paraId="6B2ACDE9">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Describe how genetic variants were handled in the analyses and, if applicable, how their weights were selected</w:t>
            </w:r>
          </w:p>
        </w:tc>
        <w:tc>
          <w:tcPr>
            <w:tcW w:w="927" w:type="dxa"/>
            <w:shd w:val="clear" w:color="auto" w:fill="EEEEEE"/>
            <w:vAlign w:val="center"/>
          </w:tcPr>
          <w:p w14:paraId="0DAE64B0">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7</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8</w:t>
            </w:r>
          </w:p>
        </w:tc>
        <w:tc>
          <w:tcPr>
            <w:tcW w:w="5719" w:type="dxa"/>
            <w:shd w:val="clear" w:color="auto" w:fill="EEEEEE"/>
            <w:vAlign w:val="center"/>
          </w:tcPr>
          <w:p w14:paraId="1612F89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Following data acquisition, instrumental variables (IVs) for exposure factors were extracted through the "TwoSampleMR" package (v0.5.6) [18] using genome-wide significance criteria (P&lt;5×10⁻⁸). Linkage disequilibrium (LD) pruning was performed (clump=TRUE; r²=0.001; window=1000kb) to eliminate correlated SNPs. IV strength assessment via F-statistics led to exclusion of variants with F&lt;10. Outcome-associated SNPs (PCa) were systematically removed while retaining exposure-linked variants (eQTL/mQTL). Allelic effect harmonization was achieved using the package's 'harmonise_data' function. Final selection required exposures to demonstrate ≥3 independent SNPs for subsequent analytical phases.</w:t>
            </w:r>
          </w:p>
          <w:p w14:paraId="09F6FCE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IVW regression was prioritized as the principal analytical method. Statistical significance thresholds were established at PIVW &lt; 0.05 for causal inference.</w:t>
            </w:r>
          </w:p>
        </w:tc>
      </w:tr>
      <w:tr w14:paraId="70378831">
        <w:tblPrEx>
          <w:tblCellMar>
            <w:top w:w="0" w:type="dxa"/>
            <w:left w:w="108" w:type="dxa"/>
            <w:bottom w:w="0" w:type="dxa"/>
            <w:right w:w="108" w:type="dxa"/>
          </w:tblCellMar>
        </w:tblPrEx>
        <w:trPr>
          <w:trHeight w:val="382" w:hRule="atLeast"/>
        </w:trPr>
        <w:tc>
          <w:tcPr>
            <w:tcW w:w="587" w:type="dxa"/>
            <w:shd w:val="clear" w:color="auto" w:fill="auto"/>
            <w:vAlign w:val="center"/>
          </w:tcPr>
          <w:p w14:paraId="45E41495">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59F665E7">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c)</w:t>
            </w:r>
          </w:p>
        </w:tc>
        <w:tc>
          <w:tcPr>
            <w:tcW w:w="5470" w:type="dxa"/>
            <w:shd w:val="clear" w:color="auto" w:fill="auto"/>
            <w:vAlign w:val="center"/>
          </w:tcPr>
          <w:p w14:paraId="5CB03D96">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927" w:type="dxa"/>
            <w:vAlign w:val="center"/>
          </w:tcPr>
          <w:p w14:paraId="7B7E7C35">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7-8</w:t>
            </w:r>
          </w:p>
        </w:tc>
        <w:tc>
          <w:tcPr>
            <w:tcW w:w="5719" w:type="dxa"/>
            <w:vAlign w:val="center"/>
          </w:tcPr>
          <w:p w14:paraId="334D44E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Statistical thresholds for establishing causal associations between exposure variables (eQTLs and mQTLs) and PCa were defined as: P-value &lt; 0.05, false discovery rate &lt; 0.05, and HEIDI test P-value &gt; 0.05. For all analyzed exposures, effect estimates were quantified through odds ratios (OR) with corresponding 95% confidence intervals.</w:t>
            </w:r>
          </w:p>
        </w:tc>
      </w:tr>
      <w:tr w14:paraId="0D8F3A7E">
        <w:tblPrEx>
          <w:tblCellMar>
            <w:top w:w="0" w:type="dxa"/>
            <w:left w:w="108" w:type="dxa"/>
            <w:bottom w:w="0" w:type="dxa"/>
            <w:right w:w="108" w:type="dxa"/>
          </w:tblCellMar>
        </w:tblPrEx>
        <w:tc>
          <w:tcPr>
            <w:tcW w:w="587" w:type="dxa"/>
            <w:shd w:val="clear" w:color="auto" w:fill="EEEEEE"/>
            <w:vAlign w:val="center"/>
          </w:tcPr>
          <w:p w14:paraId="1D70C4CD">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0A3AAFD6">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d)</w:t>
            </w:r>
          </w:p>
        </w:tc>
        <w:tc>
          <w:tcPr>
            <w:tcW w:w="5470" w:type="dxa"/>
            <w:shd w:val="clear" w:color="auto" w:fill="EEEEEE"/>
            <w:vAlign w:val="center"/>
          </w:tcPr>
          <w:p w14:paraId="08786389">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Explain how missing data were addressed</w:t>
            </w:r>
          </w:p>
        </w:tc>
        <w:tc>
          <w:tcPr>
            <w:tcW w:w="927" w:type="dxa"/>
            <w:shd w:val="clear" w:color="auto" w:fill="EEEEEE"/>
            <w:vAlign w:val="center"/>
          </w:tcPr>
          <w:p w14:paraId="297C3632">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NA</w:t>
            </w:r>
          </w:p>
        </w:tc>
        <w:tc>
          <w:tcPr>
            <w:tcW w:w="5719" w:type="dxa"/>
            <w:shd w:val="clear" w:color="auto" w:fill="EEEEEE"/>
            <w:vAlign w:val="center"/>
          </w:tcPr>
          <w:p w14:paraId="16808665">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77F037B8">
        <w:tblPrEx>
          <w:tblCellMar>
            <w:top w:w="0" w:type="dxa"/>
            <w:left w:w="108" w:type="dxa"/>
            <w:bottom w:w="0" w:type="dxa"/>
            <w:right w:w="108" w:type="dxa"/>
          </w:tblCellMar>
        </w:tblPrEx>
        <w:tc>
          <w:tcPr>
            <w:tcW w:w="587" w:type="dxa"/>
            <w:shd w:val="clear" w:color="auto" w:fill="auto"/>
            <w:vAlign w:val="center"/>
          </w:tcPr>
          <w:p w14:paraId="4AC39E55">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4D9E0350">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e)</w:t>
            </w:r>
          </w:p>
        </w:tc>
        <w:tc>
          <w:tcPr>
            <w:tcW w:w="5470" w:type="dxa"/>
            <w:shd w:val="clear" w:color="auto" w:fill="auto"/>
            <w:vAlign w:val="center"/>
          </w:tcPr>
          <w:p w14:paraId="41F1E523">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If applicable, indicate how multiple testing was addressed</w:t>
            </w:r>
          </w:p>
        </w:tc>
        <w:tc>
          <w:tcPr>
            <w:tcW w:w="927" w:type="dxa"/>
            <w:vAlign w:val="center"/>
          </w:tcPr>
          <w:p w14:paraId="6B5C4982">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宋体" w:cs="Times New Roman"/>
                <w:sz w:val="22"/>
                <w:szCs w:val="22"/>
                <w:lang w:val="en-US" w:eastAsia="zh-CN"/>
              </w:rPr>
              <w:t>NA</w:t>
            </w:r>
          </w:p>
        </w:tc>
        <w:tc>
          <w:tcPr>
            <w:tcW w:w="5719" w:type="dxa"/>
            <w:vAlign w:val="center"/>
          </w:tcPr>
          <w:p w14:paraId="490E44D4">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585043CE">
        <w:tblPrEx>
          <w:tblCellMar>
            <w:top w:w="0" w:type="dxa"/>
            <w:left w:w="108" w:type="dxa"/>
            <w:bottom w:w="0" w:type="dxa"/>
            <w:right w:w="108" w:type="dxa"/>
          </w:tblCellMar>
        </w:tblPrEx>
        <w:tc>
          <w:tcPr>
            <w:tcW w:w="587" w:type="dxa"/>
            <w:shd w:val="clear" w:color="auto" w:fill="EEEEEE"/>
            <w:vAlign w:val="center"/>
          </w:tcPr>
          <w:p w14:paraId="55967D09">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7</w:t>
            </w:r>
          </w:p>
        </w:tc>
        <w:tc>
          <w:tcPr>
            <w:tcW w:w="1787" w:type="dxa"/>
            <w:shd w:val="clear" w:color="auto" w:fill="EEEEEE"/>
            <w:vAlign w:val="center"/>
          </w:tcPr>
          <w:p w14:paraId="0947B164">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Assessment of assumptions</w:t>
            </w:r>
          </w:p>
        </w:tc>
        <w:tc>
          <w:tcPr>
            <w:tcW w:w="5470" w:type="dxa"/>
            <w:shd w:val="clear" w:color="auto" w:fill="EEEEEE"/>
            <w:vAlign w:val="center"/>
          </w:tcPr>
          <w:p w14:paraId="1E6D0B1E">
            <w:pPr>
              <w:tabs>
                <w:tab w:val="left" w:pos="1620"/>
              </w:tabs>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Describe any methods or prior knowledge used to assess the assumptions or justify their validity</w:t>
            </w:r>
          </w:p>
        </w:tc>
        <w:tc>
          <w:tcPr>
            <w:tcW w:w="927" w:type="dxa"/>
            <w:shd w:val="clear" w:color="auto" w:fill="EEEEEE"/>
            <w:vAlign w:val="center"/>
          </w:tcPr>
          <w:p w14:paraId="61C50F74">
            <w:pPr>
              <w:tabs>
                <w:tab w:val="left" w:pos="1620"/>
              </w:tabs>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NA</w:t>
            </w:r>
          </w:p>
        </w:tc>
        <w:tc>
          <w:tcPr>
            <w:tcW w:w="5719" w:type="dxa"/>
            <w:shd w:val="clear" w:color="auto" w:fill="EEEEEE"/>
            <w:vAlign w:val="center"/>
          </w:tcPr>
          <w:p w14:paraId="5D46DB2B">
            <w:pPr>
              <w:tabs>
                <w:tab w:val="left" w:pos="1620"/>
              </w:tabs>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383932D9">
        <w:tblPrEx>
          <w:tblCellMar>
            <w:top w:w="0" w:type="dxa"/>
            <w:left w:w="108" w:type="dxa"/>
            <w:bottom w:w="0" w:type="dxa"/>
            <w:right w:w="108" w:type="dxa"/>
          </w:tblCellMar>
        </w:tblPrEx>
        <w:tc>
          <w:tcPr>
            <w:tcW w:w="587" w:type="dxa"/>
            <w:shd w:val="clear" w:color="auto" w:fill="auto"/>
            <w:vAlign w:val="center"/>
          </w:tcPr>
          <w:p w14:paraId="1A4621BC">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8</w:t>
            </w:r>
          </w:p>
        </w:tc>
        <w:tc>
          <w:tcPr>
            <w:tcW w:w="1787" w:type="dxa"/>
            <w:shd w:val="clear" w:color="auto" w:fill="auto"/>
            <w:vAlign w:val="center"/>
          </w:tcPr>
          <w:p w14:paraId="0F88F25B">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Sensitivity analyses and additional analyses</w:t>
            </w:r>
          </w:p>
        </w:tc>
        <w:tc>
          <w:tcPr>
            <w:tcW w:w="5470" w:type="dxa"/>
            <w:shd w:val="clear" w:color="auto" w:fill="auto"/>
            <w:vAlign w:val="center"/>
          </w:tcPr>
          <w:p w14:paraId="13C6445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927" w:type="dxa"/>
            <w:vAlign w:val="center"/>
          </w:tcPr>
          <w:p w14:paraId="4B9B6FF5">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8-9</w:t>
            </w:r>
          </w:p>
        </w:tc>
        <w:tc>
          <w:tcPr>
            <w:tcW w:w="5719" w:type="dxa"/>
            <w:vAlign w:val="center"/>
          </w:tcPr>
          <w:p w14:paraId="229BFDFD">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omprehensive sensitivity evaluations incorporating Cochran's Q test for heterogeneity (P &gt; 0.05 using 'mr_heterogeneity') [24], directional pleiotropy assessment (P &gt; 0.05 via 'mr_pleiotropy_test') [25], and iterative exclusion analysis (executed with 'mr_leaveoneout_plot') [26] were performed to validate result reliability. Causal directionality confirmation was achieved through Steiger filtering ('steiger_filtering' function) with verification criteria requiring TRUE directional accuracy and P &lt; 0.05. This rigorous analytical workflow ultimately enabled identification of consistently significant genetic determinants in SMR investigations for subsequent exploration.</w:t>
            </w:r>
          </w:p>
        </w:tc>
      </w:tr>
      <w:tr w14:paraId="55C7A410">
        <w:tblPrEx>
          <w:tblCellMar>
            <w:top w:w="0" w:type="dxa"/>
            <w:left w:w="108" w:type="dxa"/>
            <w:bottom w:w="0" w:type="dxa"/>
            <w:right w:w="108" w:type="dxa"/>
          </w:tblCellMar>
        </w:tblPrEx>
        <w:tc>
          <w:tcPr>
            <w:tcW w:w="587" w:type="dxa"/>
            <w:shd w:val="clear" w:color="auto" w:fill="EEEEEE"/>
            <w:vAlign w:val="center"/>
          </w:tcPr>
          <w:p w14:paraId="056075DE">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9</w:t>
            </w:r>
          </w:p>
        </w:tc>
        <w:tc>
          <w:tcPr>
            <w:tcW w:w="1787" w:type="dxa"/>
            <w:shd w:val="clear" w:color="auto" w:fill="EEEEEE"/>
            <w:vAlign w:val="center"/>
          </w:tcPr>
          <w:p w14:paraId="6096809E">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Software and pre-registration</w:t>
            </w:r>
          </w:p>
        </w:tc>
        <w:tc>
          <w:tcPr>
            <w:tcW w:w="5470" w:type="dxa"/>
            <w:shd w:val="clear" w:color="auto" w:fill="EEEEEE"/>
            <w:vAlign w:val="center"/>
          </w:tcPr>
          <w:p w14:paraId="08D1055E">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shd w:val="clear" w:color="auto" w:fill="EEEEEE"/>
            <w:vAlign w:val="center"/>
          </w:tcPr>
          <w:p w14:paraId="721E714E">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shd w:val="clear" w:color="auto" w:fill="EEEEEE"/>
            <w:vAlign w:val="center"/>
          </w:tcPr>
          <w:p w14:paraId="495710C0">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5EA9EBD1">
        <w:tblPrEx>
          <w:tblCellMar>
            <w:top w:w="0" w:type="dxa"/>
            <w:left w:w="108" w:type="dxa"/>
            <w:bottom w:w="0" w:type="dxa"/>
            <w:right w:w="108" w:type="dxa"/>
          </w:tblCellMar>
        </w:tblPrEx>
        <w:tc>
          <w:tcPr>
            <w:tcW w:w="587" w:type="dxa"/>
            <w:shd w:val="clear" w:color="auto" w:fill="auto"/>
            <w:vAlign w:val="center"/>
          </w:tcPr>
          <w:p w14:paraId="66EDED80">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50BD32B9">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auto"/>
            <w:vAlign w:val="center"/>
          </w:tcPr>
          <w:p w14:paraId="054FBA47">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Name statistical software and package(s), including version and settings used</w:t>
            </w:r>
          </w:p>
        </w:tc>
        <w:tc>
          <w:tcPr>
            <w:tcW w:w="927" w:type="dxa"/>
            <w:vAlign w:val="center"/>
          </w:tcPr>
          <w:p w14:paraId="305BB821">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7</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8</w:t>
            </w:r>
          </w:p>
        </w:tc>
        <w:tc>
          <w:tcPr>
            <w:tcW w:w="5719" w:type="dxa"/>
            <w:vAlign w:val="center"/>
          </w:tcPr>
          <w:p w14:paraId="79626260">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Times New Roman" w:cs="Times New Roman"/>
                <w:sz w:val="22"/>
                <w:szCs w:val="22"/>
                <w:lang w:val="en-GB" w:eastAsia="en-GB"/>
              </w:rPr>
              <w:t xml:space="preserve">"SMR" software package (version 1.3.1) </w:t>
            </w:r>
            <w:r>
              <w:rPr>
                <w:rFonts w:hint="default" w:ascii="Times New Roman" w:hAnsi="Times New Roman" w:eastAsia="宋体" w:cs="Times New Roman"/>
                <w:sz w:val="22"/>
                <w:szCs w:val="22"/>
                <w:lang w:val="en-US" w:eastAsia="zh-CN"/>
              </w:rPr>
              <w:t>; "TwoSampleMR" package (version 0.5.6)</w:t>
            </w:r>
          </w:p>
        </w:tc>
      </w:tr>
      <w:tr w14:paraId="6A631D93">
        <w:tblPrEx>
          <w:tblCellMar>
            <w:top w:w="0" w:type="dxa"/>
            <w:left w:w="108" w:type="dxa"/>
            <w:bottom w:w="0" w:type="dxa"/>
            <w:right w:w="108" w:type="dxa"/>
          </w:tblCellMar>
        </w:tblPrEx>
        <w:tc>
          <w:tcPr>
            <w:tcW w:w="587" w:type="dxa"/>
            <w:tcBorders>
              <w:bottom w:val="single" w:color="7F7F7F" w:sz="6" w:space="0"/>
            </w:tcBorders>
            <w:shd w:val="clear" w:color="auto" w:fill="EEEEEE"/>
            <w:vAlign w:val="center"/>
          </w:tcPr>
          <w:p w14:paraId="37C88958">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tcBorders>
              <w:bottom w:val="single" w:color="7F7F7F" w:sz="6" w:space="0"/>
            </w:tcBorders>
            <w:shd w:val="clear" w:color="auto" w:fill="EEEEEE"/>
            <w:vAlign w:val="center"/>
          </w:tcPr>
          <w:p w14:paraId="2349B556">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tcBorders>
              <w:bottom w:val="single" w:color="7F7F7F" w:sz="6" w:space="0"/>
            </w:tcBorders>
            <w:shd w:val="clear" w:color="auto" w:fill="EEEEEE"/>
            <w:vAlign w:val="center"/>
          </w:tcPr>
          <w:p w14:paraId="5DBE58D7">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State whether the study protocol and details were pre-registered (as well as when and where)</w:t>
            </w:r>
          </w:p>
        </w:tc>
        <w:tc>
          <w:tcPr>
            <w:tcW w:w="927" w:type="dxa"/>
            <w:tcBorders>
              <w:bottom w:val="single" w:color="7F7F7F" w:sz="6" w:space="0"/>
            </w:tcBorders>
            <w:shd w:val="clear" w:color="auto" w:fill="EEEEEE"/>
            <w:vAlign w:val="center"/>
          </w:tcPr>
          <w:p w14:paraId="2325504F">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NA</w:t>
            </w:r>
          </w:p>
        </w:tc>
        <w:tc>
          <w:tcPr>
            <w:tcW w:w="5719" w:type="dxa"/>
            <w:tcBorders>
              <w:bottom w:val="single" w:color="7F7F7F" w:sz="6" w:space="0"/>
            </w:tcBorders>
            <w:shd w:val="clear" w:color="auto" w:fill="EEEEEE"/>
            <w:vAlign w:val="center"/>
          </w:tcPr>
          <w:p w14:paraId="3EFCD231">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040F15E5">
        <w:tblPrEx>
          <w:tblCellMar>
            <w:top w:w="0" w:type="dxa"/>
            <w:left w:w="108" w:type="dxa"/>
            <w:bottom w:w="0" w:type="dxa"/>
            <w:right w:w="108" w:type="dxa"/>
          </w:tblCellMar>
        </w:tblPrEx>
        <w:tc>
          <w:tcPr>
            <w:tcW w:w="587" w:type="dxa"/>
            <w:tcBorders>
              <w:top w:val="single" w:color="7F7F7F" w:sz="6" w:space="0"/>
            </w:tcBorders>
            <w:shd w:val="clear" w:color="auto" w:fill="auto"/>
            <w:vAlign w:val="center"/>
          </w:tcPr>
          <w:p w14:paraId="777278B3">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p>
        </w:tc>
        <w:tc>
          <w:tcPr>
            <w:tcW w:w="1787" w:type="dxa"/>
            <w:tcBorders>
              <w:top w:val="single" w:color="7F7F7F" w:sz="6" w:space="0"/>
            </w:tcBorders>
            <w:shd w:val="clear" w:color="auto" w:fill="auto"/>
            <w:vAlign w:val="center"/>
          </w:tcPr>
          <w:p w14:paraId="7D8D653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RESULTS</w:t>
            </w:r>
          </w:p>
        </w:tc>
        <w:tc>
          <w:tcPr>
            <w:tcW w:w="5470" w:type="dxa"/>
            <w:tcBorders>
              <w:top w:val="single" w:color="7F7F7F" w:sz="6" w:space="0"/>
            </w:tcBorders>
            <w:shd w:val="clear" w:color="auto" w:fill="auto"/>
            <w:vAlign w:val="center"/>
          </w:tcPr>
          <w:p w14:paraId="34719287">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tcBorders>
              <w:top w:val="single" w:color="7F7F7F" w:sz="6" w:space="0"/>
            </w:tcBorders>
            <w:vAlign w:val="center"/>
          </w:tcPr>
          <w:p w14:paraId="0E355A69">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tcBorders>
              <w:top w:val="single" w:color="7F7F7F" w:sz="6" w:space="0"/>
            </w:tcBorders>
            <w:vAlign w:val="center"/>
          </w:tcPr>
          <w:p w14:paraId="33E956D1">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67F47EED">
        <w:tblPrEx>
          <w:tblCellMar>
            <w:top w:w="0" w:type="dxa"/>
            <w:left w:w="108" w:type="dxa"/>
            <w:bottom w:w="0" w:type="dxa"/>
            <w:right w:w="108" w:type="dxa"/>
          </w:tblCellMar>
        </w:tblPrEx>
        <w:tc>
          <w:tcPr>
            <w:tcW w:w="587" w:type="dxa"/>
            <w:shd w:val="clear" w:color="auto" w:fill="EEEEEE"/>
            <w:vAlign w:val="center"/>
          </w:tcPr>
          <w:p w14:paraId="51C7A54B">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10</w:t>
            </w:r>
          </w:p>
        </w:tc>
        <w:tc>
          <w:tcPr>
            <w:tcW w:w="1787" w:type="dxa"/>
            <w:shd w:val="clear" w:color="auto" w:fill="EEEEEE"/>
            <w:vAlign w:val="center"/>
          </w:tcPr>
          <w:p w14:paraId="731D0370">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Descriptive data</w:t>
            </w:r>
          </w:p>
        </w:tc>
        <w:tc>
          <w:tcPr>
            <w:tcW w:w="5470" w:type="dxa"/>
            <w:shd w:val="clear" w:color="auto" w:fill="EEEEEE"/>
            <w:vAlign w:val="center"/>
          </w:tcPr>
          <w:p w14:paraId="3B19CDAF">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shd w:val="clear" w:color="auto" w:fill="EEEEEE"/>
            <w:vAlign w:val="center"/>
          </w:tcPr>
          <w:p w14:paraId="1091FF57">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shd w:val="clear" w:color="auto" w:fill="EEEEEE"/>
            <w:vAlign w:val="center"/>
          </w:tcPr>
          <w:p w14:paraId="4B684E79">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6CA228D1">
        <w:tblPrEx>
          <w:tblCellMar>
            <w:top w:w="0" w:type="dxa"/>
            <w:left w:w="108" w:type="dxa"/>
            <w:bottom w:w="0" w:type="dxa"/>
            <w:right w:w="108" w:type="dxa"/>
          </w:tblCellMar>
        </w:tblPrEx>
        <w:tc>
          <w:tcPr>
            <w:tcW w:w="587" w:type="dxa"/>
            <w:shd w:val="clear" w:color="auto" w:fill="auto"/>
            <w:vAlign w:val="center"/>
          </w:tcPr>
          <w:p w14:paraId="29B62776">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4C1499C8">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auto"/>
            <w:vAlign w:val="center"/>
          </w:tcPr>
          <w:p w14:paraId="4D5C652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Report the numbers of individuals at each stage of included studies and reasons for exclusion. Consider use of a flow diagram</w:t>
            </w:r>
          </w:p>
        </w:tc>
        <w:tc>
          <w:tcPr>
            <w:tcW w:w="927" w:type="dxa"/>
            <w:vAlign w:val="center"/>
          </w:tcPr>
          <w:p w14:paraId="7AF8CC23">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12</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13</w:t>
            </w:r>
          </w:p>
        </w:tc>
        <w:tc>
          <w:tcPr>
            <w:tcW w:w="5719" w:type="dxa"/>
            <w:vAlign w:val="center"/>
          </w:tcPr>
          <w:p w14:paraId="00D65497">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Times New Roman" w:cs="Times New Roman"/>
                <w:sz w:val="22"/>
                <w:szCs w:val="22"/>
                <w:lang w:val="en-GB" w:eastAsia="en-GB"/>
              </w:rPr>
              <w:t>Among the 444 candidate genes, SMR analysis revealed that the eQTLs of POLI, TRIM8, ZNF131, and USP28 were significantly associated with PCa, exhibiting causal relationships with PSMR &lt; 0.05, FDR &lt; 0.05, and PHEIDI &gt; 0.05. Notably, all of these genes were identified as protective factors for PCa, with OR &lt; 1 (Table 1, Figure 4A)</w:t>
            </w:r>
            <w:r>
              <w:rPr>
                <w:rFonts w:hint="default" w:ascii="Times New Roman" w:hAnsi="Times New Roman" w:eastAsia="宋体" w:cs="Times New Roman"/>
                <w:sz w:val="22"/>
                <w:szCs w:val="22"/>
                <w:lang w:val="en-US" w:eastAsia="zh-CN"/>
              </w:rPr>
              <w:t>.</w:t>
            </w:r>
          </w:p>
          <w:p w14:paraId="5FC1890F">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MR analysis was performed. The MR outcomes demonstrated statistically significant inverse associations for POLI (OR = 0.9385, 95% CI = 0.8982–0.9806, P = 0.0046) and TRIM8 (OR = 0.8648, 95% CI = 0.8118–0.9213, P &lt; 0.001) with PCa risk under the PIVW threshold (P &lt; 0.05), classifying both genes as protective factors (Table 3; Figure 5A).</w:t>
            </w:r>
          </w:p>
        </w:tc>
      </w:tr>
      <w:tr w14:paraId="0765C344">
        <w:tblPrEx>
          <w:tblCellMar>
            <w:top w:w="0" w:type="dxa"/>
            <w:left w:w="108" w:type="dxa"/>
            <w:bottom w:w="0" w:type="dxa"/>
            <w:right w:w="108" w:type="dxa"/>
          </w:tblCellMar>
        </w:tblPrEx>
        <w:tc>
          <w:tcPr>
            <w:tcW w:w="587" w:type="dxa"/>
            <w:shd w:val="clear" w:color="auto" w:fill="EEEEEE"/>
            <w:vAlign w:val="center"/>
          </w:tcPr>
          <w:p w14:paraId="2404BFFB">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6545C2F1">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shd w:val="clear" w:color="auto" w:fill="EEEEEE"/>
            <w:vAlign w:val="center"/>
          </w:tcPr>
          <w:p w14:paraId="405491A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Report summary statistics for phenotypic exposure(s), outcome(s), and other relevant variables (e.g. means, SDs, proportions)</w:t>
            </w:r>
          </w:p>
        </w:tc>
        <w:tc>
          <w:tcPr>
            <w:tcW w:w="927" w:type="dxa"/>
            <w:shd w:val="clear" w:color="auto" w:fill="EEEEEE"/>
            <w:vAlign w:val="center"/>
          </w:tcPr>
          <w:p w14:paraId="03BBA613">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宋体" w:cs="Times New Roman"/>
                <w:sz w:val="22"/>
                <w:szCs w:val="22"/>
                <w:lang w:val="en-US" w:eastAsia="zh-CN"/>
              </w:rPr>
              <w:t>12</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13</w:t>
            </w:r>
          </w:p>
        </w:tc>
        <w:tc>
          <w:tcPr>
            <w:tcW w:w="5719" w:type="dxa"/>
            <w:shd w:val="clear" w:color="auto" w:fill="EEEEEE"/>
            <w:vAlign w:val="center"/>
          </w:tcPr>
          <w:p w14:paraId="0EF70D0F">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Times New Roman" w:cs="Times New Roman"/>
                <w:sz w:val="22"/>
                <w:szCs w:val="22"/>
                <w:lang w:val="en-GB" w:eastAsia="en-GB"/>
              </w:rPr>
              <w:t>Among the 444 candidate genes, SMR analysis revealed that the eQTLs of POLI, TRIM8, ZNF131, and USP28 were significantly associated with PCa, exhibiting causal relationships with PSMR &lt; 0.05, FDR &lt; 0.05, and PHEIDI &gt; 0.05. Notably, all of these genes were identified as protective factors for PCa, with OR &lt; 1 (Table 1, Figure 4A)</w:t>
            </w:r>
            <w:r>
              <w:rPr>
                <w:rFonts w:hint="default" w:ascii="Times New Roman" w:hAnsi="Times New Roman" w:eastAsia="宋体" w:cs="Times New Roman"/>
                <w:sz w:val="22"/>
                <w:szCs w:val="22"/>
                <w:lang w:val="en-US" w:eastAsia="zh-CN"/>
              </w:rPr>
              <w:t>. Similarly, the mQTLs of POLI and TRIM8 also demonstrated significant causal associations with PCa (PSMR &lt; 0.05, FDR &lt; 0.05, and PHEIDI &gt; 0.05), with both genes identified as protective factors (Table 2, Figure 4B).</w:t>
            </w:r>
          </w:p>
          <w:p w14:paraId="37EDBC81">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宋体" w:cs="Times New Roman"/>
                <w:sz w:val="22"/>
                <w:szCs w:val="22"/>
                <w:lang w:val="en-US" w:eastAsia="zh-CN"/>
              </w:rPr>
              <w:t>MR analysis was performed. The MR outcomes demonstrated statistically significant inverse associations for POLI (OR = 0.9385, 95% CI = 0.8982–0.9806, P = 0.0046) and TRIM8 (OR = 0.8648, 95% CI = 0.8118–0.9213, P &lt; 0.001) with PCa risk under the PIVW threshold (P &lt; 0.05), classifying both genes as protective factors (Table 3; Figure 5A).</w:t>
            </w:r>
          </w:p>
        </w:tc>
      </w:tr>
      <w:tr w14:paraId="48F10342">
        <w:tblPrEx>
          <w:tblCellMar>
            <w:top w:w="0" w:type="dxa"/>
            <w:left w:w="108" w:type="dxa"/>
            <w:bottom w:w="0" w:type="dxa"/>
            <w:right w:w="108" w:type="dxa"/>
          </w:tblCellMar>
        </w:tblPrEx>
        <w:tc>
          <w:tcPr>
            <w:tcW w:w="587" w:type="dxa"/>
            <w:shd w:val="clear" w:color="auto" w:fill="auto"/>
            <w:vAlign w:val="center"/>
          </w:tcPr>
          <w:p w14:paraId="6600AF43">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435099F2">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c)</w:t>
            </w:r>
          </w:p>
        </w:tc>
        <w:tc>
          <w:tcPr>
            <w:tcW w:w="5470" w:type="dxa"/>
            <w:shd w:val="clear" w:color="auto" w:fill="auto"/>
            <w:vAlign w:val="center"/>
          </w:tcPr>
          <w:p w14:paraId="062EB561">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If the data sources include meta-analyses of previous studies, provide the assessments of heterogeneity across these studies</w:t>
            </w:r>
          </w:p>
        </w:tc>
        <w:tc>
          <w:tcPr>
            <w:tcW w:w="927" w:type="dxa"/>
            <w:vAlign w:val="center"/>
          </w:tcPr>
          <w:p w14:paraId="10F6EF39">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NA</w:t>
            </w:r>
          </w:p>
        </w:tc>
        <w:tc>
          <w:tcPr>
            <w:tcW w:w="5719" w:type="dxa"/>
            <w:vAlign w:val="center"/>
          </w:tcPr>
          <w:p w14:paraId="449D40FD">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51930A8C">
        <w:tblPrEx>
          <w:tblCellMar>
            <w:top w:w="0" w:type="dxa"/>
            <w:left w:w="108" w:type="dxa"/>
            <w:bottom w:w="0" w:type="dxa"/>
            <w:right w:w="108" w:type="dxa"/>
          </w:tblCellMar>
        </w:tblPrEx>
        <w:tc>
          <w:tcPr>
            <w:tcW w:w="587" w:type="dxa"/>
            <w:shd w:val="clear" w:color="auto" w:fill="EEEEEE"/>
            <w:vAlign w:val="center"/>
          </w:tcPr>
          <w:p w14:paraId="6116DD95">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453F7877">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d)</w:t>
            </w:r>
          </w:p>
        </w:tc>
        <w:tc>
          <w:tcPr>
            <w:tcW w:w="5470" w:type="dxa"/>
            <w:shd w:val="clear" w:color="auto" w:fill="EEEEEE"/>
            <w:vAlign w:val="center"/>
          </w:tcPr>
          <w:p w14:paraId="2EFD572E">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 xml:space="preserve">For </w:t>
            </w:r>
            <w:r>
              <w:rPr>
                <w:rFonts w:hint="default" w:ascii="Times New Roman" w:hAnsi="Times New Roman" w:eastAsia="Times New Roman" w:cs="Times New Roman"/>
                <w:iCs/>
                <w:sz w:val="22"/>
                <w:szCs w:val="22"/>
                <w:lang w:val="en-GB" w:eastAsia="en-GB"/>
              </w:rPr>
              <w:t>two-sample</w:t>
            </w:r>
            <w:r>
              <w:rPr>
                <w:rFonts w:hint="default" w:ascii="Times New Roman" w:hAnsi="Times New Roman" w:eastAsia="Times New Roman" w:cs="Times New Roman"/>
                <w:sz w:val="22"/>
                <w:szCs w:val="22"/>
                <w:lang w:val="en-GB" w:eastAsia="en-GB"/>
              </w:rPr>
              <w:t xml:space="preserve"> MR:</w:t>
            </w:r>
          </w:p>
          <w:p w14:paraId="48065368">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i.  Provide justification of the similarity of the genetic variant-exposure associations between the exposure and outcome samples</w:t>
            </w:r>
          </w:p>
          <w:p w14:paraId="35BA9280">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ii.  Provide information on the number of individuals who overlap between the exposure and outcome studies</w:t>
            </w:r>
          </w:p>
        </w:tc>
        <w:tc>
          <w:tcPr>
            <w:tcW w:w="927" w:type="dxa"/>
            <w:shd w:val="clear" w:color="auto" w:fill="EEEEEE"/>
            <w:vAlign w:val="center"/>
          </w:tcPr>
          <w:p w14:paraId="4948EE3D">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NA</w:t>
            </w:r>
          </w:p>
        </w:tc>
        <w:tc>
          <w:tcPr>
            <w:tcW w:w="5719" w:type="dxa"/>
            <w:shd w:val="clear" w:color="auto" w:fill="EEEEEE"/>
            <w:vAlign w:val="center"/>
          </w:tcPr>
          <w:p w14:paraId="5B2A1A71">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52CFCA59">
        <w:tblPrEx>
          <w:tblCellMar>
            <w:top w:w="0" w:type="dxa"/>
            <w:left w:w="108" w:type="dxa"/>
            <w:bottom w:w="0" w:type="dxa"/>
            <w:right w:w="108" w:type="dxa"/>
          </w:tblCellMar>
        </w:tblPrEx>
        <w:tc>
          <w:tcPr>
            <w:tcW w:w="587" w:type="dxa"/>
            <w:shd w:val="clear" w:color="auto" w:fill="auto"/>
            <w:vAlign w:val="center"/>
          </w:tcPr>
          <w:p w14:paraId="110872BB">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11</w:t>
            </w:r>
          </w:p>
        </w:tc>
        <w:tc>
          <w:tcPr>
            <w:tcW w:w="1787" w:type="dxa"/>
            <w:shd w:val="clear" w:color="auto" w:fill="auto"/>
            <w:vAlign w:val="center"/>
          </w:tcPr>
          <w:p w14:paraId="0C26298F">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Main results</w:t>
            </w:r>
          </w:p>
        </w:tc>
        <w:tc>
          <w:tcPr>
            <w:tcW w:w="5470" w:type="dxa"/>
            <w:shd w:val="clear" w:color="auto" w:fill="auto"/>
            <w:vAlign w:val="center"/>
          </w:tcPr>
          <w:p w14:paraId="2F14FA37">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vAlign w:val="center"/>
          </w:tcPr>
          <w:p w14:paraId="035B3367">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vAlign w:val="center"/>
          </w:tcPr>
          <w:p w14:paraId="0AFA0083">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56845A2A">
        <w:tblPrEx>
          <w:tblCellMar>
            <w:top w:w="0" w:type="dxa"/>
            <w:left w:w="108" w:type="dxa"/>
            <w:bottom w:w="0" w:type="dxa"/>
            <w:right w:w="108" w:type="dxa"/>
          </w:tblCellMar>
        </w:tblPrEx>
        <w:tc>
          <w:tcPr>
            <w:tcW w:w="587" w:type="dxa"/>
            <w:shd w:val="clear" w:color="auto" w:fill="EEEEEE"/>
            <w:vAlign w:val="center"/>
          </w:tcPr>
          <w:p w14:paraId="0892A548">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7CDB72AD">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EEEEEE"/>
            <w:vAlign w:val="center"/>
          </w:tcPr>
          <w:p w14:paraId="09CB478B">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Report the associations between genetic variant and exposure, and between genetic variant and outcome, preferably on an interpretable scale</w:t>
            </w:r>
          </w:p>
        </w:tc>
        <w:tc>
          <w:tcPr>
            <w:tcW w:w="927" w:type="dxa"/>
            <w:shd w:val="clear" w:color="auto" w:fill="EEEEEE"/>
            <w:vAlign w:val="center"/>
          </w:tcPr>
          <w:p w14:paraId="7F1B8B69">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12</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13</w:t>
            </w:r>
          </w:p>
        </w:tc>
        <w:tc>
          <w:tcPr>
            <w:tcW w:w="5719" w:type="dxa"/>
            <w:shd w:val="clear" w:color="auto" w:fill="EEEEEE"/>
            <w:vAlign w:val="center"/>
          </w:tcPr>
          <w:p w14:paraId="7BCA1C07">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Among the 444 candidate genes, SMR analysis revealed that the eQTLs of POLI, TRIM8, ZNF131, and USP28 were significantly associated with PCa, exhibiting causal relationships with PSMR &lt; 0.05, FDR &lt; 0.05, and PHEIDI &gt; 0.05. Notably, all of these genes were identified as protective factors for PCa, with OR &lt; 1 (Table 1, Figure 4A). Similarly, the mQTLs of POLI and TRIM8 also demonstrated significant causal associations with PCa (PSMR &lt; 0.05, FDR &lt; 0.05, and PHEIDI &gt; 0.05), with both genes identified as protective factors (Table 2, Figure 4B).</w:t>
            </w:r>
          </w:p>
          <w:p w14:paraId="4212EDCD">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To establish causality between the two highlighted genes (POLI and TRIM8) and PCa, MR analysis was performed. The MR outcomes demonstrated statistically significant inverse associations for POLI (OR = 0.9385, 95% CI = 0.8982–0.9806, P = 0.0046) and TRIM8 (OR = 0.8648, 95% CI = 0.8118–0.9213, P &lt; 0.001) with PCa risk under the PIVW threshold (P &lt; 0.05), classifying both genes as protective factors (Table 3; Figure 5A). Graphical representation through scatter plots exhibited downward trends for these genes (F</w:t>
            </w:r>
          </w:p>
        </w:tc>
      </w:tr>
      <w:tr w14:paraId="2FAEFE68">
        <w:tblPrEx>
          <w:tblCellMar>
            <w:top w:w="0" w:type="dxa"/>
            <w:left w:w="108" w:type="dxa"/>
            <w:bottom w:w="0" w:type="dxa"/>
            <w:right w:w="108" w:type="dxa"/>
          </w:tblCellMar>
        </w:tblPrEx>
        <w:tc>
          <w:tcPr>
            <w:tcW w:w="587" w:type="dxa"/>
            <w:shd w:val="clear" w:color="auto" w:fill="auto"/>
            <w:vAlign w:val="center"/>
          </w:tcPr>
          <w:p w14:paraId="2E83DFB7">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142A3CE2">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shd w:val="clear" w:color="auto" w:fill="auto"/>
            <w:vAlign w:val="center"/>
          </w:tcPr>
          <w:p w14:paraId="336E75EE">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Report MR estimates of the relationship between exposure and outcome, and the measures of uncertainty from the MR analysis, on an interpretable scale, such as odds ratio or relative risk per SD difference</w:t>
            </w:r>
          </w:p>
        </w:tc>
        <w:tc>
          <w:tcPr>
            <w:tcW w:w="927" w:type="dxa"/>
            <w:vAlign w:val="center"/>
          </w:tcPr>
          <w:p w14:paraId="1E1B567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p w14:paraId="34ADBF66">
            <w:pPr>
              <w:spacing w:before="96" w:beforeLines="40" w:after="96" w:afterLines="40" w:line="24" w:lineRule="atLeast"/>
              <w:jc w:val="center"/>
              <w:rPr>
                <w:rFonts w:hint="default" w:ascii="Times New Roman" w:hAnsi="Times New Roman" w:eastAsia="宋体" w:cs="Times New Roman"/>
                <w:sz w:val="22"/>
                <w:szCs w:val="22"/>
                <w:lang w:val="en-US" w:eastAsia="zh-CN" w:bidi="ar-SA"/>
              </w:rPr>
            </w:pPr>
            <w:r>
              <w:rPr>
                <w:rFonts w:hint="default" w:ascii="Times New Roman" w:hAnsi="Times New Roman" w:eastAsia="宋体" w:cs="Times New Roman"/>
                <w:sz w:val="22"/>
                <w:szCs w:val="22"/>
                <w:lang w:val="en-US" w:eastAsia="zh-CN"/>
              </w:rPr>
              <w:t>12</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13</w:t>
            </w:r>
          </w:p>
        </w:tc>
        <w:tc>
          <w:tcPr>
            <w:tcW w:w="5719" w:type="dxa"/>
            <w:vAlign w:val="center"/>
          </w:tcPr>
          <w:p w14:paraId="45F55BF2">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Among the 444 candidate genes, SMR analysis revealed that the eQTLs of POLI, TRIM8, ZNF131, and USP28 were significantly associated with PCa, exhibiting causal relationships with PSMR &lt; 0.05, FDR &lt; 0.05, and PHEIDI &gt; 0.05. Notably, all of these genes were identified as protective factors for PCa, with OR &lt; 1 (Table 1, Figure 4A). Similarly, the mQTLs of POLI and TRIM8 also demonstrated significant causal associations with PCa (PSMR &lt; 0.05, FDR &lt; 0.05, and PHEIDI &gt; 0.05), with both genes identified as protective factors (Table 2, Figure 4B).</w:t>
            </w:r>
          </w:p>
          <w:p w14:paraId="4564CED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The MR outcomes demonstrated statistically significant inverse associations for POLI (OR = 0.9385, 95% CI = 0.8982–0.9806, P = 0.0046) and TRIM8 (OR = 0.8648, 95% CI = 0.8118–0.9213, P &lt; 0.001) with PCa risk under the PIVW threshold (P &lt; 0.05), classifying both genes as protective factors (Table 3; Figure 5A). Graphical representation through scatter plots exhibited downward trends for these genes (Figure 5B), while forest plots corroborated negative effect sizes under the IVW approach (Figure 5C), collectively confirming their protective roles. IV distribution patterns around the IVW regression line validated compliance with Mendel’s second law (Figure 5D).</w:t>
            </w:r>
          </w:p>
        </w:tc>
      </w:tr>
      <w:tr w14:paraId="1FAC379E">
        <w:tblPrEx>
          <w:tblCellMar>
            <w:top w:w="0" w:type="dxa"/>
            <w:left w:w="108" w:type="dxa"/>
            <w:bottom w:w="0" w:type="dxa"/>
            <w:right w:w="108" w:type="dxa"/>
          </w:tblCellMar>
        </w:tblPrEx>
        <w:tc>
          <w:tcPr>
            <w:tcW w:w="587" w:type="dxa"/>
            <w:shd w:val="clear" w:color="auto" w:fill="EEEEEE"/>
            <w:vAlign w:val="center"/>
          </w:tcPr>
          <w:p w14:paraId="6762B88A">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514E8164">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c)</w:t>
            </w:r>
          </w:p>
        </w:tc>
        <w:tc>
          <w:tcPr>
            <w:tcW w:w="5470" w:type="dxa"/>
            <w:shd w:val="clear" w:color="auto" w:fill="EEEEEE"/>
            <w:vAlign w:val="center"/>
          </w:tcPr>
          <w:p w14:paraId="4BC6AB73">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If relevant, consider translating estimates of relative risk into absolute risk for a meaningful time period</w:t>
            </w:r>
          </w:p>
        </w:tc>
        <w:tc>
          <w:tcPr>
            <w:tcW w:w="927" w:type="dxa"/>
            <w:shd w:val="clear" w:color="auto" w:fill="EEEEEE"/>
            <w:vAlign w:val="center"/>
          </w:tcPr>
          <w:p w14:paraId="326BA5CA">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NA</w:t>
            </w:r>
          </w:p>
        </w:tc>
        <w:tc>
          <w:tcPr>
            <w:tcW w:w="5719" w:type="dxa"/>
            <w:shd w:val="clear" w:color="auto" w:fill="EEEEEE"/>
            <w:vAlign w:val="center"/>
          </w:tcPr>
          <w:p w14:paraId="4A2216F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00F87C74">
        <w:tblPrEx>
          <w:tblCellMar>
            <w:top w:w="0" w:type="dxa"/>
            <w:left w:w="108" w:type="dxa"/>
            <w:bottom w:w="0" w:type="dxa"/>
            <w:right w:w="108" w:type="dxa"/>
          </w:tblCellMar>
        </w:tblPrEx>
        <w:tc>
          <w:tcPr>
            <w:tcW w:w="587" w:type="dxa"/>
            <w:shd w:val="clear" w:color="auto" w:fill="auto"/>
            <w:vAlign w:val="center"/>
          </w:tcPr>
          <w:p w14:paraId="2CDE5DE6">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69C50E8E">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d)</w:t>
            </w:r>
          </w:p>
        </w:tc>
        <w:tc>
          <w:tcPr>
            <w:tcW w:w="5470" w:type="dxa"/>
            <w:shd w:val="clear" w:color="auto" w:fill="auto"/>
            <w:vAlign w:val="center"/>
          </w:tcPr>
          <w:p w14:paraId="47CC3ACC">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Consider plots to visualize results (e.g. forest plot, scatterplot of associations between genetic variants and outcome versus between genetic variants and exposure)</w:t>
            </w:r>
          </w:p>
        </w:tc>
        <w:tc>
          <w:tcPr>
            <w:tcW w:w="927" w:type="dxa"/>
            <w:vAlign w:val="center"/>
          </w:tcPr>
          <w:p w14:paraId="777DAC23">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13</w:t>
            </w:r>
          </w:p>
        </w:tc>
        <w:tc>
          <w:tcPr>
            <w:tcW w:w="5719" w:type="dxa"/>
            <w:vAlign w:val="center"/>
          </w:tcPr>
          <w:p w14:paraId="7B9F0A4D">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Graphical representation through scatter plots exhibited downward trends for these genes (Figure 5B), while forest plots corroborated negative effect sizes under the IVW approach (Figure 5C), collectively confirming their protective roles. IV distribution patterns around the IVW regression line validated compliance with Mendel’s second law (Figure 5D).</w:t>
            </w:r>
          </w:p>
        </w:tc>
      </w:tr>
      <w:tr w14:paraId="62E6DFEA">
        <w:tblPrEx>
          <w:tblCellMar>
            <w:top w:w="0" w:type="dxa"/>
            <w:left w:w="108" w:type="dxa"/>
            <w:bottom w:w="0" w:type="dxa"/>
            <w:right w:w="108" w:type="dxa"/>
          </w:tblCellMar>
        </w:tblPrEx>
        <w:tc>
          <w:tcPr>
            <w:tcW w:w="587" w:type="dxa"/>
            <w:shd w:val="clear" w:color="auto" w:fill="EEEEEE"/>
            <w:vAlign w:val="center"/>
          </w:tcPr>
          <w:p w14:paraId="57CB2789">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12</w:t>
            </w:r>
          </w:p>
        </w:tc>
        <w:tc>
          <w:tcPr>
            <w:tcW w:w="1787" w:type="dxa"/>
            <w:shd w:val="clear" w:color="auto" w:fill="EEEEEE"/>
            <w:vAlign w:val="center"/>
          </w:tcPr>
          <w:p w14:paraId="27B891DB">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Assessment of assumptions</w:t>
            </w:r>
          </w:p>
        </w:tc>
        <w:tc>
          <w:tcPr>
            <w:tcW w:w="5470" w:type="dxa"/>
            <w:shd w:val="clear" w:color="auto" w:fill="EEEEEE"/>
            <w:vAlign w:val="center"/>
          </w:tcPr>
          <w:p w14:paraId="6EC050C1">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shd w:val="clear" w:color="auto" w:fill="EEEEEE"/>
            <w:vAlign w:val="center"/>
          </w:tcPr>
          <w:p w14:paraId="3871A389">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shd w:val="clear" w:color="auto" w:fill="EEEEEE"/>
            <w:vAlign w:val="center"/>
          </w:tcPr>
          <w:p w14:paraId="10C8ADE2">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48EE0AFA">
        <w:tblPrEx>
          <w:tblCellMar>
            <w:top w:w="0" w:type="dxa"/>
            <w:left w:w="108" w:type="dxa"/>
            <w:bottom w:w="0" w:type="dxa"/>
            <w:right w:w="108" w:type="dxa"/>
          </w:tblCellMar>
        </w:tblPrEx>
        <w:tc>
          <w:tcPr>
            <w:tcW w:w="587" w:type="dxa"/>
            <w:shd w:val="clear" w:color="auto" w:fill="auto"/>
            <w:vAlign w:val="center"/>
          </w:tcPr>
          <w:p w14:paraId="4E29121D">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18A8B0EA">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auto"/>
            <w:vAlign w:val="center"/>
          </w:tcPr>
          <w:p w14:paraId="1A97B456">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Report the assessment of the validity of the assumptions</w:t>
            </w:r>
          </w:p>
        </w:tc>
        <w:tc>
          <w:tcPr>
            <w:tcW w:w="927" w:type="dxa"/>
            <w:vAlign w:val="center"/>
          </w:tcPr>
          <w:p w14:paraId="6E2D56F0">
            <w:pPr>
              <w:tabs>
                <w:tab w:val="left" w:pos="483"/>
              </w:tabs>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12</w:t>
            </w:r>
            <w:r>
              <w:rPr>
                <w:rFonts w:hint="eastAsia" w:ascii="Times New Roman" w:hAnsi="Times New Roman" w:eastAsia="宋体" w:cs="Times New Roman"/>
                <w:sz w:val="22"/>
                <w:szCs w:val="22"/>
                <w:lang w:val="en-US" w:eastAsia="zh-CN"/>
              </w:rPr>
              <w:t>-</w:t>
            </w:r>
            <w:r>
              <w:rPr>
                <w:rFonts w:hint="default" w:ascii="Times New Roman" w:hAnsi="Times New Roman" w:eastAsia="宋体" w:cs="Times New Roman"/>
                <w:sz w:val="22"/>
                <w:szCs w:val="22"/>
                <w:lang w:val="en-US" w:eastAsia="zh-CN"/>
              </w:rPr>
              <w:t>13</w:t>
            </w:r>
          </w:p>
        </w:tc>
        <w:tc>
          <w:tcPr>
            <w:tcW w:w="5719" w:type="dxa"/>
            <w:vAlign w:val="center"/>
          </w:tcPr>
          <w:p w14:paraId="5E7081D1">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Integration of the eQTL and mQTL results highlighted POLI and TRIM8 as key genes for further investigation. The scatter plots for both genes at the eQTL and mQTL levels showed negative slopes, further supporting their protective association with PCa (Figure 4C-D).</w:t>
            </w:r>
          </w:p>
          <w:p w14:paraId="7A1DC63E">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Times New Roman" w:cs="Times New Roman"/>
                <w:sz w:val="22"/>
                <w:szCs w:val="22"/>
                <w:lang w:val="en-GB" w:eastAsia="en-GB"/>
              </w:rPr>
              <w:t>Sensitivity analyses revealed no heterogeneity (P &gt; 0.05; Table S4) or horizontal pleiotropy (P &gt; 0.05; Table S5), with leave-one-out (LOO) analysis confirming result stability (Figure 5E).</w:t>
            </w:r>
          </w:p>
          <w:p w14:paraId="560E7750">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Similarly, TRIM8 displayed notable colocalization with PCa (PP.H4 = 0.733041), with rs10786677 serving as the linking variant and suggesting a potential causal role (Table 4, Figure 6A–B)</w:t>
            </w:r>
          </w:p>
        </w:tc>
      </w:tr>
      <w:tr w14:paraId="7BDA55CD">
        <w:tblPrEx>
          <w:tblCellMar>
            <w:top w:w="0" w:type="dxa"/>
            <w:left w:w="108" w:type="dxa"/>
            <w:bottom w:w="0" w:type="dxa"/>
            <w:right w:w="108" w:type="dxa"/>
          </w:tblCellMar>
        </w:tblPrEx>
        <w:tc>
          <w:tcPr>
            <w:tcW w:w="587" w:type="dxa"/>
            <w:shd w:val="clear" w:color="auto" w:fill="EEEEEE"/>
            <w:vAlign w:val="center"/>
          </w:tcPr>
          <w:p w14:paraId="6F27FA73">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6BC0019D">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shd w:val="clear" w:color="auto" w:fill="EEEEEE"/>
            <w:vAlign w:val="center"/>
          </w:tcPr>
          <w:p w14:paraId="400ADD58">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 xml:space="preserve">Report any additional statistics (e.g., assessments of heterogeneity </w:t>
            </w:r>
            <w:r>
              <w:rPr>
                <w:rFonts w:hint="default" w:ascii="Times New Roman" w:hAnsi="Times New Roman" w:eastAsia="Times New Roman" w:cs="Times New Roman"/>
                <w:sz w:val="22"/>
                <w:szCs w:val="22"/>
                <w:lang w:eastAsia="en-GB"/>
              </w:rPr>
              <w:t>across genetic variants</w:t>
            </w:r>
            <w:r>
              <w:rPr>
                <w:rFonts w:hint="default" w:ascii="Times New Roman" w:hAnsi="Times New Roman" w:eastAsia="Times New Roman" w:cs="Times New Roman"/>
                <w:sz w:val="22"/>
                <w:szCs w:val="22"/>
                <w:lang w:val="en-GB" w:eastAsia="en-GB"/>
              </w:rPr>
              <w:t xml:space="preserve">, such as </w:t>
            </w:r>
            <w:r>
              <w:rPr>
                <w:rFonts w:hint="default" w:ascii="Times New Roman" w:hAnsi="Times New Roman" w:eastAsia="Times New Roman" w:cs="Times New Roman"/>
                <w:i/>
                <w:sz w:val="22"/>
                <w:szCs w:val="22"/>
                <w:lang w:val="en-GB" w:eastAsia="en-GB"/>
              </w:rPr>
              <w:t>I</w:t>
            </w:r>
            <w:r>
              <w:rPr>
                <w:rFonts w:hint="default" w:ascii="Times New Roman" w:hAnsi="Times New Roman" w:eastAsia="Times New Roman" w:cs="Times New Roman"/>
                <w:i/>
                <w:sz w:val="22"/>
                <w:szCs w:val="22"/>
                <w:vertAlign w:val="superscript"/>
                <w:lang w:val="en-GB" w:eastAsia="en-GB"/>
              </w:rPr>
              <w:t>2</w:t>
            </w:r>
            <w:r>
              <w:rPr>
                <w:rFonts w:hint="default" w:ascii="Times New Roman" w:hAnsi="Times New Roman" w:eastAsia="Times New Roman" w:cs="Times New Roman"/>
                <w:sz w:val="22"/>
                <w:szCs w:val="22"/>
                <w:lang w:val="en-GB" w:eastAsia="en-GB"/>
              </w:rPr>
              <w:t>, Q statistic or E-value)</w:t>
            </w:r>
          </w:p>
        </w:tc>
        <w:tc>
          <w:tcPr>
            <w:tcW w:w="927" w:type="dxa"/>
            <w:shd w:val="clear" w:color="auto" w:fill="EEEEEE"/>
            <w:vAlign w:val="center"/>
          </w:tcPr>
          <w:p w14:paraId="2D6E39C6">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13</w:t>
            </w:r>
          </w:p>
        </w:tc>
        <w:tc>
          <w:tcPr>
            <w:tcW w:w="5719" w:type="dxa"/>
            <w:shd w:val="clear" w:color="auto" w:fill="EEEEEE"/>
            <w:vAlign w:val="center"/>
          </w:tcPr>
          <w:p w14:paraId="205C4ED8">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Times New Roman" w:cs="Times New Roman"/>
                <w:sz w:val="22"/>
                <w:szCs w:val="22"/>
                <w:lang w:val="en-GB" w:eastAsia="en-GB"/>
              </w:rPr>
              <w:t xml:space="preserve">Sensitivity analyses revealed no heterogeneity (P &gt; 0.05; Table S4) </w:t>
            </w:r>
            <w:r>
              <w:rPr>
                <w:rFonts w:hint="default" w:ascii="Times New Roman" w:hAnsi="Times New Roman" w:eastAsia="宋体" w:cs="Times New Roman"/>
                <w:sz w:val="22"/>
                <w:szCs w:val="22"/>
                <w:lang w:val="en-US" w:eastAsia="zh-CN"/>
              </w:rPr>
              <w:t>.</w:t>
            </w:r>
          </w:p>
        </w:tc>
      </w:tr>
      <w:tr w14:paraId="23F1C43D">
        <w:tblPrEx>
          <w:tblCellMar>
            <w:top w:w="0" w:type="dxa"/>
            <w:left w:w="108" w:type="dxa"/>
            <w:bottom w:w="0" w:type="dxa"/>
            <w:right w:w="108" w:type="dxa"/>
          </w:tblCellMar>
        </w:tblPrEx>
        <w:tc>
          <w:tcPr>
            <w:tcW w:w="587" w:type="dxa"/>
            <w:shd w:val="clear" w:color="auto" w:fill="auto"/>
            <w:vAlign w:val="center"/>
          </w:tcPr>
          <w:p w14:paraId="021A9BB4">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13</w:t>
            </w:r>
          </w:p>
        </w:tc>
        <w:tc>
          <w:tcPr>
            <w:tcW w:w="1787" w:type="dxa"/>
            <w:shd w:val="clear" w:color="auto" w:fill="auto"/>
            <w:vAlign w:val="center"/>
          </w:tcPr>
          <w:p w14:paraId="51D3F02D">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Sensitivity analyses and additional analyses</w:t>
            </w:r>
          </w:p>
        </w:tc>
        <w:tc>
          <w:tcPr>
            <w:tcW w:w="5470" w:type="dxa"/>
            <w:shd w:val="clear" w:color="auto" w:fill="auto"/>
            <w:vAlign w:val="center"/>
          </w:tcPr>
          <w:p w14:paraId="4AB1D97F">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vAlign w:val="center"/>
          </w:tcPr>
          <w:p w14:paraId="50481D19">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vAlign w:val="center"/>
          </w:tcPr>
          <w:p w14:paraId="0F2C43F0">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1ABE2F1D">
        <w:tblPrEx>
          <w:tblCellMar>
            <w:top w:w="0" w:type="dxa"/>
            <w:left w:w="108" w:type="dxa"/>
            <w:bottom w:w="0" w:type="dxa"/>
            <w:right w:w="108" w:type="dxa"/>
          </w:tblCellMar>
        </w:tblPrEx>
        <w:tc>
          <w:tcPr>
            <w:tcW w:w="587" w:type="dxa"/>
            <w:shd w:val="clear" w:color="auto" w:fill="EEEEEE"/>
            <w:vAlign w:val="center"/>
          </w:tcPr>
          <w:p w14:paraId="0D022F9B">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27E8FFD0">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EEEEEE"/>
            <w:vAlign w:val="center"/>
          </w:tcPr>
          <w:p w14:paraId="30AA9260">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Report any sensitivity analyses to assess the robustness of the main results to violations of the assumptions</w:t>
            </w:r>
          </w:p>
        </w:tc>
        <w:tc>
          <w:tcPr>
            <w:tcW w:w="927" w:type="dxa"/>
            <w:shd w:val="clear" w:color="auto" w:fill="EEEEEE"/>
            <w:vAlign w:val="center"/>
          </w:tcPr>
          <w:p w14:paraId="39DB2F0E">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13</w:t>
            </w:r>
          </w:p>
        </w:tc>
        <w:tc>
          <w:tcPr>
            <w:tcW w:w="5719" w:type="dxa"/>
            <w:shd w:val="clear" w:color="auto" w:fill="EEEEEE"/>
            <w:vAlign w:val="center"/>
          </w:tcPr>
          <w:p w14:paraId="35F9D212">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Times New Roman" w:cs="Times New Roman"/>
                <w:sz w:val="22"/>
                <w:szCs w:val="22"/>
                <w:lang w:val="en-GB" w:eastAsia="en-GB"/>
              </w:rPr>
              <w:t>Sensitivity analyses revealed no heterogeneity (P &gt; 0.05; Table S4) or horizontal pleiotropy (P &gt; 0.05; Table S5), with leave-one-out (LOO) analysis confirming result stability (Figure 5E).</w:t>
            </w:r>
          </w:p>
          <w:p w14:paraId="071D59B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p>
        </w:tc>
      </w:tr>
      <w:tr w14:paraId="3696A9F1">
        <w:tblPrEx>
          <w:tblCellMar>
            <w:top w:w="0" w:type="dxa"/>
            <w:left w:w="108" w:type="dxa"/>
            <w:bottom w:w="0" w:type="dxa"/>
            <w:right w:w="108" w:type="dxa"/>
          </w:tblCellMar>
        </w:tblPrEx>
        <w:tc>
          <w:tcPr>
            <w:tcW w:w="587" w:type="dxa"/>
            <w:shd w:val="clear" w:color="auto" w:fill="auto"/>
            <w:vAlign w:val="center"/>
          </w:tcPr>
          <w:p w14:paraId="0D2234E5">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7453E1FF">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shd w:val="clear" w:color="auto" w:fill="auto"/>
            <w:vAlign w:val="center"/>
          </w:tcPr>
          <w:p w14:paraId="5111E54D">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Report results from other sensitivity analyses or additional analyses</w:t>
            </w:r>
          </w:p>
        </w:tc>
        <w:tc>
          <w:tcPr>
            <w:tcW w:w="927" w:type="dxa"/>
            <w:vAlign w:val="center"/>
          </w:tcPr>
          <w:p w14:paraId="447F5BF5">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13</w:t>
            </w:r>
          </w:p>
        </w:tc>
        <w:tc>
          <w:tcPr>
            <w:tcW w:w="5719" w:type="dxa"/>
            <w:vAlign w:val="center"/>
          </w:tcPr>
          <w:p w14:paraId="5BB83735">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Additional validation through Steiger testing excluded reverse causation (Table S6), substantiating the robustness of the causal inference.</w:t>
            </w:r>
          </w:p>
        </w:tc>
      </w:tr>
      <w:tr w14:paraId="1650BAB8">
        <w:tblPrEx>
          <w:tblCellMar>
            <w:top w:w="0" w:type="dxa"/>
            <w:left w:w="108" w:type="dxa"/>
            <w:bottom w:w="0" w:type="dxa"/>
            <w:right w:w="108" w:type="dxa"/>
          </w:tblCellMar>
        </w:tblPrEx>
        <w:tc>
          <w:tcPr>
            <w:tcW w:w="587" w:type="dxa"/>
            <w:shd w:val="clear" w:color="auto" w:fill="EEEEEE"/>
            <w:vAlign w:val="center"/>
          </w:tcPr>
          <w:p w14:paraId="4D025CC4">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6EAD995A">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c)</w:t>
            </w:r>
          </w:p>
        </w:tc>
        <w:tc>
          <w:tcPr>
            <w:tcW w:w="5470" w:type="dxa"/>
            <w:shd w:val="clear" w:color="auto" w:fill="EEEEEE"/>
            <w:vAlign w:val="center"/>
          </w:tcPr>
          <w:p w14:paraId="14E0FCD9">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Report any assessment of direction of causal relationship (e.g., bidirectional MR)</w:t>
            </w:r>
          </w:p>
        </w:tc>
        <w:tc>
          <w:tcPr>
            <w:tcW w:w="927" w:type="dxa"/>
            <w:shd w:val="clear" w:color="auto" w:fill="EEEEEE"/>
            <w:vAlign w:val="center"/>
          </w:tcPr>
          <w:p w14:paraId="03D1A085">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13</w:t>
            </w:r>
          </w:p>
        </w:tc>
        <w:tc>
          <w:tcPr>
            <w:tcW w:w="5719" w:type="dxa"/>
            <w:shd w:val="clear" w:color="auto" w:fill="EEEEEE"/>
            <w:vAlign w:val="center"/>
          </w:tcPr>
          <w:p w14:paraId="66751F07">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Additional validation through Steiger testing excluded reverse causation (Table S6), substantiating the robustness of the causal inference.</w:t>
            </w:r>
          </w:p>
        </w:tc>
      </w:tr>
      <w:tr w14:paraId="2034ACF7">
        <w:tblPrEx>
          <w:tblCellMar>
            <w:top w:w="0" w:type="dxa"/>
            <w:left w:w="108" w:type="dxa"/>
            <w:bottom w:w="0" w:type="dxa"/>
            <w:right w:w="108" w:type="dxa"/>
          </w:tblCellMar>
        </w:tblPrEx>
        <w:tc>
          <w:tcPr>
            <w:tcW w:w="587" w:type="dxa"/>
            <w:shd w:val="clear" w:color="auto" w:fill="auto"/>
            <w:vAlign w:val="center"/>
          </w:tcPr>
          <w:p w14:paraId="3217ECED">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5AE90FE5">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d)</w:t>
            </w:r>
          </w:p>
        </w:tc>
        <w:tc>
          <w:tcPr>
            <w:tcW w:w="5470" w:type="dxa"/>
            <w:shd w:val="clear" w:color="auto" w:fill="auto"/>
            <w:vAlign w:val="center"/>
          </w:tcPr>
          <w:p w14:paraId="3A13AF31">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When relevant, report and compare with estimates from non-MR analyses</w:t>
            </w:r>
          </w:p>
        </w:tc>
        <w:tc>
          <w:tcPr>
            <w:tcW w:w="927" w:type="dxa"/>
            <w:vAlign w:val="center"/>
          </w:tcPr>
          <w:p w14:paraId="528F9F4C">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NA</w:t>
            </w:r>
          </w:p>
        </w:tc>
        <w:tc>
          <w:tcPr>
            <w:tcW w:w="5719" w:type="dxa"/>
            <w:vAlign w:val="center"/>
          </w:tcPr>
          <w:p w14:paraId="7B882C5B">
            <w:pPr>
              <w:spacing w:before="96" w:beforeLines="40" w:after="96" w:afterLines="40" w:line="24" w:lineRule="atLeast"/>
              <w:jc w:val="center"/>
              <w:rPr>
                <w:rFonts w:hint="default" w:ascii="Times New Roman" w:hAnsi="Times New Roman" w:eastAsia="宋体" w:cs="Times New Roman"/>
                <w:sz w:val="22"/>
                <w:szCs w:val="22"/>
                <w:lang w:val="en-US" w:eastAsia="zh-CN"/>
              </w:rPr>
            </w:pPr>
          </w:p>
        </w:tc>
      </w:tr>
      <w:tr w14:paraId="3E7CFBFC">
        <w:tblPrEx>
          <w:tblCellMar>
            <w:top w:w="0" w:type="dxa"/>
            <w:left w:w="108" w:type="dxa"/>
            <w:bottom w:w="0" w:type="dxa"/>
            <w:right w:w="108" w:type="dxa"/>
          </w:tblCellMar>
        </w:tblPrEx>
        <w:tc>
          <w:tcPr>
            <w:tcW w:w="587" w:type="dxa"/>
            <w:tcBorders>
              <w:bottom w:val="single" w:color="7F7F7F" w:sz="6" w:space="0"/>
            </w:tcBorders>
            <w:shd w:val="clear" w:color="auto" w:fill="EEEEEE"/>
            <w:vAlign w:val="center"/>
          </w:tcPr>
          <w:p w14:paraId="1FDC421F">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tcBorders>
              <w:bottom w:val="single" w:color="7F7F7F" w:sz="6" w:space="0"/>
            </w:tcBorders>
            <w:shd w:val="clear" w:color="auto" w:fill="EEEEEE"/>
            <w:vAlign w:val="center"/>
          </w:tcPr>
          <w:p w14:paraId="5FE15030">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e)</w:t>
            </w:r>
          </w:p>
        </w:tc>
        <w:tc>
          <w:tcPr>
            <w:tcW w:w="5470" w:type="dxa"/>
            <w:tcBorders>
              <w:bottom w:val="single" w:color="7F7F7F" w:sz="6" w:space="0"/>
            </w:tcBorders>
            <w:shd w:val="clear" w:color="auto" w:fill="EEEEEE"/>
            <w:vAlign w:val="center"/>
          </w:tcPr>
          <w:p w14:paraId="61CE32BA">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Consider additional plots to visualize results (e.g., leave-one-out analyses)</w:t>
            </w:r>
          </w:p>
        </w:tc>
        <w:tc>
          <w:tcPr>
            <w:tcW w:w="927" w:type="dxa"/>
            <w:tcBorders>
              <w:bottom w:val="single" w:color="7F7F7F" w:sz="6" w:space="0"/>
            </w:tcBorders>
            <w:shd w:val="clear" w:color="auto" w:fill="EEEEEE"/>
            <w:vAlign w:val="center"/>
          </w:tcPr>
          <w:p w14:paraId="33892A62">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13</w:t>
            </w:r>
          </w:p>
        </w:tc>
        <w:tc>
          <w:tcPr>
            <w:tcW w:w="5719" w:type="dxa"/>
            <w:tcBorders>
              <w:bottom w:val="single" w:color="7F7F7F" w:sz="6" w:space="0"/>
            </w:tcBorders>
            <w:shd w:val="clear" w:color="auto" w:fill="EEEEEE"/>
            <w:vAlign w:val="center"/>
          </w:tcPr>
          <w:p w14:paraId="03A6AB93">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leave-one-out (LOO) analysis confirming result stability (Figure 5E).</w:t>
            </w:r>
          </w:p>
        </w:tc>
      </w:tr>
      <w:tr w14:paraId="5B7D2773">
        <w:tblPrEx>
          <w:tblCellMar>
            <w:top w:w="0" w:type="dxa"/>
            <w:left w:w="108" w:type="dxa"/>
            <w:bottom w:w="0" w:type="dxa"/>
            <w:right w:w="108" w:type="dxa"/>
          </w:tblCellMar>
        </w:tblPrEx>
        <w:tc>
          <w:tcPr>
            <w:tcW w:w="587" w:type="dxa"/>
            <w:tcBorders>
              <w:top w:val="single" w:color="7F7F7F" w:sz="6" w:space="0"/>
            </w:tcBorders>
            <w:shd w:val="clear" w:color="auto" w:fill="auto"/>
            <w:vAlign w:val="center"/>
          </w:tcPr>
          <w:p w14:paraId="5BDBDA65">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p>
        </w:tc>
        <w:tc>
          <w:tcPr>
            <w:tcW w:w="1787" w:type="dxa"/>
            <w:tcBorders>
              <w:top w:val="single" w:color="7F7F7F" w:sz="6" w:space="0"/>
            </w:tcBorders>
            <w:shd w:val="clear" w:color="auto" w:fill="auto"/>
            <w:vAlign w:val="center"/>
          </w:tcPr>
          <w:p w14:paraId="1C564B75">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DISCUSSION</w:t>
            </w:r>
          </w:p>
        </w:tc>
        <w:tc>
          <w:tcPr>
            <w:tcW w:w="5470" w:type="dxa"/>
            <w:tcBorders>
              <w:top w:val="single" w:color="7F7F7F" w:sz="6" w:space="0"/>
            </w:tcBorders>
            <w:shd w:val="clear" w:color="auto" w:fill="auto"/>
            <w:vAlign w:val="center"/>
          </w:tcPr>
          <w:p w14:paraId="35997729">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tcBorders>
              <w:top w:val="single" w:color="7F7F7F" w:sz="6" w:space="0"/>
            </w:tcBorders>
            <w:vAlign w:val="center"/>
          </w:tcPr>
          <w:p w14:paraId="1AAD7FFB">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tcBorders>
              <w:top w:val="single" w:color="7F7F7F" w:sz="6" w:space="0"/>
            </w:tcBorders>
            <w:vAlign w:val="center"/>
          </w:tcPr>
          <w:p w14:paraId="2AE3A897">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1800AF05">
        <w:tblPrEx>
          <w:tblCellMar>
            <w:top w:w="0" w:type="dxa"/>
            <w:left w:w="108" w:type="dxa"/>
            <w:bottom w:w="0" w:type="dxa"/>
            <w:right w:w="108" w:type="dxa"/>
          </w:tblCellMar>
        </w:tblPrEx>
        <w:tc>
          <w:tcPr>
            <w:tcW w:w="587" w:type="dxa"/>
            <w:shd w:val="clear" w:color="auto" w:fill="EEEEEE"/>
            <w:vAlign w:val="center"/>
          </w:tcPr>
          <w:p w14:paraId="6B5F5286">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14</w:t>
            </w:r>
          </w:p>
        </w:tc>
        <w:tc>
          <w:tcPr>
            <w:tcW w:w="1787" w:type="dxa"/>
            <w:shd w:val="clear" w:color="auto" w:fill="EEEEEE"/>
            <w:vAlign w:val="center"/>
          </w:tcPr>
          <w:p w14:paraId="42EDC029">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Key results</w:t>
            </w:r>
          </w:p>
        </w:tc>
        <w:tc>
          <w:tcPr>
            <w:tcW w:w="5470" w:type="dxa"/>
            <w:shd w:val="clear" w:color="auto" w:fill="EEEEEE"/>
            <w:vAlign w:val="center"/>
          </w:tcPr>
          <w:p w14:paraId="35F1CAD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Summarize key results with reference to study objectives</w:t>
            </w:r>
          </w:p>
        </w:tc>
        <w:tc>
          <w:tcPr>
            <w:tcW w:w="927" w:type="dxa"/>
            <w:shd w:val="clear" w:color="auto" w:fill="EEEEEE"/>
            <w:vAlign w:val="center"/>
          </w:tcPr>
          <w:p w14:paraId="2C7117BF">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16</w:t>
            </w:r>
          </w:p>
        </w:tc>
        <w:tc>
          <w:tcPr>
            <w:tcW w:w="5719" w:type="dxa"/>
            <w:shd w:val="clear" w:color="auto" w:fill="EEEEEE"/>
            <w:vAlign w:val="center"/>
          </w:tcPr>
          <w:p w14:paraId="70F1DDE7">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Comprehensive analysis of eQTL and mQTL data led to the identification of two key genes, POLI and TRIM8, within T cells and epithelial cells. The results reveal that both genes exhibit significant causal associations with PCa and may function as protective factors.</w:t>
            </w:r>
          </w:p>
        </w:tc>
      </w:tr>
      <w:tr w14:paraId="06BFAFA4">
        <w:tblPrEx>
          <w:tblCellMar>
            <w:top w:w="0" w:type="dxa"/>
            <w:left w:w="108" w:type="dxa"/>
            <w:bottom w:w="0" w:type="dxa"/>
            <w:right w:w="108" w:type="dxa"/>
          </w:tblCellMar>
        </w:tblPrEx>
        <w:trPr>
          <w:trHeight w:val="989" w:hRule="atLeast"/>
        </w:trPr>
        <w:tc>
          <w:tcPr>
            <w:tcW w:w="587" w:type="dxa"/>
            <w:shd w:val="clear" w:color="auto" w:fill="auto"/>
            <w:vAlign w:val="center"/>
          </w:tcPr>
          <w:p w14:paraId="6D471CC5">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15</w:t>
            </w:r>
          </w:p>
        </w:tc>
        <w:tc>
          <w:tcPr>
            <w:tcW w:w="1787" w:type="dxa"/>
            <w:shd w:val="clear" w:color="auto" w:fill="auto"/>
            <w:vAlign w:val="center"/>
          </w:tcPr>
          <w:p w14:paraId="5C27961E">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Limitations</w:t>
            </w:r>
          </w:p>
        </w:tc>
        <w:tc>
          <w:tcPr>
            <w:tcW w:w="5470" w:type="dxa"/>
            <w:shd w:val="clear" w:color="auto" w:fill="auto"/>
            <w:vAlign w:val="center"/>
          </w:tcPr>
          <w:p w14:paraId="75B6F41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Discuss limitations of the study, taking into account the validity of the IV assumptions, other sources of potential bias, and imprecision. Discuss both direction and magnitude of any potential bias and any efforts to address them</w:t>
            </w:r>
          </w:p>
        </w:tc>
        <w:tc>
          <w:tcPr>
            <w:tcW w:w="927" w:type="dxa"/>
            <w:vAlign w:val="center"/>
          </w:tcPr>
          <w:p w14:paraId="201D4281">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19</w:t>
            </w:r>
          </w:p>
        </w:tc>
        <w:tc>
          <w:tcPr>
            <w:tcW w:w="5719" w:type="dxa"/>
            <w:vAlign w:val="center"/>
          </w:tcPr>
          <w:p w14:paraId="7CB4BA33">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Moreover, as the data used were predominantly from European populations, the generalizability of the findings requires further verification in multi-ethnic cohorts.</w:t>
            </w:r>
          </w:p>
        </w:tc>
      </w:tr>
      <w:tr w14:paraId="71F8B8B5">
        <w:tblPrEx>
          <w:tblCellMar>
            <w:top w:w="0" w:type="dxa"/>
            <w:left w:w="108" w:type="dxa"/>
            <w:bottom w:w="0" w:type="dxa"/>
            <w:right w:w="108" w:type="dxa"/>
          </w:tblCellMar>
        </w:tblPrEx>
        <w:tc>
          <w:tcPr>
            <w:tcW w:w="587" w:type="dxa"/>
            <w:shd w:val="clear" w:color="auto" w:fill="EEEEEE"/>
            <w:vAlign w:val="center"/>
          </w:tcPr>
          <w:p w14:paraId="02C1D590">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16</w:t>
            </w:r>
          </w:p>
        </w:tc>
        <w:tc>
          <w:tcPr>
            <w:tcW w:w="1787" w:type="dxa"/>
            <w:shd w:val="clear" w:color="auto" w:fill="EEEEEE"/>
            <w:vAlign w:val="center"/>
          </w:tcPr>
          <w:p w14:paraId="612AA484">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Interpretation</w:t>
            </w:r>
          </w:p>
        </w:tc>
        <w:tc>
          <w:tcPr>
            <w:tcW w:w="5470" w:type="dxa"/>
            <w:shd w:val="clear" w:color="auto" w:fill="EEEEEE"/>
            <w:vAlign w:val="center"/>
          </w:tcPr>
          <w:p w14:paraId="3BF6466E">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shd w:val="clear" w:color="auto" w:fill="EEEEEE"/>
            <w:vAlign w:val="center"/>
          </w:tcPr>
          <w:p w14:paraId="4B5179B2">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shd w:val="clear" w:color="auto" w:fill="EEEEEE"/>
            <w:vAlign w:val="center"/>
          </w:tcPr>
          <w:p w14:paraId="1C445080">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62E6D51A">
        <w:tblPrEx>
          <w:tblCellMar>
            <w:top w:w="0" w:type="dxa"/>
            <w:left w:w="108" w:type="dxa"/>
            <w:bottom w:w="0" w:type="dxa"/>
            <w:right w:w="108" w:type="dxa"/>
          </w:tblCellMar>
        </w:tblPrEx>
        <w:tc>
          <w:tcPr>
            <w:tcW w:w="587" w:type="dxa"/>
            <w:shd w:val="clear" w:color="auto" w:fill="auto"/>
            <w:vAlign w:val="center"/>
          </w:tcPr>
          <w:p w14:paraId="6DD2F448">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50F26A29">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a)</w:t>
            </w:r>
          </w:p>
        </w:tc>
        <w:tc>
          <w:tcPr>
            <w:tcW w:w="5470" w:type="dxa"/>
            <w:shd w:val="clear" w:color="auto" w:fill="auto"/>
            <w:vAlign w:val="center"/>
          </w:tcPr>
          <w:p w14:paraId="7EDF9868">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Meaning: Give a cautious overall interpretation of results in the context of their limitations and in comparison with other studies</w:t>
            </w:r>
          </w:p>
        </w:tc>
        <w:tc>
          <w:tcPr>
            <w:tcW w:w="927" w:type="dxa"/>
            <w:vAlign w:val="center"/>
          </w:tcPr>
          <w:p w14:paraId="565CC165">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19</w:t>
            </w:r>
          </w:p>
        </w:tc>
        <w:tc>
          <w:tcPr>
            <w:tcW w:w="5719" w:type="dxa"/>
            <w:vAlign w:val="center"/>
          </w:tcPr>
          <w:p w14:paraId="5251245C">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However, it should be noted that the conclusions of this study are primarily based on bioinformatic inferences, and the specific functions of POLI and TRIM8, as well as their targeting efficacy, have not yet been experimentally validated. Moreover, as the data used were predominantly from European populations, the generalizability of the findings requires further verification in multi-ethnic cohorts. The anti-cancer effects of predicted drugs (such as selegiline) also warrant additional preclinical assessment.</w:t>
            </w:r>
          </w:p>
        </w:tc>
      </w:tr>
      <w:tr w14:paraId="156B69E5">
        <w:tblPrEx>
          <w:tblCellMar>
            <w:top w:w="0" w:type="dxa"/>
            <w:left w:w="108" w:type="dxa"/>
            <w:bottom w:w="0" w:type="dxa"/>
            <w:right w:w="108" w:type="dxa"/>
          </w:tblCellMar>
        </w:tblPrEx>
        <w:tc>
          <w:tcPr>
            <w:tcW w:w="587" w:type="dxa"/>
            <w:shd w:val="clear" w:color="auto" w:fill="EEEEEE"/>
            <w:vAlign w:val="center"/>
          </w:tcPr>
          <w:p w14:paraId="4C8A2215">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EEEEEE"/>
            <w:vAlign w:val="center"/>
          </w:tcPr>
          <w:p w14:paraId="6A4A5F16">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b)</w:t>
            </w:r>
          </w:p>
        </w:tc>
        <w:tc>
          <w:tcPr>
            <w:tcW w:w="5470" w:type="dxa"/>
            <w:shd w:val="clear" w:color="auto" w:fill="EEEEEE"/>
            <w:vAlign w:val="center"/>
          </w:tcPr>
          <w:p w14:paraId="422EB891">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w:t>
            </w:r>
          </w:p>
        </w:tc>
        <w:tc>
          <w:tcPr>
            <w:tcW w:w="927" w:type="dxa"/>
            <w:shd w:val="clear" w:color="auto" w:fill="EEEEEE"/>
            <w:vAlign w:val="center"/>
          </w:tcPr>
          <w:p w14:paraId="2FA4AA4D">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17</w:t>
            </w:r>
          </w:p>
        </w:tc>
        <w:tc>
          <w:tcPr>
            <w:tcW w:w="5719" w:type="dxa"/>
            <w:shd w:val="clear" w:color="auto" w:fill="EEEEEE"/>
            <w:vAlign w:val="center"/>
          </w:tcPr>
          <w:p w14:paraId="3A91F000">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Notably, the roles of POLI and TRIM8 in PCa have not been reported previously. This study is the first to demonstrate their functional involvement in PCa and to establish significant causal associations with PCa eQTLs and mQTLs. It is proposed that POLI may influence PCa onset by affecting DNA repair and replication, whereas TRIM8 may contribute to PCa pathogenesis by mediating interactions between ubiquitinated molecules and specific proteins. Given that POLI and TRIM8 represent novel therapeutic targets, further investigations into their roles in PCa and related diseases are warranted to elucidate their underlying mechanisms.</w:t>
            </w:r>
          </w:p>
        </w:tc>
      </w:tr>
      <w:tr w14:paraId="203390A0">
        <w:tblPrEx>
          <w:tblCellMar>
            <w:top w:w="0" w:type="dxa"/>
            <w:left w:w="108" w:type="dxa"/>
            <w:bottom w:w="0" w:type="dxa"/>
            <w:right w:w="108" w:type="dxa"/>
          </w:tblCellMar>
        </w:tblPrEx>
        <w:trPr>
          <w:trHeight w:val="797" w:hRule="atLeast"/>
        </w:trPr>
        <w:tc>
          <w:tcPr>
            <w:tcW w:w="587" w:type="dxa"/>
            <w:shd w:val="clear" w:color="auto" w:fill="auto"/>
            <w:vAlign w:val="center"/>
          </w:tcPr>
          <w:p w14:paraId="54CA3A27">
            <w:pPr>
              <w:spacing w:before="96" w:beforeLines="40" w:after="96" w:afterLines="40" w:line="24" w:lineRule="atLeast"/>
              <w:jc w:val="center"/>
              <w:rPr>
                <w:rFonts w:hint="default" w:ascii="Times New Roman" w:hAnsi="Times New Roman" w:eastAsia="Cambria" w:cs="Times New Roman"/>
                <w:b/>
                <w:bCs/>
                <w:sz w:val="22"/>
                <w:szCs w:val="22"/>
                <w:lang w:val="en-GB" w:eastAsia="en-US"/>
              </w:rPr>
            </w:pPr>
          </w:p>
        </w:tc>
        <w:tc>
          <w:tcPr>
            <w:tcW w:w="1787" w:type="dxa"/>
            <w:shd w:val="clear" w:color="auto" w:fill="auto"/>
            <w:vAlign w:val="center"/>
          </w:tcPr>
          <w:p w14:paraId="6D25BA57">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Cambria" w:cs="Times New Roman"/>
                <w:sz w:val="22"/>
                <w:szCs w:val="22"/>
                <w:lang w:val="en-GB" w:eastAsia="en-US"/>
              </w:rPr>
              <w:t>c)</w:t>
            </w:r>
          </w:p>
        </w:tc>
        <w:tc>
          <w:tcPr>
            <w:tcW w:w="5470" w:type="dxa"/>
            <w:shd w:val="clear" w:color="auto" w:fill="auto"/>
            <w:vAlign w:val="center"/>
          </w:tcPr>
          <w:p w14:paraId="5B6A8315">
            <w:pPr>
              <w:tabs>
                <w:tab w:val="left" w:pos="1350"/>
              </w:tabs>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 xml:space="preserve">Clinical relevance: Discuss whether the results have clinical or public policy relevance, and </w:t>
            </w:r>
            <w:r>
              <w:rPr>
                <w:rFonts w:hint="default" w:ascii="Times New Roman" w:hAnsi="Times New Roman" w:eastAsia="Times New Roman" w:cs="Times New Roman"/>
                <w:color w:val="000000"/>
                <w:sz w:val="22"/>
                <w:szCs w:val="22"/>
                <w:lang w:eastAsia="en-GB"/>
              </w:rPr>
              <w:t>to what extent they inform effect sizes of possible interventions</w:t>
            </w:r>
          </w:p>
        </w:tc>
        <w:tc>
          <w:tcPr>
            <w:tcW w:w="927" w:type="dxa"/>
            <w:vAlign w:val="center"/>
          </w:tcPr>
          <w:p w14:paraId="32FCF028">
            <w:pPr>
              <w:tabs>
                <w:tab w:val="left" w:pos="1350"/>
              </w:tabs>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16</w:t>
            </w:r>
          </w:p>
        </w:tc>
        <w:tc>
          <w:tcPr>
            <w:tcW w:w="5719" w:type="dxa"/>
            <w:vAlign w:val="center"/>
          </w:tcPr>
          <w:p w14:paraId="78058AE6">
            <w:pPr>
              <w:tabs>
                <w:tab w:val="left" w:pos="1350"/>
              </w:tabs>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Ultimately, the findings suggest that POLI and TRIM8 could serve as novel therapeutic targets for PCa, thereby providing a theoretical basis for clinical intervention.</w:t>
            </w:r>
          </w:p>
        </w:tc>
      </w:tr>
      <w:tr w14:paraId="71FDAFC1">
        <w:tblPrEx>
          <w:tblCellMar>
            <w:top w:w="0" w:type="dxa"/>
            <w:left w:w="108" w:type="dxa"/>
            <w:bottom w:w="0" w:type="dxa"/>
            <w:right w:w="108" w:type="dxa"/>
          </w:tblCellMar>
        </w:tblPrEx>
        <w:tc>
          <w:tcPr>
            <w:tcW w:w="587" w:type="dxa"/>
            <w:tcBorders>
              <w:bottom w:val="single" w:color="7F7F7F" w:sz="6" w:space="0"/>
            </w:tcBorders>
            <w:shd w:val="clear" w:color="auto" w:fill="EEEEEE"/>
            <w:vAlign w:val="center"/>
          </w:tcPr>
          <w:p w14:paraId="7540155A">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17</w:t>
            </w:r>
          </w:p>
        </w:tc>
        <w:tc>
          <w:tcPr>
            <w:tcW w:w="1787" w:type="dxa"/>
            <w:tcBorders>
              <w:bottom w:val="single" w:color="7F7F7F" w:sz="6" w:space="0"/>
            </w:tcBorders>
            <w:shd w:val="clear" w:color="auto" w:fill="EEEEEE"/>
            <w:vAlign w:val="center"/>
          </w:tcPr>
          <w:p w14:paraId="3680059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Generalizability</w:t>
            </w:r>
          </w:p>
        </w:tc>
        <w:tc>
          <w:tcPr>
            <w:tcW w:w="5470" w:type="dxa"/>
            <w:tcBorders>
              <w:bottom w:val="single" w:color="7F7F7F" w:sz="6" w:space="0"/>
            </w:tcBorders>
            <w:shd w:val="clear" w:color="auto" w:fill="EEEEEE"/>
            <w:vAlign w:val="center"/>
          </w:tcPr>
          <w:p w14:paraId="68647C33">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sz w:val="22"/>
                <w:szCs w:val="22"/>
                <w:lang w:val="en-GB" w:eastAsia="en-GB"/>
              </w:rPr>
              <w:t>Discuss the generalizability of the study results (a) to other populations, (b) across other exposure periods/timings, and (c) across other levels of exposure</w:t>
            </w:r>
          </w:p>
        </w:tc>
        <w:tc>
          <w:tcPr>
            <w:tcW w:w="927" w:type="dxa"/>
            <w:tcBorders>
              <w:bottom w:val="single" w:color="7F7F7F" w:sz="6" w:space="0"/>
            </w:tcBorders>
            <w:shd w:val="clear" w:color="auto" w:fill="EEEEEE"/>
            <w:vAlign w:val="center"/>
          </w:tcPr>
          <w:p w14:paraId="3ACD3D08">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19</w:t>
            </w:r>
          </w:p>
        </w:tc>
        <w:tc>
          <w:tcPr>
            <w:tcW w:w="5719" w:type="dxa"/>
            <w:tcBorders>
              <w:bottom w:val="single" w:color="7F7F7F" w:sz="6" w:space="0"/>
            </w:tcBorders>
            <w:shd w:val="clear" w:color="auto" w:fill="EEEEEE"/>
            <w:vAlign w:val="center"/>
          </w:tcPr>
          <w:p w14:paraId="41ABF5A9">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Moreover, as the data used were predominantly from European populations, the generalizability of the findings requires further verification in multi-ethnic cohorts.</w:t>
            </w:r>
          </w:p>
        </w:tc>
      </w:tr>
      <w:tr w14:paraId="57884E75">
        <w:tblPrEx>
          <w:tblCellMar>
            <w:top w:w="0" w:type="dxa"/>
            <w:left w:w="108" w:type="dxa"/>
            <w:bottom w:w="0" w:type="dxa"/>
            <w:right w:w="108" w:type="dxa"/>
          </w:tblCellMar>
        </w:tblPrEx>
        <w:tc>
          <w:tcPr>
            <w:tcW w:w="587" w:type="dxa"/>
            <w:tcBorders>
              <w:top w:val="single" w:color="7F7F7F" w:sz="6" w:space="0"/>
            </w:tcBorders>
            <w:shd w:val="clear" w:color="auto" w:fill="auto"/>
            <w:vAlign w:val="center"/>
          </w:tcPr>
          <w:p w14:paraId="2C4C694A">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p>
        </w:tc>
        <w:tc>
          <w:tcPr>
            <w:tcW w:w="1787" w:type="dxa"/>
            <w:tcBorders>
              <w:top w:val="single" w:color="7F7F7F" w:sz="6" w:space="0"/>
            </w:tcBorders>
            <w:shd w:val="clear" w:color="auto" w:fill="auto"/>
            <w:vAlign w:val="center"/>
          </w:tcPr>
          <w:p w14:paraId="0A6FFE33">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OTHER INFORMATION</w:t>
            </w:r>
          </w:p>
        </w:tc>
        <w:tc>
          <w:tcPr>
            <w:tcW w:w="5470" w:type="dxa"/>
            <w:tcBorders>
              <w:top w:val="single" w:color="7F7F7F" w:sz="6" w:space="0"/>
            </w:tcBorders>
            <w:shd w:val="clear" w:color="auto" w:fill="auto"/>
            <w:vAlign w:val="center"/>
          </w:tcPr>
          <w:p w14:paraId="0577947E">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927" w:type="dxa"/>
            <w:tcBorders>
              <w:top w:val="single" w:color="7F7F7F" w:sz="6" w:space="0"/>
            </w:tcBorders>
            <w:vAlign w:val="center"/>
          </w:tcPr>
          <w:p w14:paraId="7561574C">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c>
          <w:tcPr>
            <w:tcW w:w="5719" w:type="dxa"/>
            <w:tcBorders>
              <w:top w:val="single" w:color="7F7F7F" w:sz="6" w:space="0"/>
            </w:tcBorders>
            <w:vAlign w:val="center"/>
          </w:tcPr>
          <w:p w14:paraId="3718ED5B">
            <w:pPr>
              <w:spacing w:before="96" w:beforeLines="40" w:after="96" w:afterLines="40" w:line="24" w:lineRule="atLeast"/>
              <w:jc w:val="center"/>
              <w:rPr>
                <w:rFonts w:hint="default" w:ascii="Times New Roman" w:hAnsi="Times New Roman" w:eastAsia="Cambria" w:cs="Times New Roman"/>
                <w:sz w:val="22"/>
                <w:szCs w:val="22"/>
                <w:lang w:val="en-GB" w:eastAsia="en-US"/>
              </w:rPr>
            </w:pPr>
          </w:p>
        </w:tc>
      </w:tr>
      <w:tr w14:paraId="0014C6D1">
        <w:tblPrEx>
          <w:tblCellMar>
            <w:top w:w="0" w:type="dxa"/>
            <w:left w:w="108" w:type="dxa"/>
            <w:bottom w:w="0" w:type="dxa"/>
            <w:right w:w="108" w:type="dxa"/>
          </w:tblCellMar>
        </w:tblPrEx>
        <w:tc>
          <w:tcPr>
            <w:tcW w:w="587" w:type="dxa"/>
            <w:shd w:val="clear" w:color="auto" w:fill="EEEEEE"/>
            <w:vAlign w:val="center"/>
          </w:tcPr>
          <w:p w14:paraId="2336D08C">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18</w:t>
            </w:r>
          </w:p>
        </w:tc>
        <w:tc>
          <w:tcPr>
            <w:tcW w:w="1787" w:type="dxa"/>
            <w:shd w:val="clear" w:color="auto" w:fill="EEEEEE"/>
            <w:vAlign w:val="center"/>
          </w:tcPr>
          <w:p w14:paraId="08EB4FDF">
            <w:pPr>
              <w:spacing w:before="96" w:beforeLines="40" w:after="96" w:afterLines="40" w:line="24" w:lineRule="atLeast"/>
              <w:jc w:val="center"/>
              <w:rPr>
                <w:rFonts w:hint="default" w:ascii="Times New Roman" w:hAnsi="Times New Roman" w:eastAsia="Cambria" w:cs="Times New Roman"/>
                <w:sz w:val="22"/>
                <w:szCs w:val="22"/>
                <w:lang w:val="en-GB" w:eastAsia="en-US"/>
              </w:rPr>
            </w:pPr>
            <w:r>
              <w:rPr>
                <w:rFonts w:hint="default" w:ascii="Times New Roman" w:hAnsi="Times New Roman" w:eastAsia="Times New Roman" w:cs="Times New Roman"/>
                <w:b/>
                <w:bCs/>
                <w:sz w:val="22"/>
                <w:szCs w:val="22"/>
                <w:lang w:val="en-GB" w:eastAsia="en-GB"/>
              </w:rPr>
              <w:t>Funding</w:t>
            </w:r>
          </w:p>
        </w:tc>
        <w:tc>
          <w:tcPr>
            <w:tcW w:w="5470" w:type="dxa"/>
            <w:shd w:val="clear" w:color="auto" w:fill="EEEEEE"/>
            <w:vAlign w:val="center"/>
          </w:tcPr>
          <w:p w14:paraId="4663DCA7">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Describe sources of funding and the role of funders in the present study and, if applicable, sources of funding for the databases and original study or studies on which the present study is based</w:t>
            </w:r>
          </w:p>
        </w:tc>
        <w:tc>
          <w:tcPr>
            <w:tcW w:w="927" w:type="dxa"/>
            <w:shd w:val="clear" w:color="auto" w:fill="EEEEEE"/>
            <w:vAlign w:val="center"/>
          </w:tcPr>
          <w:p w14:paraId="33E2D855">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19</w:t>
            </w:r>
          </w:p>
        </w:tc>
        <w:tc>
          <w:tcPr>
            <w:tcW w:w="5719" w:type="dxa"/>
            <w:shd w:val="clear" w:color="auto" w:fill="EEEEEE"/>
            <w:vAlign w:val="center"/>
          </w:tcPr>
          <w:p w14:paraId="2C6CE5FF">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This research was funded by the funding of the National Natural Science Foundation of China (grant No.82300871; grant No.82360603 and grant No.82560157) ; the First-Class Discipline Team of Kunming Medical University (grant No.2024XKTDYS03) ; the Talent Echelon Cultivation Program of the Second Affiliated Hospital of Kunming Medical University (grant No.RCTDHB-202304) ; Yunnan Revitalization Talent Support Program (grant No.XDYC-YLWS-2023-0018) ; the External Cooperation Research Project of the Second Affiliated Hospital of Kunming Medical University (grant No.2022dwhz16) ; the Guangdong Basic and Applied Basic Research Foundation (grant No.2023A1515010128) ; Yunnan Provincial Medical Reserve Talents Program (grant No.H-2024041) ; Foundation of Kunming Medical University Second Affiliated Hospital (grant No.2023BS20 and grant No.2024BS08) ; Scientific Research Fund Project of Yunnan Provincial Department of Education (grant No.2025Y0380) and Innovation Fund for Graduate Students of Kunming Medical University (grant No.2025S090).</w:t>
            </w:r>
          </w:p>
        </w:tc>
      </w:tr>
      <w:tr w14:paraId="1B22CB41">
        <w:tblPrEx>
          <w:tblCellMar>
            <w:top w:w="0" w:type="dxa"/>
            <w:left w:w="108" w:type="dxa"/>
            <w:bottom w:w="0" w:type="dxa"/>
            <w:right w:w="108" w:type="dxa"/>
          </w:tblCellMar>
        </w:tblPrEx>
        <w:tc>
          <w:tcPr>
            <w:tcW w:w="587" w:type="dxa"/>
            <w:shd w:val="clear" w:color="auto" w:fill="auto"/>
            <w:vAlign w:val="center"/>
          </w:tcPr>
          <w:p w14:paraId="381BF2BA">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19</w:t>
            </w:r>
          </w:p>
        </w:tc>
        <w:tc>
          <w:tcPr>
            <w:tcW w:w="1787" w:type="dxa"/>
            <w:shd w:val="clear" w:color="auto" w:fill="auto"/>
            <w:vAlign w:val="center"/>
          </w:tcPr>
          <w:p w14:paraId="233BA942">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Data and data sharing</w:t>
            </w:r>
          </w:p>
        </w:tc>
        <w:tc>
          <w:tcPr>
            <w:tcW w:w="5470" w:type="dxa"/>
            <w:shd w:val="clear" w:color="auto" w:fill="auto"/>
            <w:vAlign w:val="center"/>
          </w:tcPr>
          <w:p w14:paraId="42D9085E">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927" w:type="dxa"/>
            <w:vAlign w:val="center"/>
          </w:tcPr>
          <w:p w14:paraId="5725EE6D">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19</w:t>
            </w:r>
          </w:p>
        </w:tc>
        <w:tc>
          <w:tcPr>
            <w:tcW w:w="5719" w:type="dxa"/>
            <w:vAlign w:val="center"/>
          </w:tcPr>
          <w:p w14:paraId="38DE3AA7">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All data generated or analysed during this study are included in this published article</w:t>
            </w:r>
          </w:p>
        </w:tc>
      </w:tr>
      <w:tr w14:paraId="1BFE6A86">
        <w:tblPrEx>
          <w:tblCellMar>
            <w:top w:w="0" w:type="dxa"/>
            <w:left w:w="108" w:type="dxa"/>
            <w:bottom w:w="0" w:type="dxa"/>
            <w:right w:w="108" w:type="dxa"/>
          </w:tblCellMar>
        </w:tblPrEx>
        <w:tc>
          <w:tcPr>
            <w:tcW w:w="587" w:type="dxa"/>
            <w:tcBorders>
              <w:bottom w:val="single" w:color="7F7F7F" w:sz="6" w:space="0"/>
            </w:tcBorders>
            <w:shd w:val="clear" w:color="auto" w:fill="EEEEEE"/>
            <w:vAlign w:val="center"/>
          </w:tcPr>
          <w:p w14:paraId="20DC2C92">
            <w:pPr>
              <w:spacing w:before="96" w:beforeLines="40" w:after="96" w:afterLines="40" w:line="24" w:lineRule="atLeast"/>
              <w:jc w:val="center"/>
              <w:rPr>
                <w:rFonts w:hint="default" w:ascii="Times New Roman" w:hAnsi="Times New Roman" w:eastAsia="Times New Roman" w:cs="Times New Roman"/>
                <w:b/>
                <w:bCs/>
                <w:sz w:val="22"/>
                <w:szCs w:val="22"/>
                <w:lang w:val="en-GB" w:eastAsia="en-GB"/>
              </w:rPr>
            </w:pPr>
            <w:r>
              <w:rPr>
                <w:rFonts w:hint="default" w:ascii="Times New Roman" w:hAnsi="Times New Roman" w:eastAsia="Times New Roman" w:cs="Times New Roman"/>
                <w:sz w:val="22"/>
                <w:szCs w:val="22"/>
                <w:lang w:val="en-GB" w:eastAsia="en-GB"/>
              </w:rPr>
              <w:t>20</w:t>
            </w:r>
          </w:p>
        </w:tc>
        <w:tc>
          <w:tcPr>
            <w:tcW w:w="1787" w:type="dxa"/>
            <w:tcBorders>
              <w:bottom w:val="single" w:color="7F7F7F" w:sz="6" w:space="0"/>
            </w:tcBorders>
            <w:shd w:val="clear" w:color="auto" w:fill="EEEEEE"/>
            <w:vAlign w:val="center"/>
          </w:tcPr>
          <w:p w14:paraId="39A69A1B">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b/>
                <w:bCs/>
                <w:sz w:val="22"/>
                <w:szCs w:val="22"/>
                <w:lang w:val="en-GB" w:eastAsia="en-GB"/>
              </w:rPr>
              <w:t>Conflicts of Interest</w:t>
            </w:r>
          </w:p>
        </w:tc>
        <w:tc>
          <w:tcPr>
            <w:tcW w:w="5470" w:type="dxa"/>
            <w:tcBorders>
              <w:bottom w:val="single" w:color="7F7F7F" w:sz="6" w:space="0"/>
            </w:tcBorders>
            <w:shd w:val="clear" w:color="auto" w:fill="EEEEEE"/>
            <w:vAlign w:val="center"/>
          </w:tcPr>
          <w:p w14:paraId="4772D912">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All authors should declare all potential conflicts of interest</w:t>
            </w:r>
          </w:p>
        </w:tc>
        <w:tc>
          <w:tcPr>
            <w:tcW w:w="927" w:type="dxa"/>
            <w:tcBorders>
              <w:bottom w:val="single" w:color="7F7F7F" w:sz="6" w:space="0"/>
            </w:tcBorders>
            <w:shd w:val="clear" w:color="auto" w:fill="EEEEEE"/>
            <w:vAlign w:val="center"/>
          </w:tcPr>
          <w:p w14:paraId="1B63BC8B">
            <w:pPr>
              <w:spacing w:before="96" w:beforeLines="40" w:after="96" w:afterLines="40" w:line="24" w:lineRule="atLeast"/>
              <w:jc w:val="center"/>
              <w:rPr>
                <w:rFonts w:hint="default" w:ascii="Times New Roman" w:hAnsi="Times New Roman" w:eastAsia="宋体" w:cs="Times New Roman"/>
                <w:sz w:val="22"/>
                <w:szCs w:val="22"/>
                <w:lang w:val="en-US" w:eastAsia="zh-CN"/>
              </w:rPr>
            </w:pPr>
            <w:r>
              <w:rPr>
                <w:rFonts w:hint="default" w:ascii="Times New Roman" w:hAnsi="Times New Roman" w:eastAsia="宋体" w:cs="Times New Roman"/>
                <w:sz w:val="22"/>
                <w:szCs w:val="22"/>
                <w:lang w:val="en-US" w:eastAsia="zh-CN"/>
              </w:rPr>
              <w:t>20</w:t>
            </w:r>
          </w:p>
        </w:tc>
        <w:tc>
          <w:tcPr>
            <w:tcW w:w="5719" w:type="dxa"/>
            <w:tcBorders>
              <w:bottom w:val="single" w:color="7F7F7F" w:sz="6" w:space="0"/>
            </w:tcBorders>
            <w:shd w:val="clear" w:color="auto" w:fill="EEEEEE"/>
            <w:vAlign w:val="center"/>
          </w:tcPr>
          <w:p w14:paraId="5D9123A4">
            <w:pPr>
              <w:spacing w:before="96" w:beforeLines="40" w:after="96" w:afterLines="40" w:line="24" w:lineRule="atLeast"/>
              <w:jc w:val="center"/>
              <w:rPr>
                <w:rFonts w:hint="default" w:ascii="Times New Roman" w:hAnsi="Times New Roman" w:eastAsia="Times New Roman" w:cs="Times New Roman"/>
                <w:sz w:val="22"/>
                <w:szCs w:val="22"/>
                <w:lang w:val="en-GB" w:eastAsia="en-GB"/>
              </w:rPr>
            </w:pPr>
            <w:r>
              <w:rPr>
                <w:rFonts w:hint="default" w:ascii="Times New Roman" w:hAnsi="Times New Roman" w:eastAsia="Times New Roman" w:cs="Times New Roman"/>
                <w:sz w:val="22"/>
                <w:szCs w:val="22"/>
                <w:lang w:val="en-GB" w:eastAsia="en-GB"/>
              </w:rPr>
              <w:t>The authors declare that they have no known competing financial interests or personal relationships that could have appeared to influence the work reported in this paper.</w:t>
            </w:r>
          </w:p>
        </w:tc>
      </w:tr>
    </w:tbl>
    <w:p w14:paraId="386115B2">
      <w:pPr>
        <w:spacing w:before="240" w:after="240"/>
        <w:jc w:val="center"/>
        <w:rPr>
          <w:rFonts w:hint="default" w:ascii="Times New Roman" w:hAnsi="Times New Roman" w:cs="Times New Roman"/>
          <w:sz w:val="22"/>
          <w:szCs w:val="22"/>
        </w:rPr>
      </w:pPr>
      <w:r>
        <w:rPr>
          <w:rFonts w:hint="default" w:ascii="Times New Roman" w:hAnsi="Times New Roman" w:cs="Times New Roman"/>
          <w:sz w:val="22"/>
          <w:szCs w:val="22"/>
        </w:rPr>
        <w:t>This checklist is copyrighted by the Equator Network under the Creative Commons Attribution 3.0 Unported (CC BY 3.0) license.</w:t>
      </w:r>
    </w:p>
    <w:p w14:paraId="5DDF8A06">
      <w:pPr>
        <w:widowControl w:val="0"/>
        <w:autoSpaceDE w:val="0"/>
        <w:autoSpaceDN w:val="0"/>
        <w:adjustRightInd w:val="0"/>
        <w:spacing w:before="240" w:after="240" w:line="240" w:lineRule="auto"/>
        <w:ind w:left="640" w:hanging="640"/>
        <w:jc w:val="both"/>
        <w:rPr>
          <w:rFonts w:hint="default" w:ascii="Times New Roman" w:hAnsi="Times New Roman" w:cs="Times New Roman"/>
          <w:sz w:val="22"/>
          <w:szCs w:val="22"/>
        </w:rPr>
      </w:pPr>
      <w:r>
        <w:rPr>
          <w:rFonts w:hint="default" w:ascii="Times New Roman" w:hAnsi="Times New Roman" w:cs="Times New Roman"/>
          <w:sz w:val="22"/>
          <w:szCs w:val="22"/>
        </w:rPr>
        <w:fldChar w:fldCharType="begin" w:fldLock="1"/>
      </w:r>
      <w:r>
        <w:rPr>
          <w:rFonts w:hint="default" w:ascii="Times New Roman" w:hAnsi="Times New Roman" w:cs="Times New Roman"/>
          <w:sz w:val="22"/>
          <w:szCs w:val="22"/>
        </w:rPr>
        <w:instrText xml:space="preserve">ADDIN Mendeley Bibliography CSL_BIBLIOGRAPHY </w:instrText>
      </w:r>
      <w:r>
        <w:rPr>
          <w:rFonts w:hint="default" w:ascii="Times New Roman" w:hAnsi="Times New Roman" w:cs="Times New Roman"/>
          <w:sz w:val="22"/>
          <w:szCs w:val="22"/>
        </w:rPr>
        <w:fldChar w:fldCharType="separate"/>
      </w:r>
      <w:r>
        <w:rPr>
          <w:rFonts w:hint="default" w:ascii="Times New Roman" w:hAnsi="Times New Roman" w:cs="Times New Roman"/>
          <w:sz w:val="22"/>
          <w:szCs w:val="22"/>
        </w:rPr>
        <w:t>1. Skrivankova VW, Richmond RC, Woolf BAR, Yarmolinsky J, Davies NM, Swanson SA, et al. Strengthening the Reporting of Observational Studies in</w:t>
      </w:r>
      <w:r>
        <w:rPr>
          <w:rFonts w:hint="eastAsia" w:ascii="Times New Roman" w:hAnsi="Times New Roman" w:eastAsia="宋体" w:cs="Times New Roman"/>
          <w:sz w:val="22"/>
          <w:szCs w:val="22"/>
          <w:lang w:val="en-US" w:eastAsia="zh-CN"/>
        </w:rPr>
        <w:t xml:space="preserve"> </w:t>
      </w:r>
      <w:r>
        <w:rPr>
          <w:rFonts w:hint="default" w:ascii="Times New Roman" w:hAnsi="Times New Roman" w:cs="Times New Roman"/>
          <w:sz w:val="22"/>
          <w:szCs w:val="22"/>
        </w:rPr>
        <w:t>Epidemiology using Mendelian Randomization (STROBE-MR) Statement. JAMA. 2021;under review.</w:t>
      </w:r>
    </w:p>
    <w:p w14:paraId="63BF03A9">
      <w:pPr>
        <w:widowControl w:val="0"/>
        <w:autoSpaceDE w:val="0"/>
        <w:autoSpaceDN w:val="0"/>
        <w:adjustRightInd w:val="0"/>
        <w:spacing w:before="240" w:after="240" w:line="240" w:lineRule="auto"/>
        <w:ind w:left="640" w:hanging="640"/>
        <w:jc w:val="both"/>
        <w:rPr>
          <w:rFonts w:hint="default" w:ascii="Times New Roman" w:hAnsi="Times New Roman" w:cs="Times New Roman"/>
          <w:sz w:val="22"/>
          <w:szCs w:val="22"/>
        </w:rPr>
      </w:pPr>
      <w:r>
        <w:rPr>
          <w:rFonts w:hint="default" w:ascii="Times New Roman" w:hAnsi="Times New Roman" w:cs="Times New Roman"/>
          <w:sz w:val="22"/>
          <w:szCs w:val="22"/>
        </w:rPr>
        <w:t>2. Skrivankova VW, Richmond RC, Woolf BAR, Davies NM, Swanson SA, VanderWeele TJ, et al. Strengthening the Reporting of Observational Studies in Epidemiology using Mendelian Randomisation (STROBE-MR): Explanation and Elaboration. BMJ. 2021;375:n2233.</w:t>
      </w:r>
    </w:p>
    <w:p w14:paraId="25DB435D">
      <w:pPr>
        <w:spacing w:before="240" w:after="240"/>
        <w:jc w:val="both"/>
        <w:rPr>
          <w:rFonts w:hint="default" w:ascii="Times New Roman" w:hAnsi="Times New Roman" w:cs="Times New Roman"/>
          <w:sz w:val="22"/>
          <w:szCs w:val="22"/>
        </w:rPr>
      </w:pPr>
      <w:r>
        <w:rPr>
          <w:rFonts w:hint="default" w:ascii="Times New Roman" w:hAnsi="Times New Roman" w:cs="Times New Roman"/>
          <w:sz w:val="22"/>
          <w:szCs w:val="22"/>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B7B5E">
    <w:pPr>
      <w:pStyle w:val="2"/>
      <w:jc w:val="right"/>
    </w:pPr>
    <w:r>
      <w:fldChar w:fldCharType="begin"/>
    </w:r>
    <w:r>
      <w:instrText xml:space="preserve"> PAGE   \* MERGEFORMAT </w:instrText>
    </w:r>
    <w:r>
      <w:fldChar w:fldCharType="separate"/>
    </w:r>
    <w:r>
      <w:t>1</w:t>
    </w:r>
    <w:r>
      <w:fldChar w:fldCharType="end"/>
    </w:r>
  </w:p>
  <w:p w14:paraId="41D89672">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B4A166">
    <w:pPr>
      <w:pStyle w:val="2"/>
      <w:framePr w:wrap="auto" w:vAnchor="text" w:hAnchor="margin" w:xAlign="right" w:y="1"/>
      <w:rPr>
        <w:rStyle w:val="5"/>
      </w:rPr>
    </w:pPr>
  </w:p>
  <w:p w14:paraId="40A0897E">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095700DE"/>
    <w:rsid w:val="27D74B17"/>
    <w:rsid w:val="3D8C1AA8"/>
    <w:rsid w:val="46A9020B"/>
    <w:rsid w:val="4C620106"/>
    <w:rsid w:val="53EF700D"/>
    <w:rsid w:val="5B0C7E1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spacing w:after="0" w:line="276" w:lineRule="auto"/>
    </w:pPr>
    <w:rPr>
      <w:rFonts w:ascii="Arial" w:hAnsi="Arial" w:eastAsia="Arial" w:cs="Arial"/>
      <w:sz w:val="22"/>
      <w:szCs w:val="22"/>
      <w:lang w:val="en" w:eastAsia="de-CH"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680"/>
        <w:tab w:val="right" w:pos="9360"/>
      </w:tabs>
      <w:spacing w:line="240" w:lineRule="auto"/>
    </w:pPr>
  </w:style>
  <w:style w:type="character" w:styleId="5">
    <w:name w:val="page number"/>
    <w:basedOn w:val="4"/>
    <w:semiHidden/>
    <w:unhideWhenUsed/>
    <w:qFormat/>
    <w:uiPriority w:val="99"/>
  </w:style>
  <w:style w:type="character" w:styleId="6">
    <w:name w:val="line number"/>
    <w:basedOn w:val="4"/>
    <w:semiHidden/>
    <w:unhideWhenUsed/>
    <w:qFormat/>
    <w:uiPriority w:val="99"/>
  </w:style>
  <w:style w:type="character" w:customStyle="1" w:styleId="7">
    <w:name w:val="Footer Char"/>
    <w:basedOn w:val="4"/>
    <w:link w:val="2"/>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B0931C-FCE2-4CC4-80DE-15614B41F1F9}">
  <ds:schemaRefs/>
</ds:datastoreItem>
</file>

<file path=customXml/itemProps2.xml><?xml version="1.0" encoding="utf-8"?>
<ds:datastoreItem xmlns:ds="http://schemas.openxmlformats.org/officeDocument/2006/customXml" ds:itemID="{B7DA32DB-E5B8-4E32-AD11-08F2E668867B}">
  <ds:schemaRefs/>
</ds:datastoreItem>
</file>

<file path=customXml/itemProps3.xml><?xml version="1.0" encoding="utf-8"?>
<ds:datastoreItem xmlns:ds="http://schemas.openxmlformats.org/officeDocument/2006/customXml" ds:itemID="{A9898B61-61B7-44F1-9388-8B27875B1EDA}">
  <ds:schemaRefs/>
</ds:datastoreItem>
</file>

<file path=customXml/itemProps4.xml><?xml version="1.0" encoding="utf-8"?>
<ds:datastoreItem xmlns:ds="http://schemas.openxmlformats.org/officeDocument/2006/customXml" ds:itemID="{5DF20111-77FD-4F18-8E31-D737874646AB}">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10</Pages>
  <Words>3185</Words>
  <Characters>19318</Characters>
  <Lines>286</Lines>
  <Paragraphs>146</Paragraphs>
  <TotalTime>8</TotalTime>
  <ScaleCrop>false</ScaleCrop>
  <LinksUpToDate>false</LinksUpToDate>
  <CharactersWithSpaces>22315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Gavin</cp:lastModifiedBy>
  <cp:lastPrinted>2021-09-28T07:08:00Z</cp:lastPrinted>
  <dcterms:modified xsi:type="dcterms:W3CDTF">2025-10-01T16:09:07Z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TemplateDocerSaveRecord">
    <vt:lpwstr>eyJoZGlkIjoiYjkyZmNhZmMwYTRkMzdjNDc0ZDBiODA4ZTNmNjg2YzYiLCJ1c2VySWQiOiIxMjAxNjU3MTQxIn0=</vt:lpwstr>
  </property>
  <property fmtid="{D5CDD505-2E9C-101B-9397-08002B2CF9AE}" pid="27" name="KSOProductBuildVer">
    <vt:lpwstr>2052-12.1.0.22529</vt:lpwstr>
  </property>
  <property fmtid="{D5CDD505-2E9C-101B-9397-08002B2CF9AE}" pid="28" name="ICV">
    <vt:lpwstr>1A0D361AF6F443488541EBAB8D43F0F0_12</vt:lpwstr>
  </property>
</Properties>
</file>