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A5706" w14:textId="77777777" w:rsidR="00FA0DCA" w:rsidRPr="00940E03" w:rsidRDefault="00FA0DCA" w:rsidP="00FA0DCA">
      <w:pPr>
        <w:widowControl/>
        <w:jc w:val="left"/>
        <w:rPr>
          <w:rFonts w:ascii="Times New Roman" w:hAnsi="Times New Roman"/>
          <w:b/>
          <w:sz w:val="24"/>
          <w:szCs w:val="24"/>
        </w:rPr>
      </w:pPr>
      <w:r w:rsidRPr="00940E03">
        <w:rPr>
          <w:rFonts w:ascii="Times New Roman" w:hAnsi="Times New Roman"/>
          <w:b/>
          <w:sz w:val="24"/>
          <w:szCs w:val="24"/>
        </w:rPr>
        <w:t>Graphic Abstract</w:t>
      </w:r>
    </w:p>
    <w:p w14:paraId="23D9837B" w14:textId="77777777" w:rsidR="00FA0DCA" w:rsidRPr="00940E03" w:rsidRDefault="00FA0DCA" w:rsidP="00FA0DCA">
      <w:pPr>
        <w:widowControl/>
        <w:spacing w:beforeLines="50" w:before="156" w:afterLines="50" w:after="156"/>
        <w:jc w:val="center"/>
      </w:pPr>
      <w:r>
        <w:rPr>
          <w:rFonts w:hint="eastAsia"/>
        </w:rPr>
        <w:object w:dxaOrig="15695" w:dyaOrig="7281" w14:anchorId="0F6D2E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233.25pt" o:ole="">
            <v:imagedata r:id="rId4" o:title=""/>
          </v:shape>
          <o:OLEObject Type="Embed" ProgID="ChemDraw.Document.6.0" ShapeID="_x0000_i1025" DrawAspect="Content" ObjectID="_1821600339" r:id="rId5"/>
        </w:object>
      </w:r>
    </w:p>
    <w:p w14:paraId="6A95DAA6" w14:textId="77777777" w:rsidR="00FA0DCA" w:rsidRPr="00B736FC" w:rsidRDefault="00FA0DCA" w:rsidP="00FA0DCA">
      <w:pPr>
        <w:widowControl/>
        <w:rPr>
          <w:rFonts w:ascii="Times New Roman" w:hAnsi="Times New Roman" w:cs="Times New Roman"/>
          <w:bCs/>
          <w:iCs/>
          <w:sz w:val="18"/>
          <w:szCs w:val="18"/>
        </w:rPr>
      </w:pPr>
      <w:r w:rsidRPr="008B35D4">
        <w:rPr>
          <w:rFonts w:ascii="Times New Roman" w:hAnsi="Times New Roman" w:cs="Times New Roman"/>
          <w:bCs/>
          <w:iCs/>
          <w:sz w:val="18"/>
          <w:szCs w:val="18"/>
        </w:rPr>
        <w:t xml:space="preserve">Owing to its promising applications in pharmaceutical, the synthesis of tropanes has attracted significant research interest, but still remains challenging. </w:t>
      </w:r>
      <w:r w:rsidRPr="008B35D4">
        <w:rPr>
          <w:rFonts w:ascii="Times New Roman" w:hAnsi="Times New Roman" w:cs="Times New Roman" w:hint="eastAsia"/>
          <w:bCs/>
          <w:iCs/>
          <w:sz w:val="18"/>
          <w:szCs w:val="18"/>
        </w:rPr>
        <w:t>In particular, s</w:t>
      </w:r>
      <w:r w:rsidRPr="008B35D4">
        <w:rPr>
          <w:rFonts w:ascii="Times New Roman" w:hAnsi="Times New Roman" w:cs="Times New Roman"/>
          <w:bCs/>
          <w:iCs/>
          <w:sz w:val="18"/>
          <w:szCs w:val="18"/>
        </w:rPr>
        <w:t>imple 3-aryltropanes are extensively distributed in functional molecules and bioactive pharmaceuticals, such as Radiotraceur and Dopamine transporter.</w:t>
      </w:r>
      <w:r w:rsidRPr="008B35D4">
        <w:rPr>
          <w:rFonts w:ascii="Times New Roman" w:hAnsi="Times New Roman" w:cs="Times New Roman"/>
          <w:bCs/>
          <w:iCs/>
          <w:sz w:val="18"/>
          <w:szCs w:val="18"/>
          <w:lang w:val="de-DE"/>
        </w:rPr>
        <w:t xml:space="preserve"> </w:t>
      </w:r>
      <w:r w:rsidRPr="008B35D4">
        <w:rPr>
          <w:rFonts w:ascii="Times New Roman" w:hAnsi="Times New Roman" w:cs="Times New Roman"/>
          <w:bCs/>
          <w:iCs/>
          <w:sz w:val="18"/>
          <w:szCs w:val="18"/>
        </w:rPr>
        <w:t>However, enantioselective synthesis of 3-aryltropane analogues remains underdeveloped. In this study, we described a palladium/</w:t>
      </w:r>
      <w:r w:rsidRPr="008B35D4">
        <w:rPr>
          <w:rFonts w:ascii="Times New Roman" w:hAnsi="Times New Roman" w:cs="Times New Roman"/>
          <w:b/>
          <w:bCs/>
          <w:iCs/>
          <w:sz w:val="18"/>
          <w:szCs w:val="18"/>
        </w:rPr>
        <w:t>Ming-Phos</w:t>
      </w:r>
      <w:r w:rsidRPr="008B35D4">
        <w:rPr>
          <w:rFonts w:ascii="Times New Roman" w:hAnsi="Times New Roman" w:cs="Times New Roman"/>
          <w:bCs/>
          <w:iCs/>
          <w:sz w:val="18"/>
          <w:szCs w:val="18"/>
        </w:rPr>
        <w:t xml:space="preserve">-catalyzed enantioselective </w:t>
      </w:r>
      <w:r w:rsidRPr="008B35D4">
        <w:rPr>
          <w:rFonts w:ascii="Times New Roman" w:hAnsi="Times New Roman" w:cs="Times New Roman"/>
          <w:bCs/>
          <w:i/>
          <w:iCs/>
          <w:sz w:val="18"/>
          <w:szCs w:val="18"/>
        </w:rPr>
        <w:t>β</w:t>
      </w:r>
      <w:r w:rsidRPr="008B35D4">
        <w:rPr>
          <w:rFonts w:ascii="Times New Roman" w:hAnsi="Times New Roman" w:cs="Times New Roman"/>
          <w:bCs/>
          <w:iCs/>
          <w:sz w:val="18"/>
          <w:szCs w:val="18"/>
        </w:rPr>
        <w:t xml:space="preserve">-H elimination reaction to give chiral 3-aryltropanes. Notably, this study achieves enantioselective </w:t>
      </w:r>
      <w:r w:rsidRPr="008B35D4">
        <w:rPr>
          <w:rFonts w:ascii="Times New Roman" w:hAnsi="Times New Roman" w:cs="Times New Roman"/>
          <w:bCs/>
          <w:i/>
          <w:iCs/>
          <w:sz w:val="18"/>
          <w:szCs w:val="18"/>
        </w:rPr>
        <w:t>β</w:t>
      </w:r>
      <w:r w:rsidRPr="008B35D4">
        <w:rPr>
          <w:rFonts w:ascii="Times New Roman" w:hAnsi="Times New Roman" w:cs="Times New Roman"/>
          <w:bCs/>
          <w:iCs/>
          <w:sz w:val="18"/>
          <w:szCs w:val="18"/>
        </w:rPr>
        <w:t xml:space="preserve">-H elimination in the presence of two distinct </w:t>
      </w:r>
      <w:r w:rsidRPr="008B35D4">
        <w:rPr>
          <w:rFonts w:ascii="Times New Roman" w:hAnsi="Times New Roman" w:cs="Times New Roman"/>
          <w:bCs/>
          <w:i/>
          <w:iCs/>
          <w:sz w:val="18"/>
          <w:szCs w:val="18"/>
        </w:rPr>
        <w:t>β</w:t>
      </w:r>
      <w:r w:rsidRPr="008B35D4">
        <w:rPr>
          <w:rFonts w:ascii="Times New Roman" w:hAnsi="Times New Roman" w:cs="Times New Roman"/>
          <w:bCs/>
          <w:iCs/>
          <w:sz w:val="18"/>
          <w:szCs w:val="18"/>
        </w:rPr>
        <w:t>-H sites, which needs to simultaneous</w:t>
      </w:r>
      <w:r w:rsidRPr="008B35D4">
        <w:rPr>
          <w:rFonts w:ascii="Times New Roman" w:hAnsi="Times New Roman" w:cs="Times New Roman" w:hint="eastAsia"/>
          <w:bCs/>
          <w:iCs/>
          <w:sz w:val="18"/>
          <w:szCs w:val="18"/>
        </w:rPr>
        <w:t>ly</w:t>
      </w:r>
      <w:r w:rsidRPr="008B35D4">
        <w:rPr>
          <w:rFonts w:ascii="Times New Roman" w:hAnsi="Times New Roman" w:cs="Times New Roman"/>
          <w:bCs/>
          <w:iCs/>
          <w:sz w:val="18"/>
          <w:szCs w:val="18"/>
        </w:rPr>
        <w:t xml:space="preserve"> control over both diastereoselectivity during the migratory insertion and enantioselectivity during the </w:t>
      </w:r>
      <w:r w:rsidRPr="008B35D4">
        <w:rPr>
          <w:rFonts w:ascii="Times New Roman" w:hAnsi="Times New Roman" w:cs="Times New Roman"/>
          <w:bCs/>
          <w:i/>
          <w:iCs/>
          <w:sz w:val="18"/>
          <w:szCs w:val="18"/>
        </w:rPr>
        <w:t>β</w:t>
      </w:r>
      <w:r w:rsidRPr="008B35D4">
        <w:rPr>
          <w:rFonts w:ascii="Times New Roman" w:hAnsi="Times New Roman" w:cs="Times New Roman"/>
          <w:bCs/>
          <w:iCs/>
          <w:sz w:val="18"/>
          <w:szCs w:val="18"/>
        </w:rPr>
        <w:t>-H elimination. This approach shows broad functional group tolerance, excellent enantiocontrol as well as easy scale-up. Moreover, the synthetic value is further demonstrated by the enantioselective catalytic total synthesis of drugs for treating Alzheimer’s disease and monoamine transporter ligands. Additionally, both the facile elaborations and the preliminary biological activities of the products demonstrate the application potential.</w:t>
      </w:r>
    </w:p>
    <w:p w14:paraId="1EE510AB" w14:textId="77777777" w:rsidR="00DE6AE2" w:rsidRDefault="00DE6AE2"/>
    <w:sectPr w:rsidR="00DE6AE2" w:rsidSect="00FA0DCA">
      <w:pgSz w:w="12240" w:h="15840"/>
      <w:pgMar w:top="720" w:right="1094" w:bottom="953" w:left="1094"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DCA"/>
    <w:rsid w:val="00195413"/>
    <w:rsid w:val="003D0186"/>
    <w:rsid w:val="007278E4"/>
    <w:rsid w:val="0093424C"/>
    <w:rsid w:val="00A3738C"/>
    <w:rsid w:val="00BC6C35"/>
    <w:rsid w:val="00CB270D"/>
    <w:rsid w:val="00CF7583"/>
    <w:rsid w:val="00DE6AE2"/>
    <w:rsid w:val="00FA0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1B4E4"/>
  <w15:chartTrackingRefBased/>
  <w15:docId w15:val="{A0C70BF2-5E84-4247-9351-9CFFC82E7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DCA"/>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FA0DC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A0DC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A0DCA"/>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A0DCA"/>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FA0DCA"/>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FA0DCA"/>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FA0DCA"/>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FA0DCA"/>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FA0DCA"/>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0D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0D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0D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0D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0D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0D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0D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0D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0DCA"/>
    <w:rPr>
      <w:rFonts w:eastAsiaTheme="majorEastAsia" w:cstheme="majorBidi"/>
      <w:color w:val="272727" w:themeColor="text1" w:themeTint="D8"/>
    </w:rPr>
  </w:style>
  <w:style w:type="paragraph" w:styleId="Title">
    <w:name w:val="Title"/>
    <w:basedOn w:val="Normal"/>
    <w:next w:val="Normal"/>
    <w:link w:val="TitleChar"/>
    <w:uiPriority w:val="10"/>
    <w:qFormat/>
    <w:rsid w:val="00FA0DCA"/>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A0D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0DCA"/>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FA0D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0DCA"/>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FA0DCA"/>
    <w:rPr>
      <w:i/>
      <w:iCs/>
      <w:color w:val="404040" w:themeColor="text1" w:themeTint="BF"/>
    </w:rPr>
  </w:style>
  <w:style w:type="paragraph" w:styleId="ListParagraph">
    <w:name w:val="List Paragraph"/>
    <w:basedOn w:val="Normal"/>
    <w:uiPriority w:val="34"/>
    <w:qFormat/>
    <w:rsid w:val="00FA0DCA"/>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FA0DCA"/>
    <w:rPr>
      <w:i/>
      <w:iCs/>
      <w:color w:val="0F4761" w:themeColor="accent1" w:themeShade="BF"/>
    </w:rPr>
  </w:style>
  <w:style w:type="paragraph" w:styleId="IntenseQuote">
    <w:name w:val="Intense Quote"/>
    <w:basedOn w:val="Normal"/>
    <w:next w:val="Normal"/>
    <w:link w:val="IntenseQuoteChar"/>
    <w:uiPriority w:val="30"/>
    <w:qFormat/>
    <w:rsid w:val="00FA0DC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FA0DCA"/>
    <w:rPr>
      <w:i/>
      <w:iCs/>
      <w:color w:val="0F4761" w:themeColor="accent1" w:themeShade="BF"/>
    </w:rPr>
  </w:style>
  <w:style w:type="character" w:styleId="IntenseReference">
    <w:name w:val="Intense Reference"/>
    <w:basedOn w:val="DefaultParagraphFont"/>
    <w:uiPriority w:val="32"/>
    <w:qFormat/>
    <w:rsid w:val="00FA0D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1098</Characters>
  <Application>Microsoft Office Word</Application>
  <DocSecurity>0</DocSecurity>
  <Lines>20</Lines>
  <Paragraphs>4</Paragraphs>
  <ScaleCrop>false</ScaleCrop>
  <Company>Springer Nature</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2025-10-10T05:49:00Z</dcterms:created>
  <dcterms:modified xsi:type="dcterms:W3CDTF">2025-10-10T05:49:00Z</dcterms:modified>
</cp:coreProperties>
</file>