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50D95" w14:textId="77777777" w:rsidR="004C0FF1" w:rsidRDefault="004C0FF1" w:rsidP="004C0FF1">
      <w:pPr>
        <w:jc w:val="center"/>
        <w:rPr>
          <w:b/>
          <w:lang w:val="en-US"/>
        </w:rPr>
      </w:pPr>
      <w:r>
        <w:rPr>
          <w:b/>
          <w:lang w:val="en-US"/>
        </w:rPr>
        <w:t>Supplementary information</w:t>
      </w:r>
    </w:p>
    <w:p w14:paraId="79D6C1C5" w14:textId="77777777" w:rsidR="004C0FF1" w:rsidRDefault="004C0FF1" w:rsidP="004C0FF1">
      <w:pPr>
        <w:jc w:val="center"/>
        <w:rPr>
          <w:sz w:val="28"/>
          <w:lang w:val="en-US" w:eastAsia="fr-FR"/>
        </w:rPr>
      </w:pPr>
      <w:r>
        <w:rPr>
          <w:sz w:val="28"/>
          <w:lang w:val="en-US" w:eastAsia="fr-FR"/>
        </w:rPr>
        <w:t>Integration of a single photon source with a photonic waveguide</w:t>
      </w:r>
    </w:p>
    <w:p w14:paraId="7FDF6104" w14:textId="77777777" w:rsidR="004C0FF1" w:rsidRDefault="004C0FF1" w:rsidP="004C0FF1">
      <w:pPr>
        <w:jc w:val="both"/>
        <w:rPr>
          <w:lang w:val="en-US" w:eastAsia="fr-FR"/>
        </w:rPr>
      </w:pPr>
      <w:r>
        <w:rPr>
          <w:lang w:val="en-US" w:eastAsia="fr-FR"/>
        </w:rPr>
        <w:t>Aurélie Broussier</w:t>
      </w:r>
      <w:r>
        <w:rPr>
          <w:vertAlign w:val="superscript"/>
          <w:lang w:val="en-US" w:eastAsia="fr-FR"/>
        </w:rPr>
        <w:t>1x</w:t>
      </w:r>
      <w:r>
        <w:rPr>
          <w:lang w:val="en-US" w:eastAsia="fr-FR"/>
        </w:rPr>
        <w:t>, Muhammad H. Muhammad</w:t>
      </w:r>
      <w:r>
        <w:rPr>
          <w:vertAlign w:val="superscript"/>
          <w:lang w:val="en-US" w:eastAsia="fr-FR"/>
        </w:rPr>
        <w:t>1,2+</w:t>
      </w:r>
      <w:r>
        <w:rPr>
          <w:lang w:val="en-US" w:eastAsia="fr-FR"/>
        </w:rPr>
        <w:t>, Nancy Rahbany</w:t>
      </w:r>
      <w:r>
        <w:rPr>
          <w:vertAlign w:val="superscript"/>
          <w:lang w:val="en-US" w:eastAsia="fr-FR"/>
        </w:rPr>
        <w:t>3</w:t>
      </w:r>
      <w:r>
        <w:rPr>
          <w:lang w:val="en-US" w:eastAsia="fr-FR"/>
        </w:rPr>
        <w:t>, Abdelhamid Hmima</w:t>
      </w:r>
      <w:r>
        <w:rPr>
          <w:vertAlign w:val="superscript"/>
          <w:lang w:val="en-US" w:eastAsia="fr-FR"/>
        </w:rPr>
        <w:t>1</w:t>
      </w:r>
      <w:r>
        <w:rPr>
          <w:lang w:val="en-US" w:eastAsia="fr-FR"/>
        </w:rPr>
        <w:t>, Paul Robineau</w:t>
      </w:r>
      <w:r>
        <w:rPr>
          <w:vertAlign w:val="superscript"/>
          <w:lang w:val="en-US" w:eastAsia="fr-FR"/>
        </w:rPr>
        <w:t>1=</w:t>
      </w:r>
      <w:r>
        <w:rPr>
          <w:lang w:val="en-US" w:eastAsia="fr-FR"/>
        </w:rPr>
        <w:t>, Cyrille Vezy</w:t>
      </w:r>
      <w:r>
        <w:rPr>
          <w:vertAlign w:val="superscript"/>
          <w:lang w:val="en-US" w:eastAsia="fr-FR"/>
        </w:rPr>
        <w:t>1</w:t>
      </w:r>
      <w:r>
        <w:rPr>
          <w:lang w:val="en-US" w:eastAsia="fr-FR"/>
        </w:rPr>
        <w:t>, Régis Déturche</w:t>
      </w:r>
      <w:r>
        <w:rPr>
          <w:vertAlign w:val="superscript"/>
          <w:lang w:val="en-US" w:eastAsia="fr-FR"/>
        </w:rPr>
        <w:t>1</w:t>
      </w:r>
      <w:r>
        <w:rPr>
          <w:lang w:val="en-US" w:eastAsia="fr-FR"/>
        </w:rPr>
        <w:t>, Antoine Kevorkian</w:t>
      </w:r>
      <w:r>
        <w:rPr>
          <w:vertAlign w:val="superscript"/>
          <w:lang w:val="en-US" w:eastAsia="fr-FR"/>
        </w:rPr>
        <w:t>2</w:t>
      </w:r>
      <w:r>
        <w:rPr>
          <w:lang w:val="en-US" w:eastAsia="fr-FR"/>
        </w:rPr>
        <w:t>, Sylvain Blaize</w:t>
      </w:r>
      <w:r>
        <w:rPr>
          <w:vertAlign w:val="superscript"/>
          <w:lang w:val="en-US" w:eastAsia="fr-FR"/>
        </w:rPr>
        <w:t>1</w:t>
      </w:r>
      <w:r>
        <w:rPr>
          <w:lang w:val="en-US" w:eastAsia="fr-FR"/>
        </w:rPr>
        <w:t>, Christophe Couteau</w:t>
      </w:r>
      <w:r>
        <w:rPr>
          <w:vertAlign w:val="superscript"/>
          <w:lang w:val="en-US" w:eastAsia="fr-FR"/>
        </w:rPr>
        <w:t>1,4*</w:t>
      </w:r>
    </w:p>
    <w:p w14:paraId="7F9B16F6" w14:textId="483DAD7F" w:rsidR="004C0FF1" w:rsidRDefault="004C0FF1" w:rsidP="004C0FF1">
      <w:pPr>
        <w:jc w:val="center"/>
        <w:rPr>
          <w:sz w:val="18"/>
          <w:szCs w:val="18"/>
          <w:lang w:eastAsia="fr-FR"/>
        </w:rPr>
      </w:pPr>
      <w:r>
        <w:rPr>
          <w:sz w:val="18"/>
          <w:szCs w:val="18"/>
          <w:vertAlign w:val="superscript"/>
          <w:lang w:val="en-US" w:eastAsia="fr-FR"/>
        </w:rPr>
        <w:t>1</w:t>
      </w:r>
      <w:r>
        <w:rPr>
          <w:sz w:val="18"/>
          <w:szCs w:val="18"/>
          <w:lang w:val="en-US" w:eastAsia="fr-FR"/>
        </w:rPr>
        <w:t>Laboratory Light, nanomaterials and nanotechnologies-L2n, Université de Technologie de Troyes-UTT &amp; CNRS UMR 7076, 12 rue Marie Curie, 10004 Troyes Cedex, France</w:t>
      </w:r>
      <w:r>
        <w:rPr>
          <w:sz w:val="18"/>
          <w:szCs w:val="18"/>
          <w:lang w:val="en-US" w:eastAsia="fr-FR"/>
        </w:rPr>
        <w:br/>
      </w:r>
      <w:r>
        <w:rPr>
          <w:sz w:val="18"/>
          <w:szCs w:val="18"/>
          <w:vertAlign w:val="superscript"/>
          <w:lang w:eastAsia="fr-FR"/>
        </w:rPr>
        <w:t>2</w:t>
      </w:r>
      <w:r>
        <w:rPr>
          <w:sz w:val="18"/>
          <w:szCs w:val="18"/>
          <w:lang w:eastAsia="fr-FR"/>
        </w:rPr>
        <w:t>Teem Photonics, 61 Chemin du Vieux Chêne, 38246 Meylan, France</w:t>
      </w:r>
      <w:r>
        <w:rPr>
          <w:sz w:val="18"/>
          <w:szCs w:val="18"/>
          <w:lang w:eastAsia="fr-FR"/>
        </w:rPr>
        <w:br/>
      </w:r>
      <w:r>
        <w:rPr>
          <w:sz w:val="18"/>
          <w:szCs w:val="18"/>
          <w:vertAlign w:val="superscript"/>
          <w:lang w:eastAsia="fr-FR"/>
        </w:rPr>
        <w:t>3</w:t>
      </w:r>
      <w:r w:rsidRPr="00F578A4">
        <w:rPr>
          <w:sz w:val="18"/>
          <w:szCs w:val="18"/>
          <w:lang w:eastAsia="fr-FR"/>
        </w:rPr>
        <w:t xml:space="preserve">Department of </w:t>
      </w:r>
      <w:proofErr w:type="spellStart"/>
      <w:r w:rsidRPr="00F578A4">
        <w:rPr>
          <w:sz w:val="18"/>
          <w:szCs w:val="18"/>
          <w:lang w:eastAsia="fr-FR"/>
        </w:rPr>
        <w:t>Physics</w:t>
      </w:r>
      <w:proofErr w:type="spellEnd"/>
      <w:r w:rsidRPr="00F578A4">
        <w:rPr>
          <w:sz w:val="18"/>
          <w:szCs w:val="18"/>
          <w:lang w:eastAsia="fr-FR"/>
        </w:rPr>
        <w:t xml:space="preserve"> and </w:t>
      </w:r>
      <w:proofErr w:type="spellStart"/>
      <w:r w:rsidRPr="00F578A4">
        <w:rPr>
          <w:sz w:val="18"/>
          <w:szCs w:val="18"/>
          <w:lang w:eastAsia="fr-FR"/>
        </w:rPr>
        <w:t>Astronomy</w:t>
      </w:r>
      <w:proofErr w:type="spellEnd"/>
      <w:r w:rsidRPr="00F578A4">
        <w:rPr>
          <w:sz w:val="18"/>
          <w:szCs w:val="18"/>
          <w:lang w:eastAsia="fr-FR"/>
        </w:rPr>
        <w:t xml:space="preserve">, </w:t>
      </w:r>
      <w:proofErr w:type="spellStart"/>
      <w:r w:rsidRPr="00F578A4">
        <w:rPr>
          <w:sz w:val="18"/>
          <w:szCs w:val="18"/>
          <w:lang w:eastAsia="fr-FR"/>
        </w:rPr>
        <w:t>Faculty</w:t>
      </w:r>
      <w:proofErr w:type="spellEnd"/>
      <w:r w:rsidRPr="00F578A4">
        <w:rPr>
          <w:sz w:val="18"/>
          <w:szCs w:val="18"/>
          <w:lang w:eastAsia="fr-FR"/>
        </w:rPr>
        <w:t xml:space="preserve"> of Natural and </w:t>
      </w:r>
      <w:proofErr w:type="spellStart"/>
      <w:r w:rsidRPr="00F578A4">
        <w:rPr>
          <w:sz w:val="18"/>
          <w:szCs w:val="18"/>
          <w:lang w:eastAsia="fr-FR"/>
        </w:rPr>
        <w:t>Applied</w:t>
      </w:r>
      <w:proofErr w:type="spellEnd"/>
      <w:r w:rsidRPr="00F578A4">
        <w:rPr>
          <w:sz w:val="18"/>
          <w:szCs w:val="18"/>
          <w:lang w:eastAsia="fr-FR"/>
        </w:rPr>
        <w:t xml:space="preserve"> Sciences,</w:t>
      </w:r>
      <w:r>
        <w:rPr>
          <w:sz w:val="18"/>
          <w:szCs w:val="18"/>
          <w:lang w:eastAsia="fr-FR"/>
        </w:rPr>
        <w:br/>
      </w:r>
      <w:r w:rsidRPr="00F578A4">
        <w:rPr>
          <w:sz w:val="18"/>
          <w:szCs w:val="18"/>
          <w:lang w:eastAsia="fr-FR"/>
        </w:rPr>
        <w:t xml:space="preserve">Notre Dame </w:t>
      </w:r>
      <w:proofErr w:type="spellStart"/>
      <w:r w:rsidRPr="00F578A4">
        <w:rPr>
          <w:sz w:val="18"/>
          <w:szCs w:val="18"/>
          <w:lang w:eastAsia="fr-FR"/>
        </w:rPr>
        <w:t>University-Louaize</w:t>
      </w:r>
      <w:proofErr w:type="spellEnd"/>
      <w:r w:rsidRPr="00F578A4">
        <w:rPr>
          <w:sz w:val="18"/>
          <w:szCs w:val="18"/>
          <w:lang w:eastAsia="fr-FR"/>
        </w:rPr>
        <w:t xml:space="preserve">, Zouk </w:t>
      </w:r>
      <w:proofErr w:type="spellStart"/>
      <w:r w:rsidRPr="00F578A4">
        <w:rPr>
          <w:sz w:val="18"/>
          <w:szCs w:val="18"/>
          <w:lang w:eastAsia="fr-FR"/>
        </w:rPr>
        <w:t>Mosbeh</w:t>
      </w:r>
      <w:proofErr w:type="spellEnd"/>
      <w:r w:rsidRPr="00F578A4">
        <w:rPr>
          <w:sz w:val="18"/>
          <w:szCs w:val="18"/>
          <w:lang w:eastAsia="fr-FR"/>
        </w:rPr>
        <w:t>, Lebanon</w:t>
      </w:r>
      <w:r>
        <w:rPr>
          <w:sz w:val="18"/>
          <w:szCs w:val="18"/>
          <w:lang w:eastAsia="fr-FR"/>
        </w:rPr>
        <w:br/>
      </w:r>
      <w:r>
        <w:rPr>
          <w:sz w:val="18"/>
          <w:szCs w:val="18"/>
          <w:vertAlign w:val="superscript"/>
          <w:lang w:eastAsia="fr-FR"/>
        </w:rPr>
        <w:t>4</w:t>
      </w:r>
      <w:r w:rsidRPr="00F578A4">
        <w:rPr>
          <w:sz w:val="18"/>
          <w:szCs w:val="18"/>
          <w:lang w:eastAsia="fr-FR"/>
        </w:rPr>
        <w:t xml:space="preserve">EUT+ Institute of </w:t>
      </w:r>
      <w:proofErr w:type="spellStart"/>
      <w:r w:rsidRPr="00F578A4">
        <w:rPr>
          <w:sz w:val="18"/>
          <w:szCs w:val="18"/>
          <w:lang w:eastAsia="fr-FR"/>
        </w:rPr>
        <w:t>Nanomaterials</w:t>
      </w:r>
      <w:proofErr w:type="spellEnd"/>
      <w:r w:rsidRPr="00F578A4">
        <w:rPr>
          <w:sz w:val="18"/>
          <w:szCs w:val="18"/>
          <w:lang w:eastAsia="fr-FR"/>
        </w:rPr>
        <w:t xml:space="preserve"> and Nanotechnologies EUTINN, </w:t>
      </w:r>
      <w:r>
        <w:rPr>
          <w:sz w:val="18"/>
          <w:szCs w:val="18"/>
          <w:lang w:eastAsia="fr-FR"/>
        </w:rPr>
        <w:br/>
      </w:r>
      <w:proofErr w:type="spellStart"/>
      <w:r w:rsidRPr="00F578A4">
        <w:rPr>
          <w:sz w:val="18"/>
          <w:szCs w:val="18"/>
          <w:lang w:eastAsia="fr-FR"/>
        </w:rPr>
        <w:t>European</w:t>
      </w:r>
      <w:proofErr w:type="spellEnd"/>
      <w:r w:rsidRPr="00F578A4">
        <w:rPr>
          <w:sz w:val="18"/>
          <w:szCs w:val="18"/>
          <w:lang w:eastAsia="fr-FR"/>
        </w:rPr>
        <w:t xml:space="preserve"> </w:t>
      </w:r>
      <w:proofErr w:type="spellStart"/>
      <w:r w:rsidRPr="00F578A4">
        <w:rPr>
          <w:sz w:val="18"/>
          <w:szCs w:val="18"/>
          <w:lang w:eastAsia="fr-FR"/>
        </w:rPr>
        <w:t>University</w:t>
      </w:r>
      <w:proofErr w:type="spellEnd"/>
      <w:r w:rsidRPr="00F578A4">
        <w:rPr>
          <w:sz w:val="18"/>
          <w:szCs w:val="18"/>
          <w:lang w:eastAsia="fr-FR"/>
        </w:rPr>
        <w:t xml:space="preserve"> of </w:t>
      </w:r>
      <w:proofErr w:type="spellStart"/>
      <w:r w:rsidRPr="00F578A4">
        <w:rPr>
          <w:sz w:val="18"/>
          <w:szCs w:val="18"/>
          <w:lang w:eastAsia="fr-FR"/>
        </w:rPr>
        <w:t>Technology</w:t>
      </w:r>
      <w:proofErr w:type="spellEnd"/>
      <w:r w:rsidRPr="00F578A4">
        <w:rPr>
          <w:sz w:val="18"/>
          <w:szCs w:val="18"/>
          <w:lang w:eastAsia="fr-FR"/>
        </w:rPr>
        <w:t xml:space="preserve">, </w:t>
      </w:r>
      <w:proofErr w:type="spellStart"/>
      <w:r w:rsidRPr="00F578A4">
        <w:rPr>
          <w:sz w:val="18"/>
          <w:szCs w:val="18"/>
          <w:lang w:eastAsia="fr-FR"/>
        </w:rPr>
        <w:t>European</w:t>
      </w:r>
      <w:proofErr w:type="spellEnd"/>
      <w:r w:rsidRPr="00F578A4">
        <w:rPr>
          <w:sz w:val="18"/>
          <w:szCs w:val="18"/>
          <w:lang w:eastAsia="fr-FR"/>
        </w:rPr>
        <w:t xml:space="preserve"> Union, Troyes, France</w:t>
      </w:r>
    </w:p>
    <w:p w14:paraId="7BCCD3EC" w14:textId="5CD34B5B" w:rsidR="004C0FF1" w:rsidRDefault="004C0FF1" w:rsidP="004C0FF1">
      <w:pPr>
        <w:spacing w:after="0"/>
        <w:jc w:val="center"/>
        <w:rPr>
          <w:sz w:val="18"/>
          <w:szCs w:val="18"/>
          <w:lang w:val="en-US" w:eastAsia="fr-FR"/>
        </w:rPr>
      </w:pPr>
      <w:r>
        <w:rPr>
          <w:sz w:val="18"/>
          <w:szCs w:val="18"/>
          <w:vertAlign w:val="superscript"/>
          <w:lang w:val="en-US" w:eastAsia="fr-FR"/>
        </w:rPr>
        <w:t>*</w:t>
      </w:r>
      <w:r>
        <w:rPr>
          <w:sz w:val="18"/>
          <w:szCs w:val="18"/>
          <w:lang w:val="en-US" w:eastAsia="fr-FR"/>
        </w:rPr>
        <w:t xml:space="preserve">Corresponding author: </w:t>
      </w:r>
      <w:hyperlink r:id="rId7">
        <w:r>
          <w:rPr>
            <w:rStyle w:val="LienInternet"/>
            <w:sz w:val="18"/>
            <w:szCs w:val="18"/>
            <w:lang w:val="en-US" w:eastAsia="fr-FR"/>
          </w:rPr>
          <w:t>christophe.couteau@utt.fr</w:t>
        </w:r>
      </w:hyperlink>
    </w:p>
    <w:p w14:paraId="7BEB0EF9" w14:textId="77777777" w:rsidR="004C0FF1" w:rsidRDefault="004C0FF1" w:rsidP="004C0FF1">
      <w:pPr>
        <w:spacing w:after="0"/>
        <w:jc w:val="center"/>
        <w:rPr>
          <w:sz w:val="18"/>
          <w:szCs w:val="18"/>
          <w:lang w:val="en-US" w:eastAsia="fr-FR"/>
        </w:rPr>
      </w:pPr>
      <w:proofErr w:type="spellStart"/>
      <w:r>
        <w:rPr>
          <w:sz w:val="18"/>
          <w:szCs w:val="18"/>
          <w:vertAlign w:val="superscript"/>
          <w:lang w:val="en-US" w:eastAsia="fr-FR"/>
        </w:rPr>
        <w:t>x</w:t>
      </w:r>
      <w:r>
        <w:rPr>
          <w:sz w:val="18"/>
          <w:szCs w:val="18"/>
          <w:lang w:val="en-US" w:eastAsia="fr-FR"/>
        </w:rPr>
        <w:t>Currently</w:t>
      </w:r>
      <w:proofErr w:type="spellEnd"/>
      <w:r>
        <w:rPr>
          <w:sz w:val="18"/>
          <w:szCs w:val="18"/>
          <w:lang w:val="en-US" w:eastAsia="fr-FR"/>
        </w:rPr>
        <w:t xml:space="preserve"> at FEMTO-ST Institute, </w:t>
      </w:r>
      <w:proofErr w:type="spellStart"/>
      <w:r>
        <w:rPr>
          <w:sz w:val="18"/>
          <w:szCs w:val="18"/>
          <w:lang w:val="en-US" w:eastAsia="fr-FR"/>
        </w:rPr>
        <w:t>Besançon</w:t>
      </w:r>
      <w:proofErr w:type="spellEnd"/>
      <w:r>
        <w:rPr>
          <w:sz w:val="18"/>
          <w:szCs w:val="18"/>
          <w:lang w:val="en-US" w:eastAsia="fr-FR"/>
        </w:rPr>
        <w:t>, France</w:t>
      </w:r>
    </w:p>
    <w:p w14:paraId="03AA6B9C" w14:textId="77777777" w:rsidR="004C0FF1" w:rsidRDefault="004C0FF1" w:rsidP="004C0FF1">
      <w:pPr>
        <w:spacing w:after="0"/>
        <w:jc w:val="center"/>
        <w:rPr>
          <w:sz w:val="18"/>
          <w:szCs w:val="18"/>
          <w:lang w:val="en-US" w:eastAsia="fr-FR"/>
        </w:rPr>
      </w:pPr>
      <w:r>
        <w:rPr>
          <w:sz w:val="18"/>
          <w:szCs w:val="18"/>
          <w:vertAlign w:val="superscript"/>
          <w:lang w:val="en-US" w:eastAsia="fr-FR"/>
        </w:rPr>
        <w:t>+</w:t>
      </w:r>
      <w:r>
        <w:rPr>
          <w:sz w:val="18"/>
          <w:szCs w:val="18"/>
          <w:lang w:val="en-US" w:eastAsia="fr-FR"/>
        </w:rPr>
        <w:t xml:space="preserve">Currently at </w:t>
      </w:r>
      <w:r w:rsidRPr="0096055A">
        <w:rPr>
          <w:sz w:val="18"/>
          <w:szCs w:val="18"/>
          <w:lang w:val="en-US" w:eastAsia="fr-FR"/>
        </w:rPr>
        <w:t>Synopsys photonics solutions</w:t>
      </w:r>
      <w:r>
        <w:rPr>
          <w:sz w:val="18"/>
          <w:szCs w:val="18"/>
          <w:lang w:val="en-US" w:eastAsia="fr-FR"/>
        </w:rPr>
        <w:t>, France</w:t>
      </w:r>
    </w:p>
    <w:p w14:paraId="51AEA8EC" w14:textId="6ABE05E2" w:rsidR="00A715EA" w:rsidRDefault="004C0FF1" w:rsidP="004C0FF1">
      <w:pPr>
        <w:spacing w:after="0"/>
        <w:jc w:val="center"/>
        <w:rPr>
          <w:lang w:val="en-US" w:eastAsia="fr-FR"/>
        </w:rPr>
      </w:pPr>
      <w:r>
        <w:rPr>
          <w:sz w:val="18"/>
          <w:szCs w:val="18"/>
          <w:vertAlign w:val="superscript"/>
          <w:lang w:val="en-US" w:eastAsia="fr-FR"/>
        </w:rPr>
        <w:t>=</w:t>
      </w:r>
      <w:r>
        <w:rPr>
          <w:sz w:val="18"/>
          <w:szCs w:val="18"/>
          <w:lang w:val="en-US" w:eastAsia="fr-FR"/>
        </w:rPr>
        <w:t xml:space="preserve">Currently at </w:t>
      </w:r>
      <w:r w:rsidR="008C3065" w:rsidRPr="008C3065">
        <w:rPr>
          <w:sz w:val="18"/>
          <w:szCs w:val="18"/>
          <w:lang w:eastAsia="fr-FR"/>
        </w:rPr>
        <w:t>LASIRE</w:t>
      </w:r>
      <w:r w:rsidR="008C3065">
        <w:rPr>
          <w:sz w:val="18"/>
          <w:szCs w:val="18"/>
          <w:lang w:eastAsia="fr-FR"/>
        </w:rPr>
        <w:t xml:space="preserve">, </w:t>
      </w:r>
      <w:r w:rsidR="008C3065" w:rsidRPr="008C3065">
        <w:rPr>
          <w:sz w:val="18"/>
          <w:szCs w:val="18"/>
          <w:lang w:eastAsia="fr-FR"/>
        </w:rPr>
        <w:t>UMR 8516 CNRS</w:t>
      </w:r>
      <w:r w:rsidR="008C3065">
        <w:rPr>
          <w:sz w:val="18"/>
          <w:szCs w:val="18"/>
          <w:lang w:eastAsia="fr-FR"/>
        </w:rPr>
        <w:t>-</w:t>
      </w:r>
      <w:r w:rsidR="008C3065" w:rsidRPr="008C3065">
        <w:rPr>
          <w:sz w:val="18"/>
          <w:szCs w:val="18"/>
          <w:lang w:eastAsia="fr-FR"/>
        </w:rPr>
        <w:t>Université de Lille</w:t>
      </w:r>
      <w:r w:rsidR="008C3065">
        <w:rPr>
          <w:sz w:val="18"/>
          <w:szCs w:val="18"/>
          <w:lang w:eastAsia="fr-FR"/>
        </w:rPr>
        <w:t>, Lille</w:t>
      </w:r>
      <w:r>
        <w:rPr>
          <w:sz w:val="18"/>
          <w:szCs w:val="18"/>
          <w:lang w:val="en-US" w:eastAsia="fr-FR"/>
        </w:rPr>
        <w:t xml:space="preserve"> France</w:t>
      </w:r>
    </w:p>
    <w:p w14:paraId="34934EEF" w14:textId="77777777" w:rsidR="00A715EA" w:rsidRDefault="00A715EA">
      <w:pPr>
        <w:spacing w:after="0"/>
        <w:jc w:val="both"/>
        <w:rPr>
          <w:lang w:val="en-US" w:eastAsia="fr-FR"/>
        </w:rPr>
      </w:pPr>
    </w:p>
    <w:p w14:paraId="6F70C9E0" w14:textId="77777777" w:rsidR="00A715EA" w:rsidRDefault="00A715EA">
      <w:pPr>
        <w:jc w:val="both"/>
        <w:rPr>
          <w:lang w:val="en-US"/>
        </w:rPr>
      </w:pPr>
    </w:p>
    <w:p w14:paraId="54FD8B0A" w14:textId="77777777" w:rsidR="00A715EA" w:rsidRDefault="00736FC2">
      <w:pPr>
        <w:spacing w:after="0"/>
        <w:rPr>
          <w:b/>
          <w:lang w:val="en-US"/>
        </w:rPr>
      </w:pPr>
      <w:r>
        <w:rPr>
          <w:rStyle w:val="q4iawc"/>
          <w:b/>
          <w:lang w:val="en-US"/>
        </w:rPr>
        <w:t xml:space="preserve">S1: </w:t>
      </w:r>
      <w:r w:rsidR="00963389">
        <w:rPr>
          <w:b/>
          <w:lang w:val="en-US"/>
        </w:rPr>
        <w:t>Nanocrystal</w:t>
      </w:r>
      <w:r>
        <w:rPr>
          <w:b/>
          <w:lang w:val="en-US"/>
        </w:rPr>
        <w:t xml:space="preserve"> synthesis</w:t>
      </w:r>
    </w:p>
    <w:p w14:paraId="1DCBD16E" w14:textId="6B4F4BAC" w:rsidR="00A715EA" w:rsidRDefault="00736FC2">
      <w:pPr>
        <w:spacing w:after="0"/>
        <w:jc w:val="both"/>
        <w:rPr>
          <w:lang w:val="en-US"/>
        </w:rPr>
      </w:pPr>
      <w:r>
        <w:rPr>
          <w:lang w:val="en-US"/>
        </w:rPr>
        <w:t>The synt</w:t>
      </w:r>
      <w:r w:rsidR="00963389">
        <w:rPr>
          <w:lang w:val="en-US"/>
        </w:rPr>
        <w:t xml:space="preserve">hesis of the nanocrystals </w:t>
      </w:r>
      <w:r>
        <w:rPr>
          <w:lang w:val="en-US"/>
        </w:rPr>
        <w:t xml:space="preserve">was performed in two steps. First, the </w:t>
      </w:r>
      <w:proofErr w:type="spellStart"/>
      <w:r>
        <w:rPr>
          <w:lang w:val="en-US"/>
        </w:rPr>
        <w:t>CdSe</w:t>
      </w:r>
      <w:proofErr w:type="spellEnd"/>
      <w:r>
        <w:rPr>
          <w:lang w:val="en-US"/>
        </w:rPr>
        <w:t xml:space="preserve"> cores were obtained following the "Cao" method</w:t>
      </w:r>
      <w:r>
        <w:rPr>
          <w:vertAlign w:val="superscript"/>
          <w:lang w:val="en-US"/>
        </w:rPr>
        <w:t>1</w:t>
      </w:r>
      <w:r>
        <w:rPr>
          <w:lang w:val="en-US"/>
        </w:rPr>
        <w:t xml:space="preserve">. The estimation of the average core size and the concentration of the colloidal solution was obtained from the absorption spectrum of a diluted solution (10 </w:t>
      </w:r>
      <w:r>
        <w:rPr>
          <w:rFonts w:cstheme="minorHAnsi"/>
          <w:lang w:val="en-US"/>
        </w:rPr>
        <w:t>µ</w:t>
      </w:r>
      <w:r>
        <w:rPr>
          <w:lang w:val="en-US"/>
        </w:rPr>
        <w:t>L in 3 mL of n-hexane), following</w:t>
      </w:r>
      <w:r>
        <w:rPr>
          <w:vertAlign w:val="superscript"/>
          <w:lang w:val="en-US"/>
        </w:rPr>
        <w:t>2-3</w:t>
      </w:r>
      <w:r>
        <w:rPr>
          <w:lang w:val="en-US"/>
        </w:rPr>
        <w:t xml:space="preserve">, to find: R cores = 1,45 nm and C = 25,6 </w:t>
      </w:r>
      <w:r>
        <w:rPr>
          <w:rFonts w:cstheme="minorHAnsi"/>
          <w:lang w:val="en-US"/>
        </w:rPr>
        <w:t>µ</w:t>
      </w:r>
      <w:r>
        <w:rPr>
          <w:lang w:val="en-US"/>
        </w:rPr>
        <w:t xml:space="preserve">M. From </w:t>
      </w:r>
      <w:proofErr w:type="gramStart"/>
      <w:r>
        <w:rPr>
          <w:lang w:val="en-US"/>
        </w:rPr>
        <w:t>these</w:t>
      </w:r>
      <w:proofErr w:type="gramEnd"/>
      <w:r>
        <w:rPr>
          <w:lang w:val="en-US"/>
        </w:rPr>
        <w:t xml:space="preserve"> data, shell growth was performed via the SILAR method and the resulting solution characterized in absorption and photoluminescence</w:t>
      </w:r>
      <w:r>
        <w:rPr>
          <w:vertAlign w:val="superscript"/>
          <w:lang w:val="en-US"/>
        </w:rPr>
        <w:t>4-5</w:t>
      </w:r>
      <w:r>
        <w:rPr>
          <w:lang w:val="en-US"/>
        </w:rPr>
        <w:t xml:space="preserve">. The resulting NCs have oleic acid (OA) ligands, solubilized in n-hexane. Extinction coefficient from the core/shell structures at 350 nm was 1,72 </w:t>
      </w:r>
      <w:r>
        <w:rPr>
          <w:rStyle w:val="whyltd"/>
          <w:lang w:val="en-US"/>
        </w:rPr>
        <w:t>× 10</w:t>
      </w:r>
      <w:r>
        <w:rPr>
          <w:rStyle w:val="whyltd"/>
          <w:vertAlign w:val="superscript"/>
          <w:lang w:val="en-US"/>
        </w:rPr>
        <w:t>6</w:t>
      </w:r>
      <w:r>
        <w:rPr>
          <w:lang w:val="en-US"/>
        </w:rPr>
        <w:t xml:space="preserve"> M</w:t>
      </w:r>
      <w:r>
        <w:rPr>
          <w:vertAlign w:val="superscript"/>
          <w:lang w:val="en-US"/>
        </w:rPr>
        <w:t>-1</w:t>
      </w:r>
      <w:r>
        <w:rPr>
          <w:lang w:val="en-US"/>
        </w:rPr>
        <w:t>cm</w:t>
      </w:r>
      <w:r>
        <w:rPr>
          <w:vertAlign w:val="superscript"/>
          <w:lang w:val="en-US"/>
        </w:rPr>
        <w:t>-1</w:t>
      </w:r>
      <w:r>
        <w:rPr>
          <w:lang w:val="en-US"/>
        </w:rPr>
        <w:t>, estimated through the absorption spectrum under the assumption of conserved concentration between core &amp; core/shell solutions.</w:t>
      </w:r>
    </w:p>
    <w:p w14:paraId="2F2E37C9" w14:textId="7DD2B74B" w:rsidR="00A715EA" w:rsidRDefault="00736FC2">
      <w:pPr>
        <w:jc w:val="both"/>
        <w:rPr>
          <w:rStyle w:val="q4iawc"/>
          <w:b/>
          <w:color w:val="2E74B5" w:themeColor="accent1" w:themeShade="BF"/>
          <w:lang w:val="en-US"/>
        </w:rPr>
      </w:pPr>
      <w:r>
        <w:rPr>
          <w:lang w:val="en-US"/>
        </w:rPr>
        <w:t xml:space="preserve">One quarter of the NCs synthesis (2,5 mL) are introduced into a 250 mL </w:t>
      </w:r>
      <w:proofErr w:type="spellStart"/>
      <w:r>
        <w:rPr>
          <w:lang w:val="en-US"/>
        </w:rPr>
        <w:t>tricol</w:t>
      </w:r>
      <w:proofErr w:type="spellEnd"/>
      <w:r>
        <w:rPr>
          <w:lang w:val="en-US"/>
        </w:rPr>
        <w:t xml:space="preserve">, with 10 g of </w:t>
      </w:r>
      <w:proofErr w:type="spellStart"/>
      <w:r>
        <w:rPr>
          <w:lang w:val="en-US"/>
        </w:rPr>
        <w:t>trioctylphosphine</w:t>
      </w:r>
      <w:proofErr w:type="spellEnd"/>
      <w:r>
        <w:rPr>
          <w:lang w:val="en-US"/>
        </w:rPr>
        <w:t xml:space="preserve"> oxide (TOPO) and 5 mL of </w:t>
      </w:r>
      <w:proofErr w:type="spellStart"/>
      <w:r>
        <w:rPr>
          <w:lang w:val="en-US"/>
        </w:rPr>
        <w:t>tricoctylphosphine</w:t>
      </w:r>
      <w:proofErr w:type="spellEnd"/>
      <w:r>
        <w:rPr>
          <w:lang w:val="en-US"/>
        </w:rPr>
        <w:t xml:space="preserve"> (TOP). The whole solution is heated under stirring until 70°C is reached, which melts the TOPO. The contents of the </w:t>
      </w:r>
      <w:proofErr w:type="spellStart"/>
      <w:r>
        <w:rPr>
          <w:lang w:val="en-US"/>
        </w:rPr>
        <w:t>tricol</w:t>
      </w:r>
      <w:proofErr w:type="spellEnd"/>
      <w:r>
        <w:rPr>
          <w:lang w:val="en-US"/>
        </w:rPr>
        <w:t xml:space="preserve"> are then degassed to evacuate the hexane and oxygen, before passing under argon atmosphere. The mixture is left under stirring for 1 h at 70°C. The resulting solution is then separated </w:t>
      </w:r>
      <w:proofErr w:type="gramStart"/>
      <w:r>
        <w:rPr>
          <w:lang w:val="en-US"/>
        </w:rPr>
        <w:t>in</w:t>
      </w:r>
      <w:proofErr w:type="gramEnd"/>
      <w:r>
        <w:rPr>
          <w:lang w:val="en-US"/>
        </w:rPr>
        <w:t xml:space="preserve"> 4 Falcon tubes of 50 mL and completed with ethanol. After centrifugation at 10 000 RCF for 5 min, the supernatant can be discarded and the precipitated </w:t>
      </w:r>
      <w:proofErr w:type="gramStart"/>
      <w:r>
        <w:rPr>
          <w:lang w:val="en-US"/>
        </w:rPr>
        <w:t>NCs[</w:t>
      </w:r>
      <w:proofErr w:type="gramEnd"/>
      <w:r>
        <w:rPr>
          <w:lang w:val="en-US"/>
        </w:rPr>
        <w:t xml:space="preserve">TOP/TOPO] are </w:t>
      </w:r>
      <w:proofErr w:type="spellStart"/>
      <w:r>
        <w:rPr>
          <w:lang w:val="en-US"/>
        </w:rPr>
        <w:t>resolubili</w:t>
      </w:r>
      <w:r w:rsidR="00C83282">
        <w:rPr>
          <w:lang w:val="en-US"/>
        </w:rPr>
        <w:t>s</w:t>
      </w:r>
      <w:r>
        <w:rPr>
          <w:lang w:val="en-US"/>
        </w:rPr>
        <w:t>ed</w:t>
      </w:r>
      <w:proofErr w:type="spellEnd"/>
      <w:r>
        <w:rPr>
          <w:lang w:val="en-US"/>
        </w:rPr>
        <w:t xml:space="preserve"> in toluene.</w:t>
      </w:r>
      <w:r w:rsidR="00C83282">
        <w:rPr>
          <w:lang w:val="en-US"/>
        </w:rPr>
        <w:t xml:space="preserve"> T</w:t>
      </w:r>
      <w:r w:rsidR="00C83282" w:rsidRPr="00C83282">
        <w:rPr>
          <w:lang w:val="en-US"/>
        </w:rPr>
        <w:t xml:space="preserve">he </w:t>
      </w:r>
      <w:proofErr w:type="spellStart"/>
      <w:r w:rsidR="00C83282" w:rsidRPr="00C83282">
        <w:rPr>
          <w:lang w:val="en-US"/>
        </w:rPr>
        <w:t>resolubli</w:t>
      </w:r>
      <w:r w:rsidR="00C83282">
        <w:rPr>
          <w:lang w:val="en-US"/>
        </w:rPr>
        <w:t>s</w:t>
      </w:r>
      <w:r w:rsidR="00C83282" w:rsidRPr="00C83282">
        <w:rPr>
          <w:lang w:val="en-US"/>
        </w:rPr>
        <w:t>ation</w:t>
      </w:r>
      <w:proofErr w:type="spellEnd"/>
      <w:r w:rsidR="00C83282" w:rsidRPr="00C83282">
        <w:rPr>
          <w:lang w:val="en-US"/>
        </w:rPr>
        <w:t xml:space="preserve"> in toluene is done with 2,5 mL to keep the concentration as unchanged as possible</w:t>
      </w:r>
      <w:r w:rsidR="00C83282">
        <w:rPr>
          <w:lang w:val="en-US"/>
        </w:rPr>
        <w:t>.</w:t>
      </w:r>
      <w:r>
        <w:rPr>
          <w:lang w:val="en-US"/>
        </w:rPr>
        <w:t xml:space="preserve"> Optical properties in </w:t>
      </w:r>
      <w:proofErr w:type="gramStart"/>
      <w:r>
        <w:rPr>
          <w:lang w:val="en-US"/>
        </w:rPr>
        <w:t>solution</w:t>
      </w:r>
      <w:proofErr w:type="gramEnd"/>
      <w:r>
        <w:rPr>
          <w:lang w:val="en-US"/>
        </w:rPr>
        <w:t xml:space="preserve"> are typically unchanged for this kind of ligand exchange.</w:t>
      </w:r>
      <w:r w:rsidR="00C83282" w:rsidRPr="00C83282">
        <w:t xml:space="preserve"> </w:t>
      </w:r>
    </w:p>
    <w:p w14:paraId="1B1EF728" w14:textId="77777777" w:rsidR="00A715EA" w:rsidRDefault="00A715EA">
      <w:pPr>
        <w:jc w:val="both"/>
        <w:rPr>
          <w:rStyle w:val="q4iawc"/>
          <w:b/>
          <w:color w:val="2E74B5" w:themeColor="accent1" w:themeShade="BF"/>
          <w:lang w:val="en-US"/>
        </w:rPr>
      </w:pPr>
    </w:p>
    <w:p w14:paraId="0DFC8AE8" w14:textId="77777777" w:rsidR="00A715EA" w:rsidRDefault="00A715EA">
      <w:pPr>
        <w:jc w:val="both"/>
        <w:rPr>
          <w:rStyle w:val="q4iawc"/>
          <w:b/>
          <w:color w:val="2E74B5" w:themeColor="accent1" w:themeShade="BF"/>
          <w:lang w:val="en-US"/>
        </w:rPr>
      </w:pPr>
    </w:p>
    <w:p w14:paraId="2C69A3CD" w14:textId="77777777" w:rsidR="00A715EA" w:rsidRDefault="00A715EA">
      <w:pPr>
        <w:jc w:val="both"/>
        <w:rPr>
          <w:rStyle w:val="q4iawc"/>
          <w:b/>
          <w:color w:val="2E74B5" w:themeColor="accent1" w:themeShade="BF"/>
          <w:lang w:val="en-US"/>
        </w:rPr>
      </w:pPr>
    </w:p>
    <w:p w14:paraId="6BBDA7D1" w14:textId="77777777" w:rsidR="00A715EA" w:rsidRDefault="00A715EA">
      <w:pPr>
        <w:jc w:val="both"/>
        <w:rPr>
          <w:rStyle w:val="q4iawc"/>
          <w:b/>
          <w:color w:val="2E74B5" w:themeColor="accent1" w:themeShade="BF"/>
          <w:lang w:val="en-US"/>
        </w:rPr>
      </w:pPr>
    </w:p>
    <w:p w14:paraId="65DBED8B" w14:textId="77777777" w:rsidR="00A715EA" w:rsidRDefault="00A715EA">
      <w:pPr>
        <w:jc w:val="both"/>
        <w:rPr>
          <w:rStyle w:val="q4iawc"/>
          <w:b/>
          <w:color w:val="2E74B5" w:themeColor="accent1" w:themeShade="BF"/>
          <w:lang w:val="en-US"/>
        </w:rPr>
      </w:pPr>
    </w:p>
    <w:p w14:paraId="05CB9510" w14:textId="77777777" w:rsidR="004C0FF1" w:rsidRDefault="004C0FF1">
      <w:pPr>
        <w:jc w:val="both"/>
        <w:rPr>
          <w:b/>
          <w:lang w:val="en-US"/>
        </w:rPr>
      </w:pPr>
    </w:p>
    <w:p w14:paraId="6FFCEBBB" w14:textId="77777777" w:rsidR="00C83282" w:rsidRDefault="00C83282">
      <w:pPr>
        <w:jc w:val="both"/>
        <w:rPr>
          <w:b/>
          <w:lang w:val="en-US"/>
        </w:rPr>
      </w:pPr>
    </w:p>
    <w:p w14:paraId="622181C9" w14:textId="0135BE20" w:rsidR="00A715EA" w:rsidRDefault="00CD73D4">
      <w:pPr>
        <w:jc w:val="both"/>
        <w:rPr>
          <w:b/>
          <w:lang w:val="en-US"/>
        </w:rPr>
      </w:pPr>
      <w:r>
        <w:rPr>
          <w:b/>
          <w:lang w:val="en-US"/>
        </w:rPr>
        <w:lastRenderedPageBreak/>
        <w:t>S</w:t>
      </w:r>
      <w:r w:rsidR="00127401">
        <w:rPr>
          <w:b/>
          <w:lang w:val="en-US"/>
        </w:rPr>
        <w:t>2</w:t>
      </w:r>
      <w:r w:rsidR="00736FC2">
        <w:rPr>
          <w:b/>
          <w:lang w:val="en-US"/>
        </w:rPr>
        <w:t>: Microscope and AFM images of the TiO</w:t>
      </w:r>
      <w:r w:rsidR="00736FC2">
        <w:rPr>
          <w:b/>
          <w:vertAlign w:val="subscript"/>
          <w:lang w:val="en-US"/>
        </w:rPr>
        <w:t xml:space="preserve">2 </w:t>
      </w:r>
      <w:r w:rsidR="00736FC2">
        <w:rPr>
          <w:b/>
          <w:lang w:val="en-US"/>
        </w:rPr>
        <w:t>waveguides</w:t>
      </w:r>
    </w:p>
    <w:p w14:paraId="3A7CEF09" w14:textId="77777777" w:rsidR="00A715EA" w:rsidRDefault="00736FC2">
      <w:pPr>
        <w:keepNext/>
        <w:jc w:val="center"/>
      </w:pPr>
      <w:r>
        <w:rPr>
          <w:noProof/>
          <w:lang w:eastAsia="fr-FR"/>
        </w:rPr>
        <w:drawing>
          <wp:inline distT="0" distB="0" distL="0" distR="0" wp14:anchorId="16E9B4F1" wp14:editId="1ECF316F">
            <wp:extent cx="5253990" cy="1917700"/>
            <wp:effectExtent l="0" t="0" r="0" b="0"/>
            <wp:docPr id="1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1"/>
                    <pic:cNvPicPr>
                      <a:picLocks noChangeAspect="1" noChangeArrowheads="1"/>
                    </pic:cNvPicPr>
                  </pic:nvPicPr>
                  <pic:blipFill>
                    <a:blip r:embed="rId8"/>
                    <a:srcRect r="24312" b="80465"/>
                    <a:stretch>
                      <a:fillRect/>
                    </a:stretch>
                  </pic:blipFill>
                  <pic:spPr bwMode="auto">
                    <a:xfrm>
                      <a:off x="0" y="0"/>
                      <a:ext cx="5253990" cy="1917700"/>
                    </a:xfrm>
                    <a:prstGeom prst="rect">
                      <a:avLst/>
                    </a:prstGeom>
                  </pic:spPr>
                </pic:pic>
              </a:graphicData>
            </a:graphic>
          </wp:inline>
        </w:drawing>
      </w:r>
    </w:p>
    <w:p w14:paraId="65EAFF23" w14:textId="55B419CB" w:rsidR="00A715EA" w:rsidRDefault="00736FC2">
      <w:pPr>
        <w:pStyle w:val="Lgende"/>
        <w:jc w:val="center"/>
        <w:rPr>
          <w:sz w:val="28"/>
          <w:lang w:val="en-US"/>
        </w:rPr>
      </w:pPr>
      <w:r>
        <w:rPr>
          <w:lang w:val="en-US"/>
        </w:rPr>
        <w:t>Figure S</w:t>
      </w:r>
      <w:r w:rsidR="008B2404">
        <w:rPr>
          <w:lang w:val="en-US"/>
        </w:rPr>
        <w:t>2</w:t>
      </w:r>
      <w:r>
        <w:rPr>
          <w:lang w:val="en-US"/>
        </w:rPr>
        <w:t>-</w:t>
      </w:r>
      <w:r w:rsidR="00127401">
        <w:rPr>
          <w:lang w:val="en-US"/>
        </w:rPr>
        <w:t>1</w:t>
      </w:r>
      <w:r>
        <w:rPr>
          <w:lang w:val="en-US"/>
        </w:rPr>
        <w:t>: Bright field image of the sample with TiO</w:t>
      </w:r>
      <w:r>
        <w:rPr>
          <w:vertAlign w:val="subscript"/>
          <w:lang w:val="en-US"/>
        </w:rPr>
        <w:t>2</w:t>
      </w:r>
      <w:r>
        <w:rPr>
          <w:lang w:val="en-US"/>
        </w:rPr>
        <w:t xml:space="preserve"> structure on the IEWs.</w:t>
      </w:r>
    </w:p>
    <w:p w14:paraId="034ADDE0" w14:textId="6C08668B" w:rsidR="00A715EA" w:rsidRDefault="00736FC2">
      <w:pPr>
        <w:jc w:val="both"/>
        <w:rPr>
          <w:lang w:val="en-US"/>
        </w:rPr>
      </w:pPr>
      <w:r>
        <w:rPr>
          <w:lang w:val="en-US"/>
        </w:rPr>
        <w:t>Figure S</w:t>
      </w:r>
      <w:r w:rsidR="00BB5A95">
        <w:rPr>
          <w:lang w:val="en-US"/>
        </w:rPr>
        <w:t>2</w:t>
      </w:r>
      <w:r>
        <w:rPr>
          <w:lang w:val="en-US"/>
        </w:rPr>
        <w:t>-</w:t>
      </w:r>
      <w:r w:rsidR="00127401">
        <w:rPr>
          <w:lang w:val="en-US"/>
        </w:rPr>
        <w:t>1</w:t>
      </w:r>
      <w:r>
        <w:rPr>
          <w:lang w:val="en-US"/>
        </w:rPr>
        <w:t xml:space="preserve"> presents a bright field image of the sample, after fabrication, with TiO</w:t>
      </w:r>
      <w:r>
        <w:rPr>
          <w:vertAlign w:val="subscript"/>
          <w:lang w:val="en-US"/>
        </w:rPr>
        <w:t>2</w:t>
      </w:r>
      <w:r>
        <w:rPr>
          <w:lang w:val="en-US"/>
        </w:rPr>
        <w:t xml:space="preserve"> structures on top of the IEWs. After NCs functionalization, we carried out an Atomic Force Microscope (AFM) study on the sample at the level of the TiO</w:t>
      </w:r>
      <w:r>
        <w:rPr>
          <w:vertAlign w:val="subscript"/>
          <w:lang w:val="en-US"/>
        </w:rPr>
        <w:t>2</w:t>
      </w:r>
      <w:r>
        <w:rPr>
          <w:lang w:val="en-US"/>
        </w:rPr>
        <w:t xml:space="preserve"> structures to know their dimension’s parameters (</w:t>
      </w:r>
      <w:r w:rsidR="00C32144">
        <w:rPr>
          <w:lang w:val="en-US"/>
        </w:rPr>
        <w:t>Fi</w:t>
      </w:r>
      <w:r>
        <w:rPr>
          <w:lang w:val="en-US"/>
        </w:rPr>
        <w:t>gure</w:t>
      </w:r>
      <w:r w:rsidR="00C32144">
        <w:rPr>
          <w:lang w:val="en-US"/>
        </w:rPr>
        <w:t>s</w:t>
      </w:r>
      <w:r>
        <w:rPr>
          <w:lang w:val="en-US"/>
        </w:rPr>
        <w:t xml:space="preserve"> S</w:t>
      </w:r>
      <w:r w:rsidR="00C32144">
        <w:rPr>
          <w:lang w:val="en-US"/>
        </w:rPr>
        <w:t>2</w:t>
      </w:r>
      <w:r>
        <w:rPr>
          <w:lang w:val="en-US"/>
        </w:rPr>
        <w:t>-</w:t>
      </w:r>
      <w:r w:rsidR="00127401">
        <w:rPr>
          <w:lang w:val="en-US"/>
        </w:rPr>
        <w:t>2</w:t>
      </w:r>
      <w:r w:rsidR="00C32144">
        <w:rPr>
          <w:lang w:val="en-US"/>
        </w:rPr>
        <w:t>a &amp; S2-2b</w:t>
      </w:r>
      <w:r>
        <w:rPr>
          <w:lang w:val="en-US"/>
        </w:rPr>
        <w:t>).</w:t>
      </w:r>
    </w:p>
    <w:p w14:paraId="6A2E8D06" w14:textId="77777777" w:rsidR="00A715EA" w:rsidRDefault="00736FC2">
      <w:pPr>
        <w:keepNext/>
        <w:jc w:val="center"/>
      </w:pPr>
      <w:r>
        <w:rPr>
          <w:noProof/>
          <w:lang w:eastAsia="fr-FR"/>
        </w:rPr>
        <w:drawing>
          <wp:inline distT="0" distB="0" distL="0" distR="0" wp14:anchorId="0DA8256D" wp14:editId="06B07F9F">
            <wp:extent cx="5313045" cy="2189480"/>
            <wp:effectExtent l="0" t="0" r="0" b="0"/>
            <wp:docPr id="17"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12"/>
                    <pic:cNvPicPr>
                      <a:picLocks noChangeAspect="1" noChangeArrowheads="1"/>
                    </pic:cNvPicPr>
                  </pic:nvPicPr>
                  <pic:blipFill>
                    <a:blip r:embed="rId9"/>
                    <a:srcRect t="6510"/>
                    <a:stretch>
                      <a:fillRect/>
                    </a:stretch>
                  </pic:blipFill>
                  <pic:spPr bwMode="auto">
                    <a:xfrm>
                      <a:off x="0" y="0"/>
                      <a:ext cx="5313045" cy="2189480"/>
                    </a:xfrm>
                    <a:prstGeom prst="rect">
                      <a:avLst/>
                    </a:prstGeom>
                  </pic:spPr>
                </pic:pic>
              </a:graphicData>
            </a:graphic>
          </wp:inline>
        </w:drawing>
      </w:r>
    </w:p>
    <w:p w14:paraId="16E5174B" w14:textId="61ECD4FF" w:rsidR="00A715EA" w:rsidRDefault="00736FC2">
      <w:pPr>
        <w:pStyle w:val="Lgende"/>
        <w:jc w:val="center"/>
        <w:rPr>
          <w:lang w:val="en-US"/>
        </w:rPr>
      </w:pPr>
      <w:r>
        <w:rPr>
          <w:lang w:val="en-US"/>
        </w:rPr>
        <w:t xml:space="preserve">Figure </w:t>
      </w:r>
      <w:r w:rsidRPr="00736FC2">
        <w:rPr>
          <w:lang w:val="en-US"/>
        </w:rPr>
        <w:t>S</w:t>
      </w:r>
      <w:r w:rsidR="008B2404">
        <w:rPr>
          <w:lang w:val="en-US"/>
        </w:rPr>
        <w:t>2</w:t>
      </w:r>
      <w:r w:rsidRPr="00736FC2">
        <w:rPr>
          <w:lang w:val="en-US"/>
        </w:rPr>
        <w:t>-</w:t>
      </w:r>
      <w:r w:rsidR="00127401">
        <w:rPr>
          <w:lang w:val="en-US"/>
        </w:rPr>
        <w:t>2</w:t>
      </w:r>
      <w:r>
        <w:rPr>
          <w:lang w:val="en-US"/>
        </w:rPr>
        <w:t>:</w:t>
      </w:r>
      <w:r>
        <w:rPr>
          <w:color w:val="808080" w:themeColor="background1" w:themeShade="80"/>
          <w:lang w:val="en-US"/>
        </w:rPr>
        <w:t xml:space="preserve"> </w:t>
      </w:r>
      <w:r w:rsidR="00C32144">
        <w:rPr>
          <w:color w:val="808080" w:themeColor="background1" w:themeShade="80"/>
          <w:lang w:val="en-US"/>
        </w:rPr>
        <w:t>S2-2</w:t>
      </w:r>
      <w:r>
        <w:rPr>
          <w:color w:val="808080" w:themeColor="background1" w:themeShade="80"/>
          <w:lang w:val="en-US"/>
        </w:rPr>
        <w:t>a) AFM Image</w:t>
      </w:r>
      <w:r w:rsidR="00C32144">
        <w:rPr>
          <w:color w:val="808080" w:themeColor="background1" w:themeShade="80"/>
          <w:lang w:val="en-US"/>
        </w:rPr>
        <w:t>, S2-2</w:t>
      </w:r>
      <w:r>
        <w:rPr>
          <w:color w:val="808080" w:themeColor="background1" w:themeShade="80"/>
          <w:lang w:val="en-US"/>
        </w:rPr>
        <w:t>b) TiO</w:t>
      </w:r>
      <w:r>
        <w:rPr>
          <w:color w:val="808080" w:themeColor="background1" w:themeShade="80"/>
          <w:vertAlign w:val="subscript"/>
          <w:lang w:val="en-US"/>
        </w:rPr>
        <w:t>2</w:t>
      </w:r>
      <w:r>
        <w:rPr>
          <w:color w:val="808080" w:themeColor="background1" w:themeShade="80"/>
          <w:lang w:val="en-US"/>
        </w:rPr>
        <w:t xml:space="preserve"> structure profile.</w:t>
      </w:r>
    </w:p>
    <w:p w14:paraId="6DBB693E" w14:textId="77777777" w:rsidR="00A715EA" w:rsidRDefault="00736FC2">
      <w:pPr>
        <w:jc w:val="both"/>
        <w:rPr>
          <w:rStyle w:val="jlqj4b"/>
          <w:lang w:val="en-US"/>
        </w:rPr>
      </w:pPr>
      <w:r>
        <w:rPr>
          <w:rStyle w:val="jlqj4b"/>
          <w:lang w:val="en-US"/>
        </w:rPr>
        <w:t>Five TiO</w:t>
      </w:r>
      <w:r>
        <w:rPr>
          <w:rStyle w:val="jlqj4b"/>
          <w:vertAlign w:val="subscript"/>
          <w:lang w:val="en-US"/>
        </w:rPr>
        <w:t>2</w:t>
      </w:r>
      <w:r>
        <w:rPr>
          <w:rStyle w:val="jlqj4b"/>
          <w:lang w:val="en-US"/>
        </w:rPr>
        <w:t xml:space="preserve"> structures have been studied to have an </w:t>
      </w:r>
      <w:proofErr w:type="gramStart"/>
      <w:r>
        <w:rPr>
          <w:rStyle w:val="jlqj4b"/>
          <w:lang w:val="en-US"/>
        </w:rPr>
        <w:t>average of the</w:t>
      </w:r>
      <w:proofErr w:type="gramEnd"/>
      <w:r>
        <w:rPr>
          <w:rStyle w:val="jlqj4b"/>
          <w:lang w:val="en-US"/>
        </w:rPr>
        <w:t xml:space="preserve"> height, length and width parameters. In the following table, the parameters obtained are compared with the theoretical parameters.</w:t>
      </w:r>
    </w:p>
    <w:tbl>
      <w:tblPr>
        <w:tblStyle w:val="Grilledutableau"/>
        <w:tblW w:w="9062" w:type="dxa"/>
        <w:tblLayout w:type="fixed"/>
        <w:tblLook w:val="04A0" w:firstRow="1" w:lastRow="0" w:firstColumn="1" w:lastColumn="0" w:noHBand="0" w:noVBand="1"/>
      </w:tblPr>
      <w:tblGrid>
        <w:gridCol w:w="1696"/>
        <w:gridCol w:w="3828"/>
        <w:gridCol w:w="3538"/>
      </w:tblGrid>
      <w:tr w:rsidR="00A715EA" w14:paraId="70E0071D" w14:textId="77777777">
        <w:tc>
          <w:tcPr>
            <w:tcW w:w="1696" w:type="dxa"/>
          </w:tcPr>
          <w:p w14:paraId="49C156ED" w14:textId="77777777" w:rsidR="00A715EA" w:rsidRDefault="00A715EA">
            <w:pPr>
              <w:widowControl w:val="0"/>
              <w:spacing w:after="0" w:line="240" w:lineRule="auto"/>
              <w:jc w:val="center"/>
              <w:rPr>
                <w:lang w:val="en-US"/>
              </w:rPr>
            </w:pPr>
          </w:p>
        </w:tc>
        <w:tc>
          <w:tcPr>
            <w:tcW w:w="3828" w:type="dxa"/>
            <w:vAlign w:val="center"/>
          </w:tcPr>
          <w:p w14:paraId="19308F0D" w14:textId="77777777" w:rsidR="00A715EA" w:rsidRDefault="00736FC2">
            <w:pPr>
              <w:widowControl w:val="0"/>
              <w:spacing w:after="0" w:line="240" w:lineRule="auto"/>
              <w:jc w:val="center"/>
              <w:rPr>
                <w:b/>
                <w:lang w:val="en-US"/>
              </w:rPr>
            </w:pPr>
            <w:r>
              <w:rPr>
                <w:rFonts w:eastAsia="Calibri" w:cs="Arial"/>
                <w:b/>
                <w:lang w:val="en-US"/>
              </w:rPr>
              <w:t>Theoretical parameters</w:t>
            </w:r>
          </w:p>
        </w:tc>
        <w:tc>
          <w:tcPr>
            <w:tcW w:w="3538" w:type="dxa"/>
            <w:vAlign w:val="center"/>
          </w:tcPr>
          <w:p w14:paraId="76ECAE1A" w14:textId="77777777" w:rsidR="00A715EA" w:rsidRDefault="00736FC2">
            <w:pPr>
              <w:widowControl w:val="0"/>
              <w:spacing w:after="0" w:line="240" w:lineRule="auto"/>
              <w:jc w:val="center"/>
              <w:rPr>
                <w:b/>
                <w:lang w:val="en-US"/>
              </w:rPr>
            </w:pPr>
            <w:r>
              <w:rPr>
                <w:rFonts w:eastAsia="Calibri" w:cs="Arial"/>
                <w:b/>
                <w:lang w:val="en-US"/>
              </w:rPr>
              <w:t>Experimental parameters</w:t>
            </w:r>
          </w:p>
        </w:tc>
      </w:tr>
      <w:tr w:rsidR="00A715EA" w14:paraId="2396E236" w14:textId="77777777">
        <w:tc>
          <w:tcPr>
            <w:tcW w:w="1696" w:type="dxa"/>
          </w:tcPr>
          <w:p w14:paraId="5D7DE47C" w14:textId="77777777" w:rsidR="00A715EA" w:rsidRDefault="00736FC2">
            <w:pPr>
              <w:widowControl w:val="0"/>
              <w:spacing w:after="0" w:line="240" w:lineRule="auto"/>
              <w:jc w:val="center"/>
              <w:rPr>
                <w:lang w:val="en-US"/>
              </w:rPr>
            </w:pPr>
            <w:r>
              <w:rPr>
                <w:rFonts w:eastAsia="Calibri" w:cs="Arial"/>
                <w:lang w:val="en-US"/>
              </w:rPr>
              <w:t>Width (nm)</w:t>
            </w:r>
          </w:p>
        </w:tc>
        <w:tc>
          <w:tcPr>
            <w:tcW w:w="3828" w:type="dxa"/>
          </w:tcPr>
          <w:p w14:paraId="41B35A1D" w14:textId="77777777" w:rsidR="00A715EA" w:rsidRDefault="00736FC2">
            <w:pPr>
              <w:widowControl w:val="0"/>
              <w:spacing w:after="0" w:line="240" w:lineRule="auto"/>
              <w:jc w:val="center"/>
              <w:rPr>
                <w:lang w:val="en-US"/>
              </w:rPr>
            </w:pPr>
            <w:r>
              <w:rPr>
                <w:rFonts w:eastAsia="Calibri" w:cs="Arial"/>
                <w:lang w:val="en-US"/>
              </w:rPr>
              <w:t>190</w:t>
            </w:r>
          </w:p>
        </w:tc>
        <w:tc>
          <w:tcPr>
            <w:tcW w:w="3538" w:type="dxa"/>
          </w:tcPr>
          <w:p w14:paraId="1894E80C" w14:textId="77777777" w:rsidR="00A715EA" w:rsidRDefault="00736FC2">
            <w:pPr>
              <w:widowControl w:val="0"/>
              <w:spacing w:after="0" w:line="240" w:lineRule="auto"/>
              <w:jc w:val="center"/>
              <w:rPr>
                <w:lang w:val="en-US"/>
              </w:rPr>
            </w:pPr>
            <w:r>
              <w:rPr>
                <w:rFonts w:eastAsia="Calibri" w:cs="Arial"/>
                <w:lang w:val="en-US"/>
              </w:rPr>
              <w:t>205</w:t>
            </w:r>
            <m:oMath>
              <m:r>
                <w:rPr>
                  <w:rFonts w:ascii="Cambria Math" w:hAnsi="Cambria Math"/>
                </w:rPr>
                <m:t>±</m:t>
              </m:r>
            </m:oMath>
            <w:r>
              <w:rPr>
                <w:rFonts w:eastAsiaTheme="minorEastAsia" w:cs="Arial"/>
                <w:lang w:val="en-US"/>
              </w:rPr>
              <w:t>10</w:t>
            </w:r>
          </w:p>
        </w:tc>
      </w:tr>
      <w:tr w:rsidR="00A715EA" w14:paraId="6BBF902A" w14:textId="77777777">
        <w:tc>
          <w:tcPr>
            <w:tcW w:w="1696" w:type="dxa"/>
          </w:tcPr>
          <w:p w14:paraId="6E7100E4" w14:textId="77777777" w:rsidR="00A715EA" w:rsidRDefault="00736FC2">
            <w:pPr>
              <w:widowControl w:val="0"/>
              <w:spacing w:after="0" w:line="240" w:lineRule="auto"/>
              <w:jc w:val="center"/>
              <w:rPr>
                <w:lang w:val="en-US"/>
              </w:rPr>
            </w:pPr>
            <w:r>
              <w:rPr>
                <w:rFonts w:eastAsia="Calibri" w:cs="Arial"/>
                <w:lang w:val="en-US"/>
              </w:rPr>
              <w:t>Height (nm)</w:t>
            </w:r>
          </w:p>
        </w:tc>
        <w:tc>
          <w:tcPr>
            <w:tcW w:w="3828" w:type="dxa"/>
          </w:tcPr>
          <w:p w14:paraId="003C0B6A" w14:textId="77777777" w:rsidR="00A715EA" w:rsidRDefault="00736FC2">
            <w:pPr>
              <w:widowControl w:val="0"/>
              <w:spacing w:after="0" w:line="240" w:lineRule="auto"/>
              <w:jc w:val="center"/>
              <w:rPr>
                <w:lang w:val="en-US"/>
              </w:rPr>
            </w:pPr>
            <w:r>
              <w:rPr>
                <w:rFonts w:eastAsia="Calibri" w:cs="Arial"/>
                <w:lang w:val="en-US"/>
              </w:rPr>
              <w:t>175</w:t>
            </w:r>
          </w:p>
        </w:tc>
        <w:tc>
          <w:tcPr>
            <w:tcW w:w="3538" w:type="dxa"/>
          </w:tcPr>
          <w:p w14:paraId="1A8E9A3B" w14:textId="77777777" w:rsidR="00A715EA" w:rsidRDefault="00736FC2">
            <w:pPr>
              <w:widowControl w:val="0"/>
              <w:spacing w:after="0" w:line="240" w:lineRule="auto"/>
              <w:jc w:val="center"/>
              <w:rPr>
                <w:lang w:val="en-US"/>
              </w:rPr>
            </w:pPr>
            <w:r>
              <w:rPr>
                <w:rFonts w:eastAsia="Calibri" w:cs="Arial"/>
                <w:lang w:val="en-US"/>
              </w:rPr>
              <w:t>173.4</w:t>
            </w:r>
            <m:oMath>
              <m:r>
                <w:rPr>
                  <w:rFonts w:ascii="Cambria Math" w:hAnsi="Cambria Math"/>
                </w:rPr>
                <m:t>±</m:t>
              </m:r>
            </m:oMath>
            <w:r>
              <w:rPr>
                <w:rFonts w:eastAsiaTheme="minorEastAsia" w:cs="Arial"/>
                <w:lang w:val="en-US"/>
              </w:rPr>
              <w:t>5</w:t>
            </w:r>
          </w:p>
        </w:tc>
      </w:tr>
      <w:tr w:rsidR="00A715EA" w14:paraId="27FDEB1B" w14:textId="77777777">
        <w:tc>
          <w:tcPr>
            <w:tcW w:w="1696" w:type="dxa"/>
          </w:tcPr>
          <w:p w14:paraId="2F0A9573" w14:textId="77777777" w:rsidR="00A715EA" w:rsidRDefault="00736FC2">
            <w:pPr>
              <w:widowControl w:val="0"/>
              <w:spacing w:after="0" w:line="240" w:lineRule="auto"/>
              <w:jc w:val="center"/>
              <w:rPr>
                <w:lang w:val="en-US"/>
              </w:rPr>
            </w:pPr>
            <w:r>
              <w:rPr>
                <w:rFonts w:eastAsia="Calibri" w:cs="Arial"/>
                <w:lang w:val="en-US"/>
              </w:rPr>
              <w:t>Length (µm)</w:t>
            </w:r>
          </w:p>
        </w:tc>
        <w:tc>
          <w:tcPr>
            <w:tcW w:w="3828" w:type="dxa"/>
          </w:tcPr>
          <w:p w14:paraId="441421F0" w14:textId="77777777" w:rsidR="00A715EA" w:rsidRDefault="00736FC2">
            <w:pPr>
              <w:widowControl w:val="0"/>
              <w:spacing w:after="0" w:line="240" w:lineRule="auto"/>
              <w:jc w:val="center"/>
              <w:rPr>
                <w:lang w:val="en-US"/>
              </w:rPr>
            </w:pPr>
            <w:r>
              <w:rPr>
                <w:rFonts w:eastAsia="Calibri" w:cs="Arial"/>
                <w:lang w:val="en-US"/>
              </w:rPr>
              <w:t>35</w:t>
            </w:r>
          </w:p>
        </w:tc>
        <w:tc>
          <w:tcPr>
            <w:tcW w:w="3538" w:type="dxa"/>
          </w:tcPr>
          <w:p w14:paraId="5366C0C3" w14:textId="77777777" w:rsidR="00A715EA" w:rsidRDefault="00736FC2">
            <w:pPr>
              <w:widowControl w:val="0"/>
              <w:spacing w:after="0" w:line="240" w:lineRule="auto"/>
              <w:jc w:val="center"/>
              <w:rPr>
                <w:lang w:val="en-US"/>
              </w:rPr>
            </w:pPr>
            <w:r>
              <w:rPr>
                <w:rFonts w:eastAsia="Calibri" w:cs="Arial"/>
                <w:lang w:val="en-US"/>
              </w:rPr>
              <w:t>34.5</w:t>
            </w:r>
            <m:oMath>
              <m:r>
                <w:rPr>
                  <w:rFonts w:ascii="Cambria Math" w:hAnsi="Cambria Math"/>
                </w:rPr>
                <m:t>±</m:t>
              </m:r>
            </m:oMath>
            <w:r>
              <w:rPr>
                <w:rFonts w:eastAsiaTheme="minorEastAsia" w:cs="Arial"/>
                <w:lang w:val="en-US"/>
              </w:rPr>
              <w:t>5</w:t>
            </w:r>
          </w:p>
        </w:tc>
      </w:tr>
    </w:tbl>
    <w:p w14:paraId="533144B9" w14:textId="77777777" w:rsidR="00A715EA" w:rsidRDefault="00A715EA">
      <w:pPr>
        <w:jc w:val="both"/>
        <w:rPr>
          <w:rStyle w:val="jlqj4b"/>
          <w:lang w:val="en-US"/>
        </w:rPr>
      </w:pPr>
    </w:p>
    <w:p w14:paraId="6B526B19" w14:textId="220BCFFA" w:rsidR="00F21584" w:rsidRDefault="00736FC2" w:rsidP="00127401">
      <w:pPr>
        <w:jc w:val="both"/>
        <w:rPr>
          <w:rStyle w:val="jlqj4b"/>
          <w:lang w:val="en-US"/>
        </w:rPr>
      </w:pPr>
      <w:r>
        <w:rPr>
          <w:rStyle w:val="jlqj4b"/>
          <w:lang w:val="en-US"/>
        </w:rPr>
        <w:t>The values obtained via AFM are of the same order of magnitude as those theoretical.</w:t>
      </w:r>
    </w:p>
    <w:p w14:paraId="565D7379" w14:textId="77777777" w:rsidR="00127401" w:rsidRDefault="00127401" w:rsidP="00127401">
      <w:pPr>
        <w:jc w:val="both"/>
        <w:rPr>
          <w:rStyle w:val="jlqj4b"/>
          <w:b/>
          <w:lang w:val="en-US"/>
        </w:rPr>
      </w:pPr>
    </w:p>
    <w:p w14:paraId="53E3930B" w14:textId="77777777" w:rsidR="00F21584" w:rsidRDefault="00F21584">
      <w:pPr>
        <w:spacing w:after="0"/>
        <w:jc w:val="both"/>
        <w:rPr>
          <w:rStyle w:val="jlqj4b"/>
          <w:b/>
          <w:lang w:val="en-US"/>
        </w:rPr>
      </w:pPr>
    </w:p>
    <w:p w14:paraId="5C8CFBAA" w14:textId="77777777" w:rsidR="00F21584" w:rsidRDefault="00F21584">
      <w:pPr>
        <w:spacing w:after="0"/>
        <w:jc w:val="both"/>
        <w:rPr>
          <w:rStyle w:val="jlqj4b"/>
          <w:b/>
          <w:lang w:val="en-US"/>
        </w:rPr>
      </w:pPr>
    </w:p>
    <w:p w14:paraId="279F8D77" w14:textId="77777777" w:rsidR="00F21584" w:rsidRDefault="00F21584">
      <w:pPr>
        <w:spacing w:after="0"/>
        <w:jc w:val="both"/>
        <w:rPr>
          <w:rStyle w:val="jlqj4b"/>
          <w:b/>
          <w:lang w:val="en-US"/>
        </w:rPr>
      </w:pPr>
    </w:p>
    <w:p w14:paraId="2F02C681" w14:textId="77777777" w:rsidR="00F21584" w:rsidRDefault="00F21584">
      <w:pPr>
        <w:spacing w:after="0"/>
        <w:jc w:val="both"/>
        <w:rPr>
          <w:rStyle w:val="jlqj4b"/>
          <w:b/>
          <w:lang w:val="en-US"/>
        </w:rPr>
      </w:pPr>
    </w:p>
    <w:p w14:paraId="34E0667F" w14:textId="77777777" w:rsidR="004C0FF1" w:rsidRDefault="004C0FF1">
      <w:pPr>
        <w:spacing w:after="0"/>
        <w:jc w:val="both"/>
        <w:rPr>
          <w:rStyle w:val="jlqj4b"/>
          <w:b/>
          <w:lang w:val="en-US"/>
        </w:rPr>
      </w:pPr>
    </w:p>
    <w:p w14:paraId="5FD3791C" w14:textId="0D77B4D3" w:rsidR="00A715EA" w:rsidRDefault="00CD73D4">
      <w:pPr>
        <w:spacing w:after="0"/>
        <w:jc w:val="both"/>
        <w:rPr>
          <w:rStyle w:val="jlqj4b"/>
          <w:b/>
          <w:lang w:val="en-US"/>
        </w:rPr>
      </w:pPr>
      <w:r>
        <w:rPr>
          <w:rStyle w:val="jlqj4b"/>
          <w:b/>
          <w:lang w:val="en-US"/>
        </w:rPr>
        <w:t>S</w:t>
      </w:r>
      <w:r w:rsidR="00127401">
        <w:rPr>
          <w:rStyle w:val="jlqj4b"/>
          <w:b/>
          <w:lang w:val="en-US"/>
        </w:rPr>
        <w:t>3</w:t>
      </w:r>
      <w:r w:rsidR="00736FC2">
        <w:rPr>
          <w:rStyle w:val="jlqj4b"/>
          <w:b/>
          <w:lang w:val="en-US"/>
        </w:rPr>
        <w:t xml:space="preserve">: </w:t>
      </w:r>
      <w:r w:rsidR="00736FC2">
        <w:rPr>
          <w:rStyle w:val="q4iawc"/>
          <w:b/>
          <w:lang w:val="en-US"/>
        </w:rPr>
        <w:t>N</w:t>
      </w:r>
      <w:r w:rsidR="004C0FF1">
        <w:rPr>
          <w:rStyle w:val="q4iawc"/>
          <w:b/>
          <w:lang w:val="en-US"/>
        </w:rPr>
        <w:t>anocrystal ensembles</w:t>
      </w:r>
      <w:r w:rsidR="00736FC2">
        <w:rPr>
          <w:rStyle w:val="q4iawc"/>
          <w:b/>
          <w:lang w:val="en-US"/>
        </w:rPr>
        <w:t xml:space="preserve"> over </w:t>
      </w:r>
      <w:r w:rsidR="004C0FF1">
        <w:rPr>
          <w:rStyle w:val="q4iawc"/>
          <w:b/>
          <w:lang w:val="en-US"/>
        </w:rPr>
        <w:t xml:space="preserve">the </w:t>
      </w:r>
      <w:r w:rsidR="00736FC2">
        <w:rPr>
          <w:rStyle w:val="q4iawc"/>
          <w:b/>
          <w:lang w:val="en-US"/>
        </w:rPr>
        <w:t>waveguide sample</w:t>
      </w:r>
    </w:p>
    <w:p w14:paraId="4EDA1E15" w14:textId="77777777" w:rsidR="00A715EA" w:rsidRDefault="00736FC2">
      <w:pPr>
        <w:spacing w:after="0"/>
        <w:jc w:val="both"/>
        <w:rPr>
          <w:rStyle w:val="q4iawc"/>
          <w:lang w:val="en-US"/>
        </w:rPr>
      </w:pPr>
      <w:r>
        <w:rPr>
          <w:rStyle w:val="q4iawc"/>
          <w:lang w:val="en-US"/>
        </w:rPr>
        <w:t>To have NCs everywhere on the sample, after the evaporation of the TiO</w:t>
      </w:r>
      <w:r>
        <w:rPr>
          <w:rStyle w:val="q4iawc"/>
          <w:vertAlign w:val="subscript"/>
          <w:lang w:val="en-US"/>
        </w:rPr>
        <w:t>2</w:t>
      </w:r>
      <w:r>
        <w:rPr>
          <w:rStyle w:val="q4iawc"/>
          <w:lang w:val="en-US"/>
        </w:rPr>
        <w:t>, the sample was directly developed in acetone. Then we took up the principle of functionalization as explained in the article.</w:t>
      </w:r>
    </w:p>
    <w:p w14:paraId="20C0EF96" w14:textId="62DC001F" w:rsidR="00A715EA" w:rsidRDefault="00736FC2">
      <w:pPr>
        <w:spacing w:after="0"/>
        <w:jc w:val="both"/>
        <w:rPr>
          <w:rStyle w:val="q4iawc"/>
          <w:lang w:val="en-US"/>
        </w:rPr>
      </w:pPr>
      <w:r>
        <w:rPr>
          <w:rStyle w:val="q4iawc"/>
          <w:lang w:val="en-US"/>
        </w:rPr>
        <w:t>NCs photoluminescence was observed with an excitation at 532 nm directly on the glass part of the IEW-TiO</w:t>
      </w:r>
      <w:r>
        <w:rPr>
          <w:rStyle w:val="q4iawc"/>
          <w:vertAlign w:val="subscript"/>
          <w:lang w:val="en-US"/>
        </w:rPr>
        <w:t>2</w:t>
      </w:r>
      <w:r>
        <w:rPr>
          <w:rStyle w:val="q4iawc"/>
          <w:lang w:val="en-US"/>
        </w:rPr>
        <w:t xml:space="preserve"> structure sample.</w:t>
      </w:r>
      <w:r>
        <w:rPr>
          <w:rStyle w:val="viiyi"/>
          <w:lang w:val="en-US"/>
        </w:rPr>
        <w:t xml:space="preserve"> </w:t>
      </w:r>
      <w:r w:rsidR="00360871">
        <w:rPr>
          <w:rStyle w:val="q4iawc"/>
          <w:lang w:val="en-US"/>
        </w:rPr>
        <w:t>This NC</w:t>
      </w:r>
      <w:r>
        <w:rPr>
          <w:rStyle w:val="q4iawc"/>
          <w:lang w:val="en-US"/>
        </w:rPr>
        <w:t xml:space="preserve"> photoluminescence on glass is shown in black in </w:t>
      </w:r>
      <w:r w:rsidR="00104B70">
        <w:rPr>
          <w:rStyle w:val="q4iawc"/>
          <w:lang w:val="en-US"/>
        </w:rPr>
        <w:t>Figure S</w:t>
      </w:r>
      <w:r w:rsidR="00C32144">
        <w:rPr>
          <w:rStyle w:val="q4iawc"/>
          <w:lang w:val="en-US"/>
        </w:rPr>
        <w:t>3</w:t>
      </w:r>
      <w:r w:rsidR="00D465DC">
        <w:rPr>
          <w:rStyle w:val="q4iawc"/>
          <w:lang w:val="en-US"/>
        </w:rPr>
        <w:t>-</w:t>
      </w:r>
      <w:r w:rsidR="00C32144">
        <w:rPr>
          <w:rStyle w:val="q4iawc"/>
          <w:lang w:val="en-US"/>
        </w:rPr>
        <w:t>1</w:t>
      </w:r>
      <w:r>
        <w:rPr>
          <w:rStyle w:val="q4iawc"/>
          <w:lang w:val="en-US"/>
        </w:rPr>
        <w:t xml:space="preserve">a. </w:t>
      </w:r>
      <w:proofErr w:type="spellStart"/>
      <w:r>
        <w:rPr>
          <w:rStyle w:val="q4iawc"/>
          <w:lang w:val="en-US"/>
        </w:rPr>
        <w:t>CdSe</w:t>
      </w:r>
      <w:proofErr w:type="spellEnd"/>
      <w:r>
        <w:rPr>
          <w:rStyle w:val="q4iawc"/>
          <w:lang w:val="en-US"/>
        </w:rPr>
        <w:t>/ZnS NCs emit at 6</w:t>
      </w:r>
      <w:r w:rsidR="00104B70">
        <w:rPr>
          <w:rStyle w:val="q4iawc"/>
          <w:lang w:val="en-US"/>
        </w:rPr>
        <w:t>10</w:t>
      </w:r>
      <w:r>
        <w:rPr>
          <w:rStyle w:val="q4iawc"/>
          <w:lang w:val="en-US"/>
        </w:rPr>
        <w:t xml:space="preserve"> nm</w:t>
      </w:r>
      <w:r w:rsidR="00104B70">
        <w:rPr>
          <w:rStyle w:val="q4iawc"/>
          <w:lang w:val="en-US"/>
        </w:rPr>
        <w:t xml:space="preserve"> or so</w:t>
      </w:r>
      <w:r>
        <w:rPr>
          <w:rStyle w:val="q4iawc"/>
          <w:lang w:val="en-US"/>
        </w:rPr>
        <w:t xml:space="preserve"> and have a FWHM of 27 nm. The laser is then placed on a waveguide.</w:t>
      </w:r>
      <w:r>
        <w:rPr>
          <w:rStyle w:val="viiyi"/>
          <w:lang w:val="en-US"/>
        </w:rPr>
        <w:t xml:space="preserve"> </w:t>
      </w:r>
      <w:r>
        <w:rPr>
          <w:rStyle w:val="q4iawc"/>
          <w:lang w:val="en-US"/>
        </w:rPr>
        <w:t>The emission obtained is represented by the red curve. The NCs emission peak is centered at 610 nm with a FWHM of 34.6 nm, the fluorescence of the waveguide with the structure is also present wi</w:t>
      </w:r>
      <w:r w:rsidR="00104B70">
        <w:rPr>
          <w:rStyle w:val="q4iawc"/>
          <w:lang w:val="en-US"/>
        </w:rPr>
        <w:t>th a maximum at 675 nm (in red in Figure S</w:t>
      </w:r>
      <w:r w:rsidR="004C0FF1">
        <w:rPr>
          <w:rStyle w:val="q4iawc"/>
          <w:lang w:val="en-US"/>
        </w:rPr>
        <w:t>3</w:t>
      </w:r>
      <w:r w:rsidR="00C32144">
        <w:rPr>
          <w:rStyle w:val="q4iawc"/>
          <w:lang w:val="en-US"/>
        </w:rPr>
        <w:t>-1</w:t>
      </w:r>
      <w:r>
        <w:rPr>
          <w:rStyle w:val="q4iawc"/>
          <w:lang w:val="en-US"/>
        </w:rPr>
        <w:t>a). The NCs photoluminescence is also studied at the level of the structure of TiO</w:t>
      </w:r>
      <w:r>
        <w:rPr>
          <w:rStyle w:val="q4iawc"/>
          <w:vertAlign w:val="subscript"/>
          <w:lang w:val="en-US"/>
        </w:rPr>
        <w:t>2</w:t>
      </w:r>
      <w:r>
        <w:rPr>
          <w:rStyle w:val="q4iawc"/>
          <w:lang w:val="en-US"/>
        </w:rPr>
        <w:t xml:space="preserve"> on IE</w:t>
      </w:r>
      <w:r w:rsidR="00104B70">
        <w:rPr>
          <w:rStyle w:val="q4iawc"/>
          <w:lang w:val="en-US"/>
        </w:rPr>
        <w:t>W, represented in Figure S</w:t>
      </w:r>
      <w:r w:rsidR="00C32144">
        <w:rPr>
          <w:rStyle w:val="q4iawc"/>
          <w:lang w:val="en-US"/>
        </w:rPr>
        <w:t>3</w:t>
      </w:r>
      <w:r w:rsidR="00104B70">
        <w:rPr>
          <w:rStyle w:val="q4iawc"/>
          <w:lang w:val="en-US"/>
        </w:rPr>
        <w:t>-</w:t>
      </w:r>
      <w:r w:rsidR="00C32144">
        <w:rPr>
          <w:rStyle w:val="q4iawc"/>
          <w:lang w:val="en-US"/>
        </w:rPr>
        <w:t>1</w:t>
      </w:r>
      <w:r>
        <w:rPr>
          <w:rStyle w:val="q4iawc"/>
          <w:lang w:val="en-US"/>
        </w:rPr>
        <w:t>a in blue. The NCs emission is present at 610 nm (FWHM</w:t>
      </w:r>
      <w:r w:rsidR="00104B70">
        <w:rPr>
          <w:rStyle w:val="q4iawc"/>
          <w:lang w:val="en-US"/>
        </w:rPr>
        <w:t xml:space="preserve"> </w:t>
      </w:r>
      <w:r>
        <w:rPr>
          <w:rStyle w:val="q4iawc"/>
          <w:lang w:val="en-US"/>
        </w:rPr>
        <w:t>=</w:t>
      </w:r>
      <w:r w:rsidR="00104B70">
        <w:rPr>
          <w:rStyle w:val="q4iawc"/>
          <w:lang w:val="en-US"/>
        </w:rPr>
        <w:t xml:space="preserve"> </w:t>
      </w:r>
      <w:r>
        <w:rPr>
          <w:rStyle w:val="q4iawc"/>
          <w:lang w:val="en-US"/>
        </w:rPr>
        <w:t>32.6nm), but there is also fluorescence from the guide which is present at 675 nm. The addition of the TiO</w:t>
      </w:r>
      <w:r>
        <w:rPr>
          <w:rStyle w:val="q4iawc"/>
          <w:vertAlign w:val="subscript"/>
          <w:lang w:val="en-US"/>
        </w:rPr>
        <w:t>2</w:t>
      </w:r>
      <w:r>
        <w:rPr>
          <w:rStyle w:val="q4iawc"/>
          <w:lang w:val="en-US"/>
        </w:rPr>
        <w:t xml:space="preserve"> structure on waveguide reduces the photoluminescence of the NCs compared to the case of the bare guide. The purpose of this high index layer is to allow a better coupling of the emission of the NCs in the waveguide, it is therefore expected to have a decrease in this photoluminescence in the case of the TiO</w:t>
      </w:r>
      <w:r>
        <w:rPr>
          <w:rStyle w:val="q4iawc"/>
          <w:vertAlign w:val="subscript"/>
          <w:lang w:val="en-US"/>
        </w:rPr>
        <w:t>2</w:t>
      </w:r>
      <w:r>
        <w:rPr>
          <w:rStyle w:val="q4iawc"/>
          <w:lang w:val="en-US"/>
        </w:rPr>
        <w:t xml:space="preserve"> structure. A shift in the red is observed when the NCs are close to the guide or the TiO</w:t>
      </w:r>
      <w:r>
        <w:rPr>
          <w:rStyle w:val="q4iawc"/>
          <w:vertAlign w:val="subscript"/>
          <w:lang w:val="en-US"/>
        </w:rPr>
        <w:t>2</w:t>
      </w:r>
      <w:r>
        <w:rPr>
          <w:rStyle w:val="q4iawc"/>
          <w:lang w:val="en-US"/>
        </w:rPr>
        <w:t>, which can be caused by a change of index between the substrate, the guide, and the TiO</w:t>
      </w:r>
      <w:r>
        <w:rPr>
          <w:rStyle w:val="q4iawc"/>
          <w:vertAlign w:val="subscript"/>
          <w:lang w:val="en-US"/>
        </w:rPr>
        <w:t>2</w:t>
      </w:r>
      <w:r>
        <w:rPr>
          <w:rStyle w:val="q4iawc"/>
          <w:lang w:val="en-US"/>
        </w:rPr>
        <w:t xml:space="preserve"> structure.</w:t>
      </w:r>
    </w:p>
    <w:p w14:paraId="2A5C2755" w14:textId="420BABDE" w:rsidR="004A61D6" w:rsidRPr="00280A48" w:rsidRDefault="00736FC2" w:rsidP="00127401">
      <w:pPr>
        <w:jc w:val="both"/>
        <w:rPr>
          <w:noProof/>
          <w:lang w:val="en-US" w:eastAsia="fr-FR"/>
        </w:rPr>
      </w:pPr>
      <w:r>
        <w:rPr>
          <w:rStyle w:val="q4iawc"/>
          <w:lang w:val="en-US"/>
        </w:rPr>
        <w:t>The waveguide fluorescence has been studied to better understand the NCs spec</w:t>
      </w:r>
      <w:r w:rsidR="00104B70">
        <w:rPr>
          <w:rStyle w:val="q4iawc"/>
          <w:lang w:val="en-US"/>
        </w:rPr>
        <w:t>trum on the waveguide (red spectrum in Figure S</w:t>
      </w:r>
      <w:r w:rsidR="00C32144">
        <w:rPr>
          <w:rStyle w:val="q4iawc"/>
          <w:lang w:val="en-US"/>
        </w:rPr>
        <w:t>3</w:t>
      </w:r>
      <w:r w:rsidR="00104B70">
        <w:rPr>
          <w:rStyle w:val="q4iawc"/>
          <w:lang w:val="en-US"/>
        </w:rPr>
        <w:t>-</w:t>
      </w:r>
      <w:r w:rsidR="00C32144">
        <w:rPr>
          <w:rStyle w:val="q4iawc"/>
          <w:lang w:val="en-US"/>
        </w:rPr>
        <w:t>1</w:t>
      </w:r>
      <w:r w:rsidR="00104B70">
        <w:rPr>
          <w:rStyle w:val="q4iawc"/>
          <w:lang w:val="en-US"/>
        </w:rPr>
        <w:t>a)</w:t>
      </w:r>
      <w:r>
        <w:rPr>
          <w:rStyle w:val="q4iawc"/>
          <w:lang w:val="en-US"/>
        </w:rPr>
        <w:t>.</w:t>
      </w:r>
      <w:r>
        <w:rPr>
          <w:rStyle w:val="viiyi"/>
          <w:lang w:val="en-US"/>
        </w:rPr>
        <w:t xml:space="preserve"> </w:t>
      </w:r>
      <w:r>
        <w:rPr>
          <w:rStyle w:val="q4iawc"/>
          <w:lang w:val="en-US"/>
        </w:rPr>
        <w:t xml:space="preserve">The 532 nm laser was placed on a blank IEW sample on a guide, and the fluorescence is obtained from 575 to 750 nm with two peaks, one at 617 nm </w:t>
      </w:r>
      <w:r w:rsidR="00104B70">
        <w:rPr>
          <w:rStyle w:val="q4iawc"/>
          <w:lang w:val="en-US"/>
        </w:rPr>
        <w:t xml:space="preserve">or so </w:t>
      </w:r>
      <w:r>
        <w:rPr>
          <w:rStyle w:val="q4iawc"/>
          <w:lang w:val="en-US"/>
        </w:rPr>
        <w:t>(FWHM</w:t>
      </w:r>
      <w:r w:rsidR="00104B70">
        <w:rPr>
          <w:rStyle w:val="q4iawc"/>
          <w:lang w:val="en-US"/>
        </w:rPr>
        <w:t xml:space="preserve"> </w:t>
      </w:r>
      <w:r>
        <w:rPr>
          <w:rStyle w:val="q4iawc"/>
          <w:lang w:val="en-US"/>
        </w:rPr>
        <w:t>=</w:t>
      </w:r>
      <w:r w:rsidR="00104B70">
        <w:rPr>
          <w:rStyle w:val="q4iawc"/>
          <w:lang w:val="en-US"/>
        </w:rPr>
        <w:t xml:space="preserve"> </w:t>
      </w:r>
      <w:r>
        <w:rPr>
          <w:rStyle w:val="q4iawc"/>
          <w:lang w:val="en-US"/>
        </w:rPr>
        <w:t>59.5 nm) and the second at 676 nm (FWHM</w:t>
      </w:r>
      <w:r w:rsidR="00104B70">
        <w:rPr>
          <w:rStyle w:val="q4iawc"/>
          <w:lang w:val="en-US"/>
        </w:rPr>
        <w:t xml:space="preserve"> </w:t>
      </w:r>
      <w:r>
        <w:rPr>
          <w:rStyle w:val="q4iawc"/>
          <w:lang w:val="en-US"/>
        </w:rPr>
        <w:t>=</w:t>
      </w:r>
      <w:r w:rsidR="00104B70">
        <w:rPr>
          <w:rStyle w:val="q4iawc"/>
          <w:lang w:val="en-US"/>
        </w:rPr>
        <w:t xml:space="preserve"> </w:t>
      </w:r>
      <w:r>
        <w:rPr>
          <w:rStyle w:val="q4iawc"/>
          <w:lang w:val="en-US"/>
        </w:rPr>
        <w:t>51.4 nm)</w:t>
      </w:r>
      <w:r>
        <w:rPr>
          <w:rStyle w:val="q4iawc"/>
          <w:vertAlign w:val="superscript"/>
          <w:lang w:val="en-US"/>
        </w:rPr>
        <w:t>6,7</w:t>
      </w:r>
      <w:r w:rsidR="00104B70">
        <w:rPr>
          <w:rStyle w:val="q4iawc"/>
          <w:lang w:val="en-US"/>
        </w:rPr>
        <w:t>. In Figure S-</w:t>
      </w:r>
      <w:r w:rsidR="004C0FF1">
        <w:rPr>
          <w:rStyle w:val="q4iawc"/>
          <w:lang w:val="en-US"/>
        </w:rPr>
        <w:t>3</w:t>
      </w:r>
      <w:r>
        <w:rPr>
          <w:rStyle w:val="q4iawc"/>
          <w:lang w:val="en-US"/>
        </w:rPr>
        <w:t>b, the laser was placed at different locations to observe the fluorescence of different elements. When the laser is placed at the level of the TiO</w:t>
      </w:r>
      <w:r>
        <w:rPr>
          <w:rStyle w:val="q4iawc"/>
          <w:vertAlign w:val="subscript"/>
          <w:lang w:val="en-US"/>
        </w:rPr>
        <w:t>2</w:t>
      </w:r>
      <w:r>
        <w:rPr>
          <w:rStyle w:val="q4iawc"/>
          <w:lang w:val="en-US"/>
        </w:rPr>
        <w:t xml:space="preserve"> structure on the guide, the fluorescence increases but is the same as that of the guide alone. If the laser is placed at the level of the TiO</w:t>
      </w:r>
      <w:r>
        <w:rPr>
          <w:rStyle w:val="q4iawc"/>
          <w:vertAlign w:val="subscript"/>
          <w:lang w:val="en-US"/>
        </w:rPr>
        <w:t>2</w:t>
      </w:r>
      <w:r>
        <w:rPr>
          <w:rStyle w:val="q4iawc"/>
          <w:lang w:val="en-US"/>
        </w:rPr>
        <w:t xml:space="preserve"> on g</w:t>
      </w:r>
      <w:r w:rsidR="00104B70">
        <w:rPr>
          <w:rStyle w:val="q4iawc"/>
          <w:lang w:val="en-US"/>
        </w:rPr>
        <w:t>lass (pink spectrum in Figure S</w:t>
      </w:r>
      <w:r w:rsidR="00C32144">
        <w:rPr>
          <w:rStyle w:val="q4iawc"/>
          <w:lang w:val="en-US"/>
        </w:rPr>
        <w:t>3-1</w:t>
      </w:r>
      <w:r>
        <w:rPr>
          <w:rStyle w:val="q4iawc"/>
          <w:lang w:val="en-US"/>
        </w:rPr>
        <w:t>b) there is a small peak of fluorescence at 675 nm</w:t>
      </w:r>
      <w:r>
        <w:rPr>
          <w:rStyle w:val="q4iawc"/>
          <w:vertAlign w:val="superscript"/>
          <w:lang w:val="en-US"/>
        </w:rPr>
        <w:t>8</w:t>
      </w:r>
      <w:r>
        <w:rPr>
          <w:rStyle w:val="q4iawc"/>
          <w:lang w:val="en-US"/>
        </w:rPr>
        <w:t xml:space="preserve">. The glass does not fluoresce for a 532 nm excitation as shown by the black curve in </w:t>
      </w:r>
      <w:r w:rsidR="00104B70">
        <w:rPr>
          <w:rStyle w:val="q4iawc"/>
          <w:lang w:val="en-US"/>
        </w:rPr>
        <w:t>Figure S</w:t>
      </w:r>
      <w:r w:rsidR="00C32144">
        <w:rPr>
          <w:rStyle w:val="q4iawc"/>
          <w:lang w:val="en-US"/>
        </w:rPr>
        <w:t>3</w:t>
      </w:r>
      <w:r w:rsidR="00104B70">
        <w:rPr>
          <w:rStyle w:val="q4iawc"/>
          <w:lang w:val="en-US"/>
        </w:rPr>
        <w:t>-</w:t>
      </w:r>
      <w:r w:rsidR="00C32144">
        <w:rPr>
          <w:rStyle w:val="q4iawc"/>
          <w:lang w:val="en-US"/>
        </w:rPr>
        <w:t>1</w:t>
      </w:r>
      <w:r>
        <w:rPr>
          <w:rStyle w:val="q4iawc"/>
          <w:lang w:val="en-US"/>
        </w:rPr>
        <w:t xml:space="preserve">b. </w:t>
      </w:r>
    </w:p>
    <w:p w14:paraId="2C5DC252" w14:textId="661E3F74" w:rsidR="00A715EA" w:rsidRDefault="001D0179">
      <w:pPr>
        <w:keepNext/>
        <w:jc w:val="center"/>
        <w:rPr>
          <w:lang w:val="en-US"/>
        </w:rPr>
      </w:pPr>
      <w:r>
        <w:rPr>
          <w:noProof/>
        </w:rPr>
        <w:drawing>
          <wp:inline distT="0" distB="0" distL="0" distR="0" wp14:anchorId="45DE3C8F" wp14:editId="426742E4">
            <wp:extent cx="5760720" cy="1781810"/>
            <wp:effectExtent l="0" t="0" r="0" b="0"/>
            <wp:docPr id="306259705" name="Image 2" descr="Une image contenant capture d’écran, ligne, diagramme, Trac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259705" name="Image 2" descr="Une image contenant capture d’écran, ligne, diagramme, Tracé&#10;&#10;Le contenu généré par l’IA peut êtr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720" cy="1781810"/>
                    </a:xfrm>
                    <a:prstGeom prst="rect">
                      <a:avLst/>
                    </a:prstGeom>
                    <a:noFill/>
                    <a:ln>
                      <a:noFill/>
                    </a:ln>
                  </pic:spPr>
                </pic:pic>
              </a:graphicData>
            </a:graphic>
          </wp:inline>
        </w:drawing>
      </w:r>
    </w:p>
    <w:p w14:paraId="23F4807C" w14:textId="5CF540C9" w:rsidR="00A715EA" w:rsidRDefault="00736FC2">
      <w:pPr>
        <w:pStyle w:val="Lgende"/>
        <w:jc w:val="center"/>
        <w:rPr>
          <w:sz w:val="28"/>
          <w:lang w:val="en-US"/>
        </w:rPr>
      </w:pPr>
      <w:r>
        <w:rPr>
          <w:lang w:val="en-US"/>
        </w:rPr>
        <w:t xml:space="preserve"> Figure S</w:t>
      </w:r>
      <w:r w:rsidR="008B2404">
        <w:rPr>
          <w:lang w:val="en-US"/>
        </w:rPr>
        <w:t>3</w:t>
      </w:r>
      <w:r>
        <w:rPr>
          <w:lang w:val="en-US"/>
        </w:rPr>
        <w:t>-</w:t>
      </w:r>
      <w:r w:rsidR="008B2404">
        <w:rPr>
          <w:lang w:val="en-US"/>
        </w:rPr>
        <w:t>1</w:t>
      </w:r>
      <w:r>
        <w:rPr>
          <w:lang w:val="en-US"/>
        </w:rPr>
        <w:t xml:space="preserve">: </w:t>
      </w:r>
      <w:r>
        <w:rPr>
          <w:rStyle w:val="q4iawc"/>
          <w:lang w:val="en-US"/>
        </w:rPr>
        <w:t>Excitation with a CW 532 nm laser.</w:t>
      </w:r>
      <w:r w:rsidR="00C32144">
        <w:rPr>
          <w:rStyle w:val="q4iawc"/>
          <w:lang w:val="en-US"/>
        </w:rPr>
        <w:t xml:space="preserve"> S3-1</w:t>
      </w:r>
      <w:r>
        <w:rPr>
          <w:lang w:val="en-US"/>
        </w:rPr>
        <w:t>a) NCs photoluminescence spectrum, on glass in black, on IEW in red and on a TiO</w:t>
      </w:r>
      <w:r>
        <w:rPr>
          <w:sz w:val="16"/>
          <w:vertAlign w:val="subscript"/>
          <w:lang w:val="en-US"/>
        </w:rPr>
        <w:t>2</w:t>
      </w:r>
      <w:r>
        <w:rPr>
          <w:lang w:val="en-US"/>
        </w:rPr>
        <w:t xml:space="preserve"> structure on IEW </w:t>
      </w:r>
      <w:proofErr w:type="gramStart"/>
      <w:r>
        <w:rPr>
          <w:lang w:val="en-US"/>
        </w:rPr>
        <w:t>in  blue</w:t>
      </w:r>
      <w:proofErr w:type="gramEnd"/>
      <w:r>
        <w:rPr>
          <w:lang w:val="en-US"/>
        </w:rPr>
        <w:t xml:space="preserve">. </w:t>
      </w:r>
      <w:r w:rsidR="00C32144">
        <w:rPr>
          <w:lang w:val="en-US"/>
        </w:rPr>
        <w:t>S3-1</w:t>
      </w:r>
      <w:r>
        <w:rPr>
          <w:lang w:val="en-US"/>
        </w:rPr>
        <w:t>b) Fluorescence of glass substrate in black, of IEW in red, of IEW with TiO</w:t>
      </w:r>
      <w:r>
        <w:rPr>
          <w:vertAlign w:val="subscript"/>
          <w:lang w:val="en-US"/>
        </w:rPr>
        <w:t>2</w:t>
      </w:r>
      <w:r>
        <w:rPr>
          <w:lang w:val="en-US"/>
        </w:rPr>
        <w:t xml:space="preserve"> structure in blue and of TiO</w:t>
      </w:r>
      <w:r>
        <w:rPr>
          <w:vertAlign w:val="subscript"/>
          <w:lang w:val="en-US"/>
        </w:rPr>
        <w:t>2</w:t>
      </w:r>
      <w:r>
        <w:rPr>
          <w:lang w:val="en-US"/>
        </w:rPr>
        <w:t xml:space="preserve"> structure in pink.</w:t>
      </w:r>
    </w:p>
    <w:p w14:paraId="75F1CD77" w14:textId="78577420" w:rsidR="00A715EA" w:rsidRDefault="00736FC2">
      <w:pPr>
        <w:keepNext/>
        <w:jc w:val="both"/>
        <w:rPr>
          <w:sz w:val="28"/>
          <w:lang w:val="en-US" w:eastAsia="fr-FR"/>
        </w:rPr>
      </w:pPr>
      <w:r>
        <w:rPr>
          <w:rStyle w:val="q4iawc"/>
          <w:lang w:val="en-US"/>
        </w:rPr>
        <w:t>Following this, the NCs lifetime is studied in different environments.</w:t>
      </w:r>
      <w:r>
        <w:rPr>
          <w:rStyle w:val="viiyi"/>
          <w:lang w:val="en-US"/>
        </w:rPr>
        <w:t xml:space="preserve"> </w:t>
      </w:r>
      <w:r>
        <w:rPr>
          <w:rStyle w:val="q4iawc"/>
          <w:lang w:val="en-US"/>
        </w:rPr>
        <w:t xml:space="preserve">In </w:t>
      </w:r>
      <w:r w:rsidR="00104B70">
        <w:rPr>
          <w:rStyle w:val="q4iawc"/>
          <w:lang w:val="en-US"/>
        </w:rPr>
        <w:t>Figure S</w:t>
      </w:r>
      <w:r w:rsidR="00C32144">
        <w:rPr>
          <w:rStyle w:val="q4iawc"/>
          <w:lang w:val="en-US"/>
        </w:rPr>
        <w:t>3</w:t>
      </w:r>
      <w:r w:rsidR="00104B70">
        <w:rPr>
          <w:rStyle w:val="q4iawc"/>
          <w:lang w:val="en-US"/>
        </w:rPr>
        <w:t>-</w:t>
      </w:r>
      <w:r w:rsidR="00C32144">
        <w:rPr>
          <w:rStyle w:val="q4iawc"/>
          <w:lang w:val="en-US"/>
        </w:rPr>
        <w:t>2</w:t>
      </w:r>
      <w:r>
        <w:rPr>
          <w:rStyle w:val="q4iawc"/>
          <w:lang w:val="en-US"/>
        </w:rPr>
        <w:t xml:space="preserve">, in black, the lifetime of the NCs on the substrate is represented as a reference. In </w:t>
      </w:r>
      <w:r w:rsidR="00D465DC">
        <w:rPr>
          <w:rStyle w:val="q4iawc"/>
          <w:lang w:val="en-US"/>
        </w:rPr>
        <w:t>F</w:t>
      </w:r>
      <w:r>
        <w:rPr>
          <w:rStyle w:val="q4iawc"/>
          <w:lang w:val="en-US"/>
        </w:rPr>
        <w:t>igure S</w:t>
      </w:r>
      <w:r w:rsidR="00C32144">
        <w:rPr>
          <w:rStyle w:val="q4iawc"/>
          <w:lang w:val="en-US"/>
        </w:rPr>
        <w:t>3</w:t>
      </w:r>
      <w:r>
        <w:rPr>
          <w:rStyle w:val="q4iawc"/>
          <w:lang w:val="en-US"/>
        </w:rPr>
        <w:t>-</w:t>
      </w:r>
      <w:r w:rsidR="00C32144">
        <w:rPr>
          <w:rStyle w:val="q4iawc"/>
          <w:lang w:val="en-US"/>
        </w:rPr>
        <w:t>2</w:t>
      </w:r>
      <w:r>
        <w:rPr>
          <w:rStyle w:val="q4iawc"/>
          <w:lang w:val="en-US"/>
        </w:rPr>
        <w:t>, the NCs lifetime when the NCs placed on the waveguide (red curve) decreases compared to the case on glass.</w:t>
      </w:r>
      <w:r>
        <w:rPr>
          <w:rStyle w:val="viiyi"/>
          <w:lang w:val="en-US"/>
        </w:rPr>
        <w:t xml:space="preserve"> </w:t>
      </w:r>
      <w:r>
        <w:rPr>
          <w:rStyle w:val="q4iawc"/>
          <w:lang w:val="en-US"/>
        </w:rPr>
        <w:t xml:space="preserve">This decrease in </w:t>
      </w:r>
      <w:proofErr w:type="gramStart"/>
      <w:r>
        <w:rPr>
          <w:rStyle w:val="q4iawc"/>
          <w:lang w:val="en-US"/>
        </w:rPr>
        <w:t>the lifetime</w:t>
      </w:r>
      <w:proofErr w:type="gramEnd"/>
      <w:r>
        <w:rPr>
          <w:rStyle w:val="q4iawc"/>
          <w:lang w:val="en-US"/>
        </w:rPr>
        <w:t xml:space="preserve"> represents the coupling of NCs emissions into the waveguide. If a TiO</w:t>
      </w:r>
      <w:r>
        <w:rPr>
          <w:rStyle w:val="q4iawc"/>
          <w:vertAlign w:val="subscript"/>
          <w:lang w:val="en-US"/>
        </w:rPr>
        <w:t>2</w:t>
      </w:r>
      <w:r>
        <w:rPr>
          <w:rStyle w:val="q4iawc"/>
          <w:lang w:val="en-US"/>
        </w:rPr>
        <w:t xml:space="preserve"> structure is added </w:t>
      </w:r>
      <w:r>
        <w:rPr>
          <w:rStyle w:val="q4iawc"/>
          <w:lang w:val="en-US"/>
        </w:rPr>
        <w:lastRenderedPageBreak/>
        <w:t>to the waveguide, the NCs lifetime decreases further (blue curve). The addition of a high index structure allows better coupling of the NCs in the waveguide.</w:t>
      </w:r>
    </w:p>
    <w:p w14:paraId="586445D1" w14:textId="35CF8398" w:rsidR="00A715EA" w:rsidRDefault="001D0179">
      <w:pPr>
        <w:keepNext/>
        <w:jc w:val="center"/>
      </w:pPr>
      <w:r>
        <w:rPr>
          <w:noProof/>
        </w:rPr>
        <w:drawing>
          <wp:inline distT="0" distB="0" distL="0" distR="0" wp14:anchorId="78A59024" wp14:editId="4C508BB0">
            <wp:extent cx="4846320" cy="3008116"/>
            <wp:effectExtent l="0" t="0" r="0" b="1905"/>
            <wp:docPr id="217178002" name="Image 3" descr="Une image contenant texte, ligne, diagramme, Trac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178002" name="Image 3" descr="Une image contenant texte, ligne, diagramme, Tracé&#10;&#10;Le contenu généré par l’IA peut êtr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49877" cy="3010324"/>
                    </a:xfrm>
                    <a:prstGeom prst="rect">
                      <a:avLst/>
                    </a:prstGeom>
                    <a:noFill/>
                    <a:ln>
                      <a:noFill/>
                    </a:ln>
                  </pic:spPr>
                </pic:pic>
              </a:graphicData>
            </a:graphic>
          </wp:inline>
        </w:drawing>
      </w:r>
    </w:p>
    <w:p w14:paraId="19D738DF" w14:textId="518C863C" w:rsidR="00A715EA" w:rsidRDefault="00736FC2">
      <w:pPr>
        <w:pStyle w:val="Lgende"/>
        <w:jc w:val="center"/>
        <w:rPr>
          <w:lang w:val="en-US"/>
        </w:rPr>
      </w:pPr>
      <w:r>
        <w:rPr>
          <w:lang w:val="en-US"/>
        </w:rPr>
        <w:t xml:space="preserve">Figure </w:t>
      </w:r>
      <w:r w:rsidRPr="00736FC2">
        <w:rPr>
          <w:lang w:val="en-US"/>
        </w:rPr>
        <w:t>S</w:t>
      </w:r>
      <w:r w:rsidR="008B2404">
        <w:rPr>
          <w:lang w:val="en-US"/>
        </w:rPr>
        <w:t>3</w:t>
      </w:r>
      <w:r w:rsidRPr="00736FC2">
        <w:rPr>
          <w:lang w:val="en-US"/>
        </w:rPr>
        <w:t>-</w:t>
      </w:r>
      <w:r w:rsidR="008B2404">
        <w:rPr>
          <w:lang w:val="en-US"/>
        </w:rPr>
        <w:t>2</w:t>
      </w:r>
      <w:r>
        <w:rPr>
          <w:lang w:val="en-US"/>
        </w:rPr>
        <w:t xml:space="preserve">: NCs lifetime </w:t>
      </w:r>
      <w:r>
        <w:rPr>
          <w:rStyle w:val="jlqj4b"/>
          <w:lang w:val="en-US"/>
        </w:rPr>
        <w:t>measurement on different substrate:</w:t>
      </w:r>
      <w:r>
        <w:rPr>
          <w:lang w:val="en-US"/>
        </w:rPr>
        <w:t xml:space="preserve"> on glass in black, on IEW in red and on a TiO</w:t>
      </w:r>
      <w:r>
        <w:rPr>
          <w:sz w:val="16"/>
          <w:vertAlign w:val="subscript"/>
          <w:lang w:val="en-US"/>
        </w:rPr>
        <w:t>2</w:t>
      </w:r>
      <w:r>
        <w:rPr>
          <w:lang w:val="en-US"/>
        </w:rPr>
        <w:t xml:space="preserve"> structure on IEW </w:t>
      </w:r>
      <w:proofErr w:type="gramStart"/>
      <w:r>
        <w:rPr>
          <w:lang w:val="en-US"/>
        </w:rPr>
        <w:t>in  blue</w:t>
      </w:r>
      <w:proofErr w:type="gramEnd"/>
      <w:r>
        <w:rPr>
          <w:lang w:val="en-US"/>
        </w:rPr>
        <w:t>.</w:t>
      </w:r>
    </w:p>
    <w:p w14:paraId="70AD8399" w14:textId="77777777" w:rsidR="00A715EA" w:rsidRDefault="00736FC2">
      <w:pPr>
        <w:rPr>
          <w:lang w:val="en-US"/>
        </w:rPr>
      </w:pPr>
      <w:r>
        <w:rPr>
          <w:rStyle w:val="q4iawc"/>
          <w:lang w:val="en-US"/>
        </w:rPr>
        <w:t xml:space="preserve">To know the lifetime of </w:t>
      </w:r>
      <w:proofErr w:type="spellStart"/>
      <w:r>
        <w:rPr>
          <w:rStyle w:val="q4iawc"/>
          <w:lang w:val="en-US"/>
        </w:rPr>
        <w:t>CdSe</w:t>
      </w:r>
      <w:proofErr w:type="spellEnd"/>
      <w:r>
        <w:rPr>
          <w:rStyle w:val="q4iawc"/>
          <w:lang w:val="en-US"/>
        </w:rPr>
        <w:t>/ZnS NCs in different environments, we modeled the following formula:</w:t>
      </w:r>
    </w:p>
    <w:tbl>
      <w:tblPr>
        <w:tblStyle w:val="Grilledutableau"/>
        <w:tblW w:w="9072" w:type="dxa"/>
        <w:tblLayout w:type="fixed"/>
        <w:tblLook w:val="04A0" w:firstRow="1" w:lastRow="0" w:firstColumn="1" w:lastColumn="0" w:noHBand="0" w:noVBand="1"/>
      </w:tblPr>
      <w:tblGrid>
        <w:gridCol w:w="8613"/>
        <w:gridCol w:w="459"/>
      </w:tblGrid>
      <w:tr w:rsidR="00A715EA" w14:paraId="5456E765" w14:textId="77777777">
        <w:tc>
          <w:tcPr>
            <w:tcW w:w="8612" w:type="dxa"/>
            <w:tcBorders>
              <w:top w:val="nil"/>
              <w:left w:val="nil"/>
              <w:bottom w:val="nil"/>
              <w:right w:val="nil"/>
            </w:tcBorders>
          </w:tcPr>
          <w:p w14:paraId="4B9E7473" w14:textId="77777777" w:rsidR="00A715EA" w:rsidRDefault="00736FC2">
            <w:pPr>
              <w:widowControl w:val="0"/>
              <w:spacing w:after="0" w:line="240" w:lineRule="auto"/>
              <w:jc w:val="center"/>
              <w:rPr>
                <w:rStyle w:val="q4iawc"/>
                <w:rFonts w:eastAsiaTheme="minorEastAsia"/>
                <w:lang w:val="en-US"/>
              </w:rPr>
            </w:pPr>
            <m:oMathPara>
              <m:oMathParaPr>
                <m:jc m:val="center"/>
              </m:oMathParaPr>
              <m:oMath>
                <m:r>
                  <w:rPr>
                    <w:rFonts w:ascii="Cambria Math" w:hAnsi="Cambria Math"/>
                  </w:rPr>
                  <m:t>I</m:t>
                </m:r>
                <m:d>
                  <m:dPr>
                    <m:ctrlPr>
                      <w:rPr>
                        <w:rFonts w:ascii="Cambria Math" w:hAnsi="Cambria Math"/>
                      </w:rPr>
                    </m:ctrlPr>
                  </m:dPr>
                  <m:e>
                    <m:r>
                      <w:rPr>
                        <w:rFonts w:ascii="Cambria Math" w:hAnsi="Cambria Math"/>
                      </w:rPr>
                      <m:t>t</m:t>
                    </m:r>
                  </m:e>
                </m:d>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1</m:t>
                    </m:r>
                  </m:sub>
                </m:sSub>
                <m:sSup>
                  <m:sSupPr>
                    <m:ctrlPr>
                      <w:rPr>
                        <w:rFonts w:ascii="Cambria Math" w:hAnsi="Cambria Math"/>
                      </w:rPr>
                    </m:ctrlPr>
                  </m:sSupPr>
                  <m:e>
                    <m:r>
                      <w:rPr>
                        <w:rFonts w:ascii="Cambria Math" w:hAnsi="Cambria Math"/>
                      </w:rPr>
                      <m:t>e</m:t>
                    </m:r>
                  </m:e>
                  <m:sup>
                    <m:f>
                      <m:fPr>
                        <m:ctrlPr>
                          <w:rPr>
                            <w:rFonts w:ascii="Cambria Math" w:hAnsi="Cambria Math"/>
                          </w:rPr>
                        </m:ctrlPr>
                      </m:fPr>
                      <m:num>
                        <m:r>
                          <w:rPr>
                            <w:rFonts w:ascii="Cambria Math" w:hAnsi="Cambria Math"/>
                          </w:rPr>
                          <m:t>-t</m:t>
                        </m:r>
                      </m:num>
                      <m:den>
                        <m:sSub>
                          <m:sSubPr>
                            <m:ctrlPr>
                              <w:rPr>
                                <w:rFonts w:ascii="Cambria Math" w:hAnsi="Cambria Math"/>
                              </w:rPr>
                            </m:ctrlPr>
                          </m:sSubPr>
                          <m:e>
                            <m:r>
                              <w:rPr>
                                <w:rFonts w:ascii="Cambria Math" w:hAnsi="Cambria Math"/>
                              </w:rPr>
                              <m:t>τ</m:t>
                            </m:r>
                          </m:e>
                          <m:sub>
                            <m:r>
                              <w:rPr>
                                <w:rFonts w:ascii="Cambria Math" w:hAnsi="Cambria Math"/>
                              </w:rPr>
                              <m:t>1</m:t>
                            </m:r>
                          </m:sub>
                        </m:sSub>
                      </m:den>
                    </m:f>
                  </m:sup>
                </m:sSup>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2</m:t>
                    </m:r>
                  </m:sub>
                </m:sSub>
                <m:sSup>
                  <m:sSupPr>
                    <m:ctrlPr>
                      <w:rPr>
                        <w:rFonts w:ascii="Cambria Math" w:hAnsi="Cambria Math"/>
                      </w:rPr>
                    </m:ctrlPr>
                  </m:sSupPr>
                  <m:e>
                    <m:r>
                      <w:rPr>
                        <w:rFonts w:ascii="Cambria Math" w:hAnsi="Cambria Math"/>
                      </w:rPr>
                      <m:t>e</m:t>
                    </m:r>
                  </m:e>
                  <m:sup>
                    <m:f>
                      <m:fPr>
                        <m:ctrlPr>
                          <w:rPr>
                            <w:rFonts w:ascii="Cambria Math" w:hAnsi="Cambria Math"/>
                          </w:rPr>
                        </m:ctrlPr>
                      </m:fPr>
                      <m:num>
                        <m:r>
                          <w:rPr>
                            <w:rFonts w:ascii="Cambria Math" w:hAnsi="Cambria Math"/>
                          </w:rPr>
                          <m:t>-t</m:t>
                        </m:r>
                      </m:num>
                      <m:den>
                        <m:sSub>
                          <m:sSubPr>
                            <m:ctrlPr>
                              <w:rPr>
                                <w:rFonts w:ascii="Cambria Math" w:hAnsi="Cambria Math"/>
                              </w:rPr>
                            </m:ctrlPr>
                          </m:sSubPr>
                          <m:e>
                            <m:r>
                              <w:rPr>
                                <w:rFonts w:ascii="Cambria Math" w:hAnsi="Cambria Math"/>
                              </w:rPr>
                              <m:t>τ</m:t>
                            </m:r>
                          </m:e>
                          <m:sub>
                            <m:r>
                              <w:rPr>
                                <w:rFonts w:ascii="Cambria Math" w:hAnsi="Cambria Math"/>
                              </w:rPr>
                              <m:t>2</m:t>
                            </m:r>
                          </m:sub>
                        </m:sSub>
                      </m:den>
                    </m:f>
                  </m:sup>
                </m:sSup>
              </m:oMath>
            </m:oMathPara>
          </w:p>
        </w:tc>
        <w:tc>
          <w:tcPr>
            <w:tcW w:w="459" w:type="dxa"/>
            <w:tcBorders>
              <w:top w:val="nil"/>
              <w:left w:val="nil"/>
              <w:bottom w:val="nil"/>
              <w:right w:val="nil"/>
            </w:tcBorders>
            <w:vAlign w:val="center"/>
          </w:tcPr>
          <w:p w14:paraId="18E640F6" w14:textId="77777777" w:rsidR="00A715EA" w:rsidRDefault="00736FC2">
            <w:pPr>
              <w:widowControl w:val="0"/>
              <w:spacing w:after="0" w:line="240" w:lineRule="auto"/>
              <w:jc w:val="center"/>
              <w:rPr>
                <w:rStyle w:val="q4iawc"/>
                <w:i/>
                <w:lang w:val="en-US"/>
              </w:rPr>
            </w:pPr>
            <w:r>
              <w:rPr>
                <w:rStyle w:val="q4iawc"/>
                <w:rFonts w:eastAsia="Calibri" w:cs="Arial"/>
                <w:i/>
                <w:lang w:val="en-US"/>
              </w:rPr>
              <w:t>(6)</w:t>
            </w:r>
          </w:p>
        </w:tc>
      </w:tr>
    </w:tbl>
    <w:p w14:paraId="24F7F937" w14:textId="77777777" w:rsidR="00A715EA" w:rsidRDefault="00A715EA">
      <w:pPr>
        <w:rPr>
          <w:rFonts w:eastAsiaTheme="minorEastAsia"/>
          <w:lang w:val="en-US"/>
        </w:rPr>
      </w:pPr>
    </w:p>
    <w:p w14:paraId="58207F8E" w14:textId="77777777" w:rsidR="00A715EA" w:rsidRDefault="00736FC2">
      <w:pPr>
        <w:rPr>
          <w:rFonts w:eastAsiaTheme="minorEastAsia"/>
          <w:lang w:val="en-US"/>
        </w:rPr>
      </w:pPr>
      <w:r>
        <w:rPr>
          <w:rFonts w:eastAsiaTheme="minorEastAsia"/>
          <w:lang w:val="en-US"/>
        </w:rPr>
        <w:t>The values obtained are presented in the following table according to the environment in which the NCs were placed:</w:t>
      </w:r>
    </w:p>
    <w:tbl>
      <w:tblPr>
        <w:tblStyle w:val="Grilledutableau"/>
        <w:tblW w:w="5665" w:type="dxa"/>
        <w:jc w:val="center"/>
        <w:tblLayout w:type="fixed"/>
        <w:tblLook w:val="04A0" w:firstRow="1" w:lastRow="0" w:firstColumn="1" w:lastColumn="0" w:noHBand="0" w:noVBand="1"/>
      </w:tblPr>
      <w:tblGrid>
        <w:gridCol w:w="3020"/>
        <w:gridCol w:w="1369"/>
        <w:gridCol w:w="1276"/>
      </w:tblGrid>
      <w:tr w:rsidR="00A715EA" w14:paraId="499ADBE8" w14:textId="77777777">
        <w:trPr>
          <w:jc w:val="center"/>
        </w:trPr>
        <w:tc>
          <w:tcPr>
            <w:tcW w:w="3020" w:type="dxa"/>
          </w:tcPr>
          <w:p w14:paraId="71CA5CD9" w14:textId="77777777" w:rsidR="00A715EA" w:rsidRDefault="00A715EA">
            <w:pPr>
              <w:widowControl w:val="0"/>
              <w:spacing w:after="0" w:line="240" w:lineRule="auto"/>
              <w:jc w:val="center"/>
              <w:rPr>
                <w:lang w:val="en-US"/>
              </w:rPr>
            </w:pPr>
          </w:p>
        </w:tc>
        <w:tc>
          <w:tcPr>
            <w:tcW w:w="1369" w:type="dxa"/>
          </w:tcPr>
          <w:p w14:paraId="7B58F11B" w14:textId="77777777" w:rsidR="00A715EA" w:rsidRDefault="00000000">
            <w:pPr>
              <w:widowControl w:val="0"/>
              <w:spacing w:after="0" w:line="240" w:lineRule="auto"/>
              <w:jc w:val="center"/>
              <w:rPr>
                <w:lang w:val="en-US"/>
              </w:rPr>
            </w:pPr>
            <m:oMath>
              <m:sSub>
                <m:sSubPr>
                  <m:ctrlPr>
                    <w:rPr>
                      <w:rFonts w:ascii="Cambria Math" w:hAnsi="Cambria Math"/>
                    </w:rPr>
                  </m:ctrlPr>
                </m:sSubPr>
                <m:e>
                  <m:r>
                    <w:rPr>
                      <w:rFonts w:ascii="Cambria Math" w:hAnsi="Cambria Math"/>
                    </w:rPr>
                    <m:t>τ</m:t>
                  </m:r>
                </m:e>
                <m:sub>
                  <m:r>
                    <w:rPr>
                      <w:rFonts w:ascii="Cambria Math" w:hAnsi="Cambria Math"/>
                    </w:rPr>
                    <m:t>1</m:t>
                  </m:r>
                </m:sub>
              </m:sSub>
            </m:oMath>
            <w:r w:rsidR="00736FC2">
              <w:rPr>
                <w:rFonts w:eastAsiaTheme="minorEastAsia" w:cs="Arial"/>
                <w:lang w:val="en-US"/>
              </w:rPr>
              <w:t xml:space="preserve"> en ns</w:t>
            </w:r>
          </w:p>
        </w:tc>
        <w:tc>
          <w:tcPr>
            <w:tcW w:w="1276" w:type="dxa"/>
          </w:tcPr>
          <w:p w14:paraId="1E2697D0" w14:textId="77777777" w:rsidR="00A715EA" w:rsidRDefault="00000000">
            <w:pPr>
              <w:widowControl w:val="0"/>
              <w:spacing w:after="0" w:line="240" w:lineRule="auto"/>
              <w:jc w:val="center"/>
              <w:rPr>
                <w:lang w:val="en-US"/>
              </w:rPr>
            </w:pPr>
            <m:oMath>
              <m:sSub>
                <m:sSubPr>
                  <m:ctrlPr>
                    <w:rPr>
                      <w:rFonts w:ascii="Cambria Math" w:hAnsi="Cambria Math"/>
                    </w:rPr>
                  </m:ctrlPr>
                </m:sSubPr>
                <m:e>
                  <m:r>
                    <w:rPr>
                      <w:rFonts w:ascii="Cambria Math" w:hAnsi="Cambria Math"/>
                    </w:rPr>
                    <m:t>τ</m:t>
                  </m:r>
                </m:e>
                <m:sub>
                  <m:r>
                    <w:rPr>
                      <w:rFonts w:ascii="Cambria Math" w:hAnsi="Cambria Math"/>
                    </w:rPr>
                    <m:t>2</m:t>
                  </m:r>
                </m:sub>
              </m:sSub>
            </m:oMath>
            <w:r w:rsidR="00736FC2">
              <w:rPr>
                <w:rFonts w:eastAsiaTheme="minorEastAsia" w:cs="Arial"/>
                <w:lang w:val="en-US"/>
              </w:rPr>
              <w:t xml:space="preserve"> en ns</w:t>
            </w:r>
          </w:p>
        </w:tc>
      </w:tr>
      <w:tr w:rsidR="00A715EA" w14:paraId="62BC79A5" w14:textId="77777777">
        <w:trPr>
          <w:jc w:val="center"/>
        </w:trPr>
        <w:tc>
          <w:tcPr>
            <w:tcW w:w="3020" w:type="dxa"/>
          </w:tcPr>
          <w:p w14:paraId="54F328D9" w14:textId="77777777" w:rsidR="00A715EA" w:rsidRDefault="00736FC2">
            <w:pPr>
              <w:widowControl w:val="0"/>
              <w:spacing w:after="0" w:line="240" w:lineRule="auto"/>
              <w:jc w:val="center"/>
              <w:rPr>
                <w:lang w:val="en-US"/>
              </w:rPr>
            </w:pPr>
            <w:r>
              <w:rPr>
                <w:rFonts w:eastAsia="Calibri" w:cs="Arial"/>
                <w:lang w:val="en-US"/>
              </w:rPr>
              <w:t>NCs in glass substrate</w:t>
            </w:r>
          </w:p>
        </w:tc>
        <w:tc>
          <w:tcPr>
            <w:tcW w:w="1369" w:type="dxa"/>
          </w:tcPr>
          <w:p w14:paraId="0F72F74F" w14:textId="77777777" w:rsidR="00A715EA" w:rsidRPr="00D465DC" w:rsidRDefault="003E7448">
            <w:pPr>
              <w:widowControl w:val="0"/>
              <w:spacing w:after="0" w:line="240" w:lineRule="auto"/>
              <w:jc w:val="center"/>
              <w:rPr>
                <w:lang w:val="en-US"/>
              </w:rPr>
            </w:pPr>
            <w:r w:rsidRPr="00D465DC">
              <w:rPr>
                <w:rFonts w:eastAsia="Calibri" w:cs="Arial"/>
                <w:lang w:val="en-US"/>
              </w:rPr>
              <w:t>3.39</w:t>
            </w:r>
          </w:p>
        </w:tc>
        <w:tc>
          <w:tcPr>
            <w:tcW w:w="1276" w:type="dxa"/>
          </w:tcPr>
          <w:p w14:paraId="48864972" w14:textId="77777777" w:rsidR="00A715EA" w:rsidRPr="00D465DC" w:rsidRDefault="003E7448">
            <w:pPr>
              <w:widowControl w:val="0"/>
              <w:spacing w:after="0" w:line="240" w:lineRule="auto"/>
              <w:jc w:val="center"/>
              <w:rPr>
                <w:lang w:val="en-US"/>
              </w:rPr>
            </w:pPr>
            <w:r w:rsidRPr="00D465DC">
              <w:rPr>
                <w:rFonts w:eastAsia="Calibri" w:cs="Arial"/>
                <w:lang w:val="en-US"/>
              </w:rPr>
              <w:t>20.09</w:t>
            </w:r>
          </w:p>
        </w:tc>
      </w:tr>
      <w:tr w:rsidR="00A715EA" w14:paraId="2CD4D135" w14:textId="77777777">
        <w:trPr>
          <w:jc w:val="center"/>
        </w:trPr>
        <w:tc>
          <w:tcPr>
            <w:tcW w:w="3020" w:type="dxa"/>
          </w:tcPr>
          <w:p w14:paraId="7393A9F9" w14:textId="77777777" w:rsidR="00A715EA" w:rsidRDefault="00736FC2">
            <w:pPr>
              <w:widowControl w:val="0"/>
              <w:spacing w:after="0" w:line="240" w:lineRule="auto"/>
              <w:jc w:val="center"/>
              <w:rPr>
                <w:lang w:val="en-US"/>
              </w:rPr>
            </w:pPr>
            <w:r>
              <w:rPr>
                <w:rFonts w:eastAsia="Calibri" w:cs="Arial"/>
                <w:lang w:val="en-US"/>
              </w:rPr>
              <w:t>NCs in IEW</w:t>
            </w:r>
          </w:p>
        </w:tc>
        <w:tc>
          <w:tcPr>
            <w:tcW w:w="1369" w:type="dxa"/>
          </w:tcPr>
          <w:p w14:paraId="02EC990A" w14:textId="77777777" w:rsidR="00A715EA" w:rsidRPr="00D465DC" w:rsidRDefault="00CF589D">
            <w:pPr>
              <w:widowControl w:val="0"/>
              <w:spacing w:after="0" w:line="240" w:lineRule="auto"/>
              <w:jc w:val="center"/>
              <w:rPr>
                <w:lang w:val="en-US"/>
              </w:rPr>
            </w:pPr>
            <w:r w:rsidRPr="00D465DC">
              <w:rPr>
                <w:rFonts w:eastAsia="Calibri" w:cs="Arial"/>
                <w:lang w:val="en-US"/>
              </w:rPr>
              <w:t>3.2</w:t>
            </w:r>
          </w:p>
        </w:tc>
        <w:tc>
          <w:tcPr>
            <w:tcW w:w="1276" w:type="dxa"/>
          </w:tcPr>
          <w:p w14:paraId="49B7D78B" w14:textId="77777777" w:rsidR="00A715EA" w:rsidRPr="00D465DC" w:rsidRDefault="00CF589D">
            <w:pPr>
              <w:widowControl w:val="0"/>
              <w:spacing w:after="0" w:line="240" w:lineRule="auto"/>
              <w:jc w:val="center"/>
              <w:rPr>
                <w:lang w:val="en-US"/>
              </w:rPr>
            </w:pPr>
            <w:r w:rsidRPr="00D465DC">
              <w:rPr>
                <w:rFonts w:eastAsia="Calibri" w:cs="Arial"/>
                <w:lang w:val="en-US"/>
              </w:rPr>
              <w:t>18.46</w:t>
            </w:r>
          </w:p>
        </w:tc>
      </w:tr>
      <w:tr w:rsidR="00A715EA" w14:paraId="694DABC5" w14:textId="77777777">
        <w:trPr>
          <w:jc w:val="center"/>
        </w:trPr>
        <w:tc>
          <w:tcPr>
            <w:tcW w:w="3020" w:type="dxa"/>
          </w:tcPr>
          <w:p w14:paraId="7B6AA356" w14:textId="77777777" w:rsidR="00A715EA" w:rsidRDefault="00736FC2">
            <w:pPr>
              <w:widowControl w:val="0"/>
              <w:spacing w:after="0" w:line="240" w:lineRule="auto"/>
              <w:jc w:val="center"/>
              <w:rPr>
                <w:lang w:val="en-US"/>
              </w:rPr>
            </w:pPr>
            <w:r>
              <w:rPr>
                <w:rFonts w:eastAsia="Calibri" w:cs="Arial"/>
                <w:lang w:val="en-US"/>
              </w:rPr>
              <w:t>NCs in TiO</w:t>
            </w:r>
            <w:r>
              <w:rPr>
                <w:rFonts w:eastAsia="Calibri" w:cs="Arial"/>
                <w:vertAlign w:val="subscript"/>
                <w:lang w:val="en-US"/>
              </w:rPr>
              <w:t>2</w:t>
            </w:r>
            <w:r>
              <w:rPr>
                <w:rFonts w:eastAsia="Calibri" w:cs="Arial"/>
                <w:lang w:val="en-US"/>
              </w:rPr>
              <w:t xml:space="preserve"> structure on IEW</w:t>
            </w:r>
          </w:p>
        </w:tc>
        <w:tc>
          <w:tcPr>
            <w:tcW w:w="1369" w:type="dxa"/>
          </w:tcPr>
          <w:p w14:paraId="45090637" w14:textId="77777777" w:rsidR="00A715EA" w:rsidRPr="00D465DC" w:rsidRDefault="003E7448">
            <w:pPr>
              <w:widowControl w:val="0"/>
              <w:spacing w:after="0" w:line="240" w:lineRule="auto"/>
              <w:jc w:val="center"/>
              <w:rPr>
                <w:lang w:val="en-US"/>
              </w:rPr>
            </w:pPr>
            <w:r w:rsidRPr="00D465DC">
              <w:rPr>
                <w:rFonts w:eastAsia="Calibri" w:cs="Arial"/>
                <w:lang w:val="en-US"/>
              </w:rPr>
              <w:t>3.05</w:t>
            </w:r>
          </w:p>
        </w:tc>
        <w:tc>
          <w:tcPr>
            <w:tcW w:w="1276" w:type="dxa"/>
          </w:tcPr>
          <w:p w14:paraId="06403C15" w14:textId="77777777" w:rsidR="00A715EA" w:rsidRPr="00D465DC" w:rsidRDefault="003E7448">
            <w:pPr>
              <w:widowControl w:val="0"/>
              <w:spacing w:after="0" w:line="240" w:lineRule="auto"/>
              <w:jc w:val="center"/>
              <w:rPr>
                <w:lang w:val="en-US"/>
              </w:rPr>
            </w:pPr>
            <w:r w:rsidRPr="00D465DC">
              <w:rPr>
                <w:rFonts w:eastAsia="Calibri" w:cs="Arial"/>
                <w:lang w:val="en-US"/>
              </w:rPr>
              <w:t>16.53</w:t>
            </w:r>
          </w:p>
        </w:tc>
      </w:tr>
    </w:tbl>
    <w:p w14:paraId="63C3A2F8" w14:textId="77777777" w:rsidR="00A715EA" w:rsidRDefault="00A715EA">
      <w:pPr>
        <w:jc w:val="both"/>
        <w:rPr>
          <w:rStyle w:val="q4iawc"/>
          <w:lang w:val="en-US"/>
        </w:rPr>
      </w:pPr>
    </w:p>
    <w:p w14:paraId="29C8429E" w14:textId="77777777" w:rsidR="001D0179" w:rsidRDefault="00736FC2">
      <w:pPr>
        <w:jc w:val="both"/>
        <w:rPr>
          <w:rStyle w:val="q4iawc"/>
          <w:lang w:val="en-US"/>
        </w:rPr>
      </w:pPr>
      <w:r>
        <w:rPr>
          <w:rStyle w:val="q4iawc"/>
          <w:lang w:val="en-US"/>
        </w:rPr>
        <w:t>From the lifetimes obtained on the different structures, the Purcell factor can be calculated as follows:</w:t>
      </w:r>
    </w:p>
    <w:p w14:paraId="1FCBE5A2" w14:textId="4E342B20" w:rsidR="00A715EA" w:rsidRDefault="00000000" w:rsidP="001D0179">
      <w:pPr>
        <w:ind w:left="2124" w:firstLine="708"/>
        <w:jc w:val="both"/>
        <w:rPr>
          <w:rStyle w:val="q4iawc"/>
          <w:lang w:val="en-US"/>
        </w:rPr>
      </w:pPr>
      <m:oMath>
        <m:sSub>
          <m:sSubPr>
            <m:ctrlPr>
              <w:rPr>
                <w:rFonts w:ascii="Cambria Math" w:hAnsi="Cambria Math"/>
              </w:rPr>
            </m:ctrlPr>
          </m:sSubPr>
          <m:e>
            <m:r>
              <w:rPr>
                <w:rFonts w:ascii="Cambria Math" w:hAnsi="Cambria Math"/>
              </w:rPr>
              <m:t>P</m:t>
            </m:r>
          </m:e>
          <m:sub>
            <m:r>
              <w:rPr>
                <w:rFonts w:ascii="Cambria Math" w:hAnsi="Cambria Math"/>
              </w:rPr>
              <m:t>f</m:t>
            </m:r>
          </m:sub>
        </m:sSub>
        <m:r>
          <w:rPr>
            <w:rFonts w:ascii="Cambria Math" w:hAnsi="Cambria Math"/>
          </w:rPr>
          <m:t>=</m:t>
        </m:r>
        <m:f>
          <m:fPr>
            <m:ctrlPr>
              <w:rPr>
                <w:rFonts w:ascii="Cambria Math" w:hAnsi="Cambria Math"/>
              </w:rPr>
            </m:ctrlPr>
          </m:fPr>
          <m:num>
            <m:r>
              <w:rPr>
                <w:rFonts w:ascii="Cambria Math" w:hAnsi="Cambria Math"/>
              </w:rPr>
              <m:t>3</m:t>
            </m:r>
          </m:num>
          <m:den>
            <m:r>
              <w:rPr>
                <w:rFonts w:ascii="Cambria Math" w:hAnsi="Cambria Math"/>
              </w:rPr>
              <m:t>4</m:t>
            </m:r>
            <m:sSup>
              <m:sSupPr>
                <m:ctrlPr>
                  <w:rPr>
                    <w:rFonts w:ascii="Cambria Math" w:hAnsi="Cambria Math"/>
                  </w:rPr>
                </m:ctrlPr>
              </m:sSupPr>
              <m:e>
                <m:r>
                  <w:rPr>
                    <w:rFonts w:ascii="Cambria Math" w:hAnsi="Cambria Math"/>
                  </w:rPr>
                  <m:t>π</m:t>
                </m:r>
              </m:e>
              <m:sup>
                <m:r>
                  <w:rPr>
                    <w:rFonts w:ascii="Cambria Math" w:hAnsi="Cambria Math"/>
                  </w:rPr>
                  <m:t>2</m:t>
                </m:r>
              </m:sup>
            </m:sSup>
          </m:den>
        </m:f>
        <m:sSup>
          <m:sSupPr>
            <m:ctrlPr>
              <w:rPr>
                <w:rFonts w:ascii="Cambria Math" w:hAnsi="Cambria Math"/>
              </w:rPr>
            </m:ctrlPr>
          </m:sSupPr>
          <m:e>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λ</m:t>
                        </m:r>
                      </m:e>
                      <m:sub>
                        <m:r>
                          <w:rPr>
                            <w:rFonts w:ascii="Cambria Math" w:hAnsi="Cambria Math"/>
                          </w:rPr>
                          <m:t>em</m:t>
                        </m:r>
                      </m:sub>
                    </m:sSub>
                  </m:num>
                  <m:den>
                    <m:r>
                      <w:rPr>
                        <w:rFonts w:ascii="Cambria Math" w:hAnsi="Cambria Math"/>
                      </w:rPr>
                      <m:t>n</m:t>
                    </m:r>
                  </m:den>
                </m:f>
              </m:e>
            </m:d>
          </m:e>
          <m:sup>
            <m:r>
              <w:rPr>
                <w:rFonts w:ascii="Cambria Math" w:hAnsi="Cambria Math"/>
              </w:rPr>
              <m:t>3</m:t>
            </m:r>
          </m:sup>
        </m:sSup>
        <m:d>
          <m:dPr>
            <m:ctrlPr>
              <w:rPr>
                <w:rFonts w:ascii="Cambria Math" w:hAnsi="Cambria Math"/>
              </w:rPr>
            </m:ctrlPr>
          </m:dPr>
          <m:e>
            <m:f>
              <m:fPr>
                <m:ctrlPr>
                  <w:rPr>
                    <w:rFonts w:ascii="Cambria Math" w:hAnsi="Cambria Math"/>
                  </w:rPr>
                </m:ctrlPr>
              </m:fPr>
              <m:num>
                <m:r>
                  <w:rPr>
                    <w:rFonts w:ascii="Cambria Math" w:hAnsi="Cambria Math"/>
                  </w:rPr>
                  <m:t>Q</m:t>
                </m:r>
              </m:num>
              <m:den>
                <m:r>
                  <w:rPr>
                    <w:rFonts w:ascii="Cambria Math" w:hAnsi="Cambria Math"/>
                  </w:rPr>
                  <m:t>V</m:t>
                </m:r>
              </m:den>
            </m:f>
          </m:e>
        </m:d>
        <m:r>
          <w:rPr>
            <w:rFonts w:ascii="Cambria Math" w:hAnsi="Cambria Math"/>
          </w:rPr>
          <m:t>=</m:t>
        </m:r>
        <m:f>
          <m:fPr>
            <m:ctrlPr>
              <w:rPr>
                <w:rFonts w:ascii="Cambria Math" w:hAnsi="Cambria Math"/>
              </w:rPr>
            </m:ctrlPr>
          </m:fPr>
          <m:num>
            <m:r>
              <w:rPr>
                <w:rFonts w:ascii="Cambria Math" w:hAnsi="Cambria Math"/>
              </w:rPr>
              <m:t>Γ</m:t>
            </m:r>
          </m:num>
          <m:den>
            <m:sSub>
              <m:sSubPr>
                <m:ctrlPr>
                  <w:rPr>
                    <w:rFonts w:ascii="Cambria Math" w:hAnsi="Cambria Math"/>
                  </w:rPr>
                </m:ctrlPr>
              </m:sSubPr>
              <m:e>
                <m:r>
                  <w:rPr>
                    <w:rFonts w:ascii="Cambria Math" w:hAnsi="Cambria Math"/>
                  </w:rPr>
                  <m:t>Γ</m:t>
                </m:r>
              </m:e>
              <m:sub>
                <m:r>
                  <w:rPr>
                    <w:rFonts w:ascii="Cambria Math" w:hAnsi="Cambria Math"/>
                  </w:rPr>
                  <m:t>0</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τ</m:t>
                </m:r>
              </m:e>
              <m:sub>
                <m:r>
                  <w:rPr>
                    <w:rFonts w:ascii="Cambria Math" w:hAnsi="Cambria Math"/>
                  </w:rPr>
                  <m:t>0</m:t>
                </m:r>
              </m:sub>
            </m:sSub>
          </m:num>
          <m:den>
            <m:r>
              <w:rPr>
                <w:rFonts w:ascii="Cambria Math" w:hAnsi="Cambria Math"/>
              </w:rPr>
              <m:t>τ</m:t>
            </m:r>
          </m:den>
        </m:f>
      </m:oMath>
      <w:r w:rsidR="001D0179">
        <w:rPr>
          <w:rStyle w:val="q4iawc"/>
          <w:lang w:val="en-US"/>
        </w:rPr>
        <w:t xml:space="preserve"> </w:t>
      </w:r>
      <w:r w:rsidR="001D0179">
        <w:rPr>
          <w:rStyle w:val="q4iawc"/>
          <w:lang w:val="en-US"/>
        </w:rPr>
        <w:tab/>
      </w:r>
      <w:r w:rsidR="001D0179">
        <w:rPr>
          <w:rStyle w:val="q4iawc"/>
          <w:lang w:val="en-US"/>
        </w:rPr>
        <w:tab/>
      </w:r>
      <w:r w:rsidR="001D0179">
        <w:rPr>
          <w:rStyle w:val="q4iawc"/>
          <w:lang w:val="en-US"/>
        </w:rPr>
        <w:tab/>
      </w:r>
      <w:r w:rsidR="001D0179">
        <w:rPr>
          <w:rStyle w:val="q4iawc"/>
          <w:lang w:val="en-US"/>
        </w:rPr>
        <w:tab/>
      </w:r>
      <w:r w:rsidR="001D0179">
        <w:rPr>
          <w:rStyle w:val="q4iawc"/>
          <w:lang w:val="en-US"/>
        </w:rPr>
        <w:tab/>
        <w:t>(7)</w:t>
      </w:r>
    </w:p>
    <w:p w14:paraId="6C352BC6" w14:textId="77777777" w:rsidR="00A715EA" w:rsidRDefault="00736FC2">
      <w:pPr>
        <w:jc w:val="both"/>
        <w:rPr>
          <w:rStyle w:val="q4iawc"/>
          <w:lang w:val="en-US"/>
        </w:rPr>
      </w:pPr>
      <w:r>
        <w:rPr>
          <w:rStyle w:val="jlqj4b"/>
          <w:rFonts w:eastAsiaTheme="minorEastAsia"/>
          <w:lang w:val="en-US"/>
        </w:rPr>
        <w:t xml:space="preserve">where </w:t>
      </w:r>
      <m:oMath>
        <m:sSub>
          <m:sSubPr>
            <m:ctrlPr>
              <w:rPr>
                <w:rFonts w:ascii="Cambria Math" w:hAnsi="Cambria Math"/>
              </w:rPr>
            </m:ctrlPr>
          </m:sSubPr>
          <m:e>
            <m:r>
              <w:rPr>
                <w:rFonts w:ascii="Cambria Math" w:hAnsi="Cambria Math"/>
              </w:rPr>
              <m:t>τ</m:t>
            </m:r>
          </m:e>
          <m:sub>
            <m:r>
              <w:rPr>
                <w:rFonts w:ascii="Cambria Math" w:hAnsi="Cambria Math"/>
                <w:lang w:val="en-US"/>
              </w:rPr>
              <m:t>0</m:t>
            </m:r>
          </m:sub>
        </m:sSub>
      </m:oMath>
      <w:r>
        <w:rPr>
          <w:rStyle w:val="jlqj4b"/>
          <w:rFonts w:eastAsiaTheme="minorEastAsia"/>
          <w:b/>
          <w:lang w:val="en-US"/>
        </w:rPr>
        <w:t xml:space="preserve"> </w:t>
      </w:r>
      <w:r>
        <w:rPr>
          <w:rStyle w:val="q4iawc"/>
          <w:lang w:val="en-US"/>
        </w:rPr>
        <w:t xml:space="preserve">represents the NC lifetime on the glass which serves as a reference and where </w:t>
      </w:r>
      <m:oMath>
        <m:r>
          <w:rPr>
            <w:rFonts w:ascii="Cambria Math" w:hAnsi="Cambria Math"/>
          </w:rPr>
          <m:t>τ</m:t>
        </m:r>
      </m:oMath>
      <w:r>
        <w:rPr>
          <w:rStyle w:val="jlqj4b"/>
          <w:rFonts w:eastAsiaTheme="minorEastAsia"/>
          <w:lang w:val="en-US"/>
        </w:rPr>
        <w:t xml:space="preserve"> </w:t>
      </w:r>
      <w:r>
        <w:rPr>
          <w:rStyle w:val="q4iawc"/>
          <w:lang w:val="en-US"/>
        </w:rPr>
        <w:t>represents the NC lifetime near the waveguide or near the TiO</w:t>
      </w:r>
      <w:r>
        <w:rPr>
          <w:rStyle w:val="q4iawc"/>
          <w:vertAlign w:val="subscript"/>
          <w:lang w:val="en-US"/>
        </w:rPr>
        <w:t>2</w:t>
      </w:r>
      <w:r>
        <w:rPr>
          <w:rStyle w:val="q4iawc"/>
          <w:lang w:val="en-US"/>
        </w:rPr>
        <w:t xml:space="preserve"> on the waveguide.</w:t>
      </w:r>
    </w:p>
    <w:p w14:paraId="4EDD4669" w14:textId="77777777" w:rsidR="00A715EA" w:rsidRDefault="00736FC2">
      <w:pPr>
        <w:jc w:val="both"/>
        <w:rPr>
          <w:rStyle w:val="q4iawc"/>
          <w:lang w:val="en-US"/>
        </w:rPr>
      </w:pPr>
      <w:r>
        <w:rPr>
          <w:rStyle w:val="q4iawc"/>
          <w:lang w:val="en-US"/>
        </w:rPr>
        <w:t>The Purcell factor was calculated in the case where the NCs are on the waveguide and the case where the NCs are on the TiO</w:t>
      </w:r>
      <w:r>
        <w:rPr>
          <w:rStyle w:val="q4iawc"/>
          <w:vertAlign w:val="subscript"/>
          <w:lang w:val="en-US"/>
        </w:rPr>
        <w:t>2</w:t>
      </w:r>
      <w:r>
        <w:rPr>
          <w:rStyle w:val="q4iawc"/>
          <w:lang w:val="en-US"/>
        </w:rPr>
        <w:t xml:space="preserve"> structure to find:</w:t>
      </w:r>
    </w:p>
    <w:tbl>
      <w:tblPr>
        <w:tblStyle w:val="Grilledutableau"/>
        <w:tblW w:w="9072" w:type="dxa"/>
        <w:tblLayout w:type="fixed"/>
        <w:tblLook w:val="04A0" w:firstRow="1" w:lastRow="0" w:firstColumn="1" w:lastColumn="0" w:noHBand="0" w:noVBand="1"/>
      </w:tblPr>
      <w:tblGrid>
        <w:gridCol w:w="8442"/>
        <w:gridCol w:w="630"/>
      </w:tblGrid>
      <w:tr w:rsidR="00A715EA" w14:paraId="7870867D" w14:textId="77777777">
        <w:tc>
          <w:tcPr>
            <w:tcW w:w="8441" w:type="dxa"/>
            <w:tcBorders>
              <w:top w:val="nil"/>
              <w:left w:val="nil"/>
              <w:bottom w:val="nil"/>
              <w:right w:val="nil"/>
            </w:tcBorders>
          </w:tcPr>
          <w:p w14:paraId="19E3112C" w14:textId="77777777" w:rsidR="00A715EA" w:rsidRDefault="00000000" w:rsidP="00BC4C0A">
            <w:pPr>
              <w:widowControl w:val="0"/>
              <w:spacing w:after="0" w:line="240" w:lineRule="auto"/>
              <w:jc w:val="center"/>
              <w:rPr>
                <w:rStyle w:val="q4iawc"/>
                <w:lang w:val="en-US"/>
              </w:rPr>
            </w:pPr>
            <m:oMathPara>
              <m:oMathParaPr>
                <m:jc m:val="center"/>
              </m:oMathParaPr>
              <m:oMath>
                <m:d>
                  <m:dPr>
                    <m:begChr m:val="{"/>
                    <m:endChr m:val=""/>
                    <m:ctrlPr>
                      <w:rPr>
                        <w:rFonts w:ascii="Cambria Math" w:hAnsi="Cambria Math"/>
                      </w:rPr>
                    </m:ctrlPr>
                  </m:dPr>
                  <m:e>
                    <m:eqArr>
                      <m:eqArrPr>
                        <m:ctrlPr>
                          <w:rPr>
                            <w:rFonts w:ascii="Cambria Math" w:hAnsi="Cambria Math"/>
                          </w:rPr>
                        </m:ctrlPr>
                      </m:eqArrPr>
                      <m:e>
                        <m:sSub>
                          <m:sSubPr>
                            <m:ctrlPr>
                              <w:rPr>
                                <w:rFonts w:ascii="Cambria Math" w:hAnsi="Cambria Math"/>
                              </w:rPr>
                            </m:ctrlPr>
                          </m:sSubPr>
                          <m:e>
                            <m:r>
                              <w:rPr>
                                <w:rFonts w:ascii="Cambria Math" w:hAnsi="Cambria Math"/>
                              </w:rPr>
                              <m:t>P</m:t>
                            </m:r>
                          </m:e>
                          <m:sub>
                            <m:r>
                              <w:rPr>
                                <w:rFonts w:ascii="Cambria Math" w:hAnsi="Cambria Math"/>
                              </w:rPr>
                              <m:t>f</m:t>
                            </m:r>
                            <m:d>
                              <m:dPr>
                                <m:ctrlPr>
                                  <w:rPr>
                                    <w:rFonts w:ascii="Cambria Math" w:hAnsi="Cambria Math"/>
                                  </w:rPr>
                                </m:ctrlPr>
                              </m:dPr>
                              <m:e>
                                <m:r>
                                  <w:rPr>
                                    <w:rFonts w:ascii="Cambria Math" w:hAnsi="Cambria Math"/>
                                  </w:rPr>
                                  <m:t>IEW</m:t>
                                </m:r>
                              </m:e>
                            </m:d>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τ</m:t>
                                </m:r>
                              </m:e>
                              <m:sub>
                                <m:r>
                                  <w:rPr>
                                    <w:rFonts w:ascii="Cambria Math" w:hAnsi="Cambria Math"/>
                                  </w:rPr>
                                  <m:t>0</m:t>
                                </m:r>
                              </m:sub>
                            </m:sSub>
                          </m:num>
                          <m:den>
                            <m:sSub>
                              <m:sSubPr>
                                <m:ctrlPr>
                                  <w:rPr>
                                    <w:rFonts w:ascii="Cambria Math" w:hAnsi="Cambria Math"/>
                                  </w:rPr>
                                </m:ctrlPr>
                              </m:sSubPr>
                              <m:e>
                                <m:r>
                                  <w:rPr>
                                    <w:rFonts w:ascii="Cambria Math" w:hAnsi="Cambria Math"/>
                                  </w:rPr>
                                  <m:t>τ</m:t>
                                </m:r>
                              </m:e>
                              <m:sub>
                                <m:r>
                                  <w:rPr>
                                    <w:rFonts w:ascii="Cambria Math" w:hAnsi="Cambria Math"/>
                                  </w:rPr>
                                  <m:t>IEW</m:t>
                                </m:r>
                              </m:sub>
                            </m:sSub>
                          </m:den>
                        </m:f>
                        <m:r>
                          <w:rPr>
                            <w:rFonts w:ascii="Cambria Math" w:hAnsi="Cambria Math"/>
                          </w:rPr>
                          <m:t>=</m:t>
                        </m:r>
                        <m:f>
                          <m:fPr>
                            <m:ctrlPr>
                              <w:rPr>
                                <w:rFonts w:ascii="Cambria Math" w:hAnsi="Cambria Math"/>
                              </w:rPr>
                            </m:ctrlPr>
                          </m:fPr>
                          <m:num>
                            <m:r>
                              <w:rPr>
                                <w:rFonts w:ascii="Cambria Math" w:hAnsi="Cambria Math"/>
                              </w:rPr>
                              <m:t>11.74</m:t>
                            </m:r>
                          </m:num>
                          <m:den>
                            <m:r>
                              <w:rPr>
                                <w:rFonts w:ascii="Cambria Math" w:hAnsi="Cambria Math"/>
                              </w:rPr>
                              <m:t>10.83</m:t>
                            </m:r>
                          </m:den>
                        </m:f>
                        <m:r>
                          <w:rPr>
                            <w:rFonts w:ascii="Cambria Math" w:hAnsi="Cambria Math"/>
                          </w:rPr>
                          <m:t>=1.08</m:t>
                        </m:r>
                      </m:e>
                      <m:e>
                        <m:sSub>
                          <m:sSubPr>
                            <m:ctrlPr>
                              <w:rPr>
                                <w:rFonts w:ascii="Cambria Math" w:hAnsi="Cambria Math"/>
                              </w:rPr>
                            </m:ctrlPr>
                          </m:sSubPr>
                          <m:e>
                            <m:r>
                              <w:rPr>
                                <w:rFonts w:ascii="Cambria Math" w:hAnsi="Cambria Math"/>
                              </w:rPr>
                              <m:t>P</m:t>
                            </m:r>
                          </m:e>
                          <m:sub>
                            <m:r>
                              <w:rPr>
                                <w:rFonts w:ascii="Cambria Math" w:hAnsi="Cambria Math"/>
                              </w:rPr>
                              <m:t>f</m:t>
                            </m:r>
                            <m:d>
                              <m:dPr>
                                <m:ctrlPr>
                                  <w:rPr>
                                    <w:rFonts w:ascii="Cambria Math" w:hAnsi="Cambria Math"/>
                                  </w:rPr>
                                </m:ctrlPr>
                              </m:dPr>
                              <m:e>
                                <m:r>
                                  <w:rPr>
                                    <w:rFonts w:ascii="Cambria Math" w:hAnsi="Cambria Math"/>
                                  </w:rPr>
                                  <m:t>IEW+</m:t>
                                </m:r>
                                <m:sSub>
                                  <m:sSubPr>
                                    <m:ctrlPr>
                                      <w:rPr>
                                        <w:rFonts w:ascii="Cambria Math" w:hAnsi="Cambria Math"/>
                                      </w:rPr>
                                    </m:ctrlPr>
                                  </m:sSubPr>
                                  <m:e>
                                    <m:r>
                                      <w:rPr>
                                        <w:rFonts w:ascii="Cambria Math" w:hAnsi="Cambria Math"/>
                                      </w:rPr>
                                      <m:t>TiO</m:t>
                                    </m:r>
                                  </m:e>
                                  <m:sub>
                                    <m:r>
                                      <w:rPr>
                                        <w:rFonts w:ascii="Cambria Math" w:hAnsi="Cambria Math"/>
                                      </w:rPr>
                                      <m:t>2</m:t>
                                    </m:r>
                                  </m:sub>
                                </m:sSub>
                              </m:e>
                            </m:d>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τ</m:t>
                                </m:r>
                              </m:e>
                              <m:sub>
                                <m:r>
                                  <w:rPr>
                                    <w:rFonts w:ascii="Cambria Math" w:hAnsi="Cambria Math"/>
                                  </w:rPr>
                                  <m:t>0</m:t>
                                </m:r>
                              </m:sub>
                            </m:sSub>
                          </m:num>
                          <m:den>
                            <m:sSub>
                              <m:sSubPr>
                                <m:ctrlPr>
                                  <w:rPr>
                                    <w:rFonts w:ascii="Cambria Math" w:hAnsi="Cambria Math"/>
                                  </w:rPr>
                                </m:ctrlPr>
                              </m:sSubPr>
                              <m:e>
                                <m:r>
                                  <w:rPr>
                                    <w:rFonts w:ascii="Cambria Math" w:hAnsi="Cambria Math"/>
                                  </w:rPr>
                                  <m:t>τ</m:t>
                                </m:r>
                              </m:e>
                              <m:sub>
                                <m:r>
                                  <w:rPr>
                                    <w:rFonts w:ascii="Cambria Math" w:hAnsi="Cambria Math"/>
                                  </w:rPr>
                                  <m:t>IEW+</m:t>
                                </m:r>
                                <m:sSub>
                                  <m:sSubPr>
                                    <m:ctrlPr>
                                      <w:rPr>
                                        <w:rFonts w:ascii="Cambria Math" w:hAnsi="Cambria Math"/>
                                      </w:rPr>
                                    </m:ctrlPr>
                                  </m:sSubPr>
                                  <m:e>
                                    <m:r>
                                      <w:rPr>
                                        <w:rFonts w:ascii="Cambria Math" w:hAnsi="Cambria Math"/>
                                      </w:rPr>
                                      <m:t>TiO</m:t>
                                    </m:r>
                                  </m:e>
                                  <m:sub>
                                    <m:r>
                                      <w:rPr>
                                        <w:rFonts w:ascii="Cambria Math" w:hAnsi="Cambria Math"/>
                                      </w:rPr>
                                      <m:t>2</m:t>
                                    </m:r>
                                  </m:sub>
                                </m:sSub>
                              </m:sub>
                            </m:sSub>
                          </m:den>
                        </m:f>
                        <m:r>
                          <w:rPr>
                            <w:rFonts w:ascii="Cambria Math" w:hAnsi="Cambria Math"/>
                          </w:rPr>
                          <m:t>=</m:t>
                        </m:r>
                        <m:f>
                          <m:fPr>
                            <m:ctrlPr>
                              <w:rPr>
                                <w:rFonts w:ascii="Cambria Math" w:hAnsi="Cambria Math"/>
                              </w:rPr>
                            </m:ctrlPr>
                          </m:fPr>
                          <m:num>
                            <m:r>
                              <w:rPr>
                                <w:rFonts w:ascii="Cambria Math" w:hAnsi="Cambria Math"/>
                              </w:rPr>
                              <m:t>11.74</m:t>
                            </m:r>
                          </m:num>
                          <m:den>
                            <m:r>
                              <w:rPr>
                                <w:rFonts w:ascii="Cambria Math" w:hAnsi="Cambria Math"/>
                              </w:rPr>
                              <m:t>9.79</m:t>
                            </m:r>
                          </m:den>
                        </m:f>
                        <m:r>
                          <w:rPr>
                            <w:rFonts w:ascii="Cambria Math" w:hAnsi="Cambria Math"/>
                          </w:rPr>
                          <m:t>=1.22</m:t>
                        </m:r>
                      </m:e>
                    </m:eqArr>
                  </m:e>
                </m:d>
              </m:oMath>
            </m:oMathPara>
          </w:p>
        </w:tc>
        <w:tc>
          <w:tcPr>
            <w:tcW w:w="630" w:type="dxa"/>
            <w:tcBorders>
              <w:top w:val="nil"/>
              <w:left w:val="nil"/>
              <w:bottom w:val="nil"/>
              <w:right w:val="nil"/>
            </w:tcBorders>
            <w:vAlign w:val="center"/>
          </w:tcPr>
          <w:p w14:paraId="37169575" w14:textId="77777777" w:rsidR="00A715EA" w:rsidRDefault="00736FC2">
            <w:pPr>
              <w:widowControl w:val="0"/>
              <w:spacing w:after="0" w:line="240" w:lineRule="auto"/>
              <w:jc w:val="center"/>
              <w:rPr>
                <w:rStyle w:val="q4iawc"/>
                <w:i/>
                <w:lang w:val="en-US"/>
              </w:rPr>
            </w:pPr>
            <w:r>
              <w:rPr>
                <w:rStyle w:val="q4iawc"/>
                <w:rFonts w:eastAsia="Calibri" w:cs="Arial"/>
                <w:i/>
                <w:lang w:val="en-US"/>
              </w:rPr>
              <w:t>(8)</w:t>
            </w:r>
          </w:p>
        </w:tc>
      </w:tr>
    </w:tbl>
    <w:p w14:paraId="0FE45336" w14:textId="77777777" w:rsidR="00D465DC" w:rsidRDefault="00D465DC">
      <w:pPr>
        <w:jc w:val="both"/>
        <w:rPr>
          <w:lang w:val="en-US"/>
        </w:rPr>
      </w:pPr>
      <w:r>
        <w:rPr>
          <w:lang w:val="en-US"/>
        </w:rPr>
        <w:lastRenderedPageBreak/>
        <w:t xml:space="preserve">A single mean value for the lifetime is calculated by taking the average of the two characteristic times </w:t>
      </w:r>
      <m:oMath>
        <m:sSub>
          <m:sSubPr>
            <m:ctrlPr>
              <w:rPr>
                <w:rFonts w:ascii="Cambria Math" w:hAnsi="Cambria Math"/>
              </w:rPr>
            </m:ctrlPr>
          </m:sSubPr>
          <m:e>
            <m:r>
              <w:rPr>
                <w:rFonts w:ascii="Cambria Math" w:hAnsi="Cambria Math"/>
              </w:rPr>
              <m:t>τ</m:t>
            </m:r>
          </m:e>
          <m:sub>
            <m:r>
              <w:rPr>
                <w:rFonts w:ascii="Cambria Math" w:hAnsi="Cambria Math"/>
                <w:lang w:val="en-US"/>
              </w:rPr>
              <m:t>1</m:t>
            </m:r>
          </m:sub>
        </m:sSub>
      </m:oMath>
      <w:r w:rsidRPr="00280A48">
        <w:rPr>
          <w:rFonts w:eastAsiaTheme="minorEastAsia"/>
          <w:lang w:val="en-US"/>
        </w:rPr>
        <w:t xml:space="preserve"> and </w:t>
      </w:r>
      <m:oMath>
        <m:sSub>
          <m:sSubPr>
            <m:ctrlPr>
              <w:rPr>
                <w:rFonts w:ascii="Cambria Math" w:hAnsi="Cambria Math"/>
              </w:rPr>
            </m:ctrlPr>
          </m:sSubPr>
          <m:e>
            <m:r>
              <w:rPr>
                <w:rFonts w:ascii="Cambria Math" w:hAnsi="Cambria Math"/>
              </w:rPr>
              <m:t>τ</m:t>
            </m:r>
          </m:e>
          <m:sub>
            <m:r>
              <w:rPr>
                <w:rFonts w:ascii="Cambria Math" w:hAnsi="Cambria Math"/>
                <w:lang w:val="en-US"/>
              </w:rPr>
              <m:t>2</m:t>
            </m:r>
          </m:sub>
        </m:sSub>
      </m:oMath>
      <w:r w:rsidRPr="00280A48">
        <w:rPr>
          <w:rFonts w:eastAsiaTheme="minorEastAsia"/>
          <w:lang w:val="en-US"/>
        </w:rPr>
        <w:t xml:space="preserve"> with an equal weight for each contribution.</w:t>
      </w:r>
    </w:p>
    <w:p w14:paraId="45590460" w14:textId="77777777" w:rsidR="00A715EA" w:rsidRDefault="00736FC2">
      <w:pPr>
        <w:jc w:val="both"/>
        <w:rPr>
          <w:lang w:val="en-US"/>
        </w:rPr>
      </w:pPr>
      <w:r>
        <w:rPr>
          <w:lang w:val="en-US"/>
        </w:rPr>
        <w:t>The values obtained experimentally are of the same magnitude as that expected by the simulations</w:t>
      </w:r>
      <w:r w:rsidR="00D465DC">
        <w:rPr>
          <w:lang w:val="en-US"/>
        </w:rPr>
        <w:t xml:space="preserve"> (see main article)</w:t>
      </w:r>
      <w:r>
        <w:rPr>
          <w:lang w:val="en-US"/>
        </w:rPr>
        <w:t>. By adding a high index structure of TiO</w:t>
      </w:r>
      <w:r>
        <w:rPr>
          <w:vertAlign w:val="subscript"/>
          <w:lang w:val="en-US"/>
        </w:rPr>
        <w:t>2</w:t>
      </w:r>
      <w:r>
        <w:rPr>
          <w:lang w:val="en-US"/>
        </w:rPr>
        <w:t xml:space="preserve"> to the waveguide, it is</w:t>
      </w:r>
      <w:r w:rsidR="00D465DC">
        <w:rPr>
          <w:lang w:val="en-US"/>
        </w:rPr>
        <w:t xml:space="preserve"> thus</w:t>
      </w:r>
      <w:r>
        <w:rPr>
          <w:lang w:val="en-US"/>
        </w:rPr>
        <w:t xml:space="preserve"> possible to incre</w:t>
      </w:r>
      <w:r w:rsidR="00D465DC">
        <w:rPr>
          <w:lang w:val="en-US"/>
        </w:rPr>
        <w:t xml:space="preserve">ase the Purcell factor and </w:t>
      </w:r>
      <w:r>
        <w:rPr>
          <w:lang w:val="en-US"/>
        </w:rPr>
        <w:t xml:space="preserve">to increase the </w:t>
      </w:r>
      <w:r>
        <w:rPr>
          <w:rStyle w:val="q4iawc"/>
          <w:lang w:val="en-US"/>
        </w:rPr>
        <w:t>coupling efficiency</w:t>
      </w:r>
      <w:r>
        <w:rPr>
          <w:lang w:val="en-US"/>
        </w:rPr>
        <w:t xml:space="preserve"> in the guide.</w:t>
      </w:r>
    </w:p>
    <w:p w14:paraId="0309B4D7" w14:textId="2B25D759" w:rsidR="00A715EA" w:rsidRDefault="00736FC2">
      <w:pPr>
        <w:jc w:val="both"/>
        <w:rPr>
          <w:lang w:val="en-US"/>
        </w:rPr>
      </w:pPr>
      <w:r>
        <w:rPr>
          <w:lang w:val="en-US"/>
        </w:rPr>
        <w:t xml:space="preserve">The sample was then pigtailed with optical fiber by the company </w:t>
      </w:r>
      <w:proofErr w:type="spellStart"/>
      <w:r>
        <w:rPr>
          <w:lang w:val="en-US"/>
        </w:rPr>
        <w:t>TeemPhotonics</w:t>
      </w:r>
      <w:proofErr w:type="spellEnd"/>
      <w:r>
        <w:rPr>
          <w:lang w:val="en-US"/>
        </w:rPr>
        <w:t xml:space="preserve">. A 532 nm CW laser is initially placed on the IEW pigtail. The NCs will be excited and emitted at 610 nm. NCs emission will be coupled into the waveguide. To verify this, the photoluminescence at the fiber output obtained, </w:t>
      </w:r>
      <w:r w:rsidR="00D465DC">
        <w:rPr>
          <w:lang w:val="en-US"/>
        </w:rPr>
        <w:t>F</w:t>
      </w:r>
      <w:r>
        <w:rPr>
          <w:lang w:val="en-US"/>
        </w:rPr>
        <w:t>igure S</w:t>
      </w:r>
      <w:r w:rsidR="00C32144">
        <w:rPr>
          <w:lang w:val="en-US"/>
        </w:rPr>
        <w:t>3</w:t>
      </w:r>
      <w:r>
        <w:rPr>
          <w:lang w:val="en-US"/>
        </w:rPr>
        <w:t>-</w:t>
      </w:r>
      <w:r w:rsidR="00C32144">
        <w:rPr>
          <w:lang w:val="en-US"/>
        </w:rPr>
        <w:t>3</w:t>
      </w:r>
      <w:r>
        <w:rPr>
          <w:lang w:val="en-US"/>
        </w:rPr>
        <w:t xml:space="preserve"> red curve, corresponds to the NC emission at 610 nm. The laser was then placed on the TiO</w:t>
      </w:r>
      <w:r>
        <w:rPr>
          <w:vertAlign w:val="subscript"/>
          <w:lang w:val="en-US"/>
        </w:rPr>
        <w:t>2</w:t>
      </w:r>
      <w:r>
        <w:rPr>
          <w:lang w:val="en-US"/>
        </w:rPr>
        <w:t xml:space="preserve"> structure, as before, photoluminescence at 610 nm is obtained as shown in the blue curve in </w:t>
      </w:r>
      <w:r w:rsidR="00D465DC">
        <w:rPr>
          <w:lang w:val="en-US"/>
        </w:rPr>
        <w:t>F</w:t>
      </w:r>
      <w:r>
        <w:rPr>
          <w:lang w:val="en-US"/>
        </w:rPr>
        <w:t>igure S</w:t>
      </w:r>
      <w:r w:rsidR="00C32144">
        <w:rPr>
          <w:lang w:val="en-US"/>
        </w:rPr>
        <w:t>3</w:t>
      </w:r>
      <w:r>
        <w:rPr>
          <w:lang w:val="en-US"/>
        </w:rPr>
        <w:t>-</w:t>
      </w:r>
      <w:r w:rsidR="00C32144">
        <w:rPr>
          <w:lang w:val="en-US"/>
        </w:rPr>
        <w:t>3</w:t>
      </w:r>
      <w:r>
        <w:rPr>
          <w:lang w:val="en-US"/>
        </w:rPr>
        <w:t>. In the case of TiO</w:t>
      </w:r>
      <w:r>
        <w:rPr>
          <w:vertAlign w:val="subscript"/>
          <w:lang w:val="en-US"/>
        </w:rPr>
        <w:t>2</w:t>
      </w:r>
      <w:r>
        <w:rPr>
          <w:lang w:val="en-US"/>
        </w:rPr>
        <w:t>, the emission at the</w:t>
      </w:r>
      <w:r w:rsidR="00D465DC">
        <w:rPr>
          <w:lang w:val="en-US"/>
        </w:rPr>
        <w:t xml:space="preserve"> fiber</w:t>
      </w:r>
      <w:r>
        <w:rPr>
          <w:lang w:val="en-US"/>
        </w:rPr>
        <w:t xml:space="preserve"> is greater (multiplication by 1.5) compared to that obtained directly when the laser is on the waveguide. The TiO</w:t>
      </w:r>
      <w:r>
        <w:rPr>
          <w:vertAlign w:val="subscript"/>
          <w:lang w:val="en-US"/>
        </w:rPr>
        <w:t>2</w:t>
      </w:r>
      <w:r>
        <w:rPr>
          <w:lang w:val="en-US"/>
        </w:rPr>
        <w:t xml:space="preserve"> high index structure allows a better coupling of the NCs emission in IEW.</w:t>
      </w:r>
    </w:p>
    <w:p w14:paraId="266B470B" w14:textId="33A97059" w:rsidR="00A715EA" w:rsidRDefault="00BB5A95">
      <w:pPr>
        <w:keepNext/>
        <w:jc w:val="center"/>
      </w:pPr>
      <w:r>
        <w:rPr>
          <w:noProof/>
        </w:rPr>
        <w:drawing>
          <wp:inline distT="0" distB="0" distL="0" distR="0" wp14:anchorId="649CEA25" wp14:editId="269A933D">
            <wp:extent cx="4448024" cy="2678522"/>
            <wp:effectExtent l="0" t="0" r="0" b="7620"/>
            <wp:docPr id="1818764226" name="Image 1" descr="Une image contenant texte, Tracé, lign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764226" name="Image 1" descr="Une image contenant texte, Tracé, ligne, capture d’écran&#10;&#10;Le contenu généré par l’IA peut êtr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58575" cy="2684876"/>
                    </a:xfrm>
                    <a:prstGeom prst="rect">
                      <a:avLst/>
                    </a:prstGeom>
                    <a:noFill/>
                    <a:ln>
                      <a:noFill/>
                    </a:ln>
                  </pic:spPr>
                </pic:pic>
              </a:graphicData>
            </a:graphic>
          </wp:inline>
        </w:drawing>
      </w:r>
    </w:p>
    <w:p w14:paraId="7C91278B" w14:textId="77501D0B" w:rsidR="00A715EA" w:rsidRDefault="00736FC2">
      <w:pPr>
        <w:pStyle w:val="Lgende"/>
        <w:jc w:val="center"/>
        <w:rPr>
          <w:lang w:val="en-US"/>
        </w:rPr>
      </w:pPr>
      <w:r>
        <w:rPr>
          <w:lang w:val="en-US"/>
        </w:rPr>
        <w:t>Figure</w:t>
      </w:r>
      <w:r w:rsidRPr="00736FC2">
        <w:rPr>
          <w:lang w:val="en-US"/>
        </w:rPr>
        <w:t xml:space="preserve"> S</w:t>
      </w:r>
      <w:r w:rsidR="008B2404">
        <w:rPr>
          <w:lang w:val="en-US"/>
        </w:rPr>
        <w:t>3</w:t>
      </w:r>
      <w:r w:rsidRPr="00736FC2">
        <w:rPr>
          <w:lang w:val="en-US"/>
        </w:rPr>
        <w:t>-</w:t>
      </w:r>
      <w:r w:rsidR="008B2404">
        <w:rPr>
          <w:lang w:val="en-US"/>
        </w:rPr>
        <w:t>3</w:t>
      </w:r>
      <w:r>
        <w:rPr>
          <w:lang w:val="en-US"/>
        </w:rPr>
        <w:t xml:space="preserve">: </w:t>
      </w:r>
      <w:proofErr w:type="spellStart"/>
      <w:r>
        <w:rPr>
          <w:lang w:val="en-US"/>
        </w:rPr>
        <w:t>Fib</w:t>
      </w:r>
      <w:r w:rsidR="00C32144">
        <w:rPr>
          <w:lang w:val="en-US"/>
        </w:rPr>
        <w:t>re</w:t>
      </w:r>
      <w:proofErr w:type="spellEnd"/>
      <w:r>
        <w:rPr>
          <w:lang w:val="en-US"/>
        </w:rPr>
        <w:t xml:space="preserve"> output photoluminescence </w:t>
      </w:r>
      <w:r>
        <w:rPr>
          <w:rStyle w:val="q4iawc"/>
          <w:lang w:val="en-US"/>
        </w:rPr>
        <w:t xml:space="preserve">for different </w:t>
      </w:r>
      <w:proofErr w:type="gramStart"/>
      <w:r>
        <w:rPr>
          <w:rStyle w:val="q4iawc"/>
          <w:lang w:val="en-US"/>
        </w:rPr>
        <w:t>position</w:t>
      </w:r>
      <w:proofErr w:type="gramEnd"/>
      <w:r>
        <w:rPr>
          <w:rStyle w:val="q4iawc"/>
          <w:lang w:val="en-US"/>
        </w:rPr>
        <w:t xml:space="preserve"> of the 532 nm CW laser, in red on the IEW alone and in blue on the TiO2 structure on the guide.</w:t>
      </w:r>
    </w:p>
    <w:p w14:paraId="67A6F954" w14:textId="77777777" w:rsidR="00A715EA" w:rsidRDefault="00A715EA">
      <w:pPr>
        <w:jc w:val="both"/>
        <w:rPr>
          <w:rStyle w:val="jlqj4b"/>
          <w:b/>
          <w:lang w:val="en-US"/>
        </w:rPr>
      </w:pPr>
    </w:p>
    <w:p w14:paraId="0BB7F2D8" w14:textId="77777777" w:rsidR="00A715EA" w:rsidRDefault="00A715EA">
      <w:pPr>
        <w:jc w:val="both"/>
        <w:rPr>
          <w:rStyle w:val="jlqj4b"/>
          <w:b/>
          <w:lang w:val="en-US"/>
        </w:rPr>
      </w:pPr>
    </w:p>
    <w:p w14:paraId="2AEC0E74" w14:textId="77777777" w:rsidR="00A715EA" w:rsidRDefault="00A715EA">
      <w:pPr>
        <w:jc w:val="both"/>
        <w:rPr>
          <w:rStyle w:val="jlqj4b"/>
          <w:b/>
          <w:lang w:val="en-US"/>
        </w:rPr>
      </w:pPr>
    </w:p>
    <w:p w14:paraId="3CF344A5" w14:textId="77777777" w:rsidR="00A715EA" w:rsidRDefault="00A715EA">
      <w:pPr>
        <w:jc w:val="both"/>
        <w:rPr>
          <w:rStyle w:val="jlqj4b"/>
          <w:b/>
          <w:lang w:val="en-US"/>
        </w:rPr>
      </w:pPr>
    </w:p>
    <w:p w14:paraId="5B9D32E0" w14:textId="77777777" w:rsidR="00A715EA" w:rsidRDefault="00A715EA">
      <w:pPr>
        <w:jc w:val="both"/>
        <w:rPr>
          <w:rStyle w:val="jlqj4b"/>
          <w:b/>
          <w:lang w:val="en-US"/>
        </w:rPr>
      </w:pPr>
    </w:p>
    <w:p w14:paraId="0587E39E" w14:textId="77777777" w:rsidR="004C0FF1" w:rsidRDefault="004C0FF1">
      <w:pPr>
        <w:jc w:val="both"/>
        <w:rPr>
          <w:rStyle w:val="jlqj4b"/>
          <w:b/>
          <w:lang w:val="en-US"/>
        </w:rPr>
      </w:pPr>
    </w:p>
    <w:p w14:paraId="592B5E43" w14:textId="77777777" w:rsidR="00A715EA" w:rsidRDefault="00A715EA">
      <w:pPr>
        <w:jc w:val="both"/>
        <w:rPr>
          <w:rStyle w:val="jlqj4b"/>
          <w:b/>
          <w:lang w:val="en-US"/>
        </w:rPr>
      </w:pPr>
    </w:p>
    <w:p w14:paraId="7886D8D8" w14:textId="77777777" w:rsidR="00127401" w:rsidRDefault="00127401">
      <w:pPr>
        <w:jc w:val="both"/>
        <w:rPr>
          <w:rStyle w:val="jlqj4b"/>
          <w:b/>
          <w:lang w:val="en-US"/>
        </w:rPr>
      </w:pPr>
    </w:p>
    <w:p w14:paraId="6FCC1FAE" w14:textId="77777777" w:rsidR="00A715EA" w:rsidRDefault="00A715EA">
      <w:pPr>
        <w:jc w:val="both"/>
        <w:rPr>
          <w:rStyle w:val="jlqj4b"/>
          <w:b/>
          <w:lang w:val="en-US"/>
        </w:rPr>
      </w:pPr>
    </w:p>
    <w:p w14:paraId="04E85345" w14:textId="77777777" w:rsidR="00A715EA" w:rsidRDefault="00A715EA">
      <w:pPr>
        <w:jc w:val="both"/>
        <w:rPr>
          <w:rStyle w:val="jlqj4b"/>
          <w:b/>
          <w:lang w:val="en-US"/>
        </w:rPr>
      </w:pPr>
    </w:p>
    <w:p w14:paraId="5FCF37AF" w14:textId="51525E83" w:rsidR="00A715EA" w:rsidRDefault="00CD73D4">
      <w:pPr>
        <w:spacing w:after="0"/>
        <w:jc w:val="both"/>
        <w:rPr>
          <w:rStyle w:val="jlqj4b"/>
          <w:b/>
          <w:lang w:val="en-US"/>
        </w:rPr>
      </w:pPr>
      <w:r>
        <w:rPr>
          <w:rStyle w:val="jlqj4b"/>
          <w:b/>
          <w:lang w:val="en-US"/>
        </w:rPr>
        <w:lastRenderedPageBreak/>
        <w:t>S</w:t>
      </w:r>
      <w:r w:rsidR="00127401">
        <w:rPr>
          <w:rStyle w:val="jlqj4b"/>
          <w:b/>
          <w:lang w:val="en-US"/>
        </w:rPr>
        <w:t>4</w:t>
      </w:r>
      <w:r w:rsidR="00736FC2">
        <w:rPr>
          <w:rStyle w:val="jlqj4b"/>
          <w:b/>
          <w:lang w:val="en-US"/>
        </w:rPr>
        <w:t>: Other hybrid photonic sources</w:t>
      </w:r>
    </w:p>
    <w:p w14:paraId="2B982891" w14:textId="21654D35" w:rsidR="00A715EA" w:rsidRDefault="00736FC2">
      <w:pPr>
        <w:spacing w:after="0"/>
        <w:jc w:val="both"/>
        <w:rPr>
          <w:rStyle w:val="q4iawc"/>
          <w:lang w:val="en-US"/>
        </w:rPr>
      </w:pPr>
      <w:r>
        <w:rPr>
          <w:rStyle w:val="q4iawc"/>
          <w:lang w:val="en-US"/>
        </w:rPr>
        <w:t>Two other IEWs have been identified as single photon sources, on the same sample as what we presented in the article. Figure S</w:t>
      </w:r>
      <w:r w:rsidR="00C32144">
        <w:rPr>
          <w:rStyle w:val="q4iawc"/>
          <w:lang w:val="en-US"/>
        </w:rPr>
        <w:t>4</w:t>
      </w:r>
      <w:r>
        <w:rPr>
          <w:rStyle w:val="q4iawc"/>
          <w:lang w:val="en-US"/>
        </w:rPr>
        <w:t>-</w:t>
      </w:r>
      <w:r w:rsidR="00C32144">
        <w:rPr>
          <w:rStyle w:val="q4iawc"/>
          <w:lang w:val="en-US"/>
        </w:rPr>
        <w:t>1</w:t>
      </w:r>
      <w:r>
        <w:rPr>
          <w:rStyle w:val="q4iawc"/>
          <w:lang w:val="en-US"/>
        </w:rPr>
        <w:t>a shows the emission of NCs on the TiO</w:t>
      </w:r>
      <w:r>
        <w:rPr>
          <w:rStyle w:val="q4iawc"/>
          <w:vertAlign w:val="subscript"/>
          <w:lang w:val="en-US"/>
        </w:rPr>
        <w:t>2</w:t>
      </w:r>
      <w:r>
        <w:rPr>
          <w:rStyle w:val="q4iawc"/>
          <w:lang w:val="en-US"/>
        </w:rPr>
        <w:t xml:space="preserve"> structure on IEW by an excitation at 532 nm. </w:t>
      </w:r>
      <w:r>
        <w:rPr>
          <w:rStyle w:val="jlqj4b"/>
          <w:lang w:val="en-US"/>
        </w:rPr>
        <w:t>All photoluminescence spectra show emission a fine peak at 610 nm (FWHM</w:t>
      </w:r>
      <w:r w:rsidR="00D465DC">
        <w:rPr>
          <w:rStyle w:val="jlqj4b"/>
          <w:lang w:val="en-US"/>
        </w:rPr>
        <w:t xml:space="preserve"> </w:t>
      </w:r>
      <w:r>
        <w:rPr>
          <w:rStyle w:val="jlqj4b"/>
          <w:rFonts w:cstheme="minorHAnsi"/>
          <w:lang w:val="en-US"/>
        </w:rPr>
        <w:t>≈</w:t>
      </w:r>
      <w:r w:rsidR="00D465DC">
        <w:rPr>
          <w:rStyle w:val="jlqj4b"/>
          <w:rFonts w:cstheme="minorHAnsi"/>
          <w:lang w:val="en-US"/>
        </w:rPr>
        <w:t xml:space="preserve"> </w:t>
      </w:r>
      <w:r>
        <w:rPr>
          <w:rStyle w:val="jlqj4b"/>
          <w:lang w:val="en-US"/>
        </w:rPr>
        <w:t>28</w:t>
      </w:r>
      <w:r w:rsidR="004C0FF1">
        <w:rPr>
          <w:rStyle w:val="jlqj4b"/>
          <w:lang w:val="en-US"/>
        </w:rPr>
        <w:t xml:space="preserve"> </w:t>
      </w:r>
      <w:r>
        <w:rPr>
          <w:rStyle w:val="jlqj4b"/>
          <w:lang w:val="en-US"/>
        </w:rPr>
        <w:t xml:space="preserve">nm) </w:t>
      </w:r>
      <w:r>
        <w:rPr>
          <w:rStyle w:val="q4iawc"/>
          <w:lang w:val="en-US"/>
        </w:rPr>
        <w:t>corresponding to NCs photoluminescence</w:t>
      </w:r>
      <w:r>
        <w:rPr>
          <w:rStyle w:val="jlqj4b"/>
          <w:lang w:val="en-US"/>
        </w:rPr>
        <w:t>, as well as the fluorescence of TiO</w:t>
      </w:r>
      <w:r>
        <w:rPr>
          <w:rStyle w:val="jlqj4b"/>
          <w:vertAlign w:val="subscript"/>
          <w:lang w:val="en-US"/>
        </w:rPr>
        <w:t>2</w:t>
      </w:r>
      <w:r>
        <w:rPr>
          <w:rStyle w:val="jlqj4b"/>
          <w:lang w:val="en-US"/>
        </w:rPr>
        <w:t xml:space="preserve"> on the waveguide with a wide peak at 675 nm (FWHM</w:t>
      </w:r>
      <w:r w:rsidR="004C0FF1">
        <w:rPr>
          <w:rStyle w:val="jlqj4b"/>
          <w:lang w:val="en-US"/>
        </w:rPr>
        <w:t xml:space="preserve"> </w:t>
      </w:r>
      <w:r>
        <w:rPr>
          <w:rStyle w:val="jlqj4b"/>
          <w:rFonts w:cstheme="minorHAnsi"/>
          <w:lang w:val="en-US"/>
        </w:rPr>
        <w:t>≈</w:t>
      </w:r>
      <w:r w:rsidR="004C0FF1">
        <w:rPr>
          <w:rStyle w:val="jlqj4b"/>
          <w:rFonts w:cstheme="minorHAnsi"/>
          <w:lang w:val="en-US"/>
        </w:rPr>
        <w:t xml:space="preserve"> </w:t>
      </w:r>
      <w:r>
        <w:rPr>
          <w:rStyle w:val="jlqj4b"/>
          <w:lang w:val="en-US"/>
        </w:rPr>
        <w:t>55</w:t>
      </w:r>
      <w:r w:rsidR="004C0FF1">
        <w:rPr>
          <w:rStyle w:val="jlqj4b"/>
          <w:lang w:val="en-US"/>
        </w:rPr>
        <w:t xml:space="preserve"> </w:t>
      </w:r>
      <w:r>
        <w:rPr>
          <w:rStyle w:val="jlqj4b"/>
          <w:lang w:val="en-US"/>
        </w:rPr>
        <w:t xml:space="preserve">nm). </w:t>
      </w:r>
      <w:r>
        <w:rPr>
          <w:rStyle w:val="q4iawc"/>
          <w:lang w:val="en-US"/>
        </w:rPr>
        <w:t xml:space="preserve">These two IEWs were then assembled with a </w:t>
      </w:r>
      <w:proofErr w:type="spellStart"/>
      <w:r>
        <w:rPr>
          <w:rStyle w:val="q4iawc"/>
          <w:lang w:val="en-US"/>
        </w:rPr>
        <w:t>fibr</w:t>
      </w:r>
      <w:r w:rsidR="00C32144">
        <w:rPr>
          <w:rStyle w:val="q4iawc"/>
          <w:lang w:val="en-US"/>
        </w:rPr>
        <w:t>e</w:t>
      </w:r>
      <w:proofErr w:type="spellEnd"/>
      <w:r>
        <w:rPr>
          <w:rStyle w:val="q4iawc"/>
          <w:lang w:val="en-US"/>
        </w:rPr>
        <w:t xml:space="preserve"> by Teem Photonic. The emission at the fiber exit, figure S</w:t>
      </w:r>
      <w:r w:rsidR="00C32144">
        <w:rPr>
          <w:rStyle w:val="q4iawc"/>
          <w:lang w:val="en-US"/>
        </w:rPr>
        <w:t>4</w:t>
      </w:r>
      <w:r>
        <w:rPr>
          <w:rStyle w:val="q4iawc"/>
          <w:lang w:val="en-US"/>
        </w:rPr>
        <w:t>-</w:t>
      </w:r>
      <w:r w:rsidR="00C32144">
        <w:rPr>
          <w:rStyle w:val="q4iawc"/>
          <w:lang w:val="en-US"/>
        </w:rPr>
        <w:t>1</w:t>
      </w:r>
      <w:r>
        <w:rPr>
          <w:rStyle w:val="q4iawc"/>
          <w:lang w:val="en-US"/>
        </w:rPr>
        <w:t>b, represents that of the NCs at 610 nm.</w:t>
      </w:r>
      <w:r>
        <w:rPr>
          <w:rStyle w:val="jlqj4b"/>
          <w:lang w:val="en-US"/>
        </w:rPr>
        <w:t xml:space="preserve"> </w:t>
      </w:r>
      <w:r>
        <w:rPr>
          <w:rStyle w:val="q4iawc"/>
          <w:lang w:val="en-US"/>
        </w:rPr>
        <w:t>Figures S</w:t>
      </w:r>
      <w:r w:rsidR="00C32144">
        <w:rPr>
          <w:rStyle w:val="q4iawc"/>
          <w:lang w:val="en-US"/>
        </w:rPr>
        <w:t>4</w:t>
      </w:r>
      <w:r>
        <w:rPr>
          <w:rStyle w:val="q4iawc"/>
          <w:lang w:val="en-US"/>
        </w:rPr>
        <w:t>-</w:t>
      </w:r>
      <w:r w:rsidR="00C32144">
        <w:rPr>
          <w:rStyle w:val="q4iawc"/>
          <w:lang w:val="en-US"/>
        </w:rPr>
        <w:t>1</w:t>
      </w:r>
      <w:r>
        <w:rPr>
          <w:rStyle w:val="q4iawc"/>
          <w:lang w:val="en-US"/>
        </w:rPr>
        <w:t>c S</w:t>
      </w:r>
      <w:r w:rsidR="00C32144">
        <w:rPr>
          <w:rStyle w:val="q4iawc"/>
          <w:lang w:val="en-US"/>
        </w:rPr>
        <w:t>4</w:t>
      </w:r>
      <w:r>
        <w:rPr>
          <w:rStyle w:val="q4iawc"/>
          <w:lang w:val="en-US"/>
        </w:rPr>
        <w:t>-</w:t>
      </w:r>
      <w:r w:rsidR="00C32144">
        <w:rPr>
          <w:rStyle w:val="q4iawc"/>
          <w:lang w:val="en-US"/>
        </w:rPr>
        <w:t>1</w:t>
      </w:r>
      <w:r>
        <w:rPr>
          <w:rStyle w:val="q4iawc"/>
          <w:lang w:val="en-US"/>
        </w:rPr>
        <w:t xml:space="preserve">d present the </w:t>
      </w:r>
      <w:proofErr w:type="gramStart"/>
      <w:r>
        <w:rPr>
          <w:lang w:val="en-US"/>
        </w:rPr>
        <w:t>g</w:t>
      </w:r>
      <w:r>
        <w:rPr>
          <w:vertAlign w:val="superscript"/>
          <w:lang w:val="en-US"/>
        </w:rPr>
        <w:t>(</w:t>
      </w:r>
      <w:proofErr w:type="gramEnd"/>
      <w:r>
        <w:rPr>
          <w:vertAlign w:val="superscript"/>
          <w:lang w:val="en-US"/>
        </w:rPr>
        <w:t>2)</w:t>
      </w:r>
      <w:r>
        <w:rPr>
          <w:rStyle w:val="q4iawc"/>
          <w:lang w:val="en-US"/>
        </w:rPr>
        <w:t xml:space="preserve"> autocorrelation measurement of these two NCs.</w:t>
      </w:r>
      <w:r>
        <w:rPr>
          <w:rStyle w:val="jlqj4b"/>
          <w:lang w:val="en-US"/>
        </w:rPr>
        <w:t xml:space="preserve"> T</w:t>
      </w:r>
      <w:r>
        <w:rPr>
          <w:rStyle w:val="q4iawc"/>
          <w:lang w:val="en-US"/>
        </w:rPr>
        <w:t xml:space="preserve">hese 2 NCs are single photon emitters because the </w:t>
      </w:r>
      <w:r>
        <w:rPr>
          <w:lang w:val="en-US"/>
        </w:rPr>
        <w:t>g</w:t>
      </w:r>
      <w:r>
        <w:rPr>
          <w:vertAlign w:val="superscript"/>
          <w:lang w:val="en-US"/>
        </w:rPr>
        <w:t>(</w:t>
      </w:r>
      <w:proofErr w:type="gramStart"/>
      <w:r>
        <w:rPr>
          <w:vertAlign w:val="superscript"/>
          <w:lang w:val="en-US"/>
        </w:rPr>
        <w:t>2)</w:t>
      </w:r>
      <w:r>
        <w:rPr>
          <w:lang w:val="en-US"/>
        </w:rPr>
        <w:t>(</w:t>
      </w:r>
      <w:proofErr w:type="gramEnd"/>
      <w:r>
        <w:rPr>
          <w:rFonts w:cstheme="minorHAnsi"/>
          <w:lang w:val="en-US"/>
        </w:rPr>
        <w:t>τ=0</w:t>
      </w:r>
      <w:r>
        <w:rPr>
          <w:lang w:val="en-US"/>
        </w:rPr>
        <w:t xml:space="preserve">) </w:t>
      </w:r>
      <w:r>
        <w:rPr>
          <w:rStyle w:val="jlqj4b"/>
          <w:lang w:val="en-US"/>
        </w:rPr>
        <w:t>is less than 0.5 in both cases</w:t>
      </w:r>
      <w:r>
        <w:rPr>
          <w:rStyle w:val="q4iawc"/>
          <w:lang w:val="en-US"/>
        </w:rPr>
        <w:t>. The deposition method is therefore reproducible and makes it possible to create sources of fibered single photons.</w:t>
      </w:r>
    </w:p>
    <w:p w14:paraId="0758FD0C" w14:textId="77777777" w:rsidR="00A715EA" w:rsidRDefault="00A715EA">
      <w:pPr>
        <w:spacing w:after="0"/>
        <w:jc w:val="both"/>
        <w:rPr>
          <w:rStyle w:val="viiyi"/>
          <w:lang w:val="en-US"/>
        </w:rPr>
      </w:pPr>
    </w:p>
    <w:p w14:paraId="7BF07BF0" w14:textId="77777777" w:rsidR="00A715EA" w:rsidRDefault="00736FC2">
      <w:pPr>
        <w:keepNext/>
        <w:jc w:val="both"/>
      </w:pPr>
      <w:r>
        <w:rPr>
          <w:noProof/>
          <w:lang w:eastAsia="fr-FR"/>
        </w:rPr>
        <w:drawing>
          <wp:inline distT="0" distB="0" distL="0" distR="0" wp14:anchorId="231E0A47" wp14:editId="527CFF69">
            <wp:extent cx="5772785" cy="3439160"/>
            <wp:effectExtent l="0" t="0" r="0" b="0"/>
            <wp:docPr id="21" name="Imag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56"/>
                    <pic:cNvPicPr>
                      <a:picLocks noChangeAspect="1" noChangeArrowheads="1"/>
                    </pic:cNvPicPr>
                  </pic:nvPicPr>
                  <pic:blipFill>
                    <a:blip r:embed="rId13"/>
                    <a:stretch>
                      <a:fillRect/>
                    </a:stretch>
                  </pic:blipFill>
                  <pic:spPr bwMode="auto">
                    <a:xfrm>
                      <a:off x="0" y="0"/>
                      <a:ext cx="5772785" cy="3439160"/>
                    </a:xfrm>
                    <a:prstGeom prst="rect">
                      <a:avLst/>
                    </a:prstGeom>
                  </pic:spPr>
                </pic:pic>
              </a:graphicData>
            </a:graphic>
          </wp:inline>
        </w:drawing>
      </w:r>
    </w:p>
    <w:p w14:paraId="53CFAA6F" w14:textId="2784BFF3" w:rsidR="00A715EA" w:rsidRDefault="00736FC2">
      <w:pPr>
        <w:pStyle w:val="Lgende"/>
        <w:jc w:val="center"/>
        <w:rPr>
          <w:lang w:val="en-US"/>
        </w:rPr>
      </w:pPr>
      <w:r>
        <w:rPr>
          <w:lang w:val="en-US"/>
        </w:rPr>
        <w:t>Figure</w:t>
      </w:r>
      <w:r w:rsidRPr="00736FC2">
        <w:rPr>
          <w:lang w:val="en-US"/>
        </w:rPr>
        <w:t xml:space="preserve"> S</w:t>
      </w:r>
      <w:r w:rsidR="008B2404">
        <w:rPr>
          <w:lang w:val="en-US"/>
        </w:rPr>
        <w:t>4</w:t>
      </w:r>
      <w:r w:rsidRPr="00736FC2">
        <w:rPr>
          <w:lang w:val="en-US"/>
        </w:rPr>
        <w:t>-</w:t>
      </w:r>
      <w:r w:rsidR="008B2404">
        <w:rPr>
          <w:lang w:val="en-US"/>
        </w:rPr>
        <w:t>1</w:t>
      </w:r>
      <w:r>
        <w:rPr>
          <w:lang w:val="en-US"/>
        </w:rPr>
        <w:t xml:space="preserve">: </w:t>
      </w:r>
      <w:r w:rsidR="00C32144">
        <w:rPr>
          <w:lang w:val="en-US"/>
        </w:rPr>
        <w:t>S4-1</w:t>
      </w:r>
      <w:r>
        <w:rPr>
          <w:lang w:val="en-US"/>
        </w:rPr>
        <w:t>a) NC photoluminescence spectrum on a TiO</w:t>
      </w:r>
      <w:r>
        <w:rPr>
          <w:sz w:val="16"/>
          <w:vertAlign w:val="subscript"/>
          <w:lang w:val="en-US"/>
        </w:rPr>
        <w:t>2</w:t>
      </w:r>
      <w:r>
        <w:rPr>
          <w:lang w:val="en-US"/>
        </w:rPr>
        <w:t xml:space="preserve"> structure on a waveguide via objective detection </w:t>
      </w:r>
      <w:r w:rsidR="00C32144">
        <w:rPr>
          <w:lang w:val="en-US"/>
        </w:rPr>
        <w:t>S4-1</w:t>
      </w:r>
      <w:r>
        <w:rPr>
          <w:lang w:val="en-US"/>
        </w:rPr>
        <w:t xml:space="preserve">b) Emission at fiber end, </w:t>
      </w:r>
      <w:r w:rsidR="00C32144">
        <w:rPr>
          <w:lang w:val="en-US"/>
        </w:rPr>
        <w:t>S4-1</w:t>
      </w:r>
      <w:r>
        <w:rPr>
          <w:lang w:val="en-US"/>
        </w:rPr>
        <w:t>c</w:t>
      </w:r>
      <w:r w:rsidR="00C32144">
        <w:rPr>
          <w:lang w:val="en-US"/>
        </w:rPr>
        <w:t xml:space="preserve"> &amp; </w:t>
      </w:r>
      <w:r>
        <w:rPr>
          <w:lang w:val="en-US"/>
        </w:rPr>
        <w:t xml:space="preserve">d) second-order autocorrelation functions corresponding to the spectra in </w:t>
      </w:r>
      <w:r w:rsidR="00C32144">
        <w:rPr>
          <w:lang w:val="en-US"/>
        </w:rPr>
        <w:t>S4-1</w:t>
      </w:r>
      <w:r>
        <w:rPr>
          <w:lang w:val="en-US"/>
        </w:rPr>
        <w:t>a, for two different IEW</w:t>
      </w:r>
      <w:r w:rsidR="004C0FF1">
        <w:rPr>
          <w:lang w:val="en-US"/>
        </w:rPr>
        <w:t>s</w:t>
      </w:r>
      <w:r>
        <w:rPr>
          <w:lang w:val="en-US"/>
        </w:rPr>
        <w:t>, with pulsed laser at 532 nm.</w:t>
      </w:r>
    </w:p>
    <w:p w14:paraId="60CA5517" w14:textId="77777777" w:rsidR="00A715EA" w:rsidRDefault="00736FC2">
      <w:pPr>
        <w:rPr>
          <w:lang w:val="en-US"/>
        </w:rPr>
      </w:pPr>
      <w:r>
        <w:rPr>
          <w:rStyle w:val="q4iawc"/>
          <w:lang w:val="en-US"/>
        </w:rPr>
        <w:t xml:space="preserve">For each unique NC we measured the lifetime of this one and we went back to the Purcell </w:t>
      </w:r>
      <w:proofErr w:type="gramStart"/>
      <w:r>
        <w:rPr>
          <w:rStyle w:val="q4iawc"/>
          <w:lang w:val="en-US"/>
        </w:rPr>
        <w:t>factor</w:t>
      </w:r>
      <w:proofErr w:type="gramEnd"/>
      <w:r>
        <w:rPr>
          <w:rStyle w:val="q4iawc"/>
          <w:lang w:val="en-US"/>
        </w:rPr>
        <w:t>.</w:t>
      </w:r>
      <w:r>
        <w:rPr>
          <w:rStyle w:val="viiyi"/>
          <w:lang w:val="en-US"/>
        </w:rPr>
        <w:t xml:space="preserve"> </w:t>
      </w:r>
      <w:r>
        <w:rPr>
          <w:rStyle w:val="q4iawc"/>
          <w:lang w:val="en-US"/>
        </w:rPr>
        <w:t>The values obtained are presented in the following table.</w:t>
      </w:r>
    </w:p>
    <w:p w14:paraId="4D2F3B5B" w14:textId="77777777" w:rsidR="00A715EA" w:rsidRDefault="00736FC2">
      <w:pPr>
        <w:jc w:val="both"/>
        <w:rPr>
          <w:u w:val="single"/>
          <w:lang w:val="en-US"/>
        </w:rPr>
      </w:pPr>
      <w:r>
        <w:rPr>
          <w:u w:val="single"/>
          <w:lang w:val="en-US"/>
        </w:rPr>
        <w:t>Summary of the different tester guides:</w:t>
      </w:r>
    </w:p>
    <w:tbl>
      <w:tblPr>
        <w:tblStyle w:val="Grilledutableau"/>
        <w:tblW w:w="7478" w:type="dxa"/>
        <w:jc w:val="center"/>
        <w:tblLayout w:type="fixed"/>
        <w:tblLook w:val="04A0" w:firstRow="1" w:lastRow="0" w:firstColumn="1" w:lastColumn="0" w:noHBand="0" w:noVBand="1"/>
      </w:tblPr>
      <w:tblGrid>
        <w:gridCol w:w="2775"/>
        <w:gridCol w:w="1584"/>
        <w:gridCol w:w="1584"/>
        <w:gridCol w:w="1535"/>
      </w:tblGrid>
      <w:tr w:rsidR="00A715EA" w14:paraId="54B4E99C" w14:textId="77777777">
        <w:trPr>
          <w:trHeight w:val="483"/>
          <w:jc w:val="center"/>
        </w:trPr>
        <w:tc>
          <w:tcPr>
            <w:tcW w:w="2774" w:type="dxa"/>
          </w:tcPr>
          <w:p w14:paraId="2804F065" w14:textId="77777777" w:rsidR="00A715EA" w:rsidRDefault="00A715EA">
            <w:pPr>
              <w:widowControl w:val="0"/>
              <w:spacing w:after="0" w:line="240" w:lineRule="auto"/>
              <w:jc w:val="both"/>
              <w:rPr>
                <w:lang w:val="en-US"/>
              </w:rPr>
            </w:pPr>
          </w:p>
        </w:tc>
        <w:tc>
          <w:tcPr>
            <w:tcW w:w="1584" w:type="dxa"/>
          </w:tcPr>
          <w:p w14:paraId="60872077" w14:textId="77777777" w:rsidR="00A715EA" w:rsidRDefault="00736FC2">
            <w:pPr>
              <w:widowControl w:val="0"/>
              <w:spacing w:after="0" w:line="240" w:lineRule="auto"/>
              <w:jc w:val="center"/>
              <w:rPr>
                <w:rFonts w:ascii="Calibri" w:eastAsia="Calibri" w:hAnsi="Calibri" w:cs="Arial"/>
              </w:rPr>
            </w:pPr>
            <w:r>
              <w:rPr>
                <w:rFonts w:eastAsia="Calibri" w:cs="Arial"/>
              </w:rPr>
              <w:t>IEW 2</w:t>
            </w:r>
          </w:p>
        </w:tc>
        <w:tc>
          <w:tcPr>
            <w:tcW w:w="1584" w:type="dxa"/>
          </w:tcPr>
          <w:p w14:paraId="3AF563E6" w14:textId="77777777" w:rsidR="00A715EA" w:rsidRDefault="00736FC2">
            <w:pPr>
              <w:widowControl w:val="0"/>
              <w:spacing w:after="0" w:line="240" w:lineRule="auto"/>
              <w:jc w:val="center"/>
              <w:rPr>
                <w:rFonts w:ascii="Calibri" w:eastAsia="Calibri" w:hAnsi="Calibri" w:cs="Arial"/>
              </w:rPr>
            </w:pPr>
            <w:r>
              <w:rPr>
                <w:rFonts w:eastAsia="Calibri" w:cs="Arial"/>
              </w:rPr>
              <w:t>IEW 3</w:t>
            </w:r>
          </w:p>
        </w:tc>
        <w:tc>
          <w:tcPr>
            <w:tcW w:w="1535" w:type="dxa"/>
          </w:tcPr>
          <w:p w14:paraId="73065341" w14:textId="77777777" w:rsidR="00A715EA" w:rsidRDefault="00736FC2">
            <w:pPr>
              <w:widowControl w:val="0"/>
              <w:spacing w:after="0" w:line="240" w:lineRule="auto"/>
              <w:jc w:val="center"/>
              <w:rPr>
                <w:rFonts w:ascii="Calibri" w:eastAsia="Calibri" w:hAnsi="Calibri" w:cs="Arial"/>
              </w:rPr>
            </w:pPr>
            <w:r>
              <w:rPr>
                <w:rFonts w:eastAsia="Calibri" w:cs="Arial"/>
              </w:rPr>
              <w:t>Theory</w:t>
            </w:r>
          </w:p>
        </w:tc>
      </w:tr>
      <w:tr w:rsidR="00A715EA" w14:paraId="581CD7DF" w14:textId="77777777">
        <w:trPr>
          <w:jc w:val="center"/>
        </w:trPr>
        <w:tc>
          <w:tcPr>
            <w:tcW w:w="2774" w:type="dxa"/>
          </w:tcPr>
          <w:p w14:paraId="3B72EF65" w14:textId="77777777" w:rsidR="00A715EA" w:rsidRDefault="00736FC2">
            <w:pPr>
              <w:widowControl w:val="0"/>
              <w:spacing w:after="0" w:line="240" w:lineRule="auto"/>
              <w:jc w:val="both"/>
              <w:rPr>
                <w:rFonts w:ascii="Calibri" w:eastAsia="Calibri" w:hAnsi="Calibri" w:cs="Arial"/>
              </w:rPr>
            </w:pPr>
            <w:r>
              <w:rPr>
                <w:rFonts w:eastAsia="Calibri" w:cs="Arial"/>
              </w:rPr>
              <w:t xml:space="preserve">NC </w:t>
            </w:r>
            <w:proofErr w:type="spellStart"/>
            <w:r>
              <w:rPr>
                <w:rFonts w:eastAsia="Calibri" w:cs="Arial"/>
              </w:rPr>
              <w:t>lifetime</w:t>
            </w:r>
            <w:proofErr w:type="spellEnd"/>
            <w:r>
              <w:rPr>
                <w:rFonts w:eastAsia="Calibri" w:cs="Arial"/>
              </w:rPr>
              <w:t xml:space="preserve"> </w:t>
            </w:r>
          </w:p>
        </w:tc>
        <w:tc>
          <w:tcPr>
            <w:tcW w:w="1584" w:type="dxa"/>
          </w:tcPr>
          <w:p w14:paraId="4356DAD8" w14:textId="77777777" w:rsidR="00A715EA" w:rsidRDefault="00EC536A">
            <w:pPr>
              <w:widowControl w:val="0"/>
              <w:spacing w:after="0" w:line="240" w:lineRule="auto"/>
              <w:jc w:val="center"/>
              <w:rPr>
                <w:rFonts w:ascii="Calibri" w:eastAsia="Calibri" w:hAnsi="Calibri" w:cs="Arial"/>
              </w:rPr>
            </w:pPr>
            <w:r>
              <w:rPr>
                <w:rFonts w:eastAsia="Calibri" w:cs="Arial"/>
              </w:rPr>
              <w:t>9.81</w:t>
            </w:r>
          </w:p>
        </w:tc>
        <w:tc>
          <w:tcPr>
            <w:tcW w:w="1584" w:type="dxa"/>
          </w:tcPr>
          <w:p w14:paraId="7616728C" w14:textId="77777777" w:rsidR="00A715EA" w:rsidRDefault="00C80116">
            <w:pPr>
              <w:widowControl w:val="0"/>
              <w:spacing w:after="0" w:line="240" w:lineRule="auto"/>
              <w:jc w:val="center"/>
              <w:rPr>
                <w:rFonts w:ascii="Calibri" w:eastAsia="Calibri" w:hAnsi="Calibri" w:cs="Arial"/>
              </w:rPr>
            </w:pPr>
            <w:r>
              <w:rPr>
                <w:rFonts w:eastAsia="Calibri" w:cs="Arial"/>
              </w:rPr>
              <w:t>9.8</w:t>
            </w:r>
            <w:r w:rsidR="00EC536A">
              <w:rPr>
                <w:rFonts w:eastAsia="Calibri" w:cs="Arial"/>
              </w:rPr>
              <w:t>6</w:t>
            </w:r>
          </w:p>
        </w:tc>
        <w:tc>
          <w:tcPr>
            <w:tcW w:w="1535" w:type="dxa"/>
          </w:tcPr>
          <w:p w14:paraId="56355C25" w14:textId="77777777" w:rsidR="00A715EA" w:rsidRDefault="00736FC2">
            <w:pPr>
              <w:widowControl w:val="0"/>
              <w:spacing w:after="0" w:line="240" w:lineRule="auto"/>
              <w:jc w:val="center"/>
              <w:rPr>
                <w:rFonts w:ascii="Calibri" w:eastAsia="Calibri" w:hAnsi="Calibri" w:cs="Arial"/>
              </w:rPr>
            </w:pPr>
            <w:r>
              <w:rPr>
                <w:rFonts w:eastAsia="Calibri" w:cs="Arial"/>
              </w:rPr>
              <w:t>/</w:t>
            </w:r>
          </w:p>
        </w:tc>
      </w:tr>
      <w:tr w:rsidR="00A715EA" w14:paraId="03D1946F" w14:textId="77777777">
        <w:trPr>
          <w:jc w:val="center"/>
        </w:trPr>
        <w:tc>
          <w:tcPr>
            <w:tcW w:w="2774" w:type="dxa"/>
          </w:tcPr>
          <w:p w14:paraId="65927D72" w14:textId="77777777" w:rsidR="00A715EA" w:rsidRDefault="00736FC2">
            <w:pPr>
              <w:widowControl w:val="0"/>
              <w:spacing w:after="0" w:line="240" w:lineRule="auto"/>
              <w:jc w:val="both"/>
              <w:rPr>
                <w:rFonts w:ascii="Calibri" w:eastAsia="Calibri" w:hAnsi="Calibri" w:cs="Arial"/>
              </w:rPr>
            </w:pPr>
            <w:r>
              <w:rPr>
                <w:rFonts w:eastAsia="Calibri" w:cs="Arial"/>
              </w:rPr>
              <w:t>Purcell factor</w:t>
            </w:r>
          </w:p>
        </w:tc>
        <w:tc>
          <w:tcPr>
            <w:tcW w:w="1584" w:type="dxa"/>
          </w:tcPr>
          <w:p w14:paraId="3FE36CC9" w14:textId="77777777" w:rsidR="00A715EA" w:rsidRDefault="00C80116">
            <w:pPr>
              <w:widowControl w:val="0"/>
              <w:spacing w:after="0" w:line="240" w:lineRule="auto"/>
              <w:jc w:val="center"/>
              <w:rPr>
                <w:rFonts w:ascii="Calibri" w:eastAsia="Calibri" w:hAnsi="Calibri" w:cs="Arial"/>
              </w:rPr>
            </w:pPr>
            <w:r>
              <w:rPr>
                <w:rFonts w:eastAsia="Calibri" w:cs="Arial"/>
              </w:rPr>
              <w:t>1.2</w:t>
            </w:r>
          </w:p>
        </w:tc>
        <w:tc>
          <w:tcPr>
            <w:tcW w:w="1584" w:type="dxa"/>
          </w:tcPr>
          <w:p w14:paraId="12D123DA" w14:textId="77777777" w:rsidR="00A715EA" w:rsidRDefault="00C80116">
            <w:pPr>
              <w:widowControl w:val="0"/>
              <w:spacing w:after="0" w:line="240" w:lineRule="auto"/>
              <w:jc w:val="center"/>
              <w:rPr>
                <w:rFonts w:ascii="Calibri" w:eastAsia="Calibri" w:hAnsi="Calibri" w:cs="Arial"/>
              </w:rPr>
            </w:pPr>
            <w:r>
              <w:rPr>
                <w:rFonts w:eastAsia="Calibri" w:cs="Arial"/>
              </w:rPr>
              <w:t>1.19</w:t>
            </w:r>
          </w:p>
        </w:tc>
        <w:tc>
          <w:tcPr>
            <w:tcW w:w="1535" w:type="dxa"/>
          </w:tcPr>
          <w:p w14:paraId="7C592AF3" w14:textId="0A45CCF2" w:rsidR="00A715EA" w:rsidRDefault="004C0FF1">
            <w:pPr>
              <w:widowControl w:val="0"/>
              <w:spacing w:after="0" w:line="240" w:lineRule="auto"/>
              <w:jc w:val="center"/>
              <w:rPr>
                <w:rFonts w:ascii="Calibri" w:eastAsia="Calibri" w:hAnsi="Calibri" w:cs="Arial"/>
              </w:rPr>
            </w:pPr>
            <w:r w:rsidRPr="004C0FF1">
              <w:rPr>
                <w:rFonts w:eastAsia="Calibri" w:cs="Arial"/>
              </w:rPr>
              <w:t>1.45</w:t>
            </w:r>
          </w:p>
        </w:tc>
      </w:tr>
    </w:tbl>
    <w:p w14:paraId="1A380606" w14:textId="77777777" w:rsidR="00A715EA" w:rsidRDefault="00A715EA">
      <w:pPr>
        <w:jc w:val="both"/>
      </w:pPr>
    </w:p>
    <w:p w14:paraId="724BC149" w14:textId="77777777" w:rsidR="00A715EA" w:rsidRDefault="00736FC2">
      <w:pPr>
        <w:jc w:val="both"/>
        <w:rPr>
          <w:rStyle w:val="q4iawc"/>
          <w:lang w:val="en-US"/>
        </w:rPr>
      </w:pPr>
      <w:r>
        <w:rPr>
          <w:lang w:val="en-US"/>
        </w:rPr>
        <w:t xml:space="preserve">The addition of a high index structure allows a better coupling of the emitter emission in the waveguide. </w:t>
      </w:r>
      <w:r>
        <w:rPr>
          <w:rStyle w:val="q4iawc"/>
          <w:lang w:val="en-US"/>
        </w:rPr>
        <w:t>As has been demonstrated, by adding the structure of TiO</w:t>
      </w:r>
      <w:r>
        <w:rPr>
          <w:rStyle w:val="q4iawc"/>
          <w:vertAlign w:val="subscript"/>
          <w:lang w:val="en-US"/>
        </w:rPr>
        <w:t>2</w:t>
      </w:r>
      <w:r>
        <w:rPr>
          <w:rStyle w:val="q4iawc"/>
          <w:lang w:val="en-US"/>
        </w:rPr>
        <w:t xml:space="preserve"> the Purcell factor is higher which allows a better coupling efficiency.</w:t>
      </w:r>
      <w:r>
        <w:rPr>
          <w:lang w:val="en-US"/>
        </w:rPr>
        <w:t xml:space="preserve"> </w:t>
      </w:r>
      <w:r>
        <w:rPr>
          <w:rStyle w:val="q4iawc"/>
          <w:lang w:val="en-US"/>
        </w:rPr>
        <w:t>The unique NC via this high index structure makes it possible to obtain fluorescence at the output of the optical fiber.</w:t>
      </w:r>
    </w:p>
    <w:p w14:paraId="5F42F4B2" w14:textId="77777777" w:rsidR="00A715EA" w:rsidRDefault="00A715EA">
      <w:pPr>
        <w:jc w:val="both"/>
        <w:rPr>
          <w:lang w:val="en-US"/>
        </w:rPr>
      </w:pPr>
    </w:p>
    <w:p w14:paraId="7279755B" w14:textId="77777777" w:rsidR="0054431E" w:rsidRDefault="0054431E" w:rsidP="0054431E">
      <w:pPr>
        <w:spacing w:after="0"/>
        <w:jc w:val="both"/>
        <w:rPr>
          <w:b/>
          <w:lang w:val="en-US"/>
        </w:rPr>
      </w:pPr>
      <w:r>
        <w:rPr>
          <w:b/>
          <w:lang w:val="en-US"/>
        </w:rPr>
        <w:lastRenderedPageBreak/>
        <w:t>Acknowledgements and funding statement</w:t>
      </w:r>
    </w:p>
    <w:p w14:paraId="38981D85" w14:textId="77777777" w:rsidR="0054431E" w:rsidRDefault="0054431E" w:rsidP="0054431E">
      <w:pPr>
        <w:jc w:val="both"/>
        <w:rPr>
          <w:rStyle w:val="q4iawc"/>
          <w:lang w:val="en-US"/>
        </w:rPr>
      </w:pPr>
      <w:r>
        <w:rPr>
          <w:rStyle w:val="q4iawc"/>
          <w:lang w:val="en-US"/>
        </w:rPr>
        <w:t xml:space="preserve">The authors would like to thank the Graduate School (École Universitaire de Recherche) “NANO-PHOT”, contract ANR-18-EURE-0013, they acknowledge the use of the </w:t>
      </w:r>
      <w:proofErr w:type="spellStart"/>
      <w:r>
        <w:rPr>
          <w:rStyle w:val="q4iawc"/>
          <w:lang w:val="en-US"/>
        </w:rPr>
        <w:t>nano’mat</w:t>
      </w:r>
      <w:proofErr w:type="spellEnd"/>
      <w:r>
        <w:rPr>
          <w:rStyle w:val="q4iawc"/>
          <w:lang w:val="en-US"/>
        </w:rPr>
        <w:t xml:space="preserve"> platform from the CNRS </w:t>
      </w:r>
      <w:proofErr w:type="spellStart"/>
      <w:r>
        <w:rPr>
          <w:rStyle w:val="q4iawc"/>
          <w:lang w:val="en-US"/>
        </w:rPr>
        <w:t>Renatech</w:t>
      </w:r>
      <w:proofErr w:type="spellEnd"/>
      <w:r>
        <w:rPr>
          <w:rStyle w:val="q4iawc"/>
          <w:lang w:val="en-US"/>
        </w:rPr>
        <w:t xml:space="preserve"> network and funding from the FEDER, the Grand Est Region and the Aube Department. This work received support from French National Agency for Research-ANR of the </w:t>
      </w:r>
      <w:proofErr w:type="spellStart"/>
      <w:r>
        <w:rPr>
          <w:rStyle w:val="q4iawc"/>
          <w:lang w:val="en-US"/>
        </w:rPr>
        <w:t>OQuLuS</w:t>
      </w:r>
      <w:proofErr w:type="spellEnd"/>
      <w:r>
        <w:rPr>
          <w:rStyle w:val="q4iawc"/>
          <w:lang w:val="en-US"/>
        </w:rPr>
        <w:t xml:space="preserve"> project under the France 2030 initiative, contract ANR-23-PETQ-0013. The authors thank CNRS-Innovation and the SATT SAYENS for funding A. B. via the projects </w:t>
      </w:r>
      <w:proofErr w:type="spellStart"/>
      <w:r>
        <w:rPr>
          <w:rStyle w:val="q4iawc"/>
          <w:lang w:val="en-US"/>
        </w:rPr>
        <w:t>InteQ</w:t>
      </w:r>
      <w:proofErr w:type="spellEnd"/>
      <w:r>
        <w:rPr>
          <w:rStyle w:val="q4iawc"/>
          <w:lang w:val="en-US"/>
        </w:rPr>
        <w:t xml:space="preserve"> and InteQ2.</w:t>
      </w:r>
    </w:p>
    <w:p w14:paraId="3EB13BBA" w14:textId="77777777" w:rsidR="0054431E" w:rsidRPr="00042A11" w:rsidRDefault="0054431E" w:rsidP="0054431E">
      <w:pPr>
        <w:spacing w:after="0"/>
        <w:jc w:val="both"/>
        <w:rPr>
          <w:b/>
          <w:lang w:val="en-US"/>
        </w:rPr>
      </w:pPr>
      <w:r>
        <w:rPr>
          <w:b/>
          <w:lang w:val="en-US"/>
        </w:rPr>
        <w:t>Author contributions</w:t>
      </w:r>
      <w:r w:rsidRPr="00042A11">
        <w:rPr>
          <w:b/>
          <w:lang w:val="en-US"/>
        </w:rPr>
        <w:t xml:space="preserve"> </w:t>
      </w:r>
    </w:p>
    <w:p w14:paraId="304D2231" w14:textId="77777777" w:rsidR="0054431E" w:rsidRDefault="0054431E" w:rsidP="0054431E">
      <w:pPr>
        <w:jc w:val="both"/>
        <w:rPr>
          <w:bCs/>
        </w:rPr>
      </w:pPr>
      <w:r w:rsidRPr="00042A11">
        <w:rPr>
          <w:bCs/>
        </w:rPr>
        <w:t xml:space="preserve">A. B. </w:t>
      </w:r>
      <w:proofErr w:type="spellStart"/>
      <w:r w:rsidRPr="00042A11">
        <w:rPr>
          <w:bCs/>
        </w:rPr>
        <w:t>contributed</w:t>
      </w:r>
      <w:proofErr w:type="spellEnd"/>
      <w:r w:rsidRPr="00042A11">
        <w:rPr>
          <w:bCs/>
        </w:rPr>
        <w:t xml:space="preserve"> to the fabrication and </w:t>
      </w:r>
      <w:proofErr w:type="spellStart"/>
      <w:r w:rsidRPr="00042A11">
        <w:rPr>
          <w:bCs/>
        </w:rPr>
        <w:t>characterisation</w:t>
      </w:r>
      <w:proofErr w:type="spellEnd"/>
      <w:r w:rsidRPr="00042A11">
        <w:rPr>
          <w:bCs/>
        </w:rPr>
        <w:t xml:space="preserve"> </w:t>
      </w:r>
      <w:proofErr w:type="spellStart"/>
      <w:r w:rsidRPr="00042A11">
        <w:rPr>
          <w:bCs/>
        </w:rPr>
        <w:t>work</w:t>
      </w:r>
      <w:proofErr w:type="spellEnd"/>
      <w:r w:rsidRPr="00042A11">
        <w:rPr>
          <w:bCs/>
        </w:rPr>
        <w:t xml:space="preserve"> and </w:t>
      </w:r>
      <w:proofErr w:type="spellStart"/>
      <w:r w:rsidRPr="00042A11">
        <w:rPr>
          <w:bCs/>
        </w:rPr>
        <w:t>contributed</w:t>
      </w:r>
      <w:proofErr w:type="spellEnd"/>
      <w:r w:rsidRPr="00042A11">
        <w:rPr>
          <w:bCs/>
        </w:rPr>
        <w:t xml:space="preserve"> </w:t>
      </w:r>
      <w:proofErr w:type="spellStart"/>
      <w:r w:rsidRPr="00042A11">
        <w:rPr>
          <w:bCs/>
        </w:rPr>
        <w:t>significantly</w:t>
      </w:r>
      <w:proofErr w:type="spellEnd"/>
      <w:r w:rsidRPr="00042A11">
        <w:rPr>
          <w:bCs/>
        </w:rPr>
        <w:t xml:space="preserve"> to the </w:t>
      </w:r>
      <w:proofErr w:type="spellStart"/>
      <w:r w:rsidRPr="00042A11">
        <w:rPr>
          <w:bCs/>
        </w:rPr>
        <w:t>writing</w:t>
      </w:r>
      <w:proofErr w:type="spellEnd"/>
      <w:r w:rsidRPr="00042A11">
        <w:rPr>
          <w:bCs/>
        </w:rPr>
        <w:t xml:space="preserve"> of the article, M. H. M. </w:t>
      </w:r>
      <w:proofErr w:type="spellStart"/>
      <w:r w:rsidRPr="00042A11">
        <w:rPr>
          <w:bCs/>
        </w:rPr>
        <w:t>contributed</w:t>
      </w:r>
      <w:proofErr w:type="spellEnd"/>
      <w:r w:rsidRPr="00042A11">
        <w:rPr>
          <w:bCs/>
        </w:rPr>
        <w:t xml:space="preserve"> to the </w:t>
      </w:r>
      <w:proofErr w:type="spellStart"/>
      <w:r w:rsidRPr="00042A11">
        <w:rPr>
          <w:bCs/>
        </w:rPr>
        <w:t>characterisation</w:t>
      </w:r>
      <w:proofErr w:type="spellEnd"/>
      <w:r w:rsidRPr="00042A11">
        <w:rPr>
          <w:bCs/>
        </w:rPr>
        <w:t xml:space="preserve"> and simulation </w:t>
      </w:r>
      <w:proofErr w:type="spellStart"/>
      <w:r w:rsidRPr="00042A11">
        <w:rPr>
          <w:bCs/>
        </w:rPr>
        <w:t>work</w:t>
      </w:r>
      <w:proofErr w:type="spellEnd"/>
      <w:r w:rsidRPr="00042A11">
        <w:rPr>
          <w:bCs/>
        </w:rPr>
        <w:t xml:space="preserve">, N. R. </w:t>
      </w:r>
      <w:proofErr w:type="spellStart"/>
      <w:r w:rsidRPr="00042A11">
        <w:rPr>
          <w:bCs/>
        </w:rPr>
        <w:t>contributed</w:t>
      </w:r>
      <w:proofErr w:type="spellEnd"/>
      <w:r w:rsidRPr="00042A11">
        <w:rPr>
          <w:bCs/>
        </w:rPr>
        <w:t xml:space="preserve"> to the simulation </w:t>
      </w:r>
      <w:proofErr w:type="spellStart"/>
      <w:r w:rsidRPr="00042A11">
        <w:rPr>
          <w:bCs/>
        </w:rPr>
        <w:t>work</w:t>
      </w:r>
      <w:proofErr w:type="spellEnd"/>
      <w:r w:rsidRPr="00042A11">
        <w:rPr>
          <w:bCs/>
        </w:rPr>
        <w:t xml:space="preserve">, A. H. </w:t>
      </w:r>
      <w:proofErr w:type="spellStart"/>
      <w:r w:rsidRPr="00042A11">
        <w:rPr>
          <w:bCs/>
        </w:rPr>
        <w:t>contributed</w:t>
      </w:r>
      <w:proofErr w:type="spellEnd"/>
      <w:r w:rsidRPr="00042A11">
        <w:rPr>
          <w:bCs/>
        </w:rPr>
        <w:t xml:space="preserve"> to the fabrication </w:t>
      </w:r>
      <w:proofErr w:type="spellStart"/>
      <w:r w:rsidRPr="00042A11">
        <w:rPr>
          <w:bCs/>
        </w:rPr>
        <w:t>work</w:t>
      </w:r>
      <w:proofErr w:type="spellEnd"/>
      <w:r w:rsidRPr="00042A11">
        <w:rPr>
          <w:bCs/>
        </w:rPr>
        <w:t xml:space="preserve">, P. R. &amp; C. V. </w:t>
      </w:r>
      <w:proofErr w:type="spellStart"/>
      <w:r w:rsidRPr="00042A11">
        <w:rPr>
          <w:bCs/>
        </w:rPr>
        <w:t>contributed</w:t>
      </w:r>
      <w:proofErr w:type="spellEnd"/>
      <w:r w:rsidRPr="00042A11">
        <w:rPr>
          <w:bCs/>
        </w:rPr>
        <w:t xml:space="preserve"> to the </w:t>
      </w:r>
      <w:proofErr w:type="spellStart"/>
      <w:r w:rsidRPr="00042A11">
        <w:rPr>
          <w:bCs/>
        </w:rPr>
        <w:t>synthesis</w:t>
      </w:r>
      <w:proofErr w:type="spellEnd"/>
      <w:r w:rsidRPr="00042A11">
        <w:rPr>
          <w:bCs/>
        </w:rPr>
        <w:t xml:space="preserve"> </w:t>
      </w:r>
      <w:proofErr w:type="spellStart"/>
      <w:r w:rsidRPr="00042A11">
        <w:rPr>
          <w:bCs/>
        </w:rPr>
        <w:t>work</w:t>
      </w:r>
      <w:proofErr w:type="spellEnd"/>
      <w:r w:rsidRPr="00042A11">
        <w:rPr>
          <w:bCs/>
        </w:rPr>
        <w:t xml:space="preserve">, R. D. </w:t>
      </w:r>
      <w:proofErr w:type="spellStart"/>
      <w:r w:rsidRPr="00042A11">
        <w:rPr>
          <w:bCs/>
        </w:rPr>
        <w:t>contributed</w:t>
      </w:r>
      <w:proofErr w:type="spellEnd"/>
      <w:r w:rsidRPr="00042A11">
        <w:rPr>
          <w:bCs/>
        </w:rPr>
        <w:t xml:space="preserve"> to the data </w:t>
      </w:r>
      <w:proofErr w:type="spellStart"/>
      <w:r w:rsidRPr="00042A11">
        <w:rPr>
          <w:bCs/>
        </w:rPr>
        <w:t>acquistion</w:t>
      </w:r>
      <w:proofErr w:type="spellEnd"/>
      <w:r w:rsidRPr="00042A11">
        <w:rPr>
          <w:bCs/>
        </w:rPr>
        <w:t xml:space="preserve"> of the </w:t>
      </w:r>
      <w:proofErr w:type="spellStart"/>
      <w:r w:rsidRPr="00042A11">
        <w:rPr>
          <w:bCs/>
        </w:rPr>
        <w:t>work</w:t>
      </w:r>
      <w:proofErr w:type="spellEnd"/>
      <w:r w:rsidRPr="00042A11">
        <w:rPr>
          <w:bCs/>
        </w:rPr>
        <w:t xml:space="preserve">, A. K. </w:t>
      </w:r>
      <w:proofErr w:type="spellStart"/>
      <w:r w:rsidRPr="00042A11">
        <w:rPr>
          <w:bCs/>
        </w:rPr>
        <w:t>contributed</w:t>
      </w:r>
      <w:proofErr w:type="spellEnd"/>
      <w:r w:rsidRPr="00042A11">
        <w:rPr>
          <w:bCs/>
        </w:rPr>
        <w:t xml:space="preserve"> to the discussions, S. B. </w:t>
      </w:r>
      <w:proofErr w:type="spellStart"/>
      <w:r w:rsidRPr="00042A11">
        <w:rPr>
          <w:bCs/>
        </w:rPr>
        <w:t>contributed</w:t>
      </w:r>
      <w:proofErr w:type="spellEnd"/>
      <w:r w:rsidRPr="00042A11">
        <w:rPr>
          <w:bCs/>
        </w:rPr>
        <w:t xml:space="preserve"> to the discussions, C. C. </w:t>
      </w:r>
      <w:proofErr w:type="spellStart"/>
      <w:r w:rsidRPr="00042A11">
        <w:rPr>
          <w:bCs/>
        </w:rPr>
        <w:t>designed</w:t>
      </w:r>
      <w:proofErr w:type="spellEnd"/>
      <w:r w:rsidRPr="00042A11">
        <w:rPr>
          <w:bCs/>
        </w:rPr>
        <w:t xml:space="preserve"> and </w:t>
      </w:r>
      <w:proofErr w:type="spellStart"/>
      <w:r w:rsidRPr="00042A11">
        <w:rPr>
          <w:bCs/>
        </w:rPr>
        <w:t>supervised</w:t>
      </w:r>
      <w:proofErr w:type="spellEnd"/>
      <w:r w:rsidRPr="00042A11">
        <w:rPr>
          <w:bCs/>
        </w:rPr>
        <w:t xml:space="preserve"> the </w:t>
      </w:r>
      <w:proofErr w:type="spellStart"/>
      <w:r w:rsidRPr="00042A11">
        <w:rPr>
          <w:bCs/>
        </w:rPr>
        <w:t>work</w:t>
      </w:r>
      <w:proofErr w:type="spellEnd"/>
      <w:r w:rsidRPr="00042A11">
        <w:rPr>
          <w:bCs/>
        </w:rPr>
        <w:t xml:space="preserve"> &amp; </w:t>
      </w:r>
      <w:proofErr w:type="spellStart"/>
      <w:r w:rsidRPr="00042A11">
        <w:rPr>
          <w:bCs/>
        </w:rPr>
        <w:t>contributed</w:t>
      </w:r>
      <w:proofErr w:type="spellEnd"/>
      <w:r w:rsidRPr="00042A11">
        <w:rPr>
          <w:bCs/>
        </w:rPr>
        <w:t xml:space="preserve"> </w:t>
      </w:r>
      <w:proofErr w:type="spellStart"/>
      <w:r w:rsidRPr="00042A11">
        <w:rPr>
          <w:bCs/>
        </w:rPr>
        <w:t>significantly</w:t>
      </w:r>
      <w:proofErr w:type="spellEnd"/>
      <w:r w:rsidRPr="00042A11">
        <w:rPr>
          <w:bCs/>
        </w:rPr>
        <w:t xml:space="preserve"> to the </w:t>
      </w:r>
      <w:proofErr w:type="spellStart"/>
      <w:r w:rsidRPr="00042A11">
        <w:rPr>
          <w:bCs/>
        </w:rPr>
        <w:t>writing</w:t>
      </w:r>
      <w:proofErr w:type="spellEnd"/>
      <w:r w:rsidRPr="00042A11">
        <w:rPr>
          <w:bCs/>
        </w:rPr>
        <w:t xml:space="preserve"> of the article as </w:t>
      </w:r>
      <w:proofErr w:type="spellStart"/>
      <w:r w:rsidRPr="00042A11">
        <w:rPr>
          <w:bCs/>
        </w:rPr>
        <w:t>well</w:t>
      </w:r>
      <w:proofErr w:type="spellEnd"/>
      <w:r w:rsidRPr="00042A11">
        <w:rPr>
          <w:bCs/>
        </w:rPr>
        <w:t xml:space="preserve"> as the discussions. All </w:t>
      </w:r>
      <w:proofErr w:type="spellStart"/>
      <w:r w:rsidRPr="00042A11">
        <w:rPr>
          <w:bCs/>
        </w:rPr>
        <w:t>authors</w:t>
      </w:r>
      <w:proofErr w:type="spellEnd"/>
      <w:r w:rsidRPr="00042A11">
        <w:rPr>
          <w:bCs/>
        </w:rPr>
        <w:t xml:space="preserve"> </w:t>
      </w:r>
      <w:proofErr w:type="spellStart"/>
      <w:r w:rsidRPr="00042A11">
        <w:rPr>
          <w:bCs/>
        </w:rPr>
        <w:t>reviewed</w:t>
      </w:r>
      <w:proofErr w:type="spellEnd"/>
      <w:r w:rsidRPr="00042A11">
        <w:rPr>
          <w:bCs/>
        </w:rPr>
        <w:t xml:space="preserve"> the article.</w:t>
      </w:r>
    </w:p>
    <w:p w14:paraId="2CE89A70" w14:textId="1A25808E" w:rsidR="0054431E" w:rsidRDefault="0054431E" w:rsidP="0054431E">
      <w:pPr>
        <w:rPr>
          <w:b/>
          <w:lang w:val="en-US"/>
        </w:rPr>
      </w:pPr>
      <w:r>
        <w:rPr>
          <w:b/>
          <w:lang w:val="en-US"/>
        </w:rPr>
        <w:t>Competing interests</w:t>
      </w:r>
      <w:r>
        <w:rPr>
          <w:b/>
          <w:lang w:val="en-US"/>
        </w:rPr>
        <w:br/>
      </w:r>
      <w:r w:rsidRPr="005A6028">
        <w:rPr>
          <w:lang w:val="en-US"/>
        </w:rPr>
        <w:t>The authors declare no competing interests.</w:t>
      </w:r>
    </w:p>
    <w:p w14:paraId="26B22F27" w14:textId="02C078D8" w:rsidR="00A715EA" w:rsidRDefault="00736FC2">
      <w:pPr>
        <w:jc w:val="both"/>
        <w:rPr>
          <w:b/>
          <w:lang w:val="en-US"/>
        </w:rPr>
      </w:pPr>
      <w:r>
        <w:rPr>
          <w:b/>
          <w:lang w:val="en-US"/>
        </w:rPr>
        <w:t>Bibliography</w:t>
      </w:r>
    </w:p>
    <w:p w14:paraId="1CC7A085" w14:textId="77777777" w:rsidR="00A715EA" w:rsidRDefault="00736FC2">
      <w:pPr>
        <w:jc w:val="both"/>
        <w:rPr>
          <w:lang w:val="en-US"/>
        </w:rPr>
      </w:pPr>
      <w:r>
        <w:rPr>
          <w:lang w:val="en-US"/>
        </w:rPr>
        <w:t xml:space="preserve">(1) Yang, Y. A.; Wu, H.; Williams, K. R.; Cao, Y. C. Synthesis of </w:t>
      </w:r>
      <w:proofErr w:type="spellStart"/>
      <w:r>
        <w:rPr>
          <w:lang w:val="en-US"/>
        </w:rPr>
        <w:t>CdSe</w:t>
      </w:r>
      <w:proofErr w:type="spellEnd"/>
      <w:r>
        <w:rPr>
          <w:lang w:val="en-US"/>
        </w:rPr>
        <w:t xml:space="preserve"> and </w:t>
      </w:r>
      <w:proofErr w:type="spellStart"/>
      <w:r>
        <w:rPr>
          <w:lang w:val="en-US"/>
        </w:rPr>
        <w:t>CdTe</w:t>
      </w:r>
      <w:proofErr w:type="spellEnd"/>
      <w:r>
        <w:rPr>
          <w:lang w:val="en-US"/>
        </w:rPr>
        <w:t xml:space="preserve"> Nanocrystals without Precursor Injection. </w:t>
      </w:r>
      <w:proofErr w:type="spellStart"/>
      <w:r>
        <w:rPr>
          <w:lang w:val="en-US"/>
        </w:rPr>
        <w:t>Angew</w:t>
      </w:r>
      <w:proofErr w:type="spellEnd"/>
      <w:r>
        <w:rPr>
          <w:lang w:val="en-US"/>
        </w:rPr>
        <w:t>. Chem., (2005), 44, 6712−6715</w:t>
      </w:r>
    </w:p>
    <w:p w14:paraId="3165CE62" w14:textId="77777777" w:rsidR="00A715EA" w:rsidRDefault="00736FC2">
      <w:pPr>
        <w:jc w:val="both"/>
        <w:rPr>
          <w:lang w:val="en-US"/>
        </w:rPr>
      </w:pPr>
      <w:r>
        <w:rPr>
          <w:lang w:val="en-US"/>
        </w:rPr>
        <w:t xml:space="preserve">(2) Leatherdale, C. A.; Woo, W. K.; Mikulec, F. V.; Bawendi, M. G. On the Absorption Cross Section of </w:t>
      </w:r>
      <w:proofErr w:type="spellStart"/>
      <w:r>
        <w:rPr>
          <w:lang w:val="en-US"/>
        </w:rPr>
        <w:t>CdSe</w:t>
      </w:r>
      <w:proofErr w:type="spellEnd"/>
      <w:r>
        <w:rPr>
          <w:lang w:val="en-US"/>
        </w:rPr>
        <w:t xml:space="preserve"> Nanocrystal Quantum Dots. J. Phys. Chem. B 2002, 106, 7619-7622.</w:t>
      </w:r>
    </w:p>
    <w:p w14:paraId="29AB44B1" w14:textId="77777777" w:rsidR="00A715EA" w:rsidRDefault="00736FC2">
      <w:pPr>
        <w:jc w:val="both"/>
        <w:rPr>
          <w:lang w:val="en-US"/>
        </w:rPr>
      </w:pPr>
      <w:r>
        <w:rPr>
          <w:lang w:val="en-US"/>
        </w:rPr>
        <w:t xml:space="preserve">(3) Yu, W. W.; Qu, L.; Guo, W.; Peng, X. Experimental Determination of the Extinction Coefficient of </w:t>
      </w:r>
      <w:proofErr w:type="spellStart"/>
      <w:r>
        <w:rPr>
          <w:lang w:val="en-US"/>
        </w:rPr>
        <w:t>CdTe</w:t>
      </w:r>
      <w:proofErr w:type="spellEnd"/>
      <w:r>
        <w:rPr>
          <w:lang w:val="en-US"/>
        </w:rPr>
        <w:t xml:space="preserve">, </w:t>
      </w:r>
      <w:proofErr w:type="spellStart"/>
      <w:r>
        <w:rPr>
          <w:lang w:val="en-US"/>
        </w:rPr>
        <w:t>CdSe</w:t>
      </w:r>
      <w:proofErr w:type="spellEnd"/>
      <w:r>
        <w:rPr>
          <w:lang w:val="en-US"/>
        </w:rPr>
        <w:t xml:space="preserve">, and </w:t>
      </w:r>
      <w:proofErr w:type="spellStart"/>
      <w:r>
        <w:rPr>
          <w:lang w:val="en-US"/>
        </w:rPr>
        <w:t>CdS</w:t>
      </w:r>
      <w:proofErr w:type="spellEnd"/>
      <w:r>
        <w:rPr>
          <w:lang w:val="en-US"/>
        </w:rPr>
        <w:t xml:space="preserve"> Nanocrystals. Chem. Mater. 2003, 15, 2854-2860.</w:t>
      </w:r>
    </w:p>
    <w:p w14:paraId="2A7711E5" w14:textId="77777777" w:rsidR="00A715EA" w:rsidRDefault="00736FC2">
      <w:pPr>
        <w:jc w:val="both"/>
        <w:rPr>
          <w:lang w:val="en-US"/>
        </w:rPr>
      </w:pPr>
      <w:r>
        <w:rPr>
          <w:lang w:val="en-US"/>
        </w:rPr>
        <w:t xml:space="preserve">(4) Li, J. J.; Wang, Y. A.; Guo, W.; Keay, J. C.; Mishima, T. D.; Johnson, M. B.; Peng, X. Large-Scale Synthesis of Nearly Monodisperse </w:t>
      </w:r>
      <w:proofErr w:type="spellStart"/>
      <w:r>
        <w:rPr>
          <w:lang w:val="en-US"/>
        </w:rPr>
        <w:t>CdSe</w:t>
      </w:r>
      <w:proofErr w:type="spellEnd"/>
      <w:r>
        <w:rPr>
          <w:lang w:val="en-US"/>
        </w:rPr>
        <w:t>/</w:t>
      </w:r>
      <w:proofErr w:type="spellStart"/>
      <w:r>
        <w:rPr>
          <w:lang w:val="en-US"/>
        </w:rPr>
        <w:t>CdS</w:t>
      </w:r>
      <w:proofErr w:type="spellEnd"/>
      <w:r>
        <w:rPr>
          <w:lang w:val="en-US"/>
        </w:rPr>
        <w:t xml:space="preserve"> Core/Shell Nanocrystals Using Air-Stable Reagents via Successive Ion Layer Adsorption and Reaction. J. Am. Chem. Soc. 2003, 125, 12567-12575.</w:t>
      </w:r>
    </w:p>
    <w:p w14:paraId="34F63EA1" w14:textId="77777777" w:rsidR="00A715EA" w:rsidRDefault="00736FC2">
      <w:pPr>
        <w:jc w:val="both"/>
        <w:rPr>
          <w:rStyle w:val="cit-pagerange"/>
          <w:lang w:val="en-US"/>
        </w:rPr>
      </w:pPr>
      <w:r>
        <w:rPr>
          <w:rStyle w:val="cit-title"/>
          <w:lang w:val="en-US"/>
        </w:rPr>
        <w:t xml:space="preserve">(5) </w:t>
      </w:r>
      <w:proofErr w:type="spellStart"/>
      <w:r>
        <w:rPr>
          <w:rStyle w:val="cit-title"/>
          <w:lang w:val="en-US"/>
        </w:rPr>
        <w:t>Renguo</w:t>
      </w:r>
      <w:proofErr w:type="spellEnd"/>
      <w:r>
        <w:rPr>
          <w:rStyle w:val="cit-title"/>
          <w:lang w:val="en-US"/>
        </w:rPr>
        <w:t xml:space="preserve"> Xie, Ute Kolb, </w:t>
      </w:r>
      <w:proofErr w:type="spellStart"/>
      <w:r>
        <w:rPr>
          <w:rStyle w:val="cit-title"/>
          <w:lang w:val="en-US"/>
        </w:rPr>
        <w:t>Jixue</w:t>
      </w:r>
      <w:proofErr w:type="spellEnd"/>
      <w:r>
        <w:rPr>
          <w:rStyle w:val="cit-title"/>
          <w:lang w:val="en-US"/>
        </w:rPr>
        <w:t xml:space="preserve"> Li, Thomas Basché, and Alf Mews, Synthesis and Characterization of Highly Luminescent </w:t>
      </w:r>
      <w:proofErr w:type="spellStart"/>
      <w:r>
        <w:rPr>
          <w:rStyle w:val="cit-title"/>
          <w:lang w:val="en-US"/>
        </w:rPr>
        <w:t>CdSe</w:t>
      </w:r>
      <w:proofErr w:type="spellEnd"/>
      <w:r>
        <w:rPr>
          <w:rStyle w:val="cit-title"/>
          <w:lang w:val="en-US"/>
        </w:rPr>
        <w:t xml:space="preserve">−Core </w:t>
      </w:r>
      <w:proofErr w:type="spellStart"/>
      <w:r>
        <w:rPr>
          <w:rStyle w:val="cit-title"/>
          <w:lang w:val="en-US"/>
        </w:rPr>
        <w:t>CdS</w:t>
      </w:r>
      <w:proofErr w:type="spellEnd"/>
      <w:r>
        <w:rPr>
          <w:rStyle w:val="cit-title"/>
          <w:lang w:val="en-US"/>
        </w:rPr>
        <w:t xml:space="preserve">/Zn0.5Cd0.5S/ZnS </w:t>
      </w:r>
      <w:proofErr w:type="spellStart"/>
      <w:r>
        <w:rPr>
          <w:rStyle w:val="cit-title"/>
          <w:lang w:val="en-US"/>
        </w:rPr>
        <w:t>Multishell</w:t>
      </w:r>
      <w:proofErr w:type="spellEnd"/>
      <w:r>
        <w:rPr>
          <w:rStyle w:val="cit-title"/>
          <w:lang w:val="en-US"/>
        </w:rPr>
        <w:t xml:space="preserve"> Nanocrystals</w:t>
      </w:r>
      <w:r>
        <w:rPr>
          <w:rStyle w:val="cit-title"/>
          <w:i/>
          <w:iCs/>
          <w:lang w:val="en-US"/>
        </w:rPr>
        <w:t xml:space="preserve"> J. Am. Chem. Soc.</w:t>
      </w:r>
      <w:r>
        <w:rPr>
          <w:lang w:val="en-US"/>
        </w:rPr>
        <w:t xml:space="preserve"> </w:t>
      </w:r>
      <w:r>
        <w:rPr>
          <w:rStyle w:val="cit-year-info"/>
          <w:lang w:val="en-US"/>
        </w:rPr>
        <w:t>2005</w:t>
      </w:r>
      <w:r>
        <w:rPr>
          <w:rStyle w:val="cit-volume"/>
          <w:lang w:val="en-US"/>
        </w:rPr>
        <w:t>, 127</w:t>
      </w:r>
      <w:r>
        <w:rPr>
          <w:rStyle w:val="cit-issue"/>
          <w:lang w:val="en-US"/>
        </w:rPr>
        <w:t>, 20</w:t>
      </w:r>
      <w:r>
        <w:rPr>
          <w:rStyle w:val="cit-pagerange"/>
          <w:lang w:val="en-US"/>
        </w:rPr>
        <w:t>, 7480–7488</w:t>
      </w:r>
    </w:p>
    <w:p w14:paraId="65CD886B" w14:textId="77777777" w:rsidR="00A715EA" w:rsidRDefault="00736FC2">
      <w:pPr>
        <w:pStyle w:val="Bibliographie"/>
        <w:jc w:val="both"/>
        <w:rPr>
          <w:rFonts w:ascii="Calibri" w:hAnsi="Calibri" w:cs="Calibri"/>
          <w:lang w:val="en-US"/>
        </w:rPr>
      </w:pPr>
      <w:r>
        <w:rPr>
          <w:rFonts w:cs="Calibri"/>
          <w:lang w:val="en-US"/>
        </w:rPr>
        <w:t xml:space="preserve">(6) Weisser, M.; </w:t>
      </w:r>
      <w:proofErr w:type="spellStart"/>
      <w:r>
        <w:rPr>
          <w:rFonts w:cs="Calibri"/>
          <w:lang w:val="en-US"/>
        </w:rPr>
        <w:t>Thoma</w:t>
      </w:r>
      <w:proofErr w:type="spellEnd"/>
      <w:r>
        <w:rPr>
          <w:rFonts w:cs="Calibri"/>
          <w:lang w:val="en-US"/>
        </w:rPr>
        <w:t>, F.; Menges, B.; Langbein, U.; Mittler-Neher, S. Fluorescence in Ion Exchanged</w:t>
      </w:r>
    </w:p>
    <w:p w14:paraId="18F75A39" w14:textId="77777777" w:rsidR="00A715EA" w:rsidRDefault="00736FC2">
      <w:pPr>
        <w:pStyle w:val="Bibliographie"/>
        <w:jc w:val="both"/>
        <w:rPr>
          <w:rFonts w:ascii="Calibri" w:hAnsi="Calibri" w:cs="Calibri"/>
          <w:lang w:val="en-US"/>
        </w:rPr>
      </w:pPr>
      <w:r>
        <w:rPr>
          <w:rFonts w:cs="Calibri"/>
          <w:lang w:val="en-US"/>
        </w:rPr>
        <w:t xml:space="preserve">BK7 Glass Slab Waveguides and Its Use for Scattering Free Loss Measurements. </w:t>
      </w:r>
      <w:r>
        <w:rPr>
          <w:rFonts w:cs="Calibri"/>
          <w:i/>
          <w:iCs/>
          <w:lang w:val="en-US"/>
        </w:rPr>
        <w:t>Optics Communications</w:t>
      </w:r>
    </w:p>
    <w:p w14:paraId="644CFF04" w14:textId="77777777" w:rsidR="00A715EA" w:rsidRDefault="00736FC2">
      <w:pPr>
        <w:pStyle w:val="Bibliographie"/>
        <w:jc w:val="both"/>
        <w:rPr>
          <w:rFonts w:cs="Calibri"/>
          <w:lang w:val="en-US"/>
        </w:rPr>
      </w:pPr>
      <w:r>
        <w:rPr>
          <w:rFonts w:cs="Calibri"/>
          <w:b/>
          <w:bCs/>
          <w:lang w:val="en-US"/>
        </w:rPr>
        <w:t>1998</w:t>
      </w:r>
      <w:r>
        <w:rPr>
          <w:rFonts w:cs="Calibri"/>
          <w:lang w:val="en-US"/>
        </w:rPr>
        <w:t xml:space="preserve">, </w:t>
      </w:r>
      <w:r>
        <w:rPr>
          <w:rFonts w:cs="Calibri"/>
          <w:i/>
          <w:iCs/>
          <w:lang w:val="en-US"/>
        </w:rPr>
        <w:t>153</w:t>
      </w:r>
      <w:r>
        <w:rPr>
          <w:rFonts w:cs="Calibri"/>
          <w:lang w:val="en-US"/>
        </w:rPr>
        <w:t xml:space="preserve"> (1), 27–31. </w:t>
      </w:r>
      <w:hyperlink r:id="rId14">
        <w:r>
          <w:rPr>
            <w:rStyle w:val="LienInternet"/>
            <w:rFonts w:cs="Calibri"/>
            <w:lang w:val="en-US"/>
          </w:rPr>
          <w:t>https://doi.org/10.1016/S0030-4018(98)00222-3</w:t>
        </w:r>
      </w:hyperlink>
      <w:r>
        <w:rPr>
          <w:rFonts w:cs="Calibri"/>
          <w:lang w:val="en-US"/>
        </w:rPr>
        <w:t>.</w:t>
      </w:r>
    </w:p>
    <w:p w14:paraId="24158696" w14:textId="77777777" w:rsidR="00127401" w:rsidRDefault="00127401">
      <w:pPr>
        <w:pStyle w:val="Bibliographie"/>
        <w:jc w:val="both"/>
        <w:rPr>
          <w:rFonts w:cs="Calibri"/>
          <w:lang w:val="en-US"/>
        </w:rPr>
      </w:pPr>
    </w:p>
    <w:p w14:paraId="4C16BB21" w14:textId="6C12B0CD" w:rsidR="00A715EA" w:rsidRDefault="00736FC2">
      <w:pPr>
        <w:pStyle w:val="Bibliographie"/>
        <w:jc w:val="both"/>
        <w:rPr>
          <w:rFonts w:ascii="Calibri" w:hAnsi="Calibri" w:cs="Calibri"/>
          <w:lang w:val="en-US"/>
        </w:rPr>
      </w:pPr>
      <w:r>
        <w:rPr>
          <w:rFonts w:cs="Calibri"/>
          <w:lang w:val="en-US"/>
        </w:rPr>
        <w:t xml:space="preserve">(7) Hassanzadeh, A.; Nitsche, M.; Armstrong, S.; Nabavi, N.; Harrison, R.; Dixon, S. J.; Langbein, </w:t>
      </w:r>
      <w:proofErr w:type="gramStart"/>
      <w:r>
        <w:rPr>
          <w:rFonts w:cs="Calibri"/>
          <w:lang w:val="en-US"/>
        </w:rPr>
        <w:t>U.;</w:t>
      </w:r>
      <w:proofErr w:type="gramEnd"/>
    </w:p>
    <w:p w14:paraId="1F15ACBE" w14:textId="77777777" w:rsidR="00A715EA" w:rsidRDefault="00736FC2">
      <w:pPr>
        <w:pStyle w:val="Bibliographie"/>
        <w:jc w:val="both"/>
        <w:rPr>
          <w:rFonts w:ascii="Calibri" w:hAnsi="Calibri" w:cs="Calibri"/>
          <w:lang w:val="en-US"/>
        </w:rPr>
      </w:pPr>
      <w:r>
        <w:rPr>
          <w:rFonts w:cs="Calibri"/>
          <w:lang w:val="en-US"/>
        </w:rPr>
        <w:t>Mittler, S. Optical Waveguides Formed by Silver Ion Exchange in Schott SG11 Glass for Waveguide</w:t>
      </w:r>
    </w:p>
    <w:p w14:paraId="1D90C101" w14:textId="77777777" w:rsidR="00A715EA" w:rsidRDefault="00736FC2">
      <w:pPr>
        <w:pStyle w:val="Bibliographie"/>
        <w:jc w:val="both"/>
        <w:rPr>
          <w:rFonts w:ascii="Calibri" w:hAnsi="Calibri" w:cs="Calibri"/>
          <w:lang w:val="en-US"/>
        </w:rPr>
      </w:pPr>
      <w:r>
        <w:rPr>
          <w:rFonts w:cs="Calibri"/>
          <w:lang w:val="en-US"/>
        </w:rPr>
        <w:t xml:space="preserve">Evanescent Field Fluorescence Microscopy: Evanescent Images of HEK293 Cells. </w:t>
      </w:r>
      <w:r>
        <w:rPr>
          <w:rFonts w:cs="Calibri"/>
          <w:i/>
          <w:iCs/>
          <w:lang w:val="en-US"/>
        </w:rPr>
        <w:t>J. Biomed. Opt.</w:t>
      </w:r>
      <w:r>
        <w:rPr>
          <w:rFonts w:cs="Calibri"/>
          <w:lang w:val="en-US"/>
        </w:rPr>
        <w:t xml:space="preserve"> </w:t>
      </w:r>
      <w:r>
        <w:rPr>
          <w:rFonts w:cs="Calibri"/>
          <w:b/>
          <w:bCs/>
          <w:lang w:val="en-US"/>
        </w:rPr>
        <w:t>2010</w:t>
      </w:r>
      <w:r>
        <w:rPr>
          <w:rFonts w:cs="Calibri"/>
          <w:lang w:val="en-US"/>
        </w:rPr>
        <w:t>,</w:t>
      </w:r>
    </w:p>
    <w:p w14:paraId="5548FDE2" w14:textId="77777777" w:rsidR="00A715EA" w:rsidRDefault="00736FC2">
      <w:pPr>
        <w:pStyle w:val="Bibliographie"/>
        <w:jc w:val="both"/>
        <w:rPr>
          <w:rFonts w:ascii="Calibri" w:hAnsi="Calibri" w:cs="Calibri"/>
          <w:lang w:val="en-US"/>
        </w:rPr>
      </w:pPr>
      <w:r>
        <w:rPr>
          <w:rFonts w:cs="Calibri"/>
          <w:i/>
          <w:iCs/>
          <w:lang w:val="en-US"/>
        </w:rPr>
        <w:t>15</w:t>
      </w:r>
      <w:r>
        <w:rPr>
          <w:rFonts w:cs="Calibri"/>
          <w:lang w:val="en-US"/>
        </w:rPr>
        <w:t xml:space="preserve"> (3), 036018. </w:t>
      </w:r>
      <w:hyperlink r:id="rId15">
        <w:r>
          <w:rPr>
            <w:rStyle w:val="LienInternet"/>
            <w:rFonts w:cs="Calibri"/>
            <w:lang w:val="en-US"/>
          </w:rPr>
          <w:t>https://doi.org/10.1117/1.3443796</w:t>
        </w:r>
      </w:hyperlink>
      <w:r>
        <w:rPr>
          <w:rFonts w:cs="Calibri"/>
          <w:lang w:val="en-US"/>
        </w:rPr>
        <w:t>.</w:t>
      </w:r>
    </w:p>
    <w:p w14:paraId="634A8174" w14:textId="77777777" w:rsidR="00127401" w:rsidRDefault="00127401">
      <w:pPr>
        <w:pStyle w:val="Bibliographie"/>
        <w:jc w:val="both"/>
        <w:rPr>
          <w:rFonts w:cs="Calibri"/>
          <w:lang w:val="en-US"/>
        </w:rPr>
      </w:pPr>
    </w:p>
    <w:p w14:paraId="059EF869" w14:textId="68D8E15C" w:rsidR="00A715EA" w:rsidRDefault="00736FC2">
      <w:pPr>
        <w:pStyle w:val="Bibliographie"/>
        <w:jc w:val="both"/>
        <w:rPr>
          <w:rFonts w:ascii="Calibri" w:hAnsi="Calibri" w:cs="Calibri"/>
          <w:lang w:val="en-US"/>
        </w:rPr>
      </w:pPr>
      <w:r>
        <w:rPr>
          <w:rFonts w:cs="Calibri"/>
          <w:lang w:val="en-US"/>
        </w:rPr>
        <w:t>(8) Jin, C.; Liu, B.; Lei, Z.; Sun, J. Structure and Photoluminescence of the TiO2 Films Grown by Atomic</w:t>
      </w:r>
    </w:p>
    <w:p w14:paraId="3EAC78EF" w14:textId="77777777" w:rsidR="00A715EA" w:rsidRDefault="00736FC2">
      <w:pPr>
        <w:pStyle w:val="Bibliographie"/>
        <w:jc w:val="both"/>
        <w:rPr>
          <w:rFonts w:ascii="Calibri" w:hAnsi="Calibri" w:cs="Calibri"/>
          <w:lang w:val="en-US"/>
        </w:rPr>
      </w:pPr>
      <w:r>
        <w:rPr>
          <w:rFonts w:cs="Calibri"/>
          <w:lang w:val="en-US"/>
        </w:rPr>
        <w:t xml:space="preserve">Layer Deposition Using </w:t>
      </w:r>
      <w:proofErr w:type="spellStart"/>
      <w:r>
        <w:rPr>
          <w:rFonts w:cs="Calibri"/>
          <w:lang w:val="en-US"/>
        </w:rPr>
        <w:t>Tetrakis-Dimethylamino</w:t>
      </w:r>
      <w:proofErr w:type="spellEnd"/>
      <w:r>
        <w:rPr>
          <w:rFonts w:cs="Calibri"/>
          <w:lang w:val="en-US"/>
        </w:rPr>
        <w:t xml:space="preserve"> Titanium and Ozone. </w:t>
      </w:r>
      <w:r>
        <w:rPr>
          <w:rFonts w:cs="Calibri"/>
          <w:i/>
          <w:iCs/>
          <w:lang w:val="en-US"/>
        </w:rPr>
        <w:t>Nanoscale Res Lett</w:t>
      </w:r>
      <w:r>
        <w:rPr>
          <w:rFonts w:cs="Calibri"/>
          <w:lang w:val="en-US"/>
        </w:rPr>
        <w:t xml:space="preserve"> </w:t>
      </w:r>
      <w:r>
        <w:rPr>
          <w:rFonts w:cs="Calibri"/>
          <w:b/>
          <w:bCs/>
          <w:lang w:val="en-US"/>
        </w:rPr>
        <w:t>2015</w:t>
      </w:r>
      <w:r>
        <w:rPr>
          <w:rFonts w:cs="Calibri"/>
          <w:lang w:val="en-US"/>
        </w:rPr>
        <w:t xml:space="preserve">, </w:t>
      </w:r>
      <w:r>
        <w:rPr>
          <w:rFonts w:cs="Calibri"/>
          <w:i/>
          <w:iCs/>
          <w:lang w:val="en-US"/>
        </w:rPr>
        <w:t>10</w:t>
      </w:r>
      <w:r>
        <w:rPr>
          <w:rFonts w:cs="Calibri"/>
          <w:lang w:val="en-US"/>
        </w:rPr>
        <w:t xml:space="preserve"> (1),</w:t>
      </w:r>
    </w:p>
    <w:p w14:paraId="79A849C7" w14:textId="77777777" w:rsidR="00A715EA" w:rsidRDefault="00736FC2">
      <w:pPr>
        <w:pStyle w:val="Bibliographie"/>
        <w:jc w:val="both"/>
        <w:rPr>
          <w:rFonts w:ascii="Calibri" w:hAnsi="Calibri" w:cs="Calibri"/>
          <w:lang w:val="en-US"/>
        </w:rPr>
      </w:pPr>
      <w:r>
        <w:rPr>
          <w:rFonts w:cs="Calibri"/>
          <w:lang w:val="en-US"/>
        </w:rPr>
        <w:t xml:space="preserve">95. </w:t>
      </w:r>
      <w:hyperlink r:id="rId16">
        <w:r>
          <w:rPr>
            <w:rStyle w:val="LienInternet"/>
            <w:rFonts w:cs="Calibri"/>
            <w:lang w:val="en-US"/>
          </w:rPr>
          <w:t>https://doi.org/10.1186/s11671-015-0790-x</w:t>
        </w:r>
      </w:hyperlink>
      <w:r>
        <w:rPr>
          <w:rFonts w:cs="Calibri"/>
          <w:lang w:val="en-US"/>
        </w:rPr>
        <w:t>.</w:t>
      </w:r>
    </w:p>
    <w:p w14:paraId="48235925" w14:textId="77777777" w:rsidR="00A715EA" w:rsidRDefault="00A715EA">
      <w:pPr>
        <w:rPr>
          <w:lang w:val="en-US"/>
        </w:rPr>
      </w:pPr>
    </w:p>
    <w:p w14:paraId="0F1FB20B" w14:textId="77777777" w:rsidR="00A715EA" w:rsidRDefault="00A715EA">
      <w:pPr>
        <w:rPr>
          <w:b/>
          <w:lang w:val="en-US"/>
        </w:rPr>
      </w:pPr>
    </w:p>
    <w:p w14:paraId="4DFDFC0E" w14:textId="77777777" w:rsidR="00A715EA" w:rsidRDefault="00A715EA">
      <w:pPr>
        <w:jc w:val="both"/>
        <w:rPr>
          <w:lang w:val="en-US"/>
        </w:rPr>
      </w:pPr>
    </w:p>
    <w:p w14:paraId="23BB776F" w14:textId="77777777" w:rsidR="00A715EA" w:rsidRDefault="00A715EA">
      <w:pPr>
        <w:jc w:val="both"/>
        <w:rPr>
          <w:sz w:val="28"/>
          <w:lang w:val="en-US"/>
        </w:rPr>
      </w:pPr>
    </w:p>
    <w:sectPr w:rsidR="00A715EA">
      <w:footerReference w:type="default" r:id="rId17"/>
      <w:pgSz w:w="11906" w:h="16838"/>
      <w:pgMar w:top="1417" w:right="1417" w:bottom="1417" w:left="1417" w:header="0"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F449E" w14:textId="77777777" w:rsidR="00794199" w:rsidRDefault="00794199">
      <w:pPr>
        <w:spacing w:after="0" w:line="240" w:lineRule="auto"/>
      </w:pPr>
      <w:r>
        <w:separator/>
      </w:r>
    </w:p>
  </w:endnote>
  <w:endnote w:type="continuationSeparator" w:id="0">
    <w:p w14:paraId="6795EBC3" w14:textId="77777777" w:rsidR="00794199" w:rsidRDefault="00794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imbusRomNo9L-Regu">
    <w:altName w:val="Calibri"/>
    <w:panose1 w:val="00000000000000000000"/>
    <w:charset w:val="00"/>
    <w:family w:val="auto"/>
    <w:notTrueType/>
    <w:pitch w:val="default"/>
    <w:sig w:usb0="00000003" w:usb1="00000000" w:usb2="00000000" w:usb3="00000000" w:csb0="00000001" w:csb1="00000000"/>
  </w:font>
  <w:font w:name="CMMI10">
    <w:altName w:val="Times New Roman"/>
    <w:panose1 w:val="00000000000000000000"/>
    <w:charset w:val="00"/>
    <w:family w:val="roman"/>
    <w:notTrueType/>
    <w:pitch w:val="default"/>
  </w:font>
  <w:font w:name="CMMI8">
    <w:altName w:val="Times New Roman"/>
    <w:panose1 w:val="00000000000000000000"/>
    <w:charset w:val="00"/>
    <w:family w:val="roman"/>
    <w:notTrueType/>
    <w:pitch w:val="default"/>
  </w:font>
  <w:font w:name="CMSY10">
    <w:altName w:val="Cambria"/>
    <w:panose1 w:val="00000000000000000000"/>
    <w:charset w:val="00"/>
    <w:family w:val="auto"/>
    <w:notTrueType/>
    <w:pitch w:val="default"/>
    <w:sig w:usb0="00000003" w:usb1="00000000" w:usb2="00000000" w:usb3="00000000" w:csb0="00000001" w:csb1="00000000"/>
  </w:font>
  <w:font w:name="CMR10">
    <w:altName w:val="Calibri"/>
    <w:panose1 w:val="00000000000000000000"/>
    <w:charset w:val="00"/>
    <w:family w:val="auto"/>
    <w:notTrueType/>
    <w:pitch w:val="default"/>
    <w:sig w:usb0="00000003" w:usb1="00000000"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7366744"/>
      <w:docPartObj>
        <w:docPartGallery w:val="Page Numbers (Bottom of Page)"/>
        <w:docPartUnique/>
      </w:docPartObj>
    </w:sdtPr>
    <w:sdtContent>
      <w:p w14:paraId="34EC89A4" w14:textId="77777777" w:rsidR="00303BED" w:rsidRDefault="00303BED">
        <w:pPr>
          <w:pStyle w:val="Pieddepage"/>
          <w:jc w:val="right"/>
        </w:pPr>
        <w:r>
          <w:fldChar w:fldCharType="begin"/>
        </w:r>
        <w:r>
          <w:instrText xml:space="preserve"> PAGE </w:instrText>
        </w:r>
        <w:r>
          <w:fldChar w:fldCharType="separate"/>
        </w:r>
        <w:r w:rsidR="00B54965">
          <w:rPr>
            <w:noProof/>
          </w:rPr>
          <w:t>1</w:t>
        </w:r>
        <w:r>
          <w:fldChar w:fldCharType="end"/>
        </w:r>
      </w:p>
    </w:sdtContent>
  </w:sdt>
  <w:p w14:paraId="71693556" w14:textId="77777777" w:rsidR="00303BED" w:rsidRDefault="00303BE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9E33D" w14:textId="77777777" w:rsidR="00794199" w:rsidRDefault="00794199">
      <w:pPr>
        <w:spacing w:after="0" w:line="240" w:lineRule="auto"/>
      </w:pPr>
      <w:r>
        <w:separator/>
      </w:r>
    </w:p>
  </w:footnote>
  <w:footnote w:type="continuationSeparator" w:id="0">
    <w:p w14:paraId="765B6874" w14:textId="77777777" w:rsidR="00794199" w:rsidRDefault="007941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5EA"/>
    <w:rsid w:val="00006A22"/>
    <w:rsid w:val="0007044E"/>
    <w:rsid w:val="0009040A"/>
    <w:rsid w:val="00091136"/>
    <w:rsid w:val="000A1134"/>
    <w:rsid w:val="00104B70"/>
    <w:rsid w:val="00127401"/>
    <w:rsid w:val="001762E7"/>
    <w:rsid w:val="00197CA1"/>
    <w:rsid w:val="001D0179"/>
    <w:rsid w:val="001D0657"/>
    <w:rsid w:val="002379D0"/>
    <w:rsid w:val="00280A48"/>
    <w:rsid w:val="002F1D02"/>
    <w:rsid w:val="00303BED"/>
    <w:rsid w:val="00304B84"/>
    <w:rsid w:val="0032028A"/>
    <w:rsid w:val="0034467E"/>
    <w:rsid w:val="00360871"/>
    <w:rsid w:val="00383A9D"/>
    <w:rsid w:val="00396C7E"/>
    <w:rsid w:val="003E7448"/>
    <w:rsid w:val="00427A0B"/>
    <w:rsid w:val="004338DF"/>
    <w:rsid w:val="0043739E"/>
    <w:rsid w:val="00461969"/>
    <w:rsid w:val="00465B2C"/>
    <w:rsid w:val="004A61D6"/>
    <w:rsid w:val="004C0FF1"/>
    <w:rsid w:val="004D4A5C"/>
    <w:rsid w:val="00510B07"/>
    <w:rsid w:val="00514769"/>
    <w:rsid w:val="00517AE7"/>
    <w:rsid w:val="00521135"/>
    <w:rsid w:val="00536745"/>
    <w:rsid w:val="0054431E"/>
    <w:rsid w:val="0054689F"/>
    <w:rsid w:val="005F2076"/>
    <w:rsid w:val="0069422E"/>
    <w:rsid w:val="006A23B1"/>
    <w:rsid w:val="006B4E76"/>
    <w:rsid w:val="006C02D1"/>
    <w:rsid w:val="00736FC2"/>
    <w:rsid w:val="00794199"/>
    <w:rsid w:val="007C1B57"/>
    <w:rsid w:val="0086116D"/>
    <w:rsid w:val="008B2404"/>
    <w:rsid w:val="008C3065"/>
    <w:rsid w:val="008E4EF1"/>
    <w:rsid w:val="008F77E7"/>
    <w:rsid w:val="00902BBE"/>
    <w:rsid w:val="00911CCA"/>
    <w:rsid w:val="009442F5"/>
    <w:rsid w:val="0094568A"/>
    <w:rsid w:val="00963389"/>
    <w:rsid w:val="009A30DE"/>
    <w:rsid w:val="009B3E67"/>
    <w:rsid w:val="00A3268E"/>
    <w:rsid w:val="00A5396C"/>
    <w:rsid w:val="00A715EA"/>
    <w:rsid w:val="00AA10A1"/>
    <w:rsid w:val="00AA2A15"/>
    <w:rsid w:val="00B0258B"/>
    <w:rsid w:val="00B54965"/>
    <w:rsid w:val="00B6222F"/>
    <w:rsid w:val="00BA6B40"/>
    <w:rsid w:val="00BA7F9A"/>
    <w:rsid w:val="00BB5A95"/>
    <w:rsid w:val="00BC4C0A"/>
    <w:rsid w:val="00BD14B8"/>
    <w:rsid w:val="00BD5883"/>
    <w:rsid w:val="00C32144"/>
    <w:rsid w:val="00C46089"/>
    <w:rsid w:val="00C80116"/>
    <w:rsid w:val="00C83282"/>
    <w:rsid w:val="00C849D9"/>
    <w:rsid w:val="00C851DA"/>
    <w:rsid w:val="00CD73D4"/>
    <w:rsid w:val="00CF589D"/>
    <w:rsid w:val="00D465DC"/>
    <w:rsid w:val="00D81438"/>
    <w:rsid w:val="00DA2B5B"/>
    <w:rsid w:val="00DC2472"/>
    <w:rsid w:val="00DE00C9"/>
    <w:rsid w:val="00E54436"/>
    <w:rsid w:val="00E71393"/>
    <w:rsid w:val="00EA473D"/>
    <w:rsid w:val="00EA74FB"/>
    <w:rsid w:val="00EB4A9C"/>
    <w:rsid w:val="00EC536A"/>
    <w:rsid w:val="00F023D8"/>
    <w:rsid w:val="00F137B0"/>
    <w:rsid w:val="00F21584"/>
    <w:rsid w:val="00F477D8"/>
    <w:rsid w:val="00F6099A"/>
    <w:rsid w:val="00F721D5"/>
    <w:rsid w:val="00FD6E26"/>
    <w:rsid w:val="00FE4FD8"/>
  </w:rsids>
  <m:mathPr>
    <m:mathFont m:val="Cambria Math"/>
    <m:brkBin m:val="before"/>
    <m:brkBinSub m:val="--"/>
    <m:smallFrac m:val="0"/>
    <m:dispDef/>
    <m:lMargin m:val="0"/>
    <m:rMargin m:val="0"/>
    <m:defJc m:val="centerGroup"/>
    <m:wrapIndent m:val="1440"/>
    <m:intLim m:val="subSup"/>
    <m:naryLim m:val="undOvr"/>
  </m:mathPr>
  <w:themeFontLang w:val="fr-FR"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99E36"/>
  <w15:docId w15:val="{F9D310D6-B980-4084-B625-FE63ABC61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viiyi">
    <w:name w:val="viiyi"/>
    <w:basedOn w:val="Policepardfaut"/>
    <w:qFormat/>
    <w:rsid w:val="005A1FE1"/>
  </w:style>
  <w:style w:type="character" w:customStyle="1" w:styleId="jlqj4b">
    <w:name w:val="jlqj4b"/>
    <w:basedOn w:val="Policepardfaut"/>
    <w:qFormat/>
    <w:rsid w:val="005A1FE1"/>
  </w:style>
  <w:style w:type="character" w:styleId="Textedelespacerserv">
    <w:name w:val="Placeholder Text"/>
    <w:basedOn w:val="Policepardfaut"/>
    <w:uiPriority w:val="99"/>
    <w:semiHidden/>
    <w:qFormat/>
    <w:rsid w:val="00677D14"/>
    <w:rPr>
      <w:color w:val="808080"/>
    </w:rPr>
  </w:style>
  <w:style w:type="character" w:customStyle="1" w:styleId="q4iawc">
    <w:name w:val="q4iawc"/>
    <w:basedOn w:val="Policepardfaut"/>
    <w:qFormat/>
    <w:rsid w:val="0063265F"/>
  </w:style>
  <w:style w:type="character" w:customStyle="1" w:styleId="En-tteCar">
    <w:name w:val="En-tête Car"/>
    <w:basedOn w:val="Policepardfaut"/>
    <w:link w:val="En-tte"/>
    <w:uiPriority w:val="99"/>
    <w:qFormat/>
    <w:rsid w:val="000505A8"/>
  </w:style>
  <w:style w:type="character" w:customStyle="1" w:styleId="PieddepageCar">
    <w:name w:val="Pied de page Car"/>
    <w:basedOn w:val="Policepardfaut"/>
    <w:link w:val="Pieddepage"/>
    <w:uiPriority w:val="99"/>
    <w:qFormat/>
    <w:rsid w:val="000505A8"/>
  </w:style>
  <w:style w:type="character" w:styleId="Marquedecommentaire">
    <w:name w:val="annotation reference"/>
    <w:basedOn w:val="Policepardfaut"/>
    <w:uiPriority w:val="99"/>
    <w:semiHidden/>
    <w:unhideWhenUsed/>
    <w:qFormat/>
    <w:rsid w:val="00930974"/>
    <w:rPr>
      <w:sz w:val="16"/>
      <w:szCs w:val="16"/>
    </w:rPr>
  </w:style>
  <w:style w:type="character" w:customStyle="1" w:styleId="CommentaireCar">
    <w:name w:val="Commentaire Car"/>
    <w:basedOn w:val="Policepardfaut"/>
    <w:link w:val="Commentaire"/>
    <w:uiPriority w:val="99"/>
    <w:semiHidden/>
    <w:qFormat/>
    <w:rsid w:val="00930974"/>
    <w:rPr>
      <w:sz w:val="20"/>
      <w:szCs w:val="20"/>
    </w:rPr>
  </w:style>
  <w:style w:type="character" w:customStyle="1" w:styleId="ObjetducommentaireCar">
    <w:name w:val="Objet du commentaire Car"/>
    <w:basedOn w:val="CommentaireCar"/>
    <w:link w:val="Objetducommentaire"/>
    <w:uiPriority w:val="99"/>
    <w:semiHidden/>
    <w:qFormat/>
    <w:rsid w:val="00930974"/>
    <w:rPr>
      <w:b/>
      <w:bCs/>
      <w:sz w:val="20"/>
      <w:szCs w:val="20"/>
    </w:rPr>
  </w:style>
  <w:style w:type="character" w:customStyle="1" w:styleId="TextedebullesCar">
    <w:name w:val="Texte de bulles Car"/>
    <w:basedOn w:val="Policepardfaut"/>
    <w:link w:val="Textedebulles"/>
    <w:uiPriority w:val="99"/>
    <w:semiHidden/>
    <w:qFormat/>
    <w:rsid w:val="00930974"/>
    <w:rPr>
      <w:rFonts w:ascii="Segoe UI" w:hAnsi="Segoe UI" w:cs="Segoe UI"/>
      <w:sz w:val="18"/>
      <w:szCs w:val="18"/>
    </w:rPr>
  </w:style>
  <w:style w:type="character" w:customStyle="1" w:styleId="whyltd">
    <w:name w:val="whyltd"/>
    <w:basedOn w:val="Policepardfaut"/>
    <w:qFormat/>
    <w:rsid w:val="00E37DAB"/>
  </w:style>
  <w:style w:type="character" w:customStyle="1" w:styleId="cit-title">
    <w:name w:val="cit-title"/>
    <w:basedOn w:val="Policepardfaut"/>
    <w:qFormat/>
    <w:rsid w:val="00883177"/>
  </w:style>
  <w:style w:type="character" w:customStyle="1" w:styleId="cit-year-info">
    <w:name w:val="cit-year-info"/>
    <w:basedOn w:val="Policepardfaut"/>
    <w:qFormat/>
    <w:rsid w:val="00883177"/>
  </w:style>
  <w:style w:type="character" w:customStyle="1" w:styleId="cit-volume">
    <w:name w:val="cit-volume"/>
    <w:basedOn w:val="Policepardfaut"/>
    <w:qFormat/>
    <w:rsid w:val="00883177"/>
  </w:style>
  <w:style w:type="character" w:customStyle="1" w:styleId="cit-issue">
    <w:name w:val="cit-issue"/>
    <w:basedOn w:val="Policepardfaut"/>
    <w:qFormat/>
    <w:rsid w:val="00883177"/>
  </w:style>
  <w:style w:type="character" w:customStyle="1" w:styleId="cit-pagerange">
    <w:name w:val="cit-pagerange"/>
    <w:basedOn w:val="Policepardfaut"/>
    <w:qFormat/>
    <w:rsid w:val="00883177"/>
  </w:style>
  <w:style w:type="character" w:customStyle="1" w:styleId="hwtze">
    <w:name w:val="hwtze"/>
    <w:basedOn w:val="Policepardfaut"/>
    <w:qFormat/>
    <w:rsid w:val="00BC1C76"/>
  </w:style>
  <w:style w:type="character" w:customStyle="1" w:styleId="rynqvb">
    <w:name w:val="rynqvb"/>
    <w:basedOn w:val="Policepardfaut"/>
    <w:qFormat/>
    <w:rsid w:val="00BC1C76"/>
  </w:style>
  <w:style w:type="character" w:customStyle="1" w:styleId="LienInternet">
    <w:name w:val="Lien Internet"/>
    <w:basedOn w:val="Policepardfaut"/>
    <w:uiPriority w:val="99"/>
    <w:unhideWhenUsed/>
    <w:rsid w:val="003E72E8"/>
    <w:rPr>
      <w:color w:val="0563C1" w:themeColor="hyperlink"/>
      <w:u w:val="single"/>
    </w:rPr>
  </w:style>
  <w:style w:type="character" w:customStyle="1" w:styleId="fontstyle01">
    <w:name w:val="fontstyle01"/>
    <w:basedOn w:val="Policepardfaut"/>
    <w:qFormat/>
    <w:rsid w:val="00E352F8"/>
    <w:rPr>
      <w:rFonts w:ascii="NimbusRomNo9L-Regu" w:hAnsi="NimbusRomNo9L-Regu"/>
      <w:b w:val="0"/>
      <w:bCs w:val="0"/>
      <w:i w:val="0"/>
      <w:iCs w:val="0"/>
      <w:color w:val="000000"/>
      <w:sz w:val="24"/>
      <w:szCs w:val="24"/>
    </w:rPr>
  </w:style>
  <w:style w:type="character" w:customStyle="1" w:styleId="fontstyle21">
    <w:name w:val="fontstyle21"/>
    <w:basedOn w:val="Policepardfaut"/>
    <w:qFormat/>
    <w:rsid w:val="00834376"/>
    <w:rPr>
      <w:rFonts w:ascii="CMMI10" w:hAnsi="CMMI10"/>
      <w:b w:val="0"/>
      <w:bCs w:val="0"/>
      <w:i/>
      <w:iCs/>
      <w:color w:val="000000"/>
      <w:sz w:val="22"/>
      <w:szCs w:val="22"/>
    </w:rPr>
  </w:style>
  <w:style w:type="character" w:customStyle="1" w:styleId="fontstyle31">
    <w:name w:val="fontstyle31"/>
    <w:basedOn w:val="Policepardfaut"/>
    <w:qFormat/>
    <w:rsid w:val="00925009"/>
    <w:rPr>
      <w:rFonts w:ascii="CMMI8" w:hAnsi="CMMI8"/>
      <w:b w:val="0"/>
      <w:bCs w:val="0"/>
      <w:i/>
      <w:iCs/>
      <w:color w:val="000000"/>
      <w:sz w:val="16"/>
      <w:szCs w:val="16"/>
    </w:rPr>
  </w:style>
  <w:style w:type="character" w:customStyle="1" w:styleId="fontstyle41">
    <w:name w:val="fontstyle41"/>
    <w:basedOn w:val="Policepardfaut"/>
    <w:qFormat/>
    <w:rsid w:val="00925009"/>
    <w:rPr>
      <w:rFonts w:ascii="CMSY10" w:hAnsi="CMSY10"/>
      <w:b w:val="0"/>
      <w:bCs w:val="0"/>
      <w:i/>
      <w:iCs/>
      <w:color w:val="000000"/>
      <w:sz w:val="22"/>
      <w:szCs w:val="22"/>
    </w:rPr>
  </w:style>
  <w:style w:type="character" w:customStyle="1" w:styleId="fontstyle51">
    <w:name w:val="fontstyle51"/>
    <w:basedOn w:val="Policepardfaut"/>
    <w:qFormat/>
    <w:rsid w:val="00925009"/>
    <w:rPr>
      <w:rFonts w:ascii="CMR10" w:hAnsi="CMR10"/>
      <w:b w:val="0"/>
      <w:bCs w:val="0"/>
      <w:i w:val="0"/>
      <w:iCs w:val="0"/>
      <w:color w:val="000000"/>
      <w:sz w:val="22"/>
      <w:szCs w:val="22"/>
    </w:rPr>
  </w:style>
  <w:style w:type="paragraph" w:styleId="Titre">
    <w:name w:val="Title"/>
    <w:basedOn w:val="Normal"/>
    <w:next w:val="Corpsdetexte"/>
    <w:qFormat/>
    <w:pPr>
      <w:keepNext/>
      <w:spacing w:before="240" w:after="120"/>
    </w:pPr>
    <w:rPr>
      <w:rFonts w:ascii="Liberation Sans" w:eastAsia="Noto Sans CJK SC" w:hAnsi="Liberation Sans" w:cs="Lohit Devanagari"/>
      <w:sz w:val="28"/>
      <w:szCs w:val="28"/>
    </w:rPr>
  </w:style>
  <w:style w:type="paragraph" w:styleId="Corpsdetexte">
    <w:name w:val="Body Text"/>
    <w:basedOn w:val="Normal"/>
    <w:pPr>
      <w:spacing w:after="140" w:line="276" w:lineRule="auto"/>
    </w:pPr>
  </w:style>
  <w:style w:type="paragraph" w:styleId="Liste">
    <w:name w:val="List"/>
    <w:basedOn w:val="Corpsdetexte"/>
    <w:rPr>
      <w:rFonts w:cs="Lohit Devanagari"/>
    </w:rPr>
  </w:style>
  <w:style w:type="paragraph" w:styleId="Lgende">
    <w:name w:val="caption"/>
    <w:basedOn w:val="Normal"/>
    <w:next w:val="Normal"/>
    <w:uiPriority w:val="35"/>
    <w:unhideWhenUsed/>
    <w:qFormat/>
    <w:rsid w:val="00D04CA8"/>
    <w:pPr>
      <w:spacing w:after="200" w:line="240" w:lineRule="auto"/>
    </w:pPr>
    <w:rPr>
      <w:i/>
      <w:iCs/>
      <w:color w:val="44546A" w:themeColor="text2"/>
      <w:sz w:val="18"/>
      <w:szCs w:val="18"/>
    </w:rPr>
  </w:style>
  <w:style w:type="paragraph" w:customStyle="1" w:styleId="Index">
    <w:name w:val="Index"/>
    <w:basedOn w:val="Normal"/>
    <w:qFormat/>
    <w:pPr>
      <w:suppressLineNumbers/>
    </w:pPr>
    <w:rPr>
      <w:rFonts w:cs="Lohit Devanagari"/>
    </w:rPr>
  </w:style>
  <w:style w:type="paragraph" w:styleId="Bibliographie">
    <w:name w:val="Bibliography"/>
    <w:basedOn w:val="Normal"/>
    <w:next w:val="Normal"/>
    <w:uiPriority w:val="37"/>
    <w:unhideWhenUsed/>
    <w:qFormat/>
    <w:rsid w:val="00547FEE"/>
    <w:pPr>
      <w:tabs>
        <w:tab w:val="left" w:pos="624"/>
      </w:tabs>
      <w:spacing w:after="0" w:line="240" w:lineRule="auto"/>
      <w:ind w:left="624" w:hanging="624"/>
    </w:pPr>
  </w:style>
  <w:style w:type="paragraph" w:customStyle="1" w:styleId="En-tteetpieddepage">
    <w:name w:val="En-tête et pied de page"/>
    <w:basedOn w:val="Normal"/>
    <w:qFormat/>
  </w:style>
  <w:style w:type="paragraph" w:styleId="En-tte">
    <w:name w:val="header"/>
    <w:basedOn w:val="Normal"/>
    <w:link w:val="En-tteCar"/>
    <w:uiPriority w:val="99"/>
    <w:unhideWhenUsed/>
    <w:rsid w:val="000505A8"/>
    <w:pPr>
      <w:tabs>
        <w:tab w:val="center" w:pos="4536"/>
        <w:tab w:val="right" w:pos="9072"/>
      </w:tabs>
      <w:spacing w:after="0" w:line="240" w:lineRule="auto"/>
    </w:pPr>
  </w:style>
  <w:style w:type="paragraph" w:styleId="Pieddepage">
    <w:name w:val="footer"/>
    <w:basedOn w:val="Normal"/>
    <w:link w:val="PieddepageCar"/>
    <w:uiPriority w:val="99"/>
    <w:unhideWhenUsed/>
    <w:rsid w:val="000505A8"/>
    <w:pPr>
      <w:tabs>
        <w:tab w:val="center" w:pos="4536"/>
        <w:tab w:val="right" w:pos="9072"/>
      </w:tabs>
      <w:spacing w:after="0" w:line="240" w:lineRule="auto"/>
    </w:pPr>
  </w:style>
  <w:style w:type="paragraph" w:styleId="Commentaire">
    <w:name w:val="annotation text"/>
    <w:basedOn w:val="Normal"/>
    <w:link w:val="CommentaireCar"/>
    <w:uiPriority w:val="99"/>
    <w:semiHidden/>
    <w:unhideWhenUsed/>
    <w:qFormat/>
    <w:rsid w:val="00930974"/>
    <w:pPr>
      <w:spacing w:line="240" w:lineRule="auto"/>
    </w:pPr>
    <w:rPr>
      <w:sz w:val="20"/>
      <w:szCs w:val="20"/>
    </w:rPr>
  </w:style>
  <w:style w:type="paragraph" w:styleId="Objetducommentaire">
    <w:name w:val="annotation subject"/>
    <w:basedOn w:val="Commentaire"/>
    <w:next w:val="Commentaire"/>
    <w:link w:val="ObjetducommentaireCar"/>
    <w:uiPriority w:val="99"/>
    <w:semiHidden/>
    <w:unhideWhenUsed/>
    <w:qFormat/>
    <w:rsid w:val="00930974"/>
    <w:rPr>
      <w:b/>
      <w:bCs/>
    </w:rPr>
  </w:style>
  <w:style w:type="paragraph" w:styleId="Textedebulles">
    <w:name w:val="Balloon Text"/>
    <w:basedOn w:val="Normal"/>
    <w:link w:val="TextedebullesCar"/>
    <w:uiPriority w:val="99"/>
    <w:semiHidden/>
    <w:unhideWhenUsed/>
    <w:qFormat/>
    <w:rsid w:val="00930974"/>
    <w:pPr>
      <w:spacing w:after="0" w:line="240" w:lineRule="auto"/>
    </w:pPr>
    <w:rPr>
      <w:rFonts w:ascii="Segoe UI" w:hAnsi="Segoe UI" w:cs="Segoe UI"/>
      <w:sz w:val="18"/>
      <w:szCs w:val="18"/>
    </w:rPr>
  </w:style>
  <w:style w:type="paragraph" w:customStyle="1" w:styleId="Contenudecadre">
    <w:name w:val="Contenu de cadre"/>
    <w:basedOn w:val="Normal"/>
    <w:qFormat/>
  </w:style>
  <w:style w:type="table" w:styleId="Grilledutableau">
    <w:name w:val="Table Grid"/>
    <w:basedOn w:val="TableauNormal"/>
    <w:uiPriority w:val="39"/>
    <w:rsid w:val="00A815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BB5A95"/>
    <w:rPr>
      <w:color w:val="0563C1" w:themeColor="hyperlink"/>
      <w:u w:val="single"/>
    </w:rPr>
  </w:style>
  <w:style w:type="character" w:styleId="Mentionnonrsolue">
    <w:name w:val="Unresolved Mention"/>
    <w:basedOn w:val="Policepardfaut"/>
    <w:uiPriority w:val="99"/>
    <w:semiHidden/>
    <w:unhideWhenUsed/>
    <w:rsid w:val="00BB5A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hristophe.couteau@utt.fr" TargetMode="Externa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1186/s11671-015-0790-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s://doi.org/10.1117/1.3443796"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oi.org/10.1016/S0030-4018(98)00222-3"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CE0F7-B597-4C28-81CB-5640C5793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2253</Words>
  <Characters>12396</Characters>
  <Application>Microsoft Office Word</Application>
  <DocSecurity>0</DocSecurity>
  <Lines>103</Lines>
  <Paragraphs>29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Aurélie Ketsu</dc:creator>
  <dc:description/>
  <cp:lastModifiedBy>christophe.couteau@utt.fr</cp:lastModifiedBy>
  <cp:revision>3</cp:revision>
  <cp:lastPrinted>2022-03-10T15:30:00Z</cp:lastPrinted>
  <dcterms:created xsi:type="dcterms:W3CDTF">2025-10-01T03:59:00Z</dcterms:created>
  <dcterms:modified xsi:type="dcterms:W3CDTF">2025-10-01T03:59:00Z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id="zsfvpc4i"/&gt;&lt;style id="http://www.zotero.org/styles/acs-nano" hasBibliography="1" bibliographyStyleHasBeenSet="1"/&gt;&lt;prefs&gt;&lt;pref name="fieldType" value="Field"/&gt;&lt;pref name="dontAskDelayCitationUp</vt:lpwstr>
  </property>
  <property fmtid="{D5CDD505-2E9C-101B-9397-08002B2CF9AE}" pid="3" name="ZOTERO_PREF_2">
    <vt:lpwstr>dates" value="true"/&gt;&lt;/prefs&gt;&lt;/data&gt;</vt:lpwstr>
  </property>
</Properties>
</file>