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28840" w14:textId="77777777" w:rsidR="000E7DF9" w:rsidRPr="00351473" w:rsidRDefault="000E7DF9" w:rsidP="000E7DF9">
      <w:pPr>
        <w:spacing w:before="360" w:after="0" w:line="240" w:lineRule="auto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 w:rsidRPr="00351473">
        <w:rPr>
          <w:rFonts w:ascii="Calibri" w:hAnsi="Calibri" w:cs="Times New Roman"/>
          <w:b/>
          <w:bCs/>
          <w:color w:val="365F91"/>
          <w:kern w:val="0"/>
          <w:sz w:val="21"/>
          <w:szCs w:val="21"/>
          <w14:ligatures w14:val="none"/>
        </w:rPr>
        <w:t>Tables from Stroke Survivorship Meta-Synthesis</w:t>
      </w:r>
    </w:p>
    <w:p w14:paraId="7FB1E1ED" w14:textId="77777777" w:rsidR="000E7DF9" w:rsidRPr="00351473" w:rsidRDefault="000E7DF9" w:rsidP="000E7DF9">
      <w:pPr>
        <w:spacing w:before="150" w:after="0" w:line="240" w:lineRule="auto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 w:rsidRPr="00351473">
        <w:rPr>
          <w:rFonts w:ascii="Calibri" w:hAnsi="Calibri" w:cs="Times New Roman"/>
          <w:b/>
          <w:bCs/>
          <w:color w:val="4F81BD"/>
          <w:kern w:val="0"/>
          <w:sz w:val="20"/>
          <w:szCs w:val="20"/>
          <w14:ligatures w14:val="none"/>
        </w:rPr>
        <w:t>Table 1. Characteristics of Included Studies (n=32)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1"/>
        <w:gridCol w:w="978"/>
        <w:gridCol w:w="1022"/>
        <w:gridCol w:w="781"/>
        <w:gridCol w:w="1555"/>
        <w:gridCol w:w="1659"/>
        <w:gridCol w:w="1824"/>
      </w:tblGrid>
      <w:tr w:rsidR="000E7DF9" w:rsidRPr="00351473" w14:paraId="48E37FFA" w14:textId="77777777" w:rsidTr="00890648">
        <w:tc>
          <w:tcPr>
            <w:tcW w:w="0" w:type="auto"/>
            <w:hideMark/>
          </w:tcPr>
          <w:p w14:paraId="663549C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Author (Year)</w:t>
            </w:r>
          </w:p>
        </w:tc>
        <w:tc>
          <w:tcPr>
            <w:tcW w:w="0" w:type="auto"/>
            <w:hideMark/>
          </w:tcPr>
          <w:p w14:paraId="255BCA0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Country</w:t>
            </w:r>
          </w:p>
        </w:tc>
        <w:tc>
          <w:tcPr>
            <w:tcW w:w="0" w:type="auto"/>
            <w:hideMark/>
          </w:tcPr>
          <w:p w14:paraId="4D6268F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Participants (n)</w:t>
            </w:r>
          </w:p>
        </w:tc>
        <w:tc>
          <w:tcPr>
            <w:tcW w:w="0" w:type="auto"/>
            <w:hideMark/>
          </w:tcPr>
          <w:p w14:paraId="5362110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Time since stroke</w:t>
            </w:r>
          </w:p>
        </w:tc>
        <w:tc>
          <w:tcPr>
            <w:tcW w:w="0" w:type="auto"/>
            <w:hideMark/>
          </w:tcPr>
          <w:p w14:paraId="7433AA4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Methodology</w:t>
            </w:r>
          </w:p>
        </w:tc>
        <w:tc>
          <w:tcPr>
            <w:tcW w:w="0" w:type="auto"/>
            <w:hideMark/>
          </w:tcPr>
          <w:p w14:paraId="7D177DB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Setting</w:t>
            </w:r>
          </w:p>
        </w:tc>
        <w:tc>
          <w:tcPr>
            <w:tcW w:w="0" w:type="auto"/>
            <w:hideMark/>
          </w:tcPr>
          <w:p w14:paraId="093ECA4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Key focus</w:t>
            </w:r>
          </w:p>
        </w:tc>
      </w:tr>
      <w:tr w:rsidR="000E7DF9" w:rsidRPr="00351473" w14:paraId="3A9960DD" w14:textId="77777777" w:rsidTr="00890648">
        <w:tc>
          <w:tcPr>
            <w:tcW w:w="0" w:type="auto"/>
            <w:hideMark/>
          </w:tcPr>
          <w:p w14:paraId="5AB186C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Ellis-Hill et al. (2000)</w:t>
            </w:r>
          </w:p>
        </w:tc>
        <w:tc>
          <w:tcPr>
            <w:tcW w:w="0" w:type="auto"/>
            <w:hideMark/>
          </w:tcPr>
          <w:p w14:paraId="678BEB1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7DC69BA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22</w:t>
            </w:r>
          </w:p>
        </w:tc>
        <w:tc>
          <w:tcPr>
            <w:tcW w:w="0" w:type="auto"/>
            <w:hideMark/>
          </w:tcPr>
          <w:p w14:paraId="474F699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3–12 months</w:t>
            </w:r>
          </w:p>
        </w:tc>
        <w:tc>
          <w:tcPr>
            <w:tcW w:w="0" w:type="auto"/>
            <w:hideMark/>
          </w:tcPr>
          <w:p w14:paraId="4C9341D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Phenomenology</w:t>
            </w:r>
          </w:p>
        </w:tc>
        <w:tc>
          <w:tcPr>
            <w:tcW w:w="0" w:type="auto"/>
            <w:hideMark/>
          </w:tcPr>
          <w:p w14:paraId="4851A97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7FDF750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Identity disruption and self-reconstruction</w:t>
            </w:r>
          </w:p>
        </w:tc>
      </w:tr>
      <w:tr w:rsidR="000E7DF9" w:rsidRPr="00351473" w14:paraId="7DB05D14" w14:textId="77777777" w:rsidTr="00890648">
        <w:tc>
          <w:tcPr>
            <w:tcW w:w="0" w:type="auto"/>
            <w:hideMark/>
          </w:tcPr>
          <w:p w14:paraId="2925D78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Becker (1997)</w:t>
            </w:r>
          </w:p>
        </w:tc>
        <w:tc>
          <w:tcPr>
            <w:tcW w:w="0" w:type="auto"/>
            <w:hideMark/>
          </w:tcPr>
          <w:p w14:paraId="2BCA165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USA</w:t>
            </w:r>
          </w:p>
        </w:tc>
        <w:tc>
          <w:tcPr>
            <w:tcW w:w="0" w:type="auto"/>
            <w:hideMark/>
          </w:tcPr>
          <w:p w14:paraId="02C78EE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3CC0F29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5127E5D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Ethnography</w:t>
            </w:r>
          </w:p>
        </w:tc>
        <w:tc>
          <w:tcPr>
            <w:tcW w:w="0" w:type="auto"/>
            <w:hideMark/>
          </w:tcPr>
          <w:p w14:paraId="02AA8A6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638B9A6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Meaning-making, disrupted lives</w:t>
            </w:r>
          </w:p>
        </w:tc>
      </w:tr>
      <w:tr w:rsidR="000E7DF9" w:rsidRPr="00351473" w14:paraId="3C5E9F47" w14:textId="77777777" w:rsidTr="00890648">
        <w:tc>
          <w:tcPr>
            <w:tcW w:w="0" w:type="auto"/>
            <w:hideMark/>
          </w:tcPr>
          <w:p w14:paraId="71EFC76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Kvigne et al. (2004)</w:t>
            </w:r>
          </w:p>
        </w:tc>
        <w:tc>
          <w:tcPr>
            <w:tcW w:w="0" w:type="auto"/>
            <w:hideMark/>
          </w:tcPr>
          <w:p w14:paraId="16C2372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Norway</w:t>
            </w:r>
          </w:p>
        </w:tc>
        <w:tc>
          <w:tcPr>
            <w:tcW w:w="0" w:type="auto"/>
            <w:hideMark/>
          </w:tcPr>
          <w:p w14:paraId="33CAA09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0" w:type="auto"/>
            <w:hideMark/>
          </w:tcPr>
          <w:p w14:paraId="7F7ECCD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6–24 months</w:t>
            </w:r>
          </w:p>
        </w:tc>
        <w:tc>
          <w:tcPr>
            <w:tcW w:w="0" w:type="auto"/>
            <w:hideMark/>
          </w:tcPr>
          <w:p w14:paraId="3E86339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Grounded theory</w:t>
            </w:r>
          </w:p>
        </w:tc>
        <w:tc>
          <w:tcPr>
            <w:tcW w:w="0" w:type="auto"/>
            <w:hideMark/>
          </w:tcPr>
          <w:p w14:paraId="3D762B0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Home/community</w:t>
            </w:r>
          </w:p>
        </w:tc>
        <w:tc>
          <w:tcPr>
            <w:tcW w:w="0" w:type="auto"/>
            <w:hideMark/>
          </w:tcPr>
          <w:p w14:paraId="795E93F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Preserving self and family adaptation</w:t>
            </w:r>
          </w:p>
        </w:tc>
      </w:tr>
      <w:tr w:rsidR="000E7DF9" w:rsidRPr="00351473" w14:paraId="271D8B29" w14:textId="77777777" w:rsidTr="00890648">
        <w:tc>
          <w:tcPr>
            <w:tcW w:w="0" w:type="auto"/>
            <w:hideMark/>
          </w:tcPr>
          <w:p w14:paraId="1511441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Cott et al. (2007)</w:t>
            </w:r>
          </w:p>
        </w:tc>
        <w:tc>
          <w:tcPr>
            <w:tcW w:w="0" w:type="auto"/>
            <w:hideMark/>
          </w:tcPr>
          <w:p w14:paraId="526D929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Canada</w:t>
            </w:r>
          </w:p>
        </w:tc>
        <w:tc>
          <w:tcPr>
            <w:tcW w:w="0" w:type="auto"/>
            <w:hideMark/>
          </w:tcPr>
          <w:p w14:paraId="509CED0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0" w:type="auto"/>
            <w:hideMark/>
          </w:tcPr>
          <w:p w14:paraId="2F3E781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≤6 months</w:t>
            </w:r>
          </w:p>
        </w:tc>
        <w:tc>
          <w:tcPr>
            <w:tcW w:w="0" w:type="auto"/>
            <w:hideMark/>
          </w:tcPr>
          <w:p w14:paraId="0A91F3E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Thematic analysis</w:t>
            </w:r>
          </w:p>
        </w:tc>
        <w:tc>
          <w:tcPr>
            <w:tcW w:w="0" w:type="auto"/>
            <w:hideMark/>
          </w:tcPr>
          <w:p w14:paraId="1C47C8A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 + community</w:t>
            </w:r>
          </w:p>
        </w:tc>
        <w:tc>
          <w:tcPr>
            <w:tcW w:w="0" w:type="auto"/>
            <w:hideMark/>
          </w:tcPr>
          <w:p w14:paraId="08EA7F2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Care transitions, continuity</w:t>
            </w:r>
          </w:p>
        </w:tc>
      </w:tr>
      <w:tr w:rsidR="000E7DF9" w:rsidRPr="00351473" w14:paraId="63F0445A" w14:textId="77777777" w:rsidTr="00890648">
        <w:tc>
          <w:tcPr>
            <w:tcW w:w="0" w:type="auto"/>
            <w:hideMark/>
          </w:tcPr>
          <w:p w14:paraId="3370650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Parr (2007)</w:t>
            </w:r>
          </w:p>
        </w:tc>
        <w:tc>
          <w:tcPr>
            <w:tcW w:w="0" w:type="auto"/>
            <w:hideMark/>
          </w:tcPr>
          <w:p w14:paraId="79DFD1A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1A7A919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6B2F2D6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&gt;1 year</w:t>
            </w:r>
          </w:p>
        </w:tc>
        <w:tc>
          <w:tcPr>
            <w:tcW w:w="0" w:type="auto"/>
            <w:hideMark/>
          </w:tcPr>
          <w:p w14:paraId="0BEED94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Ethnography</w:t>
            </w:r>
          </w:p>
        </w:tc>
        <w:tc>
          <w:tcPr>
            <w:tcW w:w="0" w:type="auto"/>
            <w:hideMark/>
          </w:tcPr>
          <w:p w14:paraId="651296F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15366C9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Severe aphasia, social exclusion</w:t>
            </w:r>
          </w:p>
        </w:tc>
      </w:tr>
      <w:tr w:rsidR="000E7DF9" w:rsidRPr="00351473" w14:paraId="24856D5A" w14:textId="77777777" w:rsidTr="00890648">
        <w:tc>
          <w:tcPr>
            <w:tcW w:w="0" w:type="auto"/>
            <w:hideMark/>
          </w:tcPr>
          <w:p w14:paraId="137B21B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Salter et al. (2008)</w:t>
            </w:r>
          </w:p>
        </w:tc>
        <w:tc>
          <w:tcPr>
            <w:tcW w:w="0" w:type="auto"/>
            <w:hideMark/>
          </w:tcPr>
          <w:p w14:paraId="75C8337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Canada</w:t>
            </w:r>
          </w:p>
        </w:tc>
        <w:tc>
          <w:tcPr>
            <w:tcW w:w="0" w:type="auto"/>
            <w:hideMark/>
          </w:tcPr>
          <w:p w14:paraId="1C6BC7A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28</w:t>
            </w:r>
          </w:p>
        </w:tc>
        <w:tc>
          <w:tcPr>
            <w:tcW w:w="0" w:type="auto"/>
            <w:hideMark/>
          </w:tcPr>
          <w:p w14:paraId="6DD7471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6–18 months</w:t>
            </w:r>
          </w:p>
        </w:tc>
        <w:tc>
          <w:tcPr>
            <w:tcW w:w="0" w:type="auto"/>
            <w:hideMark/>
          </w:tcPr>
          <w:p w14:paraId="76CEBC4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Qualitative meta-synthesis</w:t>
            </w:r>
          </w:p>
        </w:tc>
        <w:tc>
          <w:tcPr>
            <w:tcW w:w="0" w:type="auto"/>
            <w:hideMark/>
          </w:tcPr>
          <w:p w14:paraId="741AE7D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 + community</w:t>
            </w:r>
          </w:p>
        </w:tc>
        <w:tc>
          <w:tcPr>
            <w:tcW w:w="0" w:type="auto"/>
            <w:hideMark/>
          </w:tcPr>
          <w:p w14:paraId="473DAF9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Daily living disruptions</w:t>
            </w:r>
          </w:p>
        </w:tc>
      </w:tr>
      <w:tr w:rsidR="000E7DF9" w:rsidRPr="00351473" w14:paraId="2A389A05" w14:textId="77777777" w:rsidTr="00890648">
        <w:tc>
          <w:tcPr>
            <w:tcW w:w="0" w:type="auto"/>
            <w:hideMark/>
          </w:tcPr>
          <w:p w14:paraId="2DC0CC1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Kirkevold (2002)</w:t>
            </w:r>
          </w:p>
        </w:tc>
        <w:tc>
          <w:tcPr>
            <w:tcW w:w="0" w:type="auto"/>
            <w:hideMark/>
          </w:tcPr>
          <w:p w14:paraId="5862899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Norway</w:t>
            </w:r>
          </w:p>
        </w:tc>
        <w:tc>
          <w:tcPr>
            <w:tcW w:w="0" w:type="auto"/>
            <w:hideMark/>
          </w:tcPr>
          <w:p w14:paraId="57461E2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0" w:type="auto"/>
            <w:hideMark/>
          </w:tcPr>
          <w:p w14:paraId="37FFC15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 year</w:t>
            </w:r>
          </w:p>
        </w:tc>
        <w:tc>
          <w:tcPr>
            <w:tcW w:w="0" w:type="auto"/>
            <w:hideMark/>
          </w:tcPr>
          <w:p w14:paraId="69AA0F0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Longitudinal qualitative</w:t>
            </w:r>
          </w:p>
        </w:tc>
        <w:tc>
          <w:tcPr>
            <w:tcW w:w="0" w:type="auto"/>
            <w:hideMark/>
          </w:tcPr>
          <w:p w14:paraId="3C0EB41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Hospital + home</w:t>
            </w:r>
          </w:p>
        </w:tc>
        <w:tc>
          <w:tcPr>
            <w:tcW w:w="0" w:type="auto"/>
            <w:hideMark/>
          </w:tcPr>
          <w:p w14:paraId="1B1FB39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Illness trajectory, invisible symptoms</w:t>
            </w:r>
          </w:p>
        </w:tc>
      </w:tr>
      <w:tr w:rsidR="000E7DF9" w:rsidRPr="00351473" w14:paraId="5610B893" w14:textId="77777777" w:rsidTr="00890648">
        <w:tc>
          <w:tcPr>
            <w:tcW w:w="0" w:type="auto"/>
            <w:hideMark/>
          </w:tcPr>
          <w:p w14:paraId="58796B3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Wiles et al. (2008)</w:t>
            </w:r>
          </w:p>
        </w:tc>
        <w:tc>
          <w:tcPr>
            <w:tcW w:w="0" w:type="auto"/>
            <w:hideMark/>
          </w:tcPr>
          <w:p w14:paraId="4512D5B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7E9D211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0" w:type="auto"/>
            <w:hideMark/>
          </w:tcPr>
          <w:p w14:paraId="6D0C8E1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15B3A42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Phenomenology</w:t>
            </w:r>
          </w:p>
        </w:tc>
        <w:tc>
          <w:tcPr>
            <w:tcW w:w="0" w:type="auto"/>
            <w:hideMark/>
          </w:tcPr>
          <w:p w14:paraId="27AD54F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3FA2728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Coping, adaptation</w:t>
            </w:r>
          </w:p>
        </w:tc>
      </w:tr>
      <w:tr w:rsidR="000E7DF9" w:rsidRPr="00351473" w14:paraId="2D092AFB" w14:textId="77777777" w:rsidTr="00890648">
        <w:tc>
          <w:tcPr>
            <w:tcW w:w="0" w:type="auto"/>
            <w:hideMark/>
          </w:tcPr>
          <w:p w14:paraId="5A85D23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Satink et al. (2013)</w:t>
            </w:r>
          </w:p>
        </w:tc>
        <w:tc>
          <w:tcPr>
            <w:tcW w:w="0" w:type="auto"/>
            <w:hideMark/>
          </w:tcPr>
          <w:p w14:paraId="5ADD862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Netherlands</w:t>
            </w:r>
          </w:p>
        </w:tc>
        <w:tc>
          <w:tcPr>
            <w:tcW w:w="0" w:type="auto"/>
            <w:hideMark/>
          </w:tcPr>
          <w:p w14:paraId="7F6F822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26</w:t>
            </w:r>
          </w:p>
        </w:tc>
        <w:tc>
          <w:tcPr>
            <w:tcW w:w="0" w:type="auto"/>
            <w:hideMark/>
          </w:tcPr>
          <w:p w14:paraId="73E09D5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≤24 months</w:t>
            </w:r>
          </w:p>
        </w:tc>
        <w:tc>
          <w:tcPr>
            <w:tcW w:w="0" w:type="auto"/>
            <w:hideMark/>
          </w:tcPr>
          <w:p w14:paraId="0B00A24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Thematic synthesis</w:t>
            </w:r>
          </w:p>
        </w:tc>
        <w:tc>
          <w:tcPr>
            <w:tcW w:w="0" w:type="auto"/>
            <w:hideMark/>
          </w:tcPr>
          <w:p w14:paraId="325DE33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 programs</w:t>
            </w:r>
          </w:p>
        </w:tc>
        <w:tc>
          <w:tcPr>
            <w:tcW w:w="0" w:type="auto"/>
            <w:hideMark/>
          </w:tcPr>
          <w:p w14:paraId="56E1BC7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Roles and participation</w:t>
            </w:r>
          </w:p>
        </w:tc>
      </w:tr>
      <w:tr w:rsidR="000E7DF9" w:rsidRPr="00351473" w14:paraId="764E06F0" w14:textId="77777777" w:rsidTr="00890648">
        <w:tc>
          <w:tcPr>
            <w:tcW w:w="0" w:type="auto"/>
            <w:hideMark/>
          </w:tcPr>
          <w:p w14:paraId="53C2A6A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Soundy et al. (2014)</w:t>
            </w:r>
          </w:p>
        </w:tc>
        <w:tc>
          <w:tcPr>
            <w:tcW w:w="0" w:type="auto"/>
            <w:hideMark/>
          </w:tcPr>
          <w:p w14:paraId="6D80AC8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7C67E95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0" w:type="auto"/>
            <w:hideMark/>
          </w:tcPr>
          <w:p w14:paraId="3970C70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 year</w:t>
            </w:r>
          </w:p>
        </w:tc>
        <w:tc>
          <w:tcPr>
            <w:tcW w:w="0" w:type="auto"/>
            <w:hideMark/>
          </w:tcPr>
          <w:p w14:paraId="3690A94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Meta-ethnography</w:t>
            </w:r>
          </w:p>
        </w:tc>
        <w:tc>
          <w:tcPr>
            <w:tcW w:w="0" w:type="auto"/>
            <w:hideMark/>
          </w:tcPr>
          <w:p w14:paraId="66BA7F5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 + community</w:t>
            </w:r>
          </w:p>
        </w:tc>
        <w:tc>
          <w:tcPr>
            <w:tcW w:w="0" w:type="auto"/>
            <w:hideMark/>
          </w:tcPr>
          <w:p w14:paraId="1BB47DE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Hope, adaptation, carers</w:t>
            </w:r>
          </w:p>
        </w:tc>
      </w:tr>
      <w:tr w:rsidR="000E7DF9" w:rsidRPr="00351473" w14:paraId="58EB184C" w14:textId="77777777" w:rsidTr="00890648">
        <w:tc>
          <w:tcPr>
            <w:tcW w:w="0" w:type="auto"/>
            <w:hideMark/>
          </w:tcPr>
          <w:p w14:paraId="2A6D1C1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Wray &amp; Clarke (2017)</w:t>
            </w:r>
          </w:p>
        </w:tc>
        <w:tc>
          <w:tcPr>
            <w:tcW w:w="0" w:type="auto"/>
            <w:hideMark/>
          </w:tcPr>
          <w:p w14:paraId="36DBCF1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29A551D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19</w:t>
            </w:r>
          </w:p>
        </w:tc>
        <w:tc>
          <w:tcPr>
            <w:tcW w:w="0" w:type="auto"/>
            <w:hideMark/>
          </w:tcPr>
          <w:p w14:paraId="4640A74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395F0FC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Thematic synthesis</w:t>
            </w:r>
          </w:p>
        </w:tc>
        <w:tc>
          <w:tcPr>
            <w:tcW w:w="0" w:type="auto"/>
            <w:hideMark/>
          </w:tcPr>
          <w:p w14:paraId="0EED718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462A1EC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Long-term communication needs</w:t>
            </w:r>
          </w:p>
        </w:tc>
      </w:tr>
      <w:tr w:rsidR="000E7DF9" w:rsidRPr="00351473" w14:paraId="4B44C88A" w14:textId="77777777" w:rsidTr="00890648">
        <w:tc>
          <w:tcPr>
            <w:tcW w:w="0" w:type="auto"/>
            <w:hideMark/>
          </w:tcPr>
          <w:p w14:paraId="4E10064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Pound et al. (1998)</w:t>
            </w:r>
          </w:p>
        </w:tc>
        <w:tc>
          <w:tcPr>
            <w:tcW w:w="0" w:type="auto"/>
            <w:hideMark/>
          </w:tcPr>
          <w:p w14:paraId="57CED15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34423C9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27</w:t>
            </w:r>
          </w:p>
        </w:tc>
        <w:tc>
          <w:tcPr>
            <w:tcW w:w="0" w:type="auto"/>
            <w:hideMark/>
          </w:tcPr>
          <w:p w14:paraId="6C1A5C7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 year</w:t>
            </w:r>
          </w:p>
        </w:tc>
        <w:tc>
          <w:tcPr>
            <w:tcW w:w="0" w:type="auto"/>
            <w:hideMark/>
          </w:tcPr>
          <w:p w14:paraId="4A5A409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Qualitative interviews</w:t>
            </w:r>
          </w:p>
        </w:tc>
        <w:tc>
          <w:tcPr>
            <w:tcW w:w="0" w:type="auto"/>
            <w:hideMark/>
          </w:tcPr>
          <w:p w14:paraId="036D726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Hospital + community</w:t>
            </w:r>
          </w:p>
        </w:tc>
        <w:tc>
          <w:tcPr>
            <w:tcW w:w="0" w:type="auto"/>
            <w:hideMark/>
          </w:tcPr>
          <w:p w14:paraId="18CB533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Adjustment, daily life</w:t>
            </w:r>
          </w:p>
        </w:tc>
      </w:tr>
      <w:tr w:rsidR="000E7DF9" w:rsidRPr="00351473" w14:paraId="0C3FA71C" w14:textId="77777777" w:rsidTr="00890648">
        <w:tc>
          <w:tcPr>
            <w:tcW w:w="0" w:type="auto"/>
            <w:hideMark/>
          </w:tcPr>
          <w:p w14:paraId="28CE224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Carlsson et al. (2007)</w:t>
            </w:r>
          </w:p>
        </w:tc>
        <w:tc>
          <w:tcPr>
            <w:tcW w:w="0" w:type="auto"/>
            <w:hideMark/>
          </w:tcPr>
          <w:p w14:paraId="07052CC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Sweden</w:t>
            </w:r>
          </w:p>
        </w:tc>
        <w:tc>
          <w:tcPr>
            <w:tcW w:w="0" w:type="auto"/>
            <w:hideMark/>
          </w:tcPr>
          <w:p w14:paraId="6C945A6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15</w:t>
            </w:r>
          </w:p>
        </w:tc>
        <w:tc>
          <w:tcPr>
            <w:tcW w:w="0" w:type="auto"/>
            <w:hideMark/>
          </w:tcPr>
          <w:p w14:paraId="125C5E5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≤18 months</w:t>
            </w:r>
          </w:p>
        </w:tc>
        <w:tc>
          <w:tcPr>
            <w:tcW w:w="0" w:type="auto"/>
            <w:hideMark/>
          </w:tcPr>
          <w:p w14:paraId="7C9CB38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Phenomenology</w:t>
            </w:r>
          </w:p>
        </w:tc>
        <w:tc>
          <w:tcPr>
            <w:tcW w:w="0" w:type="auto"/>
            <w:hideMark/>
          </w:tcPr>
          <w:p w14:paraId="22A0468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 centre</w:t>
            </w:r>
          </w:p>
        </w:tc>
        <w:tc>
          <w:tcPr>
            <w:tcW w:w="0" w:type="auto"/>
            <w:hideMark/>
          </w:tcPr>
          <w:p w14:paraId="79BE152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Family dynamics, role change</w:t>
            </w:r>
          </w:p>
        </w:tc>
      </w:tr>
      <w:tr w:rsidR="000E7DF9" w:rsidRPr="00351473" w14:paraId="0ECAC6F6" w14:textId="77777777" w:rsidTr="00890648">
        <w:tc>
          <w:tcPr>
            <w:tcW w:w="0" w:type="auto"/>
            <w:hideMark/>
          </w:tcPr>
          <w:p w14:paraId="00FA9A8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Hafsteinsdóttir &amp; Grypdonck (1997)</w:t>
            </w:r>
          </w:p>
        </w:tc>
        <w:tc>
          <w:tcPr>
            <w:tcW w:w="0" w:type="auto"/>
            <w:hideMark/>
          </w:tcPr>
          <w:p w14:paraId="290770E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Netherlands</w:t>
            </w:r>
          </w:p>
        </w:tc>
        <w:tc>
          <w:tcPr>
            <w:tcW w:w="0" w:type="auto"/>
            <w:hideMark/>
          </w:tcPr>
          <w:p w14:paraId="1D8346C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503F251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 year</w:t>
            </w:r>
          </w:p>
        </w:tc>
        <w:tc>
          <w:tcPr>
            <w:tcW w:w="0" w:type="auto"/>
            <w:hideMark/>
          </w:tcPr>
          <w:p w14:paraId="217F791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Grounded theory</w:t>
            </w:r>
          </w:p>
        </w:tc>
        <w:tc>
          <w:tcPr>
            <w:tcW w:w="0" w:type="auto"/>
            <w:hideMark/>
          </w:tcPr>
          <w:p w14:paraId="3254C49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Hospital + community</w:t>
            </w:r>
          </w:p>
        </w:tc>
        <w:tc>
          <w:tcPr>
            <w:tcW w:w="0" w:type="auto"/>
            <w:hideMark/>
          </w:tcPr>
          <w:p w14:paraId="7906A3E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Nursing perspectives on recovery</w:t>
            </w:r>
          </w:p>
        </w:tc>
      </w:tr>
      <w:tr w:rsidR="000E7DF9" w:rsidRPr="00351473" w14:paraId="51BDA6FA" w14:textId="77777777" w:rsidTr="00890648">
        <w:tc>
          <w:tcPr>
            <w:tcW w:w="0" w:type="auto"/>
            <w:hideMark/>
          </w:tcPr>
          <w:p w14:paraId="143F908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Faircloth et al. (2004)</w:t>
            </w:r>
          </w:p>
        </w:tc>
        <w:tc>
          <w:tcPr>
            <w:tcW w:w="0" w:type="auto"/>
            <w:hideMark/>
          </w:tcPr>
          <w:p w14:paraId="6598579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USA</w:t>
            </w:r>
          </w:p>
        </w:tc>
        <w:tc>
          <w:tcPr>
            <w:tcW w:w="0" w:type="auto"/>
            <w:hideMark/>
          </w:tcPr>
          <w:p w14:paraId="20663AA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0" w:type="auto"/>
            <w:hideMark/>
          </w:tcPr>
          <w:p w14:paraId="0CE565A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577A502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Ethnography</w:t>
            </w:r>
          </w:p>
        </w:tc>
        <w:tc>
          <w:tcPr>
            <w:tcW w:w="0" w:type="auto"/>
            <w:hideMark/>
          </w:tcPr>
          <w:p w14:paraId="0A60B0E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3A6F0FC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Identity, embodiment</w:t>
            </w:r>
          </w:p>
        </w:tc>
      </w:tr>
      <w:tr w:rsidR="000E7DF9" w:rsidRPr="00351473" w14:paraId="6D022503" w14:textId="77777777" w:rsidTr="00890648">
        <w:tc>
          <w:tcPr>
            <w:tcW w:w="0" w:type="auto"/>
            <w:hideMark/>
          </w:tcPr>
          <w:p w14:paraId="73BBA28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Hilari &amp; Northcott (2006)</w:t>
            </w:r>
          </w:p>
        </w:tc>
        <w:tc>
          <w:tcPr>
            <w:tcW w:w="0" w:type="auto"/>
            <w:hideMark/>
          </w:tcPr>
          <w:p w14:paraId="0058045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4BAB670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28</w:t>
            </w:r>
          </w:p>
        </w:tc>
        <w:tc>
          <w:tcPr>
            <w:tcW w:w="0" w:type="auto"/>
            <w:hideMark/>
          </w:tcPr>
          <w:p w14:paraId="099C673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≤3 years</w:t>
            </w:r>
          </w:p>
        </w:tc>
        <w:tc>
          <w:tcPr>
            <w:tcW w:w="0" w:type="auto"/>
            <w:hideMark/>
          </w:tcPr>
          <w:p w14:paraId="502F770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Mixed-methods (qualitative arm)</w:t>
            </w:r>
          </w:p>
        </w:tc>
        <w:tc>
          <w:tcPr>
            <w:tcW w:w="0" w:type="auto"/>
            <w:hideMark/>
          </w:tcPr>
          <w:p w14:paraId="47F6122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4623F88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Living with aphasia</w:t>
            </w:r>
          </w:p>
        </w:tc>
      </w:tr>
      <w:tr w:rsidR="000E7DF9" w:rsidRPr="00351473" w14:paraId="246101B9" w14:textId="77777777" w:rsidTr="00890648">
        <w:tc>
          <w:tcPr>
            <w:tcW w:w="0" w:type="auto"/>
            <w:hideMark/>
          </w:tcPr>
          <w:p w14:paraId="0652D95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Wiles et al. (2004)</w:t>
            </w:r>
          </w:p>
        </w:tc>
        <w:tc>
          <w:tcPr>
            <w:tcW w:w="0" w:type="auto"/>
            <w:hideMark/>
          </w:tcPr>
          <w:p w14:paraId="336935E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6644A69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0" w:type="auto"/>
            <w:hideMark/>
          </w:tcPr>
          <w:p w14:paraId="72B7F55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≤18 months</w:t>
            </w:r>
          </w:p>
        </w:tc>
        <w:tc>
          <w:tcPr>
            <w:tcW w:w="0" w:type="auto"/>
            <w:hideMark/>
          </w:tcPr>
          <w:p w14:paraId="164C594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Interviews</w:t>
            </w:r>
          </w:p>
        </w:tc>
        <w:tc>
          <w:tcPr>
            <w:tcW w:w="0" w:type="auto"/>
            <w:hideMark/>
          </w:tcPr>
          <w:p w14:paraId="0A09119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Home/community</w:t>
            </w:r>
          </w:p>
        </w:tc>
        <w:tc>
          <w:tcPr>
            <w:tcW w:w="0" w:type="auto"/>
            <w:hideMark/>
          </w:tcPr>
          <w:p w14:paraId="18F5AFA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Adaptation, self-perception</w:t>
            </w:r>
          </w:p>
        </w:tc>
      </w:tr>
      <w:tr w:rsidR="000E7DF9" w:rsidRPr="00351473" w14:paraId="371AD576" w14:textId="77777777" w:rsidTr="00890648">
        <w:tc>
          <w:tcPr>
            <w:tcW w:w="0" w:type="auto"/>
            <w:hideMark/>
          </w:tcPr>
          <w:p w14:paraId="388BDE7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White et al. (2012)</w:t>
            </w:r>
          </w:p>
        </w:tc>
        <w:tc>
          <w:tcPr>
            <w:tcW w:w="0" w:type="auto"/>
            <w:hideMark/>
          </w:tcPr>
          <w:p w14:paraId="68E14C6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Canada</w:t>
            </w:r>
          </w:p>
        </w:tc>
        <w:tc>
          <w:tcPr>
            <w:tcW w:w="0" w:type="auto"/>
            <w:hideMark/>
          </w:tcPr>
          <w:p w14:paraId="263DADF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22</w:t>
            </w:r>
          </w:p>
        </w:tc>
        <w:tc>
          <w:tcPr>
            <w:tcW w:w="0" w:type="auto"/>
            <w:hideMark/>
          </w:tcPr>
          <w:p w14:paraId="2748AC3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≤5 years</w:t>
            </w:r>
          </w:p>
        </w:tc>
        <w:tc>
          <w:tcPr>
            <w:tcW w:w="0" w:type="auto"/>
            <w:hideMark/>
          </w:tcPr>
          <w:p w14:paraId="2A0268C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Grounded theory</w:t>
            </w:r>
          </w:p>
        </w:tc>
        <w:tc>
          <w:tcPr>
            <w:tcW w:w="0" w:type="auto"/>
            <w:hideMark/>
          </w:tcPr>
          <w:p w14:paraId="397A951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</w:t>
            </w:r>
          </w:p>
        </w:tc>
        <w:tc>
          <w:tcPr>
            <w:tcW w:w="0" w:type="auto"/>
            <w:hideMark/>
          </w:tcPr>
          <w:p w14:paraId="2EB6D51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Family and resilience</w:t>
            </w:r>
          </w:p>
        </w:tc>
      </w:tr>
      <w:tr w:rsidR="000E7DF9" w:rsidRPr="00351473" w14:paraId="1A3CD8A9" w14:textId="77777777" w:rsidTr="00890648">
        <w:tc>
          <w:tcPr>
            <w:tcW w:w="0" w:type="auto"/>
            <w:hideMark/>
          </w:tcPr>
          <w:p w14:paraId="1B7BE97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Northcott &amp; Hilari (2011)</w:t>
            </w:r>
          </w:p>
        </w:tc>
        <w:tc>
          <w:tcPr>
            <w:tcW w:w="0" w:type="auto"/>
            <w:hideMark/>
          </w:tcPr>
          <w:p w14:paraId="7BB8F6C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01E16F5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407843A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60C9281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Phenomenology</w:t>
            </w:r>
          </w:p>
        </w:tc>
        <w:tc>
          <w:tcPr>
            <w:tcW w:w="0" w:type="auto"/>
            <w:hideMark/>
          </w:tcPr>
          <w:p w14:paraId="20145FA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48A5C32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Social support, communication</w:t>
            </w:r>
          </w:p>
        </w:tc>
      </w:tr>
      <w:tr w:rsidR="000E7DF9" w:rsidRPr="00351473" w14:paraId="0B26D1C7" w14:textId="77777777" w:rsidTr="00890648">
        <w:tc>
          <w:tcPr>
            <w:tcW w:w="0" w:type="auto"/>
            <w:hideMark/>
          </w:tcPr>
          <w:p w14:paraId="2B5079E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lastRenderedPageBreak/>
              <w:t>Daniel et al. (2009)</w:t>
            </w:r>
          </w:p>
        </w:tc>
        <w:tc>
          <w:tcPr>
            <w:tcW w:w="0" w:type="auto"/>
            <w:hideMark/>
          </w:tcPr>
          <w:p w14:paraId="49624B3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Australia</w:t>
            </w:r>
          </w:p>
        </w:tc>
        <w:tc>
          <w:tcPr>
            <w:tcW w:w="0" w:type="auto"/>
            <w:hideMark/>
          </w:tcPr>
          <w:p w14:paraId="5AEC802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3DFE409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≤18 months</w:t>
            </w:r>
          </w:p>
        </w:tc>
        <w:tc>
          <w:tcPr>
            <w:tcW w:w="0" w:type="auto"/>
            <w:hideMark/>
          </w:tcPr>
          <w:p w14:paraId="5E00156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Interviews</w:t>
            </w:r>
          </w:p>
        </w:tc>
        <w:tc>
          <w:tcPr>
            <w:tcW w:w="0" w:type="auto"/>
            <w:hideMark/>
          </w:tcPr>
          <w:p w14:paraId="4441EDA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304611D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Fatigue and hidden symptoms</w:t>
            </w:r>
          </w:p>
        </w:tc>
      </w:tr>
      <w:tr w:rsidR="000E7DF9" w:rsidRPr="00351473" w14:paraId="163FAB30" w14:textId="77777777" w:rsidTr="00890648">
        <w:tc>
          <w:tcPr>
            <w:tcW w:w="0" w:type="auto"/>
            <w:hideMark/>
          </w:tcPr>
          <w:p w14:paraId="6B4A780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Alaszewski et al. (2004)</w:t>
            </w:r>
          </w:p>
        </w:tc>
        <w:tc>
          <w:tcPr>
            <w:tcW w:w="0" w:type="auto"/>
            <w:hideMark/>
          </w:tcPr>
          <w:p w14:paraId="22EAF83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2B400EE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0" w:type="auto"/>
            <w:hideMark/>
          </w:tcPr>
          <w:p w14:paraId="53884FA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2F64285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Narrative inquiry</w:t>
            </w:r>
          </w:p>
        </w:tc>
        <w:tc>
          <w:tcPr>
            <w:tcW w:w="0" w:type="auto"/>
            <w:hideMark/>
          </w:tcPr>
          <w:p w14:paraId="306D2CD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Home/community</w:t>
            </w:r>
          </w:p>
        </w:tc>
        <w:tc>
          <w:tcPr>
            <w:tcW w:w="0" w:type="auto"/>
            <w:hideMark/>
          </w:tcPr>
          <w:p w14:paraId="675DD84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Everyday life disruptions</w:t>
            </w:r>
          </w:p>
        </w:tc>
      </w:tr>
      <w:tr w:rsidR="000E7DF9" w:rsidRPr="00351473" w14:paraId="2C19C6D1" w14:textId="77777777" w:rsidTr="00890648">
        <w:tc>
          <w:tcPr>
            <w:tcW w:w="0" w:type="auto"/>
            <w:hideMark/>
          </w:tcPr>
          <w:p w14:paraId="2397002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Lawrence et al. (2010)</w:t>
            </w:r>
          </w:p>
        </w:tc>
        <w:tc>
          <w:tcPr>
            <w:tcW w:w="0" w:type="auto"/>
            <w:hideMark/>
          </w:tcPr>
          <w:p w14:paraId="72EE402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391FB31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19</w:t>
            </w:r>
          </w:p>
        </w:tc>
        <w:tc>
          <w:tcPr>
            <w:tcW w:w="0" w:type="auto"/>
            <w:hideMark/>
          </w:tcPr>
          <w:p w14:paraId="1025751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080A762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Phenomenology</w:t>
            </w:r>
          </w:p>
        </w:tc>
        <w:tc>
          <w:tcPr>
            <w:tcW w:w="0" w:type="auto"/>
            <w:hideMark/>
          </w:tcPr>
          <w:p w14:paraId="1463C53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 + community</w:t>
            </w:r>
          </w:p>
        </w:tc>
        <w:tc>
          <w:tcPr>
            <w:tcW w:w="0" w:type="auto"/>
            <w:hideMark/>
          </w:tcPr>
          <w:p w14:paraId="5291529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Experiences of ethnic minority survivors</w:t>
            </w:r>
          </w:p>
        </w:tc>
      </w:tr>
      <w:tr w:rsidR="000E7DF9" w:rsidRPr="00351473" w14:paraId="2B2A5EED" w14:textId="77777777" w:rsidTr="00890648">
        <w:tc>
          <w:tcPr>
            <w:tcW w:w="0" w:type="auto"/>
            <w:hideMark/>
          </w:tcPr>
          <w:p w14:paraId="73ED0B9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Ganesh et al. (2016)</w:t>
            </w:r>
          </w:p>
        </w:tc>
        <w:tc>
          <w:tcPr>
            <w:tcW w:w="0" w:type="auto"/>
            <w:hideMark/>
          </w:tcPr>
          <w:p w14:paraId="67E2FE5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Canada</w:t>
            </w:r>
          </w:p>
        </w:tc>
        <w:tc>
          <w:tcPr>
            <w:tcW w:w="0" w:type="auto"/>
            <w:hideMark/>
          </w:tcPr>
          <w:p w14:paraId="0A434E8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0" w:type="auto"/>
            <w:hideMark/>
          </w:tcPr>
          <w:p w14:paraId="532785F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 year</w:t>
            </w:r>
          </w:p>
        </w:tc>
        <w:tc>
          <w:tcPr>
            <w:tcW w:w="0" w:type="auto"/>
            <w:hideMark/>
          </w:tcPr>
          <w:p w14:paraId="2E4B9CD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Mixed-methods</w:t>
            </w:r>
          </w:p>
        </w:tc>
        <w:tc>
          <w:tcPr>
            <w:tcW w:w="0" w:type="auto"/>
            <w:hideMark/>
          </w:tcPr>
          <w:p w14:paraId="25CDAA5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Hospital/community</w:t>
            </w:r>
          </w:p>
        </w:tc>
        <w:tc>
          <w:tcPr>
            <w:tcW w:w="0" w:type="auto"/>
            <w:hideMark/>
          </w:tcPr>
          <w:p w14:paraId="5E0CC69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Integrated care experiences</w:t>
            </w:r>
          </w:p>
        </w:tc>
      </w:tr>
      <w:tr w:rsidR="000E7DF9" w:rsidRPr="00351473" w14:paraId="200F8ECA" w14:textId="77777777" w:rsidTr="00890648">
        <w:tc>
          <w:tcPr>
            <w:tcW w:w="0" w:type="auto"/>
            <w:hideMark/>
          </w:tcPr>
          <w:p w14:paraId="1388710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Chen et al. (2015)</w:t>
            </w:r>
          </w:p>
        </w:tc>
        <w:tc>
          <w:tcPr>
            <w:tcW w:w="0" w:type="auto"/>
            <w:hideMark/>
          </w:tcPr>
          <w:p w14:paraId="7466007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China</w:t>
            </w:r>
          </w:p>
        </w:tc>
        <w:tc>
          <w:tcPr>
            <w:tcW w:w="0" w:type="auto"/>
            <w:hideMark/>
          </w:tcPr>
          <w:p w14:paraId="082C17D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40</w:t>
            </w:r>
          </w:p>
        </w:tc>
        <w:tc>
          <w:tcPr>
            <w:tcW w:w="0" w:type="auto"/>
            <w:hideMark/>
          </w:tcPr>
          <w:p w14:paraId="1E9C5C4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≤12 months</w:t>
            </w:r>
          </w:p>
        </w:tc>
        <w:tc>
          <w:tcPr>
            <w:tcW w:w="0" w:type="auto"/>
            <w:hideMark/>
          </w:tcPr>
          <w:p w14:paraId="6F8C748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Mixed-methods (qualitative)</w:t>
            </w:r>
          </w:p>
        </w:tc>
        <w:tc>
          <w:tcPr>
            <w:tcW w:w="0" w:type="auto"/>
            <w:hideMark/>
          </w:tcPr>
          <w:p w14:paraId="7A5EE7A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 unit</w:t>
            </w:r>
          </w:p>
        </w:tc>
        <w:tc>
          <w:tcPr>
            <w:tcW w:w="0" w:type="auto"/>
            <w:hideMark/>
          </w:tcPr>
          <w:p w14:paraId="25EA140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Telerehabilitation experiences</w:t>
            </w:r>
          </w:p>
        </w:tc>
      </w:tr>
      <w:tr w:rsidR="000E7DF9" w:rsidRPr="00351473" w14:paraId="03ABF527" w14:textId="77777777" w:rsidTr="00890648">
        <w:tc>
          <w:tcPr>
            <w:tcW w:w="0" w:type="auto"/>
            <w:hideMark/>
          </w:tcPr>
          <w:p w14:paraId="0FE595F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Pandian et al. (2018)</w:t>
            </w:r>
          </w:p>
        </w:tc>
        <w:tc>
          <w:tcPr>
            <w:tcW w:w="0" w:type="auto"/>
            <w:hideMark/>
          </w:tcPr>
          <w:p w14:paraId="75B7734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India</w:t>
            </w:r>
          </w:p>
        </w:tc>
        <w:tc>
          <w:tcPr>
            <w:tcW w:w="0" w:type="auto"/>
            <w:hideMark/>
          </w:tcPr>
          <w:p w14:paraId="19CF6F3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35</w:t>
            </w:r>
          </w:p>
        </w:tc>
        <w:tc>
          <w:tcPr>
            <w:tcW w:w="0" w:type="auto"/>
            <w:hideMark/>
          </w:tcPr>
          <w:p w14:paraId="45EAA92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≤6 months</w:t>
            </w:r>
          </w:p>
        </w:tc>
        <w:tc>
          <w:tcPr>
            <w:tcW w:w="0" w:type="auto"/>
            <w:hideMark/>
          </w:tcPr>
          <w:p w14:paraId="5668605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Qualitative interviews</w:t>
            </w:r>
          </w:p>
        </w:tc>
        <w:tc>
          <w:tcPr>
            <w:tcW w:w="0" w:type="auto"/>
            <w:hideMark/>
          </w:tcPr>
          <w:p w14:paraId="7D459AC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Hospital + rural</w:t>
            </w:r>
          </w:p>
        </w:tc>
        <w:tc>
          <w:tcPr>
            <w:tcW w:w="0" w:type="auto"/>
            <w:hideMark/>
          </w:tcPr>
          <w:p w14:paraId="72500A6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Access to rehab, family burden</w:t>
            </w:r>
          </w:p>
        </w:tc>
      </w:tr>
      <w:tr w:rsidR="000E7DF9" w:rsidRPr="00351473" w14:paraId="6DA482DF" w14:textId="77777777" w:rsidTr="00890648">
        <w:tc>
          <w:tcPr>
            <w:tcW w:w="0" w:type="auto"/>
            <w:hideMark/>
          </w:tcPr>
          <w:p w14:paraId="76E883A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Cameron et al. (2013)</w:t>
            </w:r>
          </w:p>
        </w:tc>
        <w:tc>
          <w:tcPr>
            <w:tcW w:w="0" w:type="auto"/>
            <w:hideMark/>
          </w:tcPr>
          <w:p w14:paraId="510F772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595A28B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0" w:type="auto"/>
            <w:hideMark/>
          </w:tcPr>
          <w:p w14:paraId="72D80A3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650D63E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Longitudinal qualitative</w:t>
            </w:r>
          </w:p>
        </w:tc>
        <w:tc>
          <w:tcPr>
            <w:tcW w:w="0" w:type="auto"/>
            <w:hideMark/>
          </w:tcPr>
          <w:p w14:paraId="4DBE997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2412506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Caregiver adaptation</w:t>
            </w:r>
          </w:p>
        </w:tc>
      </w:tr>
      <w:tr w:rsidR="000E7DF9" w:rsidRPr="00351473" w14:paraId="35DADC6C" w14:textId="77777777" w:rsidTr="00890648">
        <w:tc>
          <w:tcPr>
            <w:tcW w:w="0" w:type="auto"/>
            <w:hideMark/>
          </w:tcPr>
          <w:p w14:paraId="5B3D88F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Morris (2011)</w:t>
            </w:r>
          </w:p>
        </w:tc>
        <w:tc>
          <w:tcPr>
            <w:tcW w:w="0" w:type="auto"/>
            <w:hideMark/>
          </w:tcPr>
          <w:p w14:paraId="62BC518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6D91AF0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0" w:type="auto"/>
            <w:hideMark/>
          </w:tcPr>
          <w:p w14:paraId="08F4250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≤3 years</w:t>
            </w:r>
          </w:p>
        </w:tc>
        <w:tc>
          <w:tcPr>
            <w:tcW w:w="0" w:type="auto"/>
            <w:hideMark/>
          </w:tcPr>
          <w:p w14:paraId="193CC7F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Interviews</w:t>
            </w:r>
          </w:p>
        </w:tc>
        <w:tc>
          <w:tcPr>
            <w:tcW w:w="0" w:type="auto"/>
            <w:hideMark/>
          </w:tcPr>
          <w:p w14:paraId="4BD053C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122BD01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Younger stroke survivors, work</w:t>
            </w:r>
          </w:p>
        </w:tc>
      </w:tr>
      <w:tr w:rsidR="000E7DF9" w:rsidRPr="00351473" w14:paraId="5AF22156" w14:textId="77777777" w:rsidTr="00890648">
        <w:tc>
          <w:tcPr>
            <w:tcW w:w="0" w:type="auto"/>
            <w:hideMark/>
          </w:tcPr>
          <w:p w14:paraId="2846DB7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Rosewilliam et al. (2011)</w:t>
            </w:r>
          </w:p>
        </w:tc>
        <w:tc>
          <w:tcPr>
            <w:tcW w:w="0" w:type="auto"/>
            <w:hideMark/>
          </w:tcPr>
          <w:p w14:paraId="415D97C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3E95892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22</w:t>
            </w:r>
          </w:p>
        </w:tc>
        <w:tc>
          <w:tcPr>
            <w:tcW w:w="0" w:type="auto"/>
            <w:hideMark/>
          </w:tcPr>
          <w:p w14:paraId="09BCB7A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27DD500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Focus groups</w:t>
            </w:r>
          </w:p>
        </w:tc>
        <w:tc>
          <w:tcPr>
            <w:tcW w:w="0" w:type="auto"/>
            <w:hideMark/>
          </w:tcPr>
          <w:p w14:paraId="7053699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Rehab/community</w:t>
            </w:r>
          </w:p>
        </w:tc>
        <w:tc>
          <w:tcPr>
            <w:tcW w:w="0" w:type="auto"/>
            <w:hideMark/>
          </w:tcPr>
          <w:p w14:paraId="4B06B24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Patient motivation and rehab</w:t>
            </w:r>
          </w:p>
        </w:tc>
      </w:tr>
      <w:tr w:rsidR="000E7DF9" w:rsidRPr="00351473" w14:paraId="5BE94A7E" w14:textId="77777777" w:rsidTr="00890648">
        <w:tc>
          <w:tcPr>
            <w:tcW w:w="0" w:type="auto"/>
            <w:hideMark/>
          </w:tcPr>
          <w:p w14:paraId="15F5CE6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Green &amp; King (2009)</w:t>
            </w:r>
          </w:p>
        </w:tc>
        <w:tc>
          <w:tcPr>
            <w:tcW w:w="0" w:type="auto"/>
            <w:hideMark/>
          </w:tcPr>
          <w:p w14:paraId="11FB864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Canada</w:t>
            </w:r>
          </w:p>
        </w:tc>
        <w:tc>
          <w:tcPr>
            <w:tcW w:w="0" w:type="auto"/>
            <w:hideMark/>
          </w:tcPr>
          <w:p w14:paraId="795A40B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24</w:t>
            </w:r>
          </w:p>
        </w:tc>
        <w:tc>
          <w:tcPr>
            <w:tcW w:w="0" w:type="auto"/>
            <w:hideMark/>
          </w:tcPr>
          <w:p w14:paraId="16722CF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3533A9E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Phenomenology</w:t>
            </w:r>
          </w:p>
        </w:tc>
        <w:tc>
          <w:tcPr>
            <w:tcW w:w="0" w:type="auto"/>
            <w:hideMark/>
          </w:tcPr>
          <w:p w14:paraId="1A0A59F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1A2A180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 reintegration</w:t>
            </w:r>
          </w:p>
        </w:tc>
      </w:tr>
      <w:tr w:rsidR="000E7DF9" w:rsidRPr="00351473" w14:paraId="089AB56A" w14:textId="77777777" w:rsidTr="00890648">
        <w:tc>
          <w:tcPr>
            <w:tcW w:w="0" w:type="auto"/>
            <w:hideMark/>
          </w:tcPr>
          <w:p w14:paraId="1FDB9E3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Ch’Ng et al. (2008)</w:t>
            </w:r>
          </w:p>
        </w:tc>
        <w:tc>
          <w:tcPr>
            <w:tcW w:w="0" w:type="auto"/>
            <w:hideMark/>
          </w:tcPr>
          <w:p w14:paraId="475160A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Australia</w:t>
            </w:r>
          </w:p>
        </w:tc>
        <w:tc>
          <w:tcPr>
            <w:tcW w:w="0" w:type="auto"/>
            <w:hideMark/>
          </w:tcPr>
          <w:p w14:paraId="17F6854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0" w:type="auto"/>
            <w:hideMark/>
          </w:tcPr>
          <w:p w14:paraId="6763794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≤2 years</w:t>
            </w:r>
          </w:p>
        </w:tc>
        <w:tc>
          <w:tcPr>
            <w:tcW w:w="0" w:type="auto"/>
            <w:hideMark/>
          </w:tcPr>
          <w:p w14:paraId="6E30E1D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Interviews</w:t>
            </w:r>
          </w:p>
        </w:tc>
        <w:tc>
          <w:tcPr>
            <w:tcW w:w="0" w:type="auto"/>
            <w:hideMark/>
          </w:tcPr>
          <w:p w14:paraId="6454429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Rehab + home</w:t>
            </w:r>
          </w:p>
        </w:tc>
        <w:tc>
          <w:tcPr>
            <w:tcW w:w="0" w:type="auto"/>
            <w:hideMark/>
          </w:tcPr>
          <w:p w14:paraId="0F8BFDF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Quality of life perspectives</w:t>
            </w:r>
          </w:p>
        </w:tc>
      </w:tr>
      <w:tr w:rsidR="000E7DF9" w:rsidRPr="00351473" w14:paraId="612DE6F2" w14:textId="77777777" w:rsidTr="00890648">
        <w:tc>
          <w:tcPr>
            <w:tcW w:w="0" w:type="auto"/>
            <w:hideMark/>
          </w:tcPr>
          <w:p w14:paraId="322E5E5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Lynch et al. (2008)</w:t>
            </w:r>
          </w:p>
        </w:tc>
        <w:tc>
          <w:tcPr>
            <w:tcW w:w="0" w:type="auto"/>
            <w:hideMark/>
          </w:tcPr>
          <w:p w14:paraId="37E5868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Ireland</w:t>
            </w:r>
          </w:p>
        </w:tc>
        <w:tc>
          <w:tcPr>
            <w:tcW w:w="0" w:type="auto"/>
            <w:hideMark/>
          </w:tcPr>
          <w:p w14:paraId="7B676E0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0" w:type="auto"/>
            <w:hideMark/>
          </w:tcPr>
          <w:p w14:paraId="49F4826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 year</w:t>
            </w:r>
          </w:p>
        </w:tc>
        <w:tc>
          <w:tcPr>
            <w:tcW w:w="0" w:type="auto"/>
            <w:hideMark/>
          </w:tcPr>
          <w:p w14:paraId="443B28B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Grounded theory</w:t>
            </w:r>
          </w:p>
        </w:tc>
        <w:tc>
          <w:tcPr>
            <w:tcW w:w="0" w:type="auto"/>
            <w:hideMark/>
          </w:tcPr>
          <w:p w14:paraId="2C96E8E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</w:t>
            </w:r>
          </w:p>
        </w:tc>
        <w:tc>
          <w:tcPr>
            <w:tcW w:w="0" w:type="auto"/>
            <w:hideMark/>
          </w:tcPr>
          <w:p w14:paraId="3470A9C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Spirituality, meaning</w:t>
            </w:r>
          </w:p>
        </w:tc>
      </w:tr>
      <w:tr w:rsidR="000E7DF9" w:rsidRPr="00351473" w14:paraId="68FCDAA1" w14:textId="77777777" w:rsidTr="00890648">
        <w:tc>
          <w:tcPr>
            <w:tcW w:w="0" w:type="auto"/>
            <w:hideMark/>
          </w:tcPr>
          <w:p w14:paraId="3901BFD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McKevitt et al. (2004)</w:t>
            </w:r>
          </w:p>
        </w:tc>
        <w:tc>
          <w:tcPr>
            <w:tcW w:w="0" w:type="auto"/>
            <w:hideMark/>
          </w:tcPr>
          <w:p w14:paraId="13293A2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UK</w:t>
            </w:r>
          </w:p>
        </w:tc>
        <w:tc>
          <w:tcPr>
            <w:tcW w:w="0" w:type="auto"/>
            <w:hideMark/>
          </w:tcPr>
          <w:p w14:paraId="2FA7BF1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25</w:t>
            </w:r>
          </w:p>
        </w:tc>
        <w:tc>
          <w:tcPr>
            <w:tcW w:w="0" w:type="auto"/>
            <w:hideMark/>
          </w:tcPr>
          <w:p w14:paraId="515B54B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≤18 months</w:t>
            </w:r>
          </w:p>
        </w:tc>
        <w:tc>
          <w:tcPr>
            <w:tcW w:w="0" w:type="auto"/>
            <w:hideMark/>
          </w:tcPr>
          <w:p w14:paraId="37CDA52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Systematic review (qualitative)</w:t>
            </w:r>
          </w:p>
        </w:tc>
        <w:tc>
          <w:tcPr>
            <w:tcW w:w="0" w:type="auto"/>
            <w:hideMark/>
          </w:tcPr>
          <w:p w14:paraId="6745BD9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Multiple</w:t>
            </w:r>
          </w:p>
        </w:tc>
        <w:tc>
          <w:tcPr>
            <w:tcW w:w="0" w:type="auto"/>
            <w:hideMark/>
          </w:tcPr>
          <w:p w14:paraId="7987C77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Stroke experiences and carers</w:t>
            </w:r>
          </w:p>
        </w:tc>
      </w:tr>
    </w:tbl>
    <w:p w14:paraId="475C329F" w14:textId="77777777" w:rsidR="000E7DF9" w:rsidRPr="00351473" w:rsidRDefault="000E7DF9" w:rsidP="000E7DF9">
      <w:pPr>
        <w:spacing w:before="150" w:after="0" w:line="240" w:lineRule="auto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 w:rsidRPr="00351473">
        <w:rPr>
          <w:rFonts w:ascii="Calibri" w:hAnsi="Calibri" w:cs="Times New Roman"/>
          <w:b/>
          <w:bCs/>
          <w:color w:val="4F81BD"/>
          <w:kern w:val="0"/>
          <w:sz w:val="20"/>
          <w:szCs w:val="20"/>
          <w14:ligatures w14:val="none"/>
        </w:rPr>
        <w:t>Table 2. Summary of Qualitative Findings (SoQF) using GRADE-CERQual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5"/>
        <w:gridCol w:w="1237"/>
        <w:gridCol w:w="2667"/>
        <w:gridCol w:w="1050"/>
        <w:gridCol w:w="2481"/>
      </w:tblGrid>
      <w:tr w:rsidR="000E7DF9" w:rsidRPr="00351473" w14:paraId="624AA96C" w14:textId="77777777" w:rsidTr="00890648">
        <w:tc>
          <w:tcPr>
            <w:tcW w:w="0" w:type="auto"/>
            <w:hideMark/>
          </w:tcPr>
          <w:p w14:paraId="370ED95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Theme</w:t>
            </w:r>
          </w:p>
        </w:tc>
        <w:tc>
          <w:tcPr>
            <w:tcW w:w="0" w:type="auto"/>
            <w:hideMark/>
          </w:tcPr>
          <w:p w14:paraId="4FB41DA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Contributing studies (n)</w:t>
            </w:r>
          </w:p>
        </w:tc>
        <w:tc>
          <w:tcPr>
            <w:tcW w:w="0" w:type="auto"/>
            <w:hideMark/>
          </w:tcPr>
          <w:p w14:paraId="4BE20A4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Summary of finding</w:t>
            </w:r>
          </w:p>
        </w:tc>
        <w:tc>
          <w:tcPr>
            <w:tcW w:w="0" w:type="auto"/>
            <w:hideMark/>
          </w:tcPr>
          <w:p w14:paraId="39B0F64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CERQual confidence</w:t>
            </w:r>
          </w:p>
        </w:tc>
        <w:tc>
          <w:tcPr>
            <w:tcW w:w="0" w:type="auto"/>
            <w:hideMark/>
          </w:tcPr>
          <w:p w14:paraId="54E4A2E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Explanation</w:t>
            </w:r>
          </w:p>
        </w:tc>
      </w:tr>
      <w:tr w:rsidR="000E7DF9" w:rsidRPr="00351473" w14:paraId="3E22D8E8" w14:textId="77777777" w:rsidTr="00890648">
        <w:tc>
          <w:tcPr>
            <w:tcW w:w="0" w:type="auto"/>
            <w:hideMark/>
          </w:tcPr>
          <w:p w14:paraId="655279D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Fractured identity &amp; self-reconstruction</w:t>
            </w:r>
          </w:p>
        </w:tc>
        <w:tc>
          <w:tcPr>
            <w:tcW w:w="0" w:type="auto"/>
            <w:hideMark/>
          </w:tcPr>
          <w:p w14:paraId="2818EC4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0" w:type="auto"/>
            <w:hideMark/>
          </w:tcPr>
          <w:p w14:paraId="5F2CF1A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Stroke disrupts identity; survivors struggle to reconcile pre- and post-stroke selves</w:t>
            </w:r>
          </w:p>
        </w:tc>
        <w:tc>
          <w:tcPr>
            <w:tcW w:w="0" w:type="auto"/>
            <w:hideMark/>
          </w:tcPr>
          <w:p w14:paraId="5A3E69C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High</w:t>
            </w:r>
          </w:p>
        </w:tc>
        <w:tc>
          <w:tcPr>
            <w:tcW w:w="0" w:type="auto"/>
            <w:hideMark/>
          </w:tcPr>
          <w:p w14:paraId="276DE62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Consistent across diverse settings; rich data; minimal methodological concerns</w:t>
            </w:r>
          </w:p>
        </w:tc>
      </w:tr>
      <w:tr w:rsidR="000E7DF9" w:rsidRPr="00351473" w14:paraId="2AC713E9" w14:textId="77777777" w:rsidTr="00890648">
        <w:tc>
          <w:tcPr>
            <w:tcW w:w="0" w:type="auto"/>
            <w:hideMark/>
          </w:tcPr>
          <w:p w14:paraId="59E8105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Invisible symptoms (fatigue, cognitive fog, mood)</w:t>
            </w:r>
          </w:p>
        </w:tc>
        <w:tc>
          <w:tcPr>
            <w:tcW w:w="0" w:type="auto"/>
            <w:hideMark/>
          </w:tcPr>
          <w:p w14:paraId="36C81EE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0" w:type="auto"/>
            <w:hideMark/>
          </w:tcPr>
          <w:p w14:paraId="3655F4A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Hidden impairments often more disabling than motor deficits; frequently misunderstood</w:t>
            </w:r>
          </w:p>
        </w:tc>
        <w:tc>
          <w:tcPr>
            <w:tcW w:w="0" w:type="auto"/>
            <w:hideMark/>
          </w:tcPr>
          <w:p w14:paraId="1A96C29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High</w:t>
            </w:r>
          </w:p>
        </w:tc>
        <w:tc>
          <w:tcPr>
            <w:tcW w:w="0" w:type="auto"/>
            <w:hideMark/>
          </w:tcPr>
          <w:p w14:paraId="24B40F9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Strong coherence; multiple countries; adequate data; relevance high</w:t>
            </w:r>
          </w:p>
        </w:tc>
      </w:tr>
      <w:tr w:rsidR="000E7DF9" w:rsidRPr="00351473" w14:paraId="0331AD68" w14:textId="77777777" w:rsidTr="00890648">
        <w:tc>
          <w:tcPr>
            <w:tcW w:w="0" w:type="auto"/>
            <w:hideMark/>
          </w:tcPr>
          <w:p w14:paraId="3253956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Communication barriers (aphasia)</w:t>
            </w:r>
          </w:p>
        </w:tc>
        <w:tc>
          <w:tcPr>
            <w:tcW w:w="0" w:type="auto"/>
            <w:hideMark/>
          </w:tcPr>
          <w:p w14:paraId="4B968BD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12</w:t>
            </w:r>
          </w:p>
        </w:tc>
        <w:tc>
          <w:tcPr>
            <w:tcW w:w="0" w:type="auto"/>
            <w:hideMark/>
          </w:tcPr>
          <w:p w14:paraId="6980B77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Aphasia isolates survivors, reduces autonomy; speech-language therapy inconsistent</w:t>
            </w:r>
          </w:p>
        </w:tc>
        <w:tc>
          <w:tcPr>
            <w:tcW w:w="0" w:type="auto"/>
            <w:hideMark/>
          </w:tcPr>
          <w:p w14:paraId="0A0C093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High</w:t>
            </w:r>
          </w:p>
        </w:tc>
        <w:tc>
          <w:tcPr>
            <w:tcW w:w="0" w:type="auto"/>
            <w:hideMark/>
          </w:tcPr>
          <w:p w14:paraId="0ACA051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High-quality studies; consistent findings; thick description</w:t>
            </w:r>
          </w:p>
        </w:tc>
      </w:tr>
      <w:tr w:rsidR="000E7DF9" w:rsidRPr="00351473" w14:paraId="55FEC9ED" w14:textId="77777777" w:rsidTr="00890648">
        <w:tc>
          <w:tcPr>
            <w:tcW w:w="0" w:type="auto"/>
            <w:hideMark/>
          </w:tcPr>
          <w:p w14:paraId="23D619C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Precarious transitions</w:t>
            </w:r>
          </w:p>
        </w:tc>
        <w:tc>
          <w:tcPr>
            <w:tcW w:w="0" w:type="auto"/>
            <w:hideMark/>
          </w:tcPr>
          <w:p w14:paraId="67A83E4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14</w:t>
            </w:r>
          </w:p>
        </w:tc>
        <w:tc>
          <w:tcPr>
            <w:tcW w:w="0" w:type="auto"/>
            <w:hideMark/>
          </w:tcPr>
          <w:p w14:paraId="3C69860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Survivors feel abandoned post-discharge; services fragmented, esp. in LMICs</w:t>
            </w:r>
          </w:p>
        </w:tc>
        <w:tc>
          <w:tcPr>
            <w:tcW w:w="0" w:type="auto"/>
            <w:hideMark/>
          </w:tcPr>
          <w:p w14:paraId="3748884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Moderate–High</w:t>
            </w:r>
          </w:p>
        </w:tc>
        <w:tc>
          <w:tcPr>
            <w:tcW w:w="0" w:type="auto"/>
            <w:hideMark/>
          </w:tcPr>
          <w:p w14:paraId="74A0C05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Some variability by setting; fewer LMIC studies; otherwise coherent</w:t>
            </w:r>
          </w:p>
        </w:tc>
      </w:tr>
      <w:tr w:rsidR="000E7DF9" w:rsidRPr="00351473" w14:paraId="50819DFD" w14:textId="77777777" w:rsidTr="00890648">
        <w:tc>
          <w:tcPr>
            <w:tcW w:w="0" w:type="auto"/>
            <w:hideMark/>
          </w:tcPr>
          <w:p w14:paraId="2A957585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Family co-recovery &amp; caregiver strain</w:t>
            </w:r>
          </w:p>
        </w:tc>
        <w:tc>
          <w:tcPr>
            <w:tcW w:w="0" w:type="auto"/>
            <w:hideMark/>
          </w:tcPr>
          <w:p w14:paraId="42CA42C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0" w:type="auto"/>
            <w:hideMark/>
          </w:tcPr>
          <w:p w14:paraId="6471003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Families act as co-survivors; experience strain but also adaptation</w:t>
            </w:r>
          </w:p>
        </w:tc>
        <w:tc>
          <w:tcPr>
            <w:tcW w:w="0" w:type="auto"/>
            <w:hideMark/>
          </w:tcPr>
          <w:p w14:paraId="5E215C9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High</w:t>
            </w:r>
          </w:p>
        </w:tc>
        <w:tc>
          <w:tcPr>
            <w:tcW w:w="0" w:type="auto"/>
            <w:hideMark/>
          </w:tcPr>
          <w:p w14:paraId="40E9482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Repeated across contexts; caregiver voices corroborate survivor perspectives</w:t>
            </w:r>
          </w:p>
        </w:tc>
      </w:tr>
      <w:tr w:rsidR="000E7DF9" w:rsidRPr="00351473" w14:paraId="48BFB6B8" w14:textId="77777777" w:rsidTr="00890648">
        <w:tc>
          <w:tcPr>
            <w:tcW w:w="0" w:type="auto"/>
            <w:hideMark/>
          </w:tcPr>
          <w:p w14:paraId="1796D7F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lastRenderedPageBreak/>
              <w:t>Pathways of hope (spirituality, peers, technology)</w:t>
            </w:r>
          </w:p>
        </w:tc>
        <w:tc>
          <w:tcPr>
            <w:tcW w:w="0" w:type="auto"/>
            <w:hideMark/>
          </w:tcPr>
          <w:p w14:paraId="10E8E00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0" w:type="auto"/>
            <w:hideMark/>
          </w:tcPr>
          <w:p w14:paraId="50E71B3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Faith, peer groups, and digital tools foster resilience and meaning</w:t>
            </w:r>
          </w:p>
        </w:tc>
        <w:tc>
          <w:tcPr>
            <w:tcW w:w="0" w:type="auto"/>
            <w:hideMark/>
          </w:tcPr>
          <w:p w14:paraId="4D0C39C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Moderate</w:t>
            </w:r>
          </w:p>
        </w:tc>
        <w:tc>
          <w:tcPr>
            <w:tcW w:w="0" w:type="auto"/>
            <w:hideMark/>
          </w:tcPr>
          <w:p w14:paraId="6910E8C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Fewer studies; regional variability; moderate adequacy</w:t>
            </w:r>
          </w:p>
        </w:tc>
      </w:tr>
    </w:tbl>
    <w:p w14:paraId="7DD19E29" w14:textId="77777777" w:rsidR="000E7DF9" w:rsidRPr="00351473" w:rsidRDefault="000E7DF9" w:rsidP="000E7DF9">
      <w:pPr>
        <w:spacing w:before="150" w:after="0" w:line="240" w:lineRule="auto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 w:rsidRPr="00351473">
        <w:rPr>
          <w:rFonts w:ascii="Calibri" w:hAnsi="Calibri" w:cs="Times New Roman"/>
          <w:b/>
          <w:bCs/>
          <w:color w:val="4F81BD"/>
          <w:kern w:val="0"/>
          <w:sz w:val="20"/>
          <w:szCs w:val="20"/>
          <w14:ligatures w14:val="none"/>
        </w:rPr>
        <w:t>Table 3. SMART Policy Roadmap for Stroke Survivorship (2025–2027)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9"/>
        <w:gridCol w:w="2196"/>
        <w:gridCol w:w="2022"/>
        <w:gridCol w:w="1047"/>
        <w:gridCol w:w="1466"/>
        <w:gridCol w:w="910"/>
      </w:tblGrid>
      <w:tr w:rsidR="000E7DF9" w:rsidRPr="00351473" w14:paraId="07C58BF4" w14:textId="77777777" w:rsidTr="00890648">
        <w:tc>
          <w:tcPr>
            <w:tcW w:w="0" w:type="auto"/>
            <w:hideMark/>
          </w:tcPr>
          <w:p w14:paraId="6DAD8B9E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Theme</w:t>
            </w:r>
          </w:p>
        </w:tc>
        <w:tc>
          <w:tcPr>
            <w:tcW w:w="0" w:type="auto"/>
            <w:hideMark/>
          </w:tcPr>
          <w:p w14:paraId="35D22F0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Policy Action (Specific)</w:t>
            </w:r>
          </w:p>
        </w:tc>
        <w:tc>
          <w:tcPr>
            <w:tcW w:w="0" w:type="auto"/>
            <w:hideMark/>
          </w:tcPr>
          <w:p w14:paraId="5B61DD8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Measurable Indicator</w:t>
            </w:r>
          </w:p>
        </w:tc>
        <w:tc>
          <w:tcPr>
            <w:tcW w:w="0" w:type="auto"/>
            <w:hideMark/>
          </w:tcPr>
          <w:p w14:paraId="547D602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Attainable Target</w:t>
            </w:r>
          </w:p>
        </w:tc>
        <w:tc>
          <w:tcPr>
            <w:tcW w:w="0" w:type="auto"/>
            <w:hideMark/>
          </w:tcPr>
          <w:p w14:paraId="68DEDAF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Relevant Actor</w:t>
            </w:r>
          </w:p>
        </w:tc>
        <w:tc>
          <w:tcPr>
            <w:tcW w:w="0" w:type="auto"/>
            <w:hideMark/>
          </w:tcPr>
          <w:p w14:paraId="4883EA6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Timeframe</w:t>
            </w:r>
          </w:p>
        </w:tc>
      </w:tr>
      <w:tr w:rsidR="000E7DF9" w:rsidRPr="00351473" w14:paraId="315C8672" w14:textId="77777777" w:rsidTr="00890648">
        <w:tc>
          <w:tcPr>
            <w:tcW w:w="0" w:type="auto"/>
            <w:hideMark/>
          </w:tcPr>
          <w:p w14:paraId="4096CB2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Fractured identity &amp; self-reconstruction</w:t>
            </w:r>
          </w:p>
        </w:tc>
        <w:tc>
          <w:tcPr>
            <w:tcW w:w="0" w:type="auto"/>
            <w:hideMark/>
          </w:tcPr>
          <w:p w14:paraId="73FBB9B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Integrate psychosocial counselling and peer-support sessions in ≥80% of stroke units</w:t>
            </w:r>
          </w:p>
        </w:tc>
        <w:tc>
          <w:tcPr>
            <w:tcW w:w="0" w:type="auto"/>
            <w:hideMark/>
          </w:tcPr>
          <w:p w14:paraId="1B1127BB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% of units with structured counselling/peer support</w:t>
            </w:r>
          </w:p>
        </w:tc>
        <w:tc>
          <w:tcPr>
            <w:tcW w:w="0" w:type="auto"/>
            <w:hideMark/>
          </w:tcPr>
          <w:p w14:paraId="7C2E00E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≥80% of stroke units</w:t>
            </w:r>
          </w:p>
        </w:tc>
        <w:tc>
          <w:tcPr>
            <w:tcW w:w="0" w:type="auto"/>
            <w:hideMark/>
          </w:tcPr>
          <w:p w14:paraId="0BE4B0A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Ministries of Health; Stroke Societies</w:t>
            </w:r>
          </w:p>
        </w:tc>
        <w:tc>
          <w:tcPr>
            <w:tcW w:w="0" w:type="auto"/>
            <w:hideMark/>
          </w:tcPr>
          <w:p w14:paraId="5F5A96EA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By Dec 2027</w:t>
            </w:r>
          </w:p>
        </w:tc>
      </w:tr>
      <w:tr w:rsidR="000E7DF9" w:rsidRPr="00351473" w14:paraId="6CDBDF1C" w14:textId="77777777" w:rsidTr="00890648">
        <w:tc>
          <w:tcPr>
            <w:tcW w:w="0" w:type="auto"/>
            <w:hideMark/>
          </w:tcPr>
          <w:p w14:paraId="459E8B6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Invisible symptoms (fatigue, cognitive fog, mood)</w:t>
            </w:r>
          </w:p>
        </w:tc>
        <w:tc>
          <w:tcPr>
            <w:tcW w:w="0" w:type="auto"/>
            <w:hideMark/>
          </w:tcPr>
          <w:p w14:paraId="6E57771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Include fatigue, cognition, and mood screening in national stroke audits</w:t>
            </w:r>
          </w:p>
        </w:tc>
        <w:tc>
          <w:tcPr>
            <w:tcW w:w="0" w:type="auto"/>
            <w:hideMark/>
          </w:tcPr>
          <w:p w14:paraId="2C7F8FE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% of survivors screened within 3 months post-stroke</w:t>
            </w:r>
          </w:p>
        </w:tc>
        <w:tc>
          <w:tcPr>
            <w:tcW w:w="0" w:type="auto"/>
            <w:hideMark/>
          </w:tcPr>
          <w:p w14:paraId="34C185B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≥70% by 2027</w:t>
            </w:r>
          </w:p>
        </w:tc>
        <w:tc>
          <w:tcPr>
            <w:tcW w:w="0" w:type="auto"/>
            <w:hideMark/>
          </w:tcPr>
          <w:p w14:paraId="7F327DC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Hospital systems; National Stroke Registries</w:t>
            </w:r>
          </w:p>
        </w:tc>
        <w:tc>
          <w:tcPr>
            <w:tcW w:w="0" w:type="auto"/>
            <w:hideMark/>
          </w:tcPr>
          <w:p w14:paraId="4F117C5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By June 2027</w:t>
            </w:r>
          </w:p>
        </w:tc>
      </w:tr>
      <w:tr w:rsidR="000E7DF9" w:rsidRPr="00351473" w14:paraId="3685BE86" w14:textId="77777777" w:rsidTr="00890648">
        <w:tc>
          <w:tcPr>
            <w:tcW w:w="0" w:type="auto"/>
            <w:hideMark/>
          </w:tcPr>
          <w:p w14:paraId="4A0B1647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Communication barriers (aphasia)</w:t>
            </w:r>
          </w:p>
        </w:tc>
        <w:tc>
          <w:tcPr>
            <w:tcW w:w="0" w:type="auto"/>
            <w:hideMark/>
          </w:tcPr>
          <w:p w14:paraId="26628B3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Provide universal access to aphasia-friendly communication tools and trained staff</w:t>
            </w:r>
          </w:p>
        </w:tc>
        <w:tc>
          <w:tcPr>
            <w:tcW w:w="0" w:type="auto"/>
            <w:hideMark/>
          </w:tcPr>
          <w:p w14:paraId="2D83ACA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% of stroke units with aphasia-support protocols</w:t>
            </w:r>
          </w:p>
        </w:tc>
        <w:tc>
          <w:tcPr>
            <w:tcW w:w="0" w:type="auto"/>
            <w:hideMark/>
          </w:tcPr>
          <w:p w14:paraId="2F82425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≥90% of stroke units</w:t>
            </w:r>
          </w:p>
        </w:tc>
        <w:tc>
          <w:tcPr>
            <w:tcW w:w="0" w:type="auto"/>
            <w:hideMark/>
          </w:tcPr>
          <w:p w14:paraId="33375FF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Health ministries; Speech-language associations</w:t>
            </w:r>
          </w:p>
        </w:tc>
        <w:tc>
          <w:tcPr>
            <w:tcW w:w="0" w:type="auto"/>
            <w:hideMark/>
          </w:tcPr>
          <w:p w14:paraId="6E6868B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By Dec 2026</w:t>
            </w:r>
          </w:p>
        </w:tc>
      </w:tr>
      <w:tr w:rsidR="000E7DF9" w:rsidRPr="00351473" w14:paraId="2E4DC556" w14:textId="77777777" w:rsidTr="00890648">
        <w:tc>
          <w:tcPr>
            <w:tcW w:w="0" w:type="auto"/>
            <w:hideMark/>
          </w:tcPr>
          <w:p w14:paraId="43EADB58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Precarious transitions</w:t>
            </w:r>
          </w:p>
        </w:tc>
        <w:tc>
          <w:tcPr>
            <w:tcW w:w="0" w:type="auto"/>
            <w:hideMark/>
          </w:tcPr>
          <w:p w14:paraId="23ED8F7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Implement navigator-led discharge planning and 30-day follow-up calls</w:t>
            </w:r>
          </w:p>
        </w:tc>
        <w:tc>
          <w:tcPr>
            <w:tcW w:w="0" w:type="auto"/>
            <w:hideMark/>
          </w:tcPr>
          <w:p w14:paraId="6BA4BF09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% of discharges with documented care plan and navigator contact</w:t>
            </w:r>
          </w:p>
        </w:tc>
        <w:tc>
          <w:tcPr>
            <w:tcW w:w="0" w:type="auto"/>
            <w:hideMark/>
          </w:tcPr>
          <w:p w14:paraId="2A41A61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≥80% of survivors</w:t>
            </w:r>
          </w:p>
        </w:tc>
        <w:tc>
          <w:tcPr>
            <w:tcW w:w="0" w:type="auto"/>
            <w:hideMark/>
          </w:tcPr>
          <w:p w14:paraId="338CC64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Hospitals; Community rehab services</w:t>
            </w:r>
          </w:p>
        </w:tc>
        <w:tc>
          <w:tcPr>
            <w:tcW w:w="0" w:type="auto"/>
            <w:hideMark/>
          </w:tcPr>
          <w:p w14:paraId="3AA02F9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By Dec 2027</w:t>
            </w:r>
          </w:p>
        </w:tc>
      </w:tr>
      <w:tr w:rsidR="000E7DF9" w:rsidRPr="00351473" w14:paraId="3C005600" w14:textId="77777777" w:rsidTr="00890648">
        <w:tc>
          <w:tcPr>
            <w:tcW w:w="0" w:type="auto"/>
            <w:hideMark/>
          </w:tcPr>
          <w:p w14:paraId="78985126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Family co-recovery &amp; caregiver strain</w:t>
            </w:r>
          </w:p>
        </w:tc>
        <w:tc>
          <w:tcPr>
            <w:tcW w:w="0" w:type="auto"/>
            <w:hideMark/>
          </w:tcPr>
          <w:p w14:paraId="066E280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Offer structured caregiver training and respite programs</w:t>
            </w:r>
          </w:p>
        </w:tc>
        <w:tc>
          <w:tcPr>
            <w:tcW w:w="0" w:type="auto"/>
            <w:hideMark/>
          </w:tcPr>
          <w:p w14:paraId="4B0151F4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% of caregivers receiving training prior to discharge</w:t>
            </w:r>
          </w:p>
        </w:tc>
        <w:tc>
          <w:tcPr>
            <w:tcW w:w="0" w:type="auto"/>
            <w:hideMark/>
          </w:tcPr>
          <w:p w14:paraId="0CB1E233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≥75% of families</w:t>
            </w:r>
          </w:p>
        </w:tc>
        <w:tc>
          <w:tcPr>
            <w:tcW w:w="0" w:type="auto"/>
            <w:hideMark/>
          </w:tcPr>
          <w:p w14:paraId="1F3F68DD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Hospitals; NGOs; Caregiver support groups</w:t>
            </w:r>
          </w:p>
        </w:tc>
        <w:tc>
          <w:tcPr>
            <w:tcW w:w="0" w:type="auto"/>
            <w:hideMark/>
          </w:tcPr>
          <w:p w14:paraId="5EA6B1D0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By Dec 2027</w:t>
            </w:r>
          </w:p>
        </w:tc>
      </w:tr>
      <w:tr w:rsidR="000E7DF9" w:rsidRPr="00351473" w14:paraId="2B75FC89" w14:textId="77777777" w:rsidTr="00890648">
        <w:tc>
          <w:tcPr>
            <w:tcW w:w="0" w:type="auto"/>
            <w:hideMark/>
          </w:tcPr>
          <w:p w14:paraId="73F004E1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Pathways of hope (spirituality, peers, technology)</w:t>
            </w:r>
          </w:p>
        </w:tc>
        <w:tc>
          <w:tcPr>
            <w:tcW w:w="0" w:type="auto"/>
            <w:hideMark/>
          </w:tcPr>
          <w:p w14:paraId="59F8257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Embed peer-led groups and digital rehab platforms in community services</w:t>
            </w:r>
          </w:p>
        </w:tc>
        <w:tc>
          <w:tcPr>
            <w:tcW w:w="0" w:type="auto"/>
            <w:hideMark/>
          </w:tcPr>
          <w:p w14:paraId="1FC3596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% of survivors enrolled in peer or digital support programs</w:t>
            </w:r>
          </w:p>
        </w:tc>
        <w:tc>
          <w:tcPr>
            <w:tcW w:w="0" w:type="auto"/>
            <w:hideMark/>
          </w:tcPr>
          <w:p w14:paraId="244A475F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≥60% of eligible survivors</w:t>
            </w:r>
          </w:p>
        </w:tc>
        <w:tc>
          <w:tcPr>
            <w:tcW w:w="0" w:type="auto"/>
            <w:hideMark/>
          </w:tcPr>
          <w:p w14:paraId="50A0D7C2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Community orgs; Digital health providers</w:t>
            </w:r>
          </w:p>
        </w:tc>
        <w:tc>
          <w:tcPr>
            <w:tcW w:w="0" w:type="auto"/>
            <w:hideMark/>
          </w:tcPr>
          <w:p w14:paraId="45821BEC" w14:textId="77777777" w:rsidR="000E7DF9" w:rsidRPr="00351473" w:rsidRDefault="000E7DF9" w:rsidP="00890648">
            <w:pPr>
              <w:spacing w:after="150" w:line="240" w:lineRule="auto"/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</w:pPr>
            <w:r w:rsidRPr="00351473">
              <w:rPr>
                <w:rFonts w:ascii="-webkit-standard" w:hAnsi="-webkit-standard" w:cs="Times New Roman"/>
                <w:kern w:val="0"/>
                <w:sz w:val="18"/>
                <w:szCs w:val="18"/>
                <w14:ligatures w14:val="none"/>
              </w:rPr>
              <w:t>By June 2027</w:t>
            </w:r>
          </w:p>
        </w:tc>
      </w:tr>
    </w:tbl>
    <w:p w14:paraId="6865D867" w14:textId="77777777" w:rsidR="000E7DF9" w:rsidRDefault="000E7DF9" w:rsidP="000E7DF9"/>
    <w:p w14:paraId="1806DF03" w14:textId="04041645" w:rsidR="00DE6AE2" w:rsidRDefault="00DE6AE2" w:rsidP="000E7DF9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-webkit-standard">
    <w:altName w:val="Cambria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DF9"/>
    <w:rsid w:val="000E7DF9"/>
    <w:rsid w:val="00195413"/>
    <w:rsid w:val="003D0186"/>
    <w:rsid w:val="007278E4"/>
    <w:rsid w:val="00A3738C"/>
    <w:rsid w:val="00BC6C35"/>
    <w:rsid w:val="00CB270D"/>
    <w:rsid w:val="00CF7583"/>
    <w:rsid w:val="00D622E7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534BA"/>
  <w15:chartTrackingRefBased/>
  <w15:docId w15:val="{2AECA1B3-926A-47B0-8EA9-D13D46B52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DF9"/>
    <w:rPr>
      <w:rFonts w:eastAsiaTheme="minorEastAsia"/>
      <w:lang w:val="en-PH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7D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7D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7D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D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7D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D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7D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7D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7D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D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7D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7D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D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7D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D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7D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7D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7D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7D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E7D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D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0E7D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7DF9"/>
    <w:pPr>
      <w:spacing w:before="160"/>
      <w:jc w:val="center"/>
    </w:pPr>
    <w:rPr>
      <w:rFonts w:eastAsiaTheme="minorHAns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0E7D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7DF9"/>
    <w:pPr>
      <w:ind w:left="720"/>
      <w:contextualSpacing/>
    </w:pPr>
    <w:rPr>
      <w:rFonts w:eastAsiaTheme="minorHAnsi"/>
      <w:lang w:val="en-US"/>
    </w:rPr>
  </w:style>
  <w:style w:type="character" w:styleId="IntenseEmphasis">
    <w:name w:val="Intense Emphasis"/>
    <w:basedOn w:val="DefaultParagraphFont"/>
    <w:uiPriority w:val="21"/>
    <w:qFormat/>
    <w:rsid w:val="000E7D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7D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7D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7DF9"/>
    <w:rPr>
      <w:b/>
      <w:bCs/>
      <w:smallCaps/>
      <w:color w:val="0F4761" w:themeColor="accent1" w:themeShade="BF"/>
      <w:spacing w:val="5"/>
    </w:rPr>
  </w:style>
  <w:style w:type="character" w:customStyle="1" w:styleId="s2">
    <w:name w:val="s2"/>
    <w:basedOn w:val="DefaultParagraphFont"/>
    <w:rsid w:val="000E7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943</Words>
  <Characters>5378</Characters>
  <Application>Microsoft Office Word</Application>
  <DocSecurity>0</DocSecurity>
  <Lines>44</Lines>
  <Paragraphs>12</Paragraphs>
  <ScaleCrop>false</ScaleCrop>
  <Company>Springer Nature</Company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2025-09-29T06:50:00Z</dcterms:created>
  <dcterms:modified xsi:type="dcterms:W3CDTF">2025-09-29T06:50:00Z</dcterms:modified>
</cp:coreProperties>
</file>