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B8AB" w14:textId="77777777" w:rsidR="001825E1" w:rsidRDefault="00AE3C8C">
      <w:pPr>
        <w:pStyle w:val="Ttulo"/>
        <w:jc w:val="center"/>
      </w:pPr>
      <w:r>
        <w:rPr>
          <w:rFonts w:ascii="Times New Roman" w:hAnsi="Times New Roman"/>
          <w:sz w:val="20"/>
        </w:rPr>
        <w:t>Supplement</w:t>
      </w:r>
    </w:p>
    <w:p w14:paraId="5EA03D94" w14:textId="77777777" w:rsidR="001825E1" w:rsidRDefault="00AE3C8C">
      <w:pPr>
        <w:jc w:val="center"/>
      </w:pPr>
      <w:r>
        <w:rPr>
          <w:b/>
        </w:rPr>
        <w:t xml:space="preserve">MBK-01 Oral Microbiota Capsules vs Fidaxomicin for </w:t>
      </w:r>
      <w:r w:rsidRPr="00CF185C">
        <w:rPr>
          <w:b/>
          <w:i/>
          <w:iCs/>
        </w:rPr>
        <w:t>Clostridioides difficile</w:t>
      </w:r>
      <w:r>
        <w:rPr>
          <w:b/>
        </w:rPr>
        <w:t xml:space="preserve"> Infection</w:t>
      </w:r>
    </w:p>
    <w:p w14:paraId="44673F37" w14:textId="77777777" w:rsidR="001825E1" w:rsidRDefault="00AE3C8C">
      <w:pPr>
        <w:jc w:val="center"/>
      </w:pPr>
      <w:r>
        <w:rPr>
          <w:i/>
        </w:rPr>
        <w:t>A Randomized Clinical Trial</w:t>
      </w:r>
    </w:p>
    <w:p w14:paraId="47F102C3" w14:textId="77777777" w:rsidR="001825E1" w:rsidRDefault="001825E1"/>
    <w:p w14:paraId="0403CE42" w14:textId="77777777" w:rsidR="001825E1" w:rsidRDefault="00AE3C8C">
      <w:r>
        <w:rPr>
          <w:b/>
        </w:rPr>
        <w:t>Contents of This Supplement</w:t>
      </w:r>
    </w:p>
    <w:p w14:paraId="210C5E2B" w14:textId="77777777" w:rsidR="001825E1" w:rsidRDefault="00AE3C8C">
      <w:r>
        <w:t>eMethods 1. Complete participant eligibility criteria</w:t>
      </w:r>
    </w:p>
    <w:p w14:paraId="72856731" w14:textId="77777777" w:rsidR="001825E1" w:rsidRDefault="00AE3C8C">
      <w:r>
        <w:t>eMethods 2. Prohibited medications and major protocol deviations</w:t>
      </w:r>
    </w:p>
    <w:p w14:paraId="02D4BF43" w14:textId="77777777" w:rsidR="001825E1" w:rsidRDefault="00AE3C8C">
      <w:r>
        <w:t>eResults 1. Quality of life (SF-36)</w:t>
      </w:r>
    </w:p>
    <w:p w14:paraId="36BA1594" w14:textId="77777777" w:rsidR="001825E1" w:rsidRDefault="00AE3C8C">
      <w:r>
        <w:t>eTable 1. Stool donor inclusion criteria for MBK-01 manufacture</w:t>
      </w:r>
    </w:p>
    <w:p w14:paraId="1BDA9700" w14:textId="77777777" w:rsidR="001825E1" w:rsidRDefault="00AE3C8C">
      <w:r>
        <w:t>eTable 2. Stool donor exclusion criteria for MBK-01 manufacture</w:t>
      </w:r>
    </w:p>
    <w:p w14:paraId="2BDFA960" w14:textId="77777777" w:rsidR="001825E1" w:rsidRDefault="00AE3C8C">
      <w:r>
        <w:t>eTable 3. Serious adverse events by treatment group (safety population, N = 92)</w:t>
      </w:r>
    </w:p>
    <w:p w14:paraId="3E71A191" w14:textId="77777777" w:rsidR="001825E1" w:rsidRDefault="00AE3C8C">
      <w:r>
        <w:t>eTable 4. Reasons for exclusion from the modified intention-to-treat population by treatment group</w:t>
      </w:r>
    </w:p>
    <w:p w14:paraId="284FFB6A" w14:textId="77777777" w:rsidR="001825E1" w:rsidRDefault="001825E1"/>
    <w:p w14:paraId="1F6CCCC7" w14:textId="77777777" w:rsidR="001825E1" w:rsidRDefault="00AE3C8C">
      <w:r>
        <w:rPr>
          <w:b/>
        </w:rPr>
        <w:t>eMethods 1. Complete participant eligibility criteria</w:t>
      </w:r>
    </w:p>
    <w:p w14:paraId="2BF8BBC5" w14:textId="77777777" w:rsidR="001825E1" w:rsidRDefault="00AE3C8C">
      <w:r>
        <w:rPr>
          <w:b/>
        </w:rPr>
        <w:t>Inclusion criteria</w:t>
      </w:r>
    </w:p>
    <w:p w14:paraId="0048475E" w14:textId="77777777" w:rsidR="001825E1" w:rsidRDefault="00AE3C8C" w:rsidP="00CF185C">
      <w:pPr>
        <w:pStyle w:val="Prrafodelista"/>
        <w:numPr>
          <w:ilvl w:val="0"/>
          <w:numId w:val="10"/>
        </w:numPr>
      </w:pPr>
      <w:r>
        <w:t>Adults of either sex aged 18 years or older.</w:t>
      </w:r>
    </w:p>
    <w:p w14:paraId="6FE6899B" w14:textId="77777777" w:rsidR="001825E1" w:rsidRDefault="00AE3C8C" w:rsidP="00CF185C">
      <w:pPr>
        <w:pStyle w:val="Prrafodelista"/>
        <w:numPr>
          <w:ilvl w:val="0"/>
          <w:numId w:val="10"/>
        </w:numPr>
      </w:pPr>
      <w:r>
        <w:t xml:space="preserve">Patients undergoing an episode of </w:t>
      </w:r>
      <w:r w:rsidRPr="00CF185C">
        <w:rPr>
          <w:i/>
          <w:iCs/>
        </w:rPr>
        <w:t>Clostridioides difficile</w:t>
      </w:r>
      <w:r>
        <w:t xml:space="preserve"> infection (either the first episode or subsequent recurrences).</w:t>
      </w:r>
    </w:p>
    <w:p w14:paraId="7A3A02CE" w14:textId="77777777" w:rsidR="001825E1" w:rsidRDefault="00AE3C8C" w:rsidP="00CF185C">
      <w:pPr>
        <w:pStyle w:val="Prrafodelista"/>
        <w:numPr>
          <w:ilvl w:val="0"/>
          <w:numId w:val="10"/>
        </w:numPr>
      </w:pPr>
      <w:r>
        <w:t>Presence of diarrhea, defined as 3 or more unformed stools per 24 hours, at the beginning of the episode.</w:t>
      </w:r>
    </w:p>
    <w:p w14:paraId="1E8A9F09" w14:textId="77777777" w:rsidR="001825E1" w:rsidRDefault="00AE3C8C" w:rsidP="00CF185C">
      <w:pPr>
        <w:pStyle w:val="Prrafodelista"/>
        <w:numPr>
          <w:ilvl w:val="0"/>
          <w:numId w:val="10"/>
        </w:numPr>
      </w:pPr>
      <w:r>
        <w:t xml:space="preserve">Confirmation of the presence of </w:t>
      </w:r>
      <w:r w:rsidRPr="00CF185C">
        <w:rPr>
          <w:i/>
          <w:iCs/>
        </w:rPr>
        <w:t>Clostridioides difficile</w:t>
      </w:r>
      <w:r>
        <w:t xml:space="preserve"> toxin A and/or B in feces, either by a direct toxin detection test or by polymerase chain reaction (PCR) for toxin-producing genes, at the start of the episode to be treated in the clinical trial; the test had to be positive within 7 days before enrollment.</w:t>
      </w:r>
    </w:p>
    <w:p w14:paraId="4703DC09" w14:textId="77777777" w:rsidR="001825E1" w:rsidRDefault="00AE3C8C">
      <w:r>
        <w:rPr>
          <w:b/>
        </w:rPr>
        <w:t>E</w:t>
      </w:r>
      <w:r>
        <w:rPr>
          <w:b/>
        </w:rPr>
        <w:t>xclusion criteria</w:t>
      </w:r>
    </w:p>
    <w:p w14:paraId="7A1D0ED9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>Previous fecal microbiota transplantation.</w:t>
      </w:r>
    </w:p>
    <w:p w14:paraId="47CF82E8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>Transplanted patients, except those with a solid organ transplant performed more than 2 years previously and with good organ function.</w:t>
      </w:r>
    </w:p>
    <w:p w14:paraId="7EDDE3A8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 xml:space="preserve">Absolute neutrophil </w:t>
      </w:r>
      <w:proofErr w:type="gramStart"/>
      <w:r>
        <w:t>count</w:t>
      </w:r>
      <w:proofErr w:type="gramEnd"/>
      <w:r>
        <w:t xml:space="preserve"> less than 500 cells/μL at the time of enrollment.</w:t>
      </w:r>
    </w:p>
    <w:p w14:paraId="21739B05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 xml:space="preserve">Pregnancy, breastfeeding, or intention to become pregnant during </w:t>
      </w:r>
      <w:proofErr w:type="gramStart"/>
      <w:r>
        <w:t>the study</w:t>
      </w:r>
      <w:proofErr w:type="gramEnd"/>
      <w:r>
        <w:t>.</w:t>
      </w:r>
    </w:p>
    <w:p w14:paraId="6B0ED360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>Active treatment with bile acid sequestrants.</w:t>
      </w:r>
    </w:p>
    <w:p w14:paraId="32CFEB6F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>Human immunodeficiency virus infection, except in patients with CD4 T-lymphocyte counts greater than 200 cells/μL and viral load less than 20 copies/mL.</w:t>
      </w:r>
    </w:p>
    <w:p w14:paraId="6D87C7FB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>Swallowing dysfunction or impaired oral motor coordination.</w:t>
      </w:r>
    </w:p>
    <w:p w14:paraId="0D0FCD0A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>Current admission to an intensive care unit or expected admission to an intensive care unit because of serious illness.</w:t>
      </w:r>
    </w:p>
    <w:p w14:paraId="3239BEFE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lastRenderedPageBreak/>
        <w:t>Documented active inflammatory bowel disease.</w:t>
      </w:r>
    </w:p>
    <w:p w14:paraId="6C60DF40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>History of significant medical conditions that would not allow adequate evaluation or follow-up.</w:t>
      </w:r>
    </w:p>
    <w:p w14:paraId="5B61974E" w14:textId="77777777" w:rsidR="001825E1" w:rsidRDefault="00AE3C8C" w:rsidP="00CF185C">
      <w:pPr>
        <w:pStyle w:val="Prrafodelista"/>
        <w:numPr>
          <w:ilvl w:val="0"/>
          <w:numId w:val="11"/>
        </w:numPr>
      </w:pPr>
      <w:r>
        <w:t>PCR-positive stool without active diarrhea at the time of randomization.</w:t>
      </w:r>
    </w:p>
    <w:p w14:paraId="49F66B52" w14:textId="77777777" w:rsidR="001825E1" w:rsidRDefault="001825E1"/>
    <w:p w14:paraId="0D7FF66B" w14:textId="77777777" w:rsidR="001825E1" w:rsidRDefault="00AE3C8C">
      <w:r>
        <w:rPr>
          <w:b/>
        </w:rPr>
        <w:t>eMethods 2. Prohibited medications and major protocol deviations</w:t>
      </w:r>
    </w:p>
    <w:p w14:paraId="011D213F" w14:textId="77777777" w:rsidR="001825E1" w:rsidRDefault="00AE3C8C">
      <w:r>
        <w:t>The study protocol prespecified restrictions on the use of concomitant systemic antibiotics during the 8-week follow-up period after randomization. Systemic antibacterial agents with activity against the intestinal anaerobic microbiota were considered prohibited medications, unless their use was required for life-threatening infections or for clearly unrelated clinical conditions, as determined by the treating investigator.</w:t>
      </w:r>
    </w:p>
    <w:p w14:paraId="55910E1B" w14:textId="77777777" w:rsidR="001825E1" w:rsidRDefault="00AE3C8C">
      <w:r>
        <w:t>Use of prohibited antibiotics during follow-up was classified as a major protocol deviation and led to exclusion from the modified intention-to-treat population. Other prespecified major protocol deviations included absence of any postbaseline assessment of recurrence status, premature discontinuation of the assigned treatment, death before outcome assessment, and investigator-determined discontinuation due to intercurrent clinical decisions.</w:t>
      </w:r>
    </w:p>
    <w:p w14:paraId="38D6FFB2" w14:textId="77777777" w:rsidR="001825E1" w:rsidRDefault="00AE3C8C">
      <w:r>
        <w:t>Definitions of prohibited medications and major protocol deviations were specified in the statistical analysis plan before database lock.</w:t>
      </w:r>
    </w:p>
    <w:p w14:paraId="2B1C2575" w14:textId="77777777" w:rsidR="001825E1" w:rsidRDefault="001825E1"/>
    <w:p w14:paraId="71D5D284" w14:textId="77777777" w:rsidR="001825E1" w:rsidRDefault="00AE3C8C">
      <w:r>
        <w:rPr>
          <w:b/>
        </w:rPr>
        <w:t>eResults 1. Quality of life (SF-36)</w:t>
      </w:r>
    </w:p>
    <w:p w14:paraId="32FA0A10" w14:textId="77777777" w:rsidR="001825E1" w:rsidRDefault="00AE3C8C">
      <w:r>
        <w:t>Quality of life was assessed using the SF-36 questionnaire at baseline and at week 8. Both treatment groups showed improvements in selected domains over follow-up, particularly in bodily pain and physical role functioning. No clinically meaningful differences between treatment groups were observed in any SF-36 domain at week 8.</w:t>
      </w:r>
    </w:p>
    <w:p w14:paraId="3D60E83F" w14:textId="77777777" w:rsidR="001825E1" w:rsidRDefault="001825E1"/>
    <w:p w14:paraId="49BA89F5" w14:textId="77777777" w:rsidR="001825E1" w:rsidRDefault="00AE3C8C">
      <w:r>
        <w:rPr>
          <w:b/>
        </w:rPr>
        <w:t>eTable 1. Stool donor inclusion criteria for MBK-01 manufacture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1825E1" w14:paraId="2C3CADB5" w14:textId="77777777">
        <w:trPr>
          <w:jc w:val="center"/>
        </w:trPr>
        <w:tc>
          <w:tcPr>
            <w:tcW w:w="9360" w:type="dxa"/>
          </w:tcPr>
          <w:p w14:paraId="144B6A60" w14:textId="77777777" w:rsidR="001825E1" w:rsidRDefault="00AE3C8C">
            <w:r>
              <w:rPr>
                <w:b/>
              </w:rPr>
              <w:t>Inclusion criteria</w:t>
            </w:r>
          </w:p>
        </w:tc>
      </w:tr>
      <w:tr w:rsidR="001825E1" w14:paraId="7F6C8060" w14:textId="77777777">
        <w:trPr>
          <w:jc w:val="center"/>
        </w:trPr>
        <w:tc>
          <w:tcPr>
            <w:tcW w:w="9360" w:type="dxa"/>
          </w:tcPr>
          <w:p w14:paraId="2EE0C183" w14:textId="77777777" w:rsidR="001825E1" w:rsidRDefault="00AE3C8C">
            <w:r>
              <w:t>Age 18-50 years</w:t>
            </w:r>
          </w:p>
        </w:tc>
      </w:tr>
      <w:tr w:rsidR="001825E1" w14:paraId="2868AA6A" w14:textId="77777777">
        <w:trPr>
          <w:jc w:val="center"/>
        </w:trPr>
        <w:tc>
          <w:tcPr>
            <w:tcW w:w="9360" w:type="dxa"/>
          </w:tcPr>
          <w:p w14:paraId="0085CF27" w14:textId="77777777" w:rsidR="001825E1" w:rsidRDefault="00AE3C8C">
            <w:r>
              <w:t>Body mass index 18-30 kg/m²</w:t>
            </w:r>
          </w:p>
        </w:tc>
      </w:tr>
      <w:tr w:rsidR="001825E1" w14:paraId="0CA96A73" w14:textId="77777777">
        <w:trPr>
          <w:jc w:val="center"/>
        </w:trPr>
        <w:tc>
          <w:tcPr>
            <w:tcW w:w="9360" w:type="dxa"/>
          </w:tcPr>
          <w:p w14:paraId="525E7488" w14:textId="77777777" w:rsidR="001825E1" w:rsidRDefault="00AE3C8C">
            <w:r>
              <w:t>Ability to donate 2 to 5 times per week</w:t>
            </w:r>
          </w:p>
        </w:tc>
      </w:tr>
      <w:tr w:rsidR="001825E1" w14:paraId="03431EEF" w14:textId="77777777">
        <w:trPr>
          <w:jc w:val="center"/>
        </w:trPr>
        <w:tc>
          <w:tcPr>
            <w:tcW w:w="9360" w:type="dxa"/>
          </w:tcPr>
          <w:p w14:paraId="5A658243" w14:textId="77777777" w:rsidR="001825E1" w:rsidRDefault="00AE3C8C">
            <w:r>
              <w:t>Good overall health</w:t>
            </w:r>
          </w:p>
        </w:tc>
      </w:tr>
    </w:tbl>
    <w:p w14:paraId="41065B17" w14:textId="77777777" w:rsidR="001825E1" w:rsidRDefault="001825E1"/>
    <w:p w14:paraId="2BE157E7" w14:textId="77777777" w:rsidR="001825E1" w:rsidRDefault="00AE3C8C">
      <w:r>
        <w:rPr>
          <w:b/>
        </w:rPr>
        <w:t>eTable 2. Stool donor exclusion criteria for MBK-01 manufacture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1825E1" w14:paraId="3DBF563D" w14:textId="77777777">
        <w:tc>
          <w:tcPr>
            <w:tcW w:w="9360" w:type="dxa"/>
          </w:tcPr>
          <w:p w14:paraId="7EF5FB87" w14:textId="77777777" w:rsidR="001825E1" w:rsidRDefault="00AE3C8C">
            <w:r>
              <w:rPr>
                <w:b/>
              </w:rPr>
              <w:t>Exclusion criteria</w:t>
            </w:r>
          </w:p>
        </w:tc>
      </w:tr>
      <w:tr w:rsidR="001825E1" w14:paraId="1F200A89" w14:textId="77777777">
        <w:tc>
          <w:tcPr>
            <w:tcW w:w="9360" w:type="dxa"/>
          </w:tcPr>
          <w:p w14:paraId="705C4716" w14:textId="77777777" w:rsidR="001825E1" w:rsidRDefault="00AE3C8C">
            <w:r>
              <w:rPr>
                <w:b/>
              </w:rPr>
              <w:t>Infectious risk factors</w:t>
            </w:r>
          </w:p>
        </w:tc>
      </w:tr>
      <w:tr w:rsidR="001825E1" w14:paraId="72FE8559" w14:textId="77777777">
        <w:tc>
          <w:tcPr>
            <w:tcW w:w="9360" w:type="dxa"/>
          </w:tcPr>
          <w:p w14:paraId="2B40E0D8" w14:textId="77777777" w:rsidR="001825E1" w:rsidRDefault="00AE3C8C">
            <w:r>
              <w:t xml:space="preserve">History of infection or exposure to HIV, hepatitis B, hepatitis C, syphilis, primate T-lymphotropic viruses, </w:t>
            </w:r>
            <w:r>
              <w:lastRenderedPageBreak/>
              <w:t>malaria, or tuberculosis</w:t>
            </w:r>
          </w:p>
        </w:tc>
      </w:tr>
      <w:tr w:rsidR="001825E1" w14:paraId="4886CFA3" w14:textId="77777777">
        <w:tc>
          <w:tcPr>
            <w:tcW w:w="9360" w:type="dxa"/>
          </w:tcPr>
          <w:p w14:paraId="294EA118" w14:textId="77777777" w:rsidR="001825E1" w:rsidRDefault="00AE3C8C">
            <w:r>
              <w:lastRenderedPageBreak/>
              <w:t>At-risk sexual contacts or behaviors, or partner change, within the past 3 months</w:t>
            </w:r>
          </w:p>
        </w:tc>
      </w:tr>
      <w:tr w:rsidR="001825E1" w14:paraId="6C2801BA" w14:textId="77777777">
        <w:tc>
          <w:tcPr>
            <w:tcW w:w="9360" w:type="dxa"/>
          </w:tcPr>
          <w:p w14:paraId="76D889B6" w14:textId="77777777" w:rsidR="001825E1" w:rsidRDefault="00AE3C8C">
            <w:r>
              <w:t>Sexual contact within the past 12 months with someone who has used needles for nonprescribed drugs, steroids, or other substances</w:t>
            </w:r>
          </w:p>
        </w:tc>
      </w:tr>
      <w:tr w:rsidR="001825E1" w14:paraId="3A9CE833" w14:textId="77777777">
        <w:tc>
          <w:tcPr>
            <w:tcW w:w="9360" w:type="dxa"/>
          </w:tcPr>
          <w:p w14:paraId="55D72B17" w14:textId="77777777" w:rsidR="001825E1" w:rsidRDefault="00AE3C8C">
            <w:r>
              <w:t>Sexual contact within the past 12 months with someone with HIV, hepatitis B, hepatitis C, hemophilia, or receipt of clotting factor concentrates, or close contact with someone with hepatitis</w:t>
            </w:r>
          </w:p>
        </w:tc>
      </w:tr>
      <w:tr w:rsidR="001825E1" w14:paraId="6DFA9581" w14:textId="77777777">
        <w:tc>
          <w:tcPr>
            <w:tcW w:w="9360" w:type="dxa"/>
          </w:tcPr>
          <w:p w14:paraId="3084B403" w14:textId="77777777" w:rsidR="001825E1" w:rsidRDefault="00AE3C8C">
            <w:r>
              <w:t>Infection or treatment for any sexually transmitted disease within the past 12 months</w:t>
            </w:r>
          </w:p>
        </w:tc>
      </w:tr>
      <w:tr w:rsidR="001825E1" w14:paraId="432FC9C2" w14:textId="77777777">
        <w:tc>
          <w:tcPr>
            <w:tcW w:w="9360" w:type="dxa"/>
          </w:tcPr>
          <w:p w14:paraId="41465B77" w14:textId="77777777" w:rsidR="001825E1" w:rsidRDefault="00AE3C8C">
            <w:r>
              <w:t>Illicit drug use within the past 3 months</w:t>
            </w:r>
          </w:p>
        </w:tc>
      </w:tr>
      <w:tr w:rsidR="001825E1" w14:paraId="31FA99F4" w14:textId="77777777">
        <w:tc>
          <w:tcPr>
            <w:tcW w:w="9360" w:type="dxa"/>
          </w:tcPr>
          <w:p w14:paraId="1B5BF60A" w14:textId="77777777" w:rsidR="001825E1" w:rsidRDefault="00AE3C8C">
            <w:r>
              <w:t>Previous organ or tissue transplantation</w:t>
            </w:r>
          </w:p>
        </w:tc>
      </w:tr>
      <w:tr w:rsidR="001825E1" w14:paraId="350AF6F5" w14:textId="77777777">
        <w:tc>
          <w:tcPr>
            <w:tcW w:w="9360" w:type="dxa"/>
          </w:tcPr>
          <w:p w14:paraId="75F0E195" w14:textId="77777777" w:rsidR="001825E1" w:rsidRDefault="00AE3C8C">
            <w:r>
              <w:t>Contact within the past 6 months with another person's blood, or puncture/cut with material potentially contaminated with another person's blood or bodily fluids</w:t>
            </w:r>
          </w:p>
        </w:tc>
      </w:tr>
      <w:tr w:rsidR="001825E1" w14:paraId="1DED2FF9" w14:textId="77777777">
        <w:tc>
          <w:tcPr>
            <w:tcW w:w="9360" w:type="dxa"/>
          </w:tcPr>
          <w:p w14:paraId="00B0E927" w14:textId="77777777" w:rsidR="001825E1" w:rsidRDefault="00AE3C8C">
            <w:r>
              <w:t>Tattoos, piercings, acupuncture, or accidental needle stick within the past 12 months</w:t>
            </w:r>
          </w:p>
        </w:tc>
      </w:tr>
      <w:tr w:rsidR="001825E1" w14:paraId="159AE1EA" w14:textId="77777777">
        <w:tc>
          <w:tcPr>
            <w:tcW w:w="9360" w:type="dxa"/>
          </w:tcPr>
          <w:p w14:paraId="2F561CC8" w14:textId="77777777" w:rsidR="001825E1" w:rsidRDefault="00AE3C8C">
            <w:r>
              <w:t>Risk factors for Creutzfeldt-Jakob disease</w:t>
            </w:r>
          </w:p>
        </w:tc>
      </w:tr>
      <w:tr w:rsidR="001825E1" w14:paraId="403C544D" w14:textId="77777777">
        <w:tc>
          <w:tcPr>
            <w:tcW w:w="9360" w:type="dxa"/>
          </w:tcPr>
          <w:p w14:paraId="71D98125" w14:textId="77777777" w:rsidR="001825E1" w:rsidRDefault="00AE3C8C">
            <w:r>
              <w:t>Recent gastrointestinal infection (eg, rotavirus or Giardia lamblia)</w:t>
            </w:r>
          </w:p>
        </w:tc>
      </w:tr>
      <w:tr w:rsidR="001825E1" w14:paraId="36F3AA0C" w14:textId="77777777">
        <w:tc>
          <w:tcPr>
            <w:tcW w:w="9360" w:type="dxa"/>
          </w:tcPr>
          <w:p w14:paraId="657AE6C3" w14:textId="77777777" w:rsidR="001825E1" w:rsidRDefault="00AE3C8C">
            <w:r>
              <w:t>Travel within the past 12 months to tropical countries with endemic diarrheal illnesses or high risk of traveler's diarrhea</w:t>
            </w:r>
          </w:p>
        </w:tc>
      </w:tr>
      <w:tr w:rsidR="001825E1" w14:paraId="78F1DFD2" w14:textId="77777777">
        <w:tc>
          <w:tcPr>
            <w:tcW w:w="9360" w:type="dxa"/>
          </w:tcPr>
          <w:p w14:paraId="3CCF54B8" w14:textId="77777777" w:rsidR="001825E1" w:rsidRDefault="00AE3C8C">
            <w:r>
              <w:t>Vaccination with a live attenuated vaccine or other injectable vaccine within the past 12 months</w:t>
            </w:r>
          </w:p>
        </w:tc>
      </w:tr>
      <w:tr w:rsidR="001825E1" w14:paraId="7C29A7F3" w14:textId="77777777">
        <w:tc>
          <w:tcPr>
            <w:tcW w:w="9360" w:type="dxa"/>
          </w:tcPr>
          <w:p w14:paraId="72247857" w14:textId="77777777" w:rsidR="001825E1" w:rsidRDefault="00AE3C8C">
            <w:r>
              <w:t>Work in hospitals or healthcare institutions (risk of multidrug-resistant organism transmission) or work with animals (risk of zoonotic transmission)</w:t>
            </w:r>
          </w:p>
        </w:tc>
      </w:tr>
      <w:tr w:rsidR="001825E1" w14:paraId="25FC3662" w14:textId="77777777">
        <w:tc>
          <w:tcPr>
            <w:tcW w:w="9360" w:type="dxa"/>
          </w:tcPr>
          <w:p w14:paraId="651D0957" w14:textId="77777777" w:rsidR="001825E1" w:rsidRDefault="00AE3C8C">
            <w:r>
              <w:t>Imprisonment, residence in a correctional facility, or arrest for more than 72 hours within the past 12 months</w:t>
            </w:r>
          </w:p>
        </w:tc>
      </w:tr>
      <w:tr w:rsidR="001825E1" w14:paraId="58E3680B" w14:textId="77777777">
        <w:tc>
          <w:tcPr>
            <w:tcW w:w="9360" w:type="dxa"/>
          </w:tcPr>
          <w:p w14:paraId="57BF1708" w14:textId="77777777" w:rsidR="001825E1" w:rsidRDefault="00AE3C8C">
            <w:r>
              <w:t>History of malaria, Chagas disease, babesiosis, or trypanosomiasis</w:t>
            </w:r>
          </w:p>
        </w:tc>
      </w:tr>
      <w:tr w:rsidR="001825E1" w14:paraId="5F93AC66" w14:textId="77777777">
        <w:tc>
          <w:tcPr>
            <w:tcW w:w="9360" w:type="dxa"/>
          </w:tcPr>
          <w:p w14:paraId="271B5B8B" w14:textId="77777777" w:rsidR="001825E1" w:rsidRDefault="00AE3C8C">
            <w:r>
              <w:t>Personal history of COVID-19 or close household exposure to COVID-19</w:t>
            </w:r>
          </w:p>
        </w:tc>
      </w:tr>
      <w:tr w:rsidR="001825E1" w14:paraId="0A9D381C" w14:textId="77777777">
        <w:tc>
          <w:tcPr>
            <w:tcW w:w="9360" w:type="dxa"/>
          </w:tcPr>
          <w:p w14:paraId="3F49BB24" w14:textId="77777777" w:rsidR="001825E1" w:rsidRDefault="00AE3C8C">
            <w:r>
              <w:t>Exposure to or infection with mpox virus</w:t>
            </w:r>
          </w:p>
        </w:tc>
      </w:tr>
      <w:tr w:rsidR="001825E1" w14:paraId="24E15A85" w14:textId="77777777">
        <w:tc>
          <w:tcPr>
            <w:tcW w:w="9360" w:type="dxa"/>
          </w:tcPr>
          <w:p w14:paraId="4C7E5074" w14:textId="77777777" w:rsidR="001825E1" w:rsidRDefault="00AE3C8C">
            <w:r>
              <w:t>Fever, frequent cough, or shortness of breath within the past 2 weeks</w:t>
            </w:r>
          </w:p>
        </w:tc>
      </w:tr>
      <w:tr w:rsidR="001825E1" w14:paraId="4872C2BD" w14:textId="77777777">
        <w:tc>
          <w:tcPr>
            <w:tcW w:w="9360" w:type="dxa"/>
          </w:tcPr>
          <w:p w14:paraId="745A54C3" w14:textId="77777777" w:rsidR="001825E1" w:rsidRDefault="00AE3C8C">
            <w:r>
              <w:rPr>
                <w:b/>
              </w:rPr>
              <w:t>Gastrointestinal comorbidities</w:t>
            </w:r>
          </w:p>
        </w:tc>
      </w:tr>
      <w:tr w:rsidR="001825E1" w14:paraId="6C9B6912" w14:textId="77777777">
        <w:tc>
          <w:tcPr>
            <w:tcW w:w="9360" w:type="dxa"/>
          </w:tcPr>
          <w:p w14:paraId="75A596E9" w14:textId="77777777" w:rsidR="001825E1" w:rsidRDefault="00AE3C8C">
            <w:r>
              <w:t>Inflammatory bowel disease</w:t>
            </w:r>
          </w:p>
        </w:tc>
      </w:tr>
      <w:tr w:rsidR="001825E1" w14:paraId="1A0211BE" w14:textId="77777777">
        <w:tc>
          <w:tcPr>
            <w:tcW w:w="9360" w:type="dxa"/>
          </w:tcPr>
          <w:p w14:paraId="211ABE45" w14:textId="77777777" w:rsidR="001825E1" w:rsidRDefault="00AE3C8C">
            <w:r>
              <w:t>Irritable bowel syndrome, chronic functional constipation, or chronic functional diarrhea (per Rome IV)</w:t>
            </w:r>
          </w:p>
        </w:tc>
      </w:tr>
      <w:tr w:rsidR="001825E1" w14:paraId="3AC5C743" w14:textId="77777777">
        <w:tc>
          <w:tcPr>
            <w:tcW w:w="9360" w:type="dxa"/>
          </w:tcPr>
          <w:p w14:paraId="5C6F7419" w14:textId="77777777" w:rsidR="001825E1" w:rsidRDefault="00AE3C8C">
            <w:r>
              <w:t>Celiac disease or other chronic digestive disorders</w:t>
            </w:r>
          </w:p>
        </w:tc>
      </w:tr>
      <w:tr w:rsidR="001825E1" w14:paraId="79993314" w14:textId="77777777">
        <w:tc>
          <w:tcPr>
            <w:tcW w:w="9360" w:type="dxa"/>
          </w:tcPr>
          <w:p w14:paraId="507A298F" w14:textId="77777777" w:rsidR="001825E1" w:rsidRDefault="00AE3C8C">
            <w:r>
              <w:t>History of gastrointestinal cancer, polyposis, or high risk for gastrointestinal cancer</w:t>
            </w:r>
          </w:p>
        </w:tc>
      </w:tr>
      <w:tr w:rsidR="001825E1" w14:paraId="70FA9870" w14:textId="77777777">
        <w:tc>
          <w:tcPr>
            <w:tcW w:w="9360" w:type="dxa"/>
          </w:tcPr>
          <w:p w14:paraId="05498832" w14:textId="77777777" w:rsidR="001825E1" w:rsidRDefault="00AE3C8C">
            <w:r>
              <w:t>Family history of Crohn disease or ulcerative colitis (parents, siblings, or children)</w:t>
            </w:r>
          </w:p>
        </w:tc>
      </w:tr>
      <w:tr w:rsidR="001825E1" w14:paraId="7EFAA489" w14:textId="77777777">
        <w:tc>
          <w:tcPr>
            <w:tcW w:w="9360" w:type="dxa"/>
          </w:tcPr>
          <w:p w14:paraId="58B6FC51" w14:textId="77777777" w:rsidR="001825E1" w:rsidRDefault="00AE3C8C">
            <w:r>
              <w:lastRenderedPageBreak/>
              <w:t>Family history of colon cancer (parents, siblings, or children)</w:t>
            </w:r>
          </w:p>
        </w:tc>
      </w:tr>
      <w:tr w:rsidR="001825E1" w14:paraId="09BC179F" w14:textId="77777777">
        <w:tc>
          <w:tcPr>
            <w:tcW w:w="9360" w:type="dxa"/>
          </w:tcPr>
          <w:p w14:paraId="7087184C" w14:textId="77777777" w:rsidR="001825E1" w:rsidRDefault="00AE3C8C">
            <w:r>
              <w:t>Diarrhea, blood in stool, abdominal pain, or other clinically significant gastrointestinal symptoms within the past 3 months or on a recurrent basis</w:t>
            </w:r>
          </w:p>
        </w:tc>
      </w:tr>
      <w:tr w:rsidR="001825E1" w14:paraId="0BDAA92F" w14:textId="77777777">
        <w:tc>
          <w:tcPr>
            <w:tcW w:w="9360" w:type="dxa"/>
          </w:tcPr>
          <w:p w14:paraId="0FE2D38E" w14:textId="77777777" w:rsidR="001825E1" w:rsidRDefault="00AE3C8C">
            <w:r>
              <w:rPr>
                <w:b/>
              </w:rPr>
              <w:t>Medications that may alter gut microbiota</w:t>
            </w:r>
          </w:p>
        </w:tc>
      </w:tr>
      <w:tr w:rsidR="001825E1" w14:paraId="3434E70D" w14:textId="77777777">
        <w:tc>
          <w:tcPr>
            <w:tcW w:w="9360" w:type="dxa"/>
          </w:tcPr>
          <w:p w14:paraId="5E992532" w14:textId="77777777" w:rsidR="001825E1" w:rsidRDefault="00AE3C8C">
            <w:r>
              <w:t>Use of antibiotics, antifungals, or antivirals within the past 3 months</w:t>
            </w:r>
          </w:p>
        </w:tc>
      </w:tr>
      <w:tr w:rsidR="001825E1" w14:paraId="04B6F9D2" w14:textId="77777777">
        <w:tc>
          <w:tcPr>
            <w:tcW w:w="9360" w:type="dxa"/>
          </w:tcPr>
          <w:p w14:paraId="6C90A92C" w14:textId="77777777" w:rsidR="001825E1" w:rsidRDefault="00AE3C8C">
            <w:r>
              <w:t>Use of proton pump inhibitors within the past 3 months</w:t>
            </w:r>
          </w:p>
        </w:tc>
      </w:tr>
      <w:tr w:rsidR="001825E1" w14:paraId="16E2EA3A" w14:textId="77777777">
        <w:tc>
          <w:tcPr>
            <w:tcW w:w="9360" w:type="dxa"/>
          </w:tcPr>
          <w:p w14:paraId="7A9A9213" w14:textId="77777777" w:rsidR="001825E1" w:rsidRDefault="00AE3C8C">
            <w:r>
              <w:t>Use of systemic anticancer agents within the past 3 months</w:t>
            </w:r>
          </w:p>
        </w:tc>
      </w:tr>
      <w:tr w:rsidR="001825E1" w14:paraId="33EFD76E" w14:textId="77777777">
        <w:tc>
          <w:tcPr>
            <w:tcW w:w="9360" w:type="dxa"/>
          </w:tcPr>
          <w:p w14:paraId="1A406859" w14:textId="77777777" w:rsidR="001825E1" w:rsidRDefault="00AE3C8C">
            <w:r>
              <w:t>Use of medications for gastric reflux or heartburn within the past 3 months</w:t>
            </w:r>
          </w:p>
        </w:tc>
      </w:tr>
      <w:tr w:rsidR="001825E1" w14:paraId="0E182134" w14:textId="77777777">
        <w:tc>
          <w:tcPr>
            <w:tcW w:w="9360" w:type="dxa"/>
          </w:tcPr>
          <w:p w14:paraId="13285A2D" w14:textId="77777777" w:rsidR="001825E1" w:rsidRDefault="00AE3C8C">
            <w:r>
              <w:t>Use of immunosuppressive medication or chemotherapy within the past 3 months</w:t>
            </w:r>
          </w:p>
        </w:tc>
      </w:tr>
      <w:tr w:rsidR="001825E1" w14:paraId="7F07FA5D" w14:textId="77777777">
        <w:tc>
          <w:tcPr>
            <w:tcW w:w="9360" w:type="dxa"/>
          </w:tcPr>
          <w:p w14:paraId="4EBE8BDA" w14:textId="77777777" w:rsidR="001825E1" w:rsidRDefault="00AE3C8C">
            <w:r>
              <w:rPr>
                <w:b/>
              </w:rPr>
              <w:t>Other reasons</w:t>
            </w:r>
          </w:p>
        </w:tc>
      </w:tr>
      <w:tr w:rsidR="001825E1" w14:paraId="1C56011F" w14:textId="77777777">
        <w:tc>
          <w:tcPr>
            <w:tcW w:w="9360" w:type="dxa"/>
          </w:tcPr>
          <w:p w14:paraId="701CCF9F" w14:textId="77777777" w:rsidR="001825E1" w:rsidRDefault="00AE3C8C">
            <w:r>
              <w:t>Legal inability to provide consent</w:t>
            </w:r>
          </w:p>
        </w:tc>
      </w:tr>
      <w:tr w:rsidR="001825E1" w14:paraId="045BFC36" w14:textId="77777777">
        <w:tc>
          <w:tcPr>
            <w:tcW w:w="9360" w:type="dxa"/>
          </w:tcPr>
          <w:p w14:paraId="2A75CD91" w14:textId="77777777" w:rsidR="001825E1" w:rsidRDefault="00AE3C8C">
            <w:r>
              <w:t>Active cancer or history of cancer within the past 10 years</w:t>
            </w:r>
          </w:p>
        </w:tc>
      </w:tr>
      <w:tr w:rsidR="001825E1" w14:paraId="600810C5" w14:textId="77777777">
        <w:tc>
          <w:tcPr>
            <w:tcW w:w="9360" w:type="dxa"/>
          </w:tcPr>
          <w:p w14:paraId="57E75080" w14:textId="77777777" w:rsidR="001825E1" w:rsidRDefault="00AE3C8C">
            <w:r>
              <w:t>Alcohol consumption greater than 28 standard drink units per week</w:t>
            </w:r>
          </w:p>
        </w:tc>
      </w:tr>
      <w:tr w:rsidR="001825E1" w14:paraId="10491D3B" w14:textId="77777777">
        <w:tc>
          <w:tcPr>
            <w:tcW w:w="9360" w:type="dxa"/>
          </w:tcPr>
          <w:p w14:paraId="30784057" w14:textId="77777777" w:rsidR="001825E1" w:rsidRDefault="00AE3C8C">
            <w:r>
              <w:t>Any surgery within the past 3 months</w:t>
            </w:r>
          </w:p>
        </w:tc>
      </w:tr>
      <w:tr w:rsidR="001825E1" w14:paraId="09A63676" w14:textId="77777777">
        <w:tc>
          <w:tcPr>
            <w:tcW w:w="9360" w:type="dxa"/>
          </w:tcPr>
          <w:p w14:paraId="5FF308D1" w14:textId="77777777" w:rsidR="001825E1" w:rsidRDefault="00AE3C8C">
            <w:r>
              <w:t>Gastroscopy or colonoscopy within the past 3 months</w:t>
            </w:r>
          </w:p>
        </w:tc>
      </w:tr>
      <w:tr w:rsidR="001825E1" w14:paraId="0A674925" w14:textId="77777777">
        <w:tc>
          <w:tcPr>
            <w:tcW w:w="9360" w:type="dxa"/>
          </w:tcPr>
          <w:p w14:paraId="4883FBFF" w14:textId="77777777" w:rsidR="001825E1" w:rsidRDefault="00AE3C8C">
            <w:r>
              <w:t>Prior major digestive system surgery (excluding appendectomy)</w:t>
            </w:r>
          </w:p>
        </w:tc>
      </w:tr>
      <w:tr w:rsidR="001825E1" w14:paraId="0A43D190" w14:textId="77777777">
        <w:tc>
          <w:tcPr>
            <w:tcW w:w="9360" w:type="dxa"/>
          </w:tcPr>
          <w:p w14:paraId="376DCC4F" w14:textId="77777777" w:rsidR="001825E1" w:rsidRDefault="00AE3C8C">
            <w:r>
              <w:t>Any transplant within the past 12 months</w:t>
            </w:r>
          </w:p>
        </w:tc>
      </w:tr>
      <w:tr w:rsidR="001825E1" w14:paraId="1C75BDE7" w14:textId="77777777">
        <w:tc>
          <w:tcPr>
            <w:tcW w:w="9360" w:type="dxa"/>
          </w:tcPr>
          <w:p w14:paraId="66CB3323" w14:textId="77777777" w:rsidR="001825E1" w:rsidRDefault="00AE3C8C">
            <w:r>
              <w:t>Advanced liver disease</w:t>
            </w:r>
          </w:p>
        </w:tc>
      </w:tr>
      <w:tr w:rsidR="001825E1" w14:paraId="4B522F16" w14:textId="77777777">
        <w:tc>
          <w:tcPr>
            <w:tcW w:w="9360" w:type="dxa"/>
          </w:tcPr>
          <w:p w14:paraId="6C0307E1" w14:textId="77777777" w:rsidR="001825E1" w:rsidRDefault="00AE3C8C">
            <w:r>
              <w:t>Chronic kidney disease</w:t>
            </w:r>
          </w:p>
        </w:tc>
      </w:tr>
      <w:tr w:rsidR="001825E1" w14:paraId="34C82BD0" w14:textId="77777777">
        <w:tc>
          <w:tcPr>
            <w:tcW w:w="9360" w:type="dxa"/>
          </w:tcPr>
          <w:p w14:paraId="2AE52BA5" w14:textId="77777777" w:rsidR="001825E1" w:rsidRDefault="00AE3C8C">
            <w:r>
              <w:t>Autoimmune or systemic diseases</w:t>
            </w:r>
          </w:p>
        </w:tc>
      </w:tr>
      <w:tr w:rsidR="001825E1" w14:paraId="50259C13" w14:textId="77777777">
        <w:tc>
          <w:tcPr>
            <w:tcW w:w="9360" w:type="dxa"/>
          </w:tcPr>
          <w:p w14:paraId="7E45A05A" w14:textId="77777777" w:rsidR="001825E1" w:rsidRDefault="00AE3C8C">
            <w:r>
              <w:t>Chronic or autoimmune systemic diseases with gastrointestinal involvement</w:t>
            </w:r>
          </w:p>
        </w:tc>
      </w:tr>
      <w:tr w:rsidR="001825E1" w14:paraId="58C5FEA9" w14:textId="77777777">
        <w:tc>
          <w:tcPr>
            <w:tcW w:w="9360" w:type="dxa"/>
          </w:tcPr>
          <w:p w14:paraId="4DE156A6" w14:textId="77777777" w:rsidR="001825E1" w:rsidRDefault="00AE3C8C">
            <w:r>
              <w:t>Diabetes mellitus</w:t>
            </w:r>
          </w:p>
        </w:tc>
      </w:tr>
      <w:tr w:rsidR="001825E1" w14:paraId="0800AF6B" w14:textId="77777777">
        <w:tc>
          <w:tcPr>
            <w:tcW w:w="9360" w:type="dxa"/>
          </w:tcPr>
          <w:p w14:paraId="3EC789DD" w14:textId="77777777" w:rsidR="001825E1" w:rsidRDefault="00AE3C8C">
            <w:r>
              <w:t>Metabolic syndrome</w:t>
            </w:r>
          </w:p>
        </w:tc>
      </w:tr>
      <w:tr w:rsidR="001825E1" w14:paraId="1093F903" w14:textId="77777777">
        <w:tc>
          <w:tcPr>
            <w:tcW w:w="9360" w:type="dxa"/>
          </w:tcPr>
          <w:p w14:paraId="1D563DF7" w14:textId="77777777" w:rsidR="001825E1" w:rsidRDefault="00AE3C8C">
            <w:r>
              <w:t>Neurological, neurodegenerative, or psychiatric disease</w:t>
            </w:r>
          </w:p>
        </w:tc>
      </w:tr>
      <w:tr w:rsidR="001825E1" w14:paraId="6C0CA14B" w14:textId="77777777">
        <w:tc>
          <w:tcPr>
            <w:tcW w:w="9360" w:type="dxa"/>
          </w:tcPr>
          <w:p w14:paraId="17C4981F" w14:textId="77777777" w:rsidR="001825E1" w:rsidRDefault="00AE3C8C">
            <w:r>
              <w:t>Symptoms of eczema or psoriasis within the past 8 weeks</w:t>
            </w:r>
          </w:p>
        </w:tc>
      </w:tr>
      <w:tr w:rsidR="001825E1" w14:paraId="535A242E" w14:textId="77777777">
        <w:tc>
          <w:tcPr>
            <w:tcW w:w="9360" w:type="dxa"/>
          </w:tcPr>
          <w:p w14:paraId="3B94B7C0" w14:textId="77777777" w:rsidR="001825E1" w:rsidRDefault="00AE3C8C">
            <w:r>
              <w:t>Food, seasonal, animal, medication, latex, dust, or other allergies</w:t>
            </w:r>
          </w:p>
        </w:tc>
      </w:tr>
      <w:tr w:rsidR="001825E1" w14:paraId="3A12DA70" w14:textId="77777777">
        <w:tc>
          <w:tcPr>
            <w:tcW w:w="9360" w:type="dxa"/>
          </w:tcPr>
          <w:p w14:paraId="442AD3F9" w14:textId="77777777" w:rsidR="001825E1" w:rsidRDefault="00AE3C8C">
            <w:r>
              <w:t>Asthma within the past 12 months</w:t>
            </w:r>
          </w:p>
        </w:tc>
      </w:tr>
      <w:tr w:rsidR="001825E1" w14:paraId="04627436" w14:textId="77777777">
        <w:tc>
          <w:tcPr>
            <w:tcW w:w="9360" w:type="dxa"/>
          </w:tcPr>
          <w:p w14:paraId="0052D282" w14:textId="77777777" w:rsidR="001825E1" w:rsidRDefault="00AE3C8C">
            <w:r>
              <w:t xml:space="preserve">Symptoms of, or treatment for, attention deficit, hyperactivity, anxiety, and/or depression within the past 12 </w:t>
            </w:r>
            <w:r>
              <w:lastRenderedPageBreak/>
              <w:t>months</w:t>
            </w:r>
          </w:p>
        </w:tc>
      </w:tr>
      <w:tr w:rsidR="001825E1" w14:paraId="340D7323" w14:textId="77777777">
        <w:tc>
          <w:tcPr>
            <w:tcW w:w="9360" w:type="dxa"/>
          </w:tcPr>
          <w:p w14:paraId="5010EAD3" w14:textId="77777777" w:rsidR="001825E1" w:rsidRDefault="00AE3C8C">
            <w:r>
              <w:lastRenderedPageBreak/>
              <w:t>Pregnancy, delivery, or termination of pregnancy within the past 6 months</w:t>
            </w:r>
          </w:p>
        </w:tc>
      </w:tr>
      <w:tr w:rsidR="001825E1" w14:paraId="363A449C" w14:textId="77777777">
        <w:tc>
          <w:tcPr>
            <w:tcW w:w="9360" w:type="dxa"/>
          </w:tcPr>
          <w:p w14:paraId="0306C82E" w14:textId="77777777" w:rsidR="001825E1" w:rsidRDefault="00AE3C8C">
            <w:r>
              <w:t>Vaccinations not received according to the routine vaccine schedule</w:t>
            </w:r>
          </w:p>
        </w:tc>
      </w:tr>
      <w:tr w:rsidR="001825E1" w14:paraId="28FEE11D" w14:textId="77777777">
        <w:tc>
          <w:tcPr>
            <w:tcW w:w="9360" w:type="dxa"/>
          </w:tcPr>
          <w:p w14:paraId="7466DB7B" w14:textId="77777777" w:rsidR="001825E1" w:rsidRDefault="00AE3C8C">
            <w:r>
              <w:t>Clinically significant vascular disease</w:t>
            </w:r>
          </w:p>
        </w:tc>
      </w:tr>
    </w:tbl>
    <w:p w14:paraId="550EF0DF" w14:textId="77777777" w:rsidR="001825E1" w:rsidRDefault="001825E1"/>
    <w:p w14:paraId="393B84F6" w14:textId="77777777" w:rsidR="001825E1" w:rsidRDefault="00AE3C8C">
      <w:r>
        <w:rPr>
          <w:b/>
        </w:rPr>
        <w:t>eTable 3. Serious adverse events by treatment group (safety population, N = 92)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1825E1" w14:paraId="17456BB6" w14:textId="77777777">
        <w:tc>
          <w:tcPr>
            <w:tcW w:w="2340" w:type="dxa"/>
          </w:tcPr>
          <w:p w14:paraId="3B68A510" w14:textId="77777777" w:rsidR="001825E1" w:rsidRDefault="00AE3C8C">
            <w:r>
              <w:rPr>
                <w:b/>
              </w:rPr>
              <w:t>Serious adverse event (MedDRA preferred term)</w:t>
            </w:r>
          </w:p>
        </w:tc>
        <w:tc>
          <w:tcPr>
            <w:tcW w:w="2340" w:type="dxa"/>
          </w:tcPr>
          <w:p w14:paraId="38912C88" w14:textId="77777777" w:rsidR="001825E1" w:rsidRDefault="00AE3C8C">
            <w:r>
              <w:rPr>
                <w:b/>
              </w:rPr>
              <w:t>MBK-01, No. of events</w:t>
            </w:r>
          </w:p>
        </w:tc>
        <w:tc>
          <w:tcPr>
            <w:tcW w:w="2340" w:type="dxa"/>
          </w:tcPr>
          <w:p w14:paraId="34662F74" w14:textId="77777777" w:rsidR="001825E1" w:rsidRDefault="00AE3C8C">
            <w:r>
              <w:rPr>
                <w:b/>
              </w:rPr>
              <w:t>Fidaxomicin, No. of events</w:t>
            </w:r>
          </w:p>
        </w:tc>
        <w:tc>
          <w:tcPr>
            <w:tcW w:w="2340" w:type="dxa"/>
          </w:tcPr>
          <w:p w14:paraId="4F374B02" w14:textId="77777777" w:rsidR="001825E1" w:rsidRDefault="00AE3C8C">
            <w:r>
              <w:rPr>
                <w:b/>
              </w:rPr>
              <w:t>Relationship</w:t>
            </w:r>
          </w:p>
        </w:tc>
      </w:tr>
      <w:tr w:rsidR="001825E1" w14:paraId="6980E692" w14:textId="77777777">
        <w:tc>
          <w:tcPr>
            <w:tcW w:w="2340" w:type="dxa"/>
          </w:tcPr>
          <w:p w14:paraId="5D41F2BE" w14:textId="77777777" w:rsidR="001825E1" w:rsidRDefault="00AE3C8C">
            <w:r>
              <w:t>Acute respiratory failure/distress</w:t>
            </w:r>
          </w:p>
        </w:tc>
        <w:tc>
          <w:tcPr>
            <w:tcW w:w="2340" w:type="dxa"/>
          </w:tcPr>
          <w:p w14:paraId="460A43C1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12D63010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3DFE8D56" w14:textId="77777777" w:rsidR="001825E1" w:rsidRDefault="00AE3C8C">
            <w:r>
              <w:t>Not related</w:t>
            </w:r>
          </w:p>
        </w:tc>
      </w:tr>
      <w:tr w:rsidR="001825E1" w14:paraId="4B0D18D0" w14:textId="77777777">
        <w:tc>
          <w:tcPr>
            <w:tcW w:w="2340" w:type="dxa"/>
          </w:tcPr>
          <w:p w14:paraId="111A5013" w14:textId="77777777" w:rsidR="001825E1" w:rsidRDefault="00AE3C8C">
            <w:r>
              <w:t>Acute pyelonephritis</w:t>
            </w:r>
          </w:p>
        </w:tc>
        <w:tc>
          <w:tcPr>
            <w:tcW w:w="2340" w:type="dxa"/>
          </w:tcPr>
          <w:p w14:paraId="397EA4FF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4A8C980A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0EB18377" w14:textId="77777777" w:rsidR="001825E1" w:rsidRDefault="00AE3C8C">
            <w:r>
              <w:t>Not related</w:t>
            </w:r>
          </w:p>
        </w:tc>
      </w:tr>
      <w:tr w:rsidR="001825E1" w14:paraId="7911472E" w14:textId="77777777">
        <w:tc>
          <w:tcPr>
            <w:tcW w:w="2340" w:type="dxa"/>
          </w:tcPr>
          <w:p w14:paraId="507DC053" w14:textId="77777777" w:rsidR="001825E1" w:rsidRDefault="00AE3C8C">
            <w:r>
              <w:t>Anal abscess</w:t>
            </w:r>
          </w:p>
        </w:tc>
        <w:tc>
          <w:tcPr>
            <w:tcW w:w="2340" w:type="dxa"/>
          </w:tcPr>
          <w:p w14:paraId="0348050D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7CF66F7A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151F9E86" w14:textId="77777777" w:rsidR="001825E1" w:rsidRDefault="00AE3C8C">
            <w:r>
              <w:t>Not related</w:t>
            </w:r>
          </w:p>
        </w:tc>
      </w:tr>
      <w:tr w:rsidR="001825E1" w14:paraId="0CC45ACA" w14:textId="77777777">
        <w:tc>
          <w:tcPr>
            <w:tcW w:w="2340" w:type="dxa"/>
          </w:tcPr>
          <w:p w14:paraId="26E49B03" w14:textId="77777777" w:rsidR="001825E1" w:rsidRDefault="00AE3C8C">
            <w:r>
              <w:t>Heart failure</w:t>
            </w:r>
          </w:p>
        </w:tc>
        <w:tc>
          <w:tcPr>
            <w:tcW w:w="2340" w:type="dxa"/>
          </w:tcPr>
          <w:p w14:paraId="2B1B79C3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581B061B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1FC6129A" w14:textId="77777777" w:rsidR="001825E1" w:rsidRDefault="00AE3C8C">
            <w:r>
              <w:t>Not related</w:t>
            </w:r>
          </w:p>
        </w:tc>
      </w:tr>
      <w:tr w:rsidR="001825E1" w14:paraId="783D5EEE" w14:textId="77777777">
        <w:tc>
          <w:tcPr>
            <w:tcW w:w="2340" w:type="dxa"/>
          </w:tcPr>
          <w:p w14:paraId="63DBBDBD" w14:textId="77777777" w:rsidR="001825E1" w:rsidRDefault="00AE3C8C">
            <w:r w:rsidRPr="00CF185C">
              <w:rPr>
                <w:i/>
                <w:iCs/>
              </w:rPr>
              <w:t>Clostridioides difficile</w:t>
            </w:r>
            <w:r>
              <w:t xml:space="preserve"> infection (SAE-level event) ‡</w:t>
            </w:r>
          </w:p>
        </w:tc>
        <w:tc>
          <w:tcPr>
            <w:tcW w:w="2340" w:type="dxa"/>
          </w:tcPr>
          <w:p w14:paraId="000AEB02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3DE65C0E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496664FF" w14:textId="77777777" w:rsidR="001825E1" w:rsidRDefault="00AE3C8C">
            <w:r>
              <w:t>Not related</w:t>
            </w:r>
          </w:p>
        </w:tc>
      </w:tr>
      <w:tr w:rsidR="001825E1" w14:paraId="1B583AE0" w14:textId="77777777">
        <w:tc>
          <w:tcPr>
            <w:tcW w:w="2340" w:type="dxa"/>
          </w:tcPr>
          <w:p w14:paraId="656FB78F" w14:textId="77777777" w:rsidR="001825E1" w:rsidRDefault="00AE3C8C">
            <w:r>
              <w:t>Diarrhea (SAE-level event)</w:t>
            </w:r>
          </w:p>
        </w:tc>
        <w:tc>
          <w:tcPr>
            <w:tcW w:w="2340" w:type="dxa"/>
          </w:tcPr>
          <w:p w14:paraId="09E1E6C2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3A5E52FB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4FA22AFE" w14:textId="77777777" w:rsidR="001825E1" w:rsidRDefault="00AE3C8C">
            <w:r>
              <w:t>Not related</w:t>
            </w:r>
          </w:p>
        </w:tc>
      </w:tr>
      <w:tr w:rsidR="001825E1" w14:paraId="7DC9946C" w14:textId="77777777">
        <w:tc>
          <w:tcPr>
            <w:tcW w:w="2340" w:type="dxa"/>
          </w:tcPr>
          <w:p w14:paraId="22D76CBB" w14:textId="77777777" w:rsidR="001825E1" w:rsidRDefault="00AE3C8C">
            <w:r>
              <w:t>Inflammatory bowel disease (new diagnosis) §</w:t>
            </w:r>
          </w:p>
        </w:tc>
        <w:tc>
          <w:tcPr>
            <w:tcW w:w="2340" w:type="dxa"/>
          </w:tcPr>
          <w:p w14:paraId="3D73151B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02FD781E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50F5B911" w14:textId="77777777" w:rsidR="001825E1" w:rsidRDefault="00AE3C8C">
            <w:r>
              <w:t>Not related</w:t>
            </w:r>
          </w:p>
        </w:tc>
      </w:tr>
      <w:tr w:rsidR="001825E1" w14:paraId="5296FE6D" w14:textId="77777777">
        <w:tc>
          <w:tcPr>
            <w:tcW w:w="2340" w:type="dxa"/>
          </w:tcPr>
          <w:p w14:paraId="394FDC82" w14:textId="77777777" w:rsidR="001825E1" w:rsidRDefault="00AE3C8C">
            <w:r>
              <w:t>Intra-abdominal fluid collection</w:t>
            </w:r>
          </w:p>
        </w:tc>
        <w:tc>
          <w:tcPr>
            <w:tcW w:w="2340" w:type="dxa"/>
          </w:tcPr>
          <w:p w14:paraId="47CB4902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5CBCAD23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4D4B08A2" w14:textId="77777777" w:rsidR="001825E1" w:rsidRDefault="00AE3C8C">
            <w:r>
              <w:t>Not related</w:t>
            </w:r>
          </w:p>
        </w:tc>
      </w:tr>
      <w:tr w:rsidR="001825E1" w14:paraId="58252EAF" w14:textId="77777777">
        <w:tc>
          <w:tcPr>
            <w:tcW w:w="2340" w:type="dxa"/>
          </w:tcPr>
          <w:p w14:paraId="05AB71B2" w14:textId="77777777" w:rsidR="001825E1" w:rsidRDefault="00AE3C8C">
            <w:r>
              <w:t>Necrotizing fasciitis</w:t>
            </w:r>
          </w:p>
        </w:tc>
        <w:tc>
          <w:tcPr>
            <w:tcW w:w="2340" w:type="dxa"/>
          </w:tcPr>
          <w:p w14:paraId="1D3561D4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23F6C348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4CAE5CA6" w14:textId="77777777" w:rsidR="001825E1" w:rsidRDefault="00AE3C8C">
            <w:r>
              <w:t>Not related</w:t>
            </w:r>
          </w:p>
        </w:tc>
      </w:tr>
      <w:tr w:rsidR="001825E1" w14:paraId="4F733C98" w14:textId="77777777">
        <w:tc>
          <w:tcPr>
            <w:tcW w:w="2340" w:type="dxa"/>
          </w:tcPr>
          <w:p w14:paraId="257CDC5F" w14:textId="77777777" w:rsidR="001825E1" w:rsidRDefault="00AE3C8C">
            <w:r>
              <w:t>Pneumonia (cause of death) §§</w:t>
            </w:r>
          </w:p>
        </w:tc>
        <w:tc>
          <w:tcPr>
            <w:tcW w:w="2340" w:type="dxa"/>
          </w:tcPr>
          <w:p w14:paraId="421EF876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392E9970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4BC13DF8" w14:textId="77777777" w:rsidR="001825E1" w:rsidRDefault="00AE3C8C">
            <w:r>
              <w:t>Not related</w:t>
            </w:r>
          </w:p>
        </w:tc>
      </w:tr>
      <w:tr w:rsidR="001825E1" w14:paraId="54ED9195" w14:textId="77777777">
        <w:tc>
          <w:tcPr>
            <w:tcW w:w="2340" w:type="dxa"/>
          </w:tcPr>
          <w:p w14:paraId="12E86378" w14:textId="77777777" w:rsidR="001825E1" w:rsidRDefault="00AE3C8C">
            <w:r>
              <w:t>Rectal hemorrhage</w:t>
            </w:r>
          </w:p>
        </w:tc>
        <w:tc>
          <w:tcPr>
            <w:tcW w:w="2340" w:type="dxa"/>
          </w:tcPr>
          <w:p w14:paraId="783CBAAC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4CD24EA5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3B1FFB04" w14:textId="77777777" w:rsidR="001825E1" w:rsidRDefault="00AE3C8C">
            <w:r>
              <w:t>Not related</w:t>
            </w:r>
          </w:p>
        </w:tc>
      </w:tr>
      <w:tr w:rsidR="001825E1" w14:paraId="4972E02C" w14:textId="77777777">
        <w:tc>
          <w:tcPr>
            <w:tcW w:w="2340" w:type="dxa"/>
          </w:tcPr>
          <w:p w14:paraId="38F6E5C2" w14:textId="77777777" w:rsidR="001825E1" w:rsidRDefault="00AE3C8C">
            <w:r>
              <w:t>Renal cancer</w:t>
            </w:r>
          </w:p>
        </w:tc>
        <w:tc>
          <w:tcPr>
            <w:tcW w:w="2340" w:type="dxa"/>
          </w:tcPr>
          <w:p w14:paraId="72D91B24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0DF321DA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43665FB8" w14:textId="77777777" w:rsidR="001825E1" w:rsidRDefault="00AE3C8C">
            <w:r>
              <w:t>Not related</w:t>
            </w:r>
          </w:p>
        </w:tc>
      </w:tr>
      <w:tr w:rsidR="001825E1" w14:paraId="120D2442" w14:textId="77777777">
        <w:tc>
          <w:tcPr>
            <w:tcW w:w="2340" w:type="dxa"/>
          </w:tcPr>
          <w:p w14:paraId="570ED904" w14:textId="77777777" w:rsidR="001825E1" w:rsidRDefault="00AE3C8C">
            <w:r>
              <w:t>Sepsis (cause of death) §§</w:t>
            </w:r>
          </w:p>
        </w:tc>
        <w:tc>
          <w:tcPr>
            <w:tcW w:w="2340" w:type="dxa"/>
          </w:tcPr>
          <w:p w14:paraId="6FA850E8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2734C80C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2EEB4043" w14:textId="77777777" w:rsidR="001825E1" w:rsidRDefault="00AE3C8C">
            <w:r>
              <w:t>Not related</w:t>
            </w:r>
          </w:p>
        </w:tc>
      </w:tr>
      <w:tr w:rsidR="001825E1" w14:paraId="47C27E7F" w14:textId="77777777">
        <w:tc>
          <w:tcPr>
            <w:tcW w:w="2340" w:type="dxa"/>
          </w:tcPr>
          <w:p w14:paraId="1D34AA42" w14:textId="77777777" w:rsidR="001825E1" w:rsidRDefault="00AE3C8C">
            <w:r>
              <w:t>Ulcerative colitis (new diagnosis) §</w:t>
            </w:r>
          </w:p>
        </w:tc>
        <w:tc>
          <w:tcPr>
            <w:tcW w:w="2340" w:type="dxa"/>
          </w:tcPr>
          <w:p w14:paraId="087454E3" w14:textId="77777777" w:rsidR="001825E1" w:rsidRDefault="00AE3C8C">
            <w:r>
              <w:t>1</w:t>
            </w:r>
          </w:p>
        </w:tc>
        <w:tc>
          <w:tcPr>
            <w:tcW w:w="2340" w:type="dxa"/>
          </w:tcPr>
          <w:p w14:paraId="71E930B3" w14:textId="77777777" w:rsidR="001825E1" w:rsidRDefault="00AE3C8C">
            <w:r>
              <w:t>0</w:t>
            </w:r>
          </w:p>
        </w:tc>
        <w:tc>
          <w:tcPr>
            <w:tcW w:w="2340" w:type="dxa"/>
          </w:tcPr>
          <w:p w14:paraId="19FE31A0" w14:textId="77777777" w:rsidR="001825E1" w:rsidRDefault="00AE3C8C">
            <w:r>
              <w:t>Not related</w:t>
            </w:r>
          </w:p>
        </w:tc>
      </w:tr>
      <w:tr w:rsidR="001825E1" w14:paraId="41E224B6" w14:textId="77777777">
        <w:tc>
          <w:tcPr>
            <w:tcW w:w="2340" w:type="dxa"/>
          </w:tcPr>
          <w:p w14:paraId="0B7BB0E5" w14:textId="77777777" w:rsidR="001825E1" w:rsidRDefault="00AE3C8C">
            <w:r>
              <w:t xml:space="preserve">Total serious adverse </w:t>
            </w:r>
            <w:r>
              <w:lastRenderedPageBreak/>
              <w:t>events, No.</w:t>
            </w:r>
          </w:p>
        </w:tc>
        <w:tc>
          <w:tcPr>
            <w:tcW w:w="2340" w:type="dxa"/>
          </w:tcPr>
          <w:p w14:paraId="233E041B" w14:textId="77777777" w:rsidR="001825E1" w:rsidRDefault="00AE3C8C">
            <w:r>
              <w:lastRenderedPageBreak/>
              <w:t>11</w:t>
            </w:r>
          </w:p>
        </w:tc>
        <w:tc>
          <w:tcPr>
            <w:tcW w:w="2340" w:type="dxa"/>
          </w:tcPr>
          <w:p w14:paraId="1D303B27" w14:textId="77777777" w:rsidR="001825E1" w:rsidRDefault="00AE3C8C">
            <w:r>
              <w:t>5</w:t>
            </w:r>
          </w:p>
        </w:tc>
        <w:tc>
          <w:tcPr>
            <w:tcW w:w="2340" w:type="dxa"/>
          </w:tcPr>
          <w:p w14:paraId="5E5A1B9C" w14:textId="77777777" w:rsidR="001825E1" w:rsidRDefault="00AE3C8C">
            <w:r>
              <w:t>Not applicable</w:t>
            </w:r>
          </w:p>
        </w:tc>
      </w:tr>
      <w:tr w:rsidR="001825E1" w14:paraId="3DA8B631" w14:textId="77777777">
        <w:tc>
          <w:tcPr>
            <w:tcW w:w="2340" w:type="dxa"/>
          </w:tcPr>
          <w:p w14:paraId="1BA72952" w14:textId="77777777" w:rsidR="001825E1" w:rsidRDefault="00AE3C8C">
            <w:r>
              <w:t>Patients with ≥1 serious adverse event, No. (%)</w:t>
            </w:r>
          </w:p>
        </w:tc>
        <w:tc>
          <w:tcPr>
            <w:tcW w:w="2340" w:type="dxa"/>
          </w:tcPr>
          <w:p w14:paraId="76E8E209" w14:textId="77777777" w:rsidR="001825E1" w:rsidRDefault="00AE3C8C">
            <w:r>
              <w:t>9 (20)</w:t>
            </w:r>
          </w:p>
        </w:tc>
        <w:tc>
          <w:tcPr>
            <w:tcW w:w="2340" w:type="dxa"/>
          </w:tcPr>
          <w:p w14:paraId="5F347CC3" w14:textId="77777777" w:rsidR="001825E1" w:rsidRDefault="00AE3C8C">
            <w:r>
              <w:t>4 (9)</w:t>
            </w:r>
          </w:p>
        </w:tc>
        <w:tc>
          <w:tcPr>
            <w:tcW w:w="2340" w:type="dxa"/>
          </w:tcPr>
          <w:p w14:paraId="7BA32AAA" w14:textId="77777777" w:rsidR="001825E1" w:rsidRDefault="00AE3C8C">
            <w:r>
              <w:t>Not applicable</w:t>
            </w:r>
          </w:p>
        </w:tc>
      </w:tr>
    </w:tbl>
    <w:p w14:paraId="0C624827" w14:textId="77777777" w:rsidR="001825E1" w:rsidRDefault="00AE3C8C">
      <w:r>
        <w:t xml:space="preserve">Abbreviations: MedDRA, Medical Dictionary for Regulatory Activities; SAE, serious adverse event. ‡ Episodes of </w:t>
      </w:r>
      <w:r w:rsidRPr="00CF185C">
        <w:rPr>
          <w:i/>
          <w:iCs/>
        </w:rPr>
        <w:t>Clostridioides difficile</w:t>
      </w:r>
      <w:r>
        <w:t xml:space="preserve"> infection that met serious adverse event criteria (hospitalization or prolongation of hospitalization) but were not attributed to study treatment. § Patients had compatible symptoms at study entry; the diagnoses were considered independent of assigned treatment. §§ The 2 deaths (sepsis in the MBK-01 group and community-acquired pneumonia in the fidaxomicin group) were not related to </w:t>
      </w:r>
      <w:r w:rsidRPr="00CF185C">
        <w:rPr>
          <w:i/>
          <w:iCs/>
        </w:rPr>
        <w:t>Clostridioides difficile</w:t>
      </w:r>
      <w:r>
        <w:t xml:space="preserve"> infection or to study treatment.</w:t>
      </w:r>
    </w:p>
    <w:p w14:paraId="3176A52F" w14:textId="77777777" w:rsidR="001825E1" w:rsidRDefault="001825E1"/>
    <w:p w14:paraId="2FABCB93" w14:textId="77777777" w:rsidR="001825E1" w:rsidRDefault="00AE3C8C">
      <w:r>
        <w:rPr>
          <w:b/>
        </w:rPr>
        <w:t>eTable 4. Reasons for exclusion from the modified intention-to-treat population by treatment group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825E1" w14:paraId="3E3DDFB0" w14:textId="77777777">
        <w:tc>
          <w:tcPr>
            <w:tcW w:w="3120" w:type="dxa"/>
          </w:tcPr>
          <w:p w14:paraId="6CAD9586" w14:textId="77777777" w:rsidR="001825E1" w:rsidRDefault="00AE3C8C">
            <w:r>
              <w:rPr>
                <w:b/>
              </w:rPr>
              <w:t>Reason for exclusion</w:t>
            </w:r>
          </w:p>
        </w:tc>
        <w:tc>
          <w:tcPr>
            <w:tcW w:w="3120" w:type="dxa"/>
          </w:tcPr>
          <w:p w14:paraId="5A4E2EB0" w14:textId="77777777" w:rsidR="001825E1" w:rsidRDefault="00AE3C8C">
            <w:r>
              <w:rPr>
                <w:b/>
              </w:rPr>
              <w:t>MBK-01 (n = 45)</w:t>
            </w:r>
          </w:p>
        </w:tc>
        <w:tc>
          <w:tcPr>
            <w:tcW w:w="3120" w:type="dxa"/>
          </w:tcPr>
          <w:p w14:paraId="0461FD44" w14:textId="77777777" w:rsidR="001825E1" w:rsidRDefault="00AE3C8C">
            <w:r>
              <w:rPr>
                <w:b/>
              </w:rPr>
              <w:t>Fidaxomicin (n = 47)</w:t>
            </w:r>
          </w:p>
        </w:tc>
      </w:tr>
      <w:tr w:rsidR="001825E1" w14:paraId="40461F65" w14:textId="77777777">
        <w:tc>
          <w:tcPr>
            <w:tcW w:w="3120" w:type="dxa"/>
          </w:tcPr>
          <w:p w14:paraId="66BB2F70" w14:textId="77777777" w:rsidR="001825E1" w:rsidRDefault="00AE3C8C">
            <w:r>
              <w:t>Use of prohibited systemic antibiotics during follow-up</w:t>
            </w:r>
          </w:p>
        </w:tc>
        <w:tc>
          <w:tcPr>
            <w:tcW w:w="3120" w:type="dxa"/>
          </w:tcPr>
          <w:p w14:paraId="3617C6FC" w14:textId="77777777" w:rsidR="001825E1" w:rsidRDefault="00AE3C8C">
            <w:r>
              <w:t>5</w:t>
            </w:r>
          </w:p>
        </w:tc>
        <w:tc>
          <w:tcPr>
            <w:tcW w:w="3120" w:type="dxa"/>
          </w:tcPr>
          <w:p w14:paraId="49398F95" w14:textId="77777777" w:rsidR="001825E1" w:rsidRDefault="00AE3C8C">
            <w:r>
              <w:t>4</w:t>
            </w:r>
          </w:p>
        </w:tc>
      </w:tr>
      <w:tr w:rsidR="001825E1" w14:paraId="20A7567F" w14:textId="77777777">
        <w:tc>
          <w:tcPr>
            <w:tcW w:w="3120" w:type="dxa"/>
          </w:tcPr>
          <w:p w14:paraId="5D2F3E7B" w14:textId="77777777" w:rsidR="001825E1" w:rsidRDefault="00AE3C8C">
            <w:r>
              <w:t>Adverse events leading to early discontinuation without postbaseline outcome assessment</w:t>
            </w:r>
          </w:p>
        </w:tc>
        <w:tc>
          <w:tcPr>
            <w:tcW w:w="3120" w:type="dxa"/>
          </w:tcPr>
          <w:p w14:paraId="787CD7E3" w14:textId="77777777" w:rsidR="001825E1" w:rsidRDefault="00AE3C8C">
            <w:r>
              <w:t>1</w:t>
            </w:r>
          </w:p>
        </w:tc>
        <w:tc>
          <w:tcPr>
            <w:tcW w:w="3120" w:type="dxa"/>
          </w:tcPr>
          <w:p w14:paraId="68730C2F" w14:textId="77777777" w:rsidR="001825E1" w:rsidRDefault="00AE3C8C">
            <w:r>
              <w:t>1</w:t>
            </w:r>
          </w:p>
        </w:tc>
      </w:tr>
      <w:tr w:rsidR="001825E1" w14:paraId="0B30BE03" w14:textId="77777777">
        <w:tc>
          <w:tcPr>
            <w:tcW w:w="3120" w:type="dxa"/>
          </w:tcPr>
          <w:p w14:paraId="4EADFD6F" w14:textId="77777777" w:rsidR="001825E1" w:rsidRDefault="00AE3C8C">
            <w:r>
              <w:t>Death before primary outcome assessment</w:t>
            </w:r>
          </w:p>
        </w:tc>
        <w:tc>
          <w:tcPr>
            <w:tcW w:w="3120" w:type="dxa"/>
          </w:tcPr>
          <w:p w14:paraId="03E0671E" w14:textId="77777777" w:rsidR="001825E1" w:rsidRDefault="00AE3C8C">
            <w:r>
              <w:t>1</w:t>
            </w:r>
          </w:p>
        </w:tc>
        <w:tc>
          <w:tcPr>
            <w:tcW w:w="3120" w:type="dxa"/>
          </w:tcPr>
          <w:p w14:paraId="52E08A91" w14:textId="77777777" w:rsidR="001825E1" w:rsidRDefault="00AE3C8C">
            <w:r>
              <w:t>1</w:t>
            </w:r>
          </w:p>
        </w:tc>
      </w:tr>
      <w:tr w:rsidR="001825E1" w14:paraId="65DC8D5C" w14:textId="77777777">
        <w:tc>
          <w:tcPr>
            <w:tcW w:w="3120" w:type="dxa"/>
          </w:tcPr>
          <w:p w14:paraId="67F62AB1" w14:textId="77777777" w:rsidR="001825E1" w:rsidRDefault="00AE3C8C">
            <w:r>
              <w:t>No postbaseline assessment of recurrence status (lost to follow-up / early withdrawal)</w:t>
            </w:r>
          </w:p>
        </w:tc>
        <w:tc>
          <w:tcPr>
            <w:tcW w:w="3120" w:type="dxa"/>
          </w:tcPr>
          <w:p w14:paraId="69D0AB94" w14:textId="77777777" w:rsidR="001825E1" w:rsidRDefault="00AE3C8C">
            <w:r>
              <w:t>1</w:t>
            </w:r>
          </w:p>
        </w:tc>
        <w:tc>
          <w:tcPr>
            <w:tcW w:w="3120" w:type="dxa"/>
          </w:tcPr>
          <w:p w14:paraId="05534075" w14:textId="77777777" w:rsidR="001825E1" w:rsidRDefault="00AE3C8C">
            <w:r>
              <w:t>1</w:t>
            </w:r>
          </w:p>
        </w:tc>
      </w:tr>
      <w:tr w:rsidR="001825E1" w14:paraId="05DAB13A" w14:textId="77777777">
        <w:tc>
          <w:tcPr>
            <w:tcW w:w="3120" w:type="dxa"/>
          </w:tcPr>
          <w:p w14:paraId="5927FFDA" w14:textId="77777777" w:rsidR="001825E1" w:rsidRDefault="00AE3C8C">
            <w:r>
              <w:t>Administrative or logistical reasons</w:t>
            </w:r>
          </w:p>
        </w:tc>
        <w:tc>
          <w:tcPr>
            <w:tcW w:w="3120" w:type="dxa"/>
          </w:tcPr>
          <w:p w14:paraId="6E8F2A94" w14:textId="77777777" w:rsidR="001825E1" w:rsidRDefault="00AE3C8C">
            <w:r>
              <w:t>0</w:t>
            </w:r>
          </w:p>
        </w:tc>
        <w:tc>
          <w:tcPr>
            <w:tcW w:w="3120" w:type="dxa"/>
          </w:tcPr>
          <w:p w14:paraId="05616E8C" w14:textId="77777777" w:rsidR="001825E1" w:rsidRDefault="00AE3C8C">
            <w:r>
              <w:t>0</w:t>
            </w:r>
          </w:p>
        </w:tc>
      </w:tr>
      <w:tr w:rsidR="001825E1" w14:paraId="19C3C661" w14:textId="77777777">
        <w:tc>
          <w:tcPr>
            <w:tcW w:w="3120" w:type="dxa"/>
          </w:tcPr>
          <w:p w14:paraId="31CDB2AC" w14:textId="77777777" w:rsidR="001825E1" w:rsidRDefault="00AE3C8C">
            <w:r>
              <w:t>Other major protocol deviations</w:t>
            </w:r>
          </w:p>
        </w:tc>
        <w:tc>
          <w:tcPr>
            <w:tcW w:w="3120" w:type="dxa"/>
          </w:tcPr>
          <w:p w14:paraId="3B4C3798" w14:textId="77777777" w:rsidR="001825E1" w:rsidRDefault="00AE3C8C">
            <w:r>
              <w:t>0</w:t>
            </w:r>
          </w:p>
        </w:tc>
        <w:tc>
          <w:tcPr>
            <w:tcW w:w="3120" w:type="dxa"/>
          </w:tcPr>
          <w:p w14:paraId="75FD8427" w14:textId="77777777" w:rsidR="001825E1" w:rsidRDefault="00AE3C8C">
            <w:r>
              <w:t>0</w:t>
            </w:r>
          </w:p>
        </w:tc>
      </w:tr>
      <w:tr w:rsidR="001825E1" w14:paraId="04D16405" w14:textId="77777777">
        <w:tc>
          <w:tcPr>
            <w:tcW w:w="3120" w:type="dxa"/>
          </w:tcPr>
          <w:p w14:paraId="069E349C" w14:textId="77777777" w:rsidR="001825E1" w:rsidRDefault="00AE3C8C">
            <w:r>
              <w:t>Total excluded from mITT population</w:t>
            </w:r>
          </w:p>
        </w:tc>
        <w:tc>
          <w:tcPr>
            <w:tcW w:w="3120" w:type="dxa"/>
          </w:tcPr>
          <w:p w14:paraId="7E54EF14" w14:textId="77777777" w:rsidR="001825E1" w:rsidRDefault="00AE3C8C">
            <w:r>
              <w:t>8</w:t>
            </w:r>
          </w:p>
        </w:tc>
        <w:tc>
          <w:tcPr>
            <w:tcW w:w="3120" w:type="dxa"/>
          </w:tcPr>
          <w:p w14:paraId="1B64CB21" w14:textId="77777777" w:rsidR="001825E1" w:rsidRDefault="00AE3C8C">
            <w:r>
              <w:t>7</w:t>
            </w:r>
          </w:p>
        </w:tc>
      </w:tr>
    </w:tbl>
    <w:p w14:paraId="6FF6BBAD" w14:textId="77777777" w:rsidR="001825E1" w:rsidRDefault="00AE3C8C">
      <w:r>
        <w:t>Reasons for exclusion were not mutually exclusive. Major protocol deviations were prespecified in the statistical analysis plan before database lock. Exclusions were balanced between treatment groups.</w:t>
      </w:r>
    </w:p>
    <w:sectPr w:rsidR="001825E1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5D6044"/>
    <w:multiLevelType w:val="hybridMultilevel"/>
    <w:tmpl w:val="B94E8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A0732"/>
    <w:multiLevelType w:val="hybridMultilevel"/>
    <w:tmpl w:val="5726B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1877">
    <w:abstractNumId w:val="8"/>
  </w:num>
  <w:num w:numId="2" w16cid:durableId="1865367550">
    <w:abstractNumId w:val="6"/>
  </w:num>
  <w:num w:numId="3" w16cid:durableId="1207764418">
    <w:abstractNumId w:val="5"/>
  </w:num>
  <w:num w:numId="4" w16cid:durableId="249394209">
    <w:abstractNumId w:val="4"/>
  </w:num>
  <w:num w:numId="5" w16cid:durableId="159858630">
    <w:abstractNumId w:val="7"/>
  </w:num>
  <w:num w:numId="6" w16cid:durableId="575165062">
    <w:abstractNumId w:val="3"/>
  </w:num>
  <w:num w:numId="7" w16cid:durableId="176038533">
    <w:abstractNumId w:val="2"/>
  </w:num>
  <w:num w:numId="8" w16cid:durableId="81878261">
    <w:abstractNumId w:val="1"/>
  </w:num>
  <w:num w:numId="9" w16cid:durableId="1266233490">
    <w:abstractNumId w:val="0"/>
  </w:num>
  <w:num w:numId="10" w16cid:durableId="647828495">
    <w:abstractNumId w:val="9"/>
  </w:num>
  <w:num w:numId="11" w16cid:durableId="1558473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5E1"/>
    <w:rsid w:val="0029639D"/>
    <w:rsid w:val="00326F90"/>
    <w:rsid w:val="00836525"/>
    <w:rsid w:val="00AA1D8D"/>
    <w:rsid w:val="00AE3C8C"/>
    <w:rsid w:val="00B47730"/>
    <w:rsid w:val="00CB0664"/>
    <w:rsid w:val="00CF18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033A0"/>
  <w14:defaultImageDpi w14:val="300"/>
  <w15:docId w15:val="{05CD1AB7-E989-441E-A9E1-46AD791F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1565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Olaia Aurtenetxe</cp:lastModifiedBy>
  <cp:revision>2</cp:revision>
  <dcterms:created xsi:type="dcterms:W3CDTF">2026-04-26T16:17:00Z</dcterms:created>
  <dcterms:modified xsi:type="dcterms:W3CDTF">2026-04-26T16:17:00Z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32c06af3-7b2c-441b-9b24-110fcb9a6fac</vt:lpwstr>
  </property>
</Properties>
</file>