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A77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480" w:lineRule="auto"/>
        <w:ind w:left="0" w:right="0"/>
        <w:jc w:val="center"/>
        <w:textAlignment w:val="auto"/>
        <w:rPr>
          <w:rFonts w:hint="default" w:ascii="Times New Roman Bold" w:hAnsi="Times New Roman Bold" w:eastAsia="ＭＳ 明朝" w:cs="Times New Roman Bold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 Bold" w:hAnsi="Times New Roman Bold" w:eastAsia="ＭＳ 明朝" w:cs="Times New Roman Bold"/>
          <w:b/>
          <w:bCs/>
          <w:kern w:val="0"/>
          <w:sz w:val="24"/>
          <w:szCs w:val="24"/>
          <w:lang w:val="en-US" w:eastAsia="zh-CN" w:bidi="ar"/>
        </w:rPr>
        <w:t>S</w:t>
      </w:r>
      <w:bookmarkStart w:id="0" w:name="_GoBack"/>
      <w:bookmarkEnd w:id="0"/>
      <w:r>
        <w:rPr>
          <w:rFonts w:hint="default" w:ascii="Times New Roman Bold" w:hAnsi="Times New Roman Bold" w:eastAsia="ＭＳ 明朝" w:cs="Times New Roman Bold"/>
          <w:b/>
          <w:bCs/>
          <w:kern w:val="0"/>
          <w:sz w:val="24"/>
          <w:szCs w:val="24"/>
          <w:lang w:val="en-US" w:eastAsia="zh-CN" w:bidi="ar"/>
        </w:rPr>
        <w:t>upplementary file:</w:t>
      </w:r>
    </w:p>
    <w:p w14:paraId="101EFA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480" w:lineRule="auto"/>
        <w:ind w:left="0" w:right="0"/>
        <w:jc w:val="center"/>
        <w:textAlignment w:val="auto"/>
        <w:rPr>
          <w:rFonts w:hint="default" w:ascii="Times New Roman Regular" w:hAnsi="Times New Roman Regular" w:eastAsia="ＭＳ 明朝" w:cs="Times New Roman Regular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Bold" w:hAnsi="Times New Roman Bold" w:eastAsia="ＭＳ 明朝" w:cs="Times New Roman Bold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 Bold" w:hAnsi="Times New Roman Bold" w:eastAsia="ＭＳ 明朝" w:cs="Times New Roman Bold"/>
          <w:b/>
          <w:bCs/>
          <w:kern w:val="0"/>
          <w:sz w:val="24"/>
          <w:szCs w:val="24"/>
          <w:lang w:val="en-US" w:eastAsia="zh-CN" w:bidi="ar"/>
        </w:rPr>
        <w:t>Interview guide on Barriers to Long-Term Follow-Up Among Patients in Cardiovascular-Metabolic Clinics</w:t>
      </w:r>
    </w:p>
    <w:p w14:paraId="151570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auto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What was your initial motivation for attending the cardiometabolic clinic?</w:t>
      </w:r>
    </w:p>
    <w:p w14:paraId="25C10C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auto"/>
        <w:ind w:left="0" w:lef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In what ways did you feel the clinic helped you?</w:t>
      </w:r>
    </w:p>
    <w:p w14:paraId="1929D1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auto"/>
        <w:ind w:left="0" w:lef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What were the reasons you discontinued participation in the clinic?</w:t>
      </w:r>
    </w:p>
    <w:p w14:paraId="046673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auto"/>
        <w:ind w:left="0" w:lef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What impact did discontinuing follow-up have on your disease management?</w:t>
      </w:r>
    </w:p>
    <w:p w14:paraId="4A023B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auto"/>
        <w:ind w:left="0" w:lef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What factors might encourage you to resume follow-up at the cardiometabolic clinic?</w:t>
      </w:r>
    </w:p>
    <w:p w14:paraId="3DA7128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auto"/>
        <w:ind w:leftChars="0"/>
        <w:jc w:val="both"/>
        <w:textAlignment w:val="auto"/>
        <w:rPr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(6)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What suggestions or opinions do you have regarding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  <w:t>improvements to the cardiometabolic clinic?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DC7B2"/>
    <w:multiLevelType w:val="singleLevel"/>
    <w:tmpl w:val="FEFDC7B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FF698A"/>
    <w:rsid w:val="BEFF850B"/>
    <w:rsid w:val="E6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2025-10-14T14:47:00Z</dcterms:created>
  <dc:creator>CHX</dc:creator>
  <cp:lastModifiedBy>CHX</cp:lastModifiedBy>
  <dcterms:modified xsi:type="dcterms:W3CDTF">2025-10-14T15:49:45Z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B0149605AE0484C200F2ED6839EF7724_41</vt:lpwstr>
  </property>
</Properties>
</file>