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1A8AE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  <w:b/>
          <w:bCs/>
        </w:rPr>
      </w:pPr>
      <w:r w:rsidRPr="00DA01FD">
        <w:rPr>
          <w:rFonts w:ascii="Arial" w:hAnsi="Arial" w:cs="Arial"/>
          <w:b/>
          <w:bCs/>
        </w:rPr>
        <w:t>Supplementary Figures:</w:t>
      </w:r>
    </w:p>
    <w:p w14:paraId="6310FA5E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  <w:b/>
          <w:bCs/>
        </w:rPr>
      </w:pPr>
      <w:r w:rsidRPr="00DA01FD">
        <w:rPr>
          <w:rFonts w:ascii="Arial" w:hAnsi="Arial" w:cs="Arial"/>
          <w:b/>
          <w:bCs/>
        </w:rPr>
        <w:t>Supplementary Figure-1:</w:t>
      </w:r>
    </w:p>
    <w:p w14:paraId="1D61DC37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  <w:b/>
          <w:bCs/>
        </w:rPr>
      </w:pPr>
      <w:r w:rsidRPr="00DA01FD">
        <w:rPr>
          <w:rFonts w:ascii="Arial" w:hAnsi="Arial" w:cs="Arial"/>
          <w:noProof/>
        </w:rPr>
        <w:drawing>
          <wp:inline distT="0" distB="0" distL="0" distR="0" wp14:anchorId="6E17D17B" wp14:editId="69E51B7E">
            <wp:extent cx="6114560" cy="2487930"/>
            <wp:effectExtent l="0" t="0" r="635" b="7620"/>
            <wp:docPr id="1670837027" name="Picture 1" descr="A graph of different types of l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837027" name="Picture 1" descr="A graph of different types of lp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560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9EB51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</w:rPr>
      </w:pPr>
      <w:r w:rsidRPr="00DA01FD">
        <w:rPr>
          <w:rFonts w:ascii="Arial" w:hAnsi="Arial" w:cs="Arial"/>
          <w:b/>
          <w:bCs/>
        </w:rPr>
        <w:t>Supplementary Fig. 1: Percent change in chemosensitivity to HCVR challenge in different groups of mice.</w:t>
      </w:r>
      <w:r w:rsidRPr="00DA01FD">
        <w:rPr>
          <w:rFonts w:ascii="Arial" w:hAnsi="Arial" w:cs="Arial"/>
        </w:rPr>
        <w:t xml:space="preserve"> Change in chemosensitivity in response to 3 and 6% CO</w:t>
      </w:r>
      <w:r w:rsidRPr="00DA01FD">
        <w:rPr>
          <w:rFonts w:ascii="Arial" w:hAnsi="Arial" w:cs="Arial"/>
          <w:vertAlign w:val="subscript"/>
        </w:rPr>
        <w:t>2</w:t>
      </w:r>
      <w:r w:rsidRPr="00DA01FD">
        <w:rPr>
          <w:rFonts w:ascii="Arial" w:hAnsi="Arial" w:cs="Arial"/>
        </w:rPr>
        <w:t xml:space="preserve"> challenge before and after induction of epilepsy or PBS treatment across experimental groups: (A) SE, (B) SE + early LPS, (C) SE + late mino, (D) SE + early mino, (E) SE + late LPS, (F) Control + early LPS, (G) Control + late mino.</w:t>
      </w:r>
    </w:p>
    <w:p w14:paraId="04D56B41" w14:textId="77777777" w:rsidR="006808EE" w:rsidRPr="00DA01FD" w:rsidRDefault="006808EE" w:rsidP="006808EE">
      <w:pPr>
        <w:keepNext/>
        <w:spacing w:after="60" w:line="480" w:lineRule="auto"/>
        <w:jc w:val="both"/>
        <w:rPr>
          <w:rFonts w:ascii="Arial" w:hAnsi="Arial" w:cs="Arial"/>
          <w:b/>
          <w:bCs/>
        </w:rPr>
      </w:pPr>
      <w:r w:rsidRPr="00DA01FD">
        <w:rPr>
          <w:rFonts w:ascii="Arial" w:hAnsi="Arial" w:cs="Arial"/>
          <w:b/>
          <w:bCs/>
        </w:rPr>
        <w:lastRenderedPageBreak/>
        <w:t>Supplementary Figure-2:</w:t>
      </w:r>
    </w:p>
    <w:p w14:paraId="0A805483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  <w:b/>
          <w:bCs/>
        </w:rPr>
      </w:pPr>
      <w:r w:rsidRPr="00DA01FD">
        <w:rPr>
          <w:rFonts w:ascii="Arial" w:hAnsi="Arial" w:cs="Arial"/>
          <w:noProof/>
        </w:rPr>
        <w:drawing>
          <wp:inline distT="0" distB="0" distL="0" distR="0" wp14:anchorId="10C09553" wp14:editId="155CA2D1">
            <wp:extent cx="6116320" cy="7138264"/>
            <wp:effectExtent l="0" t="0" r="0" b="5715"/>
            <wp:docPr id="914630720" name="Picture 2" descr="A chart showing different types of lip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630720" name="Picture 2" descr="A chart showing different types of lip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7138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6EC65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</w:rPr>
      </w:pPr>
      <w:r w:rsidRPr="00DA01FD">
        <w:rPr>
          <w:rFonts w:ascii="Arial" w:hAnsi="Arial" w:cs="Arial"/>
          <w:b/>
          <w:bCs/>
        </w:rPr>
        <w:t>Supplementary Fig. 2: Change in breathing frequency (F</w:t>
      </w:r>
      <w:r w:rsidRPr="00DA01FD">
        <w:rPr>
          <w:rFonts w:ascii="Arial" w:hAnsi="Arial" w:cs="Arial"/>
          <w:b/>
          <w:bCs/>
          <w:vertAlign w:val="subscript"/>
        </w:rPr>
        <w:t>R</w:t>
      </w:r>
      <w:r w:rsidRPr="00DA01FD">
        <w:rPr>
          <w:rFonts w:ascii="Arial" w:hAnsi="Arial" w:cs="Arial"/>
          <w:b/>
          <w:bCs/>
        </w:rPr>
        <w:t>) and minute ventilation (V</w:t>
      </w:r>
      <w:r w:rsidRPr="00DA01FD">
        <w:rPr>
          <w:rFonts w:ascii="Arial" w:hAnsi="Arial" w:cs="Arial"/>
          <w:b/>
          <w:bCs/>
          <w:vertAlign w:val="subscript"/>
        </w:rPr>
        <w:t>E</w:t>
      </w:r>
      <w:r w:rsidRPr="00DA01FD">
        <w:rPr>
          <w:rFonts w:ascii="Arial" w:hAnsi="Arial" w:cs="Arial"/>
          <w:b/>
          <w:bCs/>
        </w:rPr>
        <w:t>) at 3 and 6% CO</w:t>
      </w:r>
      <w:r w:rsidRPr="00DA01FD">
        <w:rPr>
          <w:rFonts w:ascii="Arial" w:hAnsi="Arial" w:cs="Arial"/>
          <w:b/>
          <w:bCs/>
          <w:vertAlign w:val="subscript"/>
        </w:rPr>
        <w:t>2</w:t>
      </w:r>
      <w:r w:rsidRPr="00DA01FD">
        <w:rPr>
          <w:rFonts w:ascii="Arial" w:hAnsi="Arial" w:cs="Arial"/>
          <w:b/>
          <w:bCs/>
        </w:rPr>
        <w:t xml:space="preserve"> challenge in different groups of mice and across multiple time points.</w:t>
      </w:r>
      <w:r w:rsidRPr="00DA01FD">
        <w:rPr>
          <w:rFonts w:ascii="Arial" w:hAnsi="Arial" w:cs="Arial"/>
        </w:rPr>
        <w:t xml:space="preserve"> (A-G) Change in F</w:t>
      </w:r>
      <w:r w:rsidRPr="00DA01FD">
        <w:rPr>
          <w:rFonts w:ascii="Arial" w:hAnsi="Arial" w:cs="Arial"/>
          <w:vertAlign w:val="subscript"/>
        </w:rPr>
        <w:t>R</w:t>
      </w:r>
      <w:r w:rsidRPr="00DA01FD">
        <w:rPr>
          <w:rFonts w:ascii="Arial" w:hAnsi="Arial" w:cs="Arial"/>
        </w:rPr>
        <w:t xml:space="preserve"> at defined time points across experimental groups: (A) SE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11), (B) SE + early LPS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12), (C) SE + late mino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12), (D) SE + early mino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6), (E) SE + </w:t>
      </w:r>
      <w:r w:rsidRPr="00DA01FD">
        <w:rPr>
          <w:rFonts w:ascii="Arial" w:hAnsi="Arial" w:cs="Arial"/>
        </w:rPr>
        <w:lastRenderedPageBreak/>
        <w:t>late LPS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6), (F) Control + early LPS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5), (G) Control + late mino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5). (H-N) Change in V</w:t>
      </w:r>
      <w:r w:rsidRPr="00DA01FD">
        <w:rPr>
          <w:rFonts w:ascii="Arial" w:hAnsi="Arial" w:cs="Arial"/>
          <w:vertAlign w:val="subscript"/>
        </w:rPr>
        <w:t>E</w:t>
      </w:r>
      <w:r w:rsidRPr="00DA01FD">
        <w:rPr>
          <w:rFonts w:ascii="Arial" w:hAnsi="Arial" w:cs="Arial"/>
        </w:rPr>
        <w:t xml:space="preserve"> at room air and in response to 3% and 6% CO</w:t>
      </w:r>
      <w:r w:rsidRPr="00DA01FD">
        <w:rPr>
          <w:rFonts w:ascii="Arial" w:hAnsi="Arial" w:cs="Arial"/>
          <w:vertAlign w:val="subscript"/>
        </w:rPr>
        <w:t>2</w:t>
      </w:r>
      <w:r w:rsidRPr="00DA01FD">
        <w:rPr>
          <w:rFonts w:ascii="Arial" w:hAnsi="Arial" w:cs="Arial"/>
        </w:rPr>
        <w:t xml:space="preserve"> in different groups compared to their pre-SE or PBS response: (H) SE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11), (I) SE + early LPS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12), (J) SE + late mino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12), (K) SE + early mino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6), (L) SE + late LPS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6), (M) Control + early LPS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5), (N) Control + late mino (</w:t>
      </w:r>
      <w:r w:rsidRPr="00DA01FD">
        <w:rPr>
          <w:rFonts w:ascii="Arial" w:hAnsi="Arial" w:cs="Arial"/>
          <w:i/>
          <w:iCs/>
        </w:rPr>
        <w:t>n</w:t>
      </w:r>
      <w:r w:rsidRPr="00DA01FD">
        <w:rPr>
          <w:rFonts w:ascii="Arial" w:hAnsi="Arial" w:cs="Arial"/>
        </w:rPr>
        <w:t xml:space="preserve"> = 5). P-values derived from two-way repeated measure (mixed effects) ANOVA with Tukey’s multiple comparisons are *</w:t>
      </w:r>
      <w:r w:rsidRPr="00DA01FD">
        <w:rPr>
          <w:rFonts w:ascii="Arial" w:hAnsi="Arial" w:cs="Arial"/>
          <w:i/>
          <w:iCs/>
        </w:rPr>
        <w:t>p</w:t>
      </w:r>
      <w:r w:rsidRPr="00DA01FD">
        <w:rPr>
          <w:rFonts w:ascii="Arial" w:hAnsi="Arial" w:cs="Arial"/>
        </w:rPr>
        <w:t xml:space="preserve"> &lt; 0.05, **</w:t>
      </w:r>
      <w:r w:rsidRPr="00DA01FD">
        <w:rPr>
          <w:rFonts w:ascii="Arial" w:hAnsi="Arial" w:cs="Arial"/>
          <w:i/>
          <w:iCs/>
        </w:rPr>
        <w:t>p</w:t>
      </w:r>
      <w:r w:rsidRPr="00DA01FD">
        <w:rPr>
          <w:rFonts w:ascii="Arial" w:hAnsi="Arial" w:cs="Arial"/>
        </w:rPr>
        <w:t xml:space="preserve"> &lt; 0.001, ***</w:t>
      </w:r>
      <w:r w:rsidRPr="00DA01FD">
        <w:rPr>
          <w:rFonts w:ascii="Arial" w:hAnsi="Arial" w:cs="Arial"/>
          <w:i/>
          <w:iCs/>
        </w:rPr>
        <w:t>p</w:t>
      </w:r>
      <w:r w:rsidRPr="00DA01FD">
        <w:rPr>
          <w:rFonts w:ascii="Arial" w:hAnsi="Arial" w:cs="Arial"/>
        </w:rPr>
        <w:t xml:space="preserve"> &lt; 0.001, and ****</w:t>
      </w:r>
      <w:r w:rsidRPr="00DA01FD">
        <w:rPr>
          <w:rFonts w:ascii="Arial" w:hAnsi="Arial" w:cs="Arial"/>
          <w:i/>
          <w:iCs/>
        </w:rPr>
        <w:t>p</w:t>
      </w:r>
      <w:r w:rsidRPr="00DA01FD">
        <w:rPr>
          <w:rFonts w:ascii="Arial" w:hAnsi="Arial" w:cs="Arial"/>
        </w:rPr>
        <w:t xml:space="preserve"> &lt; 0.0001.</w:t>
      </w:r>
    </w:p>
    <w:p w14:paraId="0381A798" w14:textId="6619876A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</w:rPr>
      </w:pPr>
    </w:p>
    <w:tbl>
      <w:tblPr>
        <w:tblStyle w:val="GridTable4-Accent1"/>
        <w:tblW w:w="9694" w:type="dxa"/>
        <w:tblLook w:val="04A0" w:firstRow="1" w:lastRow="0" w:firstColumn="1" w:lastColumn="0" w:noHBand="0" w:noVBand="1"/>
      </w:tblPr>
      <w:tblGrid>
        <w:gridCol w:w="2064"/>
        <w:gridCol w:w="927"/>
        <w:gridCol w:w="1106"/>
        <w:gridCol w:w="914"/>
        <w:gridCol w:w="910"/>
        <w:gridCol w:w="960"/>
        <w:gridCol w:w="899"/>
        <w:gridCol w:w="957"/>
        <w:gridCol w:w="957"/>
      </w:tblGrid>
      <w:tr w:rsidR="006808EE" w:rsidRPr="00DA01FD" w14:paraId="0F788B02" w14:textId="77777777" w:rsidTr="007242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Merge w:val="restart"/>
            <w:vAlign w:val="center"/>
          </w:tcPr>
          <w:p w14:paraId="20071DE7" w14:textId="77777777" w:rsidR="006808EE" w:rsidRPr="003D2A64" w:rsidRDefault="006808EE" w:rsidP="00724296">
            <w:pPr>
              <w:contextualSpacing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FUNCTIONAL READOUTS</w:t>
            </w:r>
          </w:p>
        </w:tc>
        <w:tc>
          <w:tcPr>
            <w:tcW w:w="7630" w:type="dxa"/>
            <w:gridSpan w:val="8"/>
            <w:vAlign w:val="center"/>
          </w:tcPr>
          <w:p w14:paraId="4C12FCC9" w14:textId="77777777" w:rsidR="006808EE" w:rsidRPr="003D2A64" w:rsidRDefault="006808EE" w:rsidP="0072429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TREATMENT GROUPS</w:t>
            </w:r>
          </w:p>
        </w:tc>
      </w:tr>
      <w:tr w:rsidR="006808EE" w:rsidRPr="00DA01FD" w14:paraId="50411F93" w14:textId="77777777" w:rsidTr="00724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Merge/>
            <w:vAlign w:val="center"/>
          </w:tcPr>
          <w:p w14:paraId="1E7972FE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7" w:type="dxa"/>
            <w:vAlign w:val="center"/>
          </w:tcPr>
          <w:p w14:paraId="343D34A5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106" w:type="dxa"/>
            <w:vAlign w:val="center"/>
          </w:tcPr>
          <w:p w14:paraId="2B196487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14" w:type="dxa"/>
            <w:vAlign w:val="center"/>
          </w:tcPr>
          <w:p w14:paraId="08324692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SE + Early LPS</w:t>
            </w:r>
          </w:p>
        </w:tc>
        <w:tc>
          <w:tcPr>
            <w:tcW w:w="910" w:type="dxa"/>
            <w:vAlign w:val="center"/>
          </w:tcPr>
          <w:p w14:paraId="0BC9F302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SE + Late Mino</w:t>
            </w:r>
          </w:p>
        </w:tc>
        <w:tc>
          <w:tcPr>
            <w:tcW w:w="960" w:type="dxa"/>
            <w:vAlign w:val="center"/>
          </w:tcPr>
          <w:p w14:paraId="5D7C4E65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SE + Early Mino</w:t>
            </w:r>
          </w:p>
        </w:tc>
        <w:tc>
          <w:tcPr>
            <w:tcW w:w="899" w:type="dxa"/>
            <w:vAlign w:val="center"/>
          </w:tcPr>
          <w:p w14:paraId="04D85B27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SE + Late LPS</w:t>
            </w:r>
          </w:p>
        </w:tc>
        <w:tc>
          <w:tcPr>
            <w:tcW w:w="957" w:type="dxa"/>
            <w:vAlign w:val="center"/>
          </w:tcPr>
          <w:p w14:paraId="7B2D8E34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Control + Early LPS</w:t>
            </w:r>
          </w:p>
        </w:tc>
        <w:tc>
          <w:tcPr>
            <w:tcW w:w="957" w:type="dxa"/>
            <w:vAlign w:val="center"/>
          </w:tcPr>
          <w:p w14:paraId="1DB55315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Control + Late Mino</w:t>
            </w:r>
          </w:p>
        </w:tc>
      </w:tr>
      <w:tr w:rsidR="006808EE" w:rsidRPr="00DA01FD" w14:paraId="72BBAA69" w14:textId="77777777" w:rsidTr="007242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6D652729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Breathing phenotype</w:t>
            </w:r>
          </w:p>
        </w:tc>
        <w:tc>
          <w:tcPr>
            <w:tcW w:w="927" w:type="dxa"/>
            <w:vAlign w:val="center"/>
          </w:tcPr>
          <w:p w14:paraId="5C9C4B26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1106" w:type="dxa"/>
            <w:vAlign w:val="center"/>
          </w:tcPr>
          <w:p w14:paraId="72FBE95D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14" w:type="dxa"/>
            <w:vAlign w:val="center"/>
          </w:tcPr>
          <w:p w14:paraId="45347897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910" w:type="dxa"/>
            <w:vAlign w:val="center"/>
          </w:tcPr>
          <w:p w14:paraId="0903109A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960" w:type="dxa"/>
            <w:vAlign w:val="center"/>
          </w:tcPr>
          <w:p w14:paraId="55A08BF5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899" w:type="dxa"/>
            <w:vAlign w:val="center"/>
          </w:tcPr>
          <w:p w14:paraId="0B260FB2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57" w:type="dxa"/>
            <w:vAlign w:val="center"/>
          </w:tcPr>
          <w:p w14:paraId="4E34E366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57" w:type="dxa"/>
            <w:vAlign w:val="center"/>
          </w:tcPr>
          <w:p w14:paraId="5E04A1AF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</w:tr>
      <w:tr w:rsidR="006808EE" w:rsidRPr="00DA01FD" w14:paraId="358CAF3E" w14:textId="77777777" w:rsidTr="00724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2485774E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Reduced chemosensitivity at 6% CO</w:t>
            </w: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27" w:type="dxa"/>
            <w:vAlign w:val="center"/>
          </w:tcPr>
          <w:p w14:paraId="2F3EBA3D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1106" w:type="dxa"/>
            <w:vAlign w:val="center"/>
          </w:tcPr>
          <w:p w14:paraId="147B73E7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14" w:type="dxa"/>
            <w:vAlign w:val="center"/>
          </w:tcPr>
          <w:p w14:paraId="5F1A322B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10" w:type="dxa"/>
            <w:vAlign w:val="center"/>
          </w:tcPr>
          <w:p w14:paraId="0B037FE1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960" w:type="dxa"/>
            <w:vAlign w:val="center"/>
          </w:tcPr>
          <w:p w14:paraId="204D8F91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899" w:type="dxa"/>
            <w:vAlign w:val="center"/>
          </w:tcPr>
          <w:p w14:paraId="5A896353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57" w:type="dxa"/>
            <w:vAlign w:val="center"/>
          </w:tcPr>
          <w:p w14:paraId="63B44316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57" w:type="dxa"/>
            <w:vAlign w:val="center"/>
          </w:tcPr>
          <w:p w14:paraId="157E9E54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</w:tr>
      <w:tr w:rsidR="006808EE" w:rsidRPr="00DA01FD" w14:paraId="3C30EE73" w14:textId="77777777" w:rsidTr="007242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712BB63C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Reduction in seizure frequency</w:t>
            </w:r>
          </w:p>
        </w:tc>
        <w:tc>
          <w:tcPr>
            <w:tcW w:w="927" w:type="dxa"/>
            <w:vAlign w:val="center"/>
          </w:tcPr>
          <w:p w14:paraId="34FB1E66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6" w:type="dxa"/>
            <w:vAlign w:val="center"/>
          </w:tcPr>
          <w:p w14:paraId="20C9F99C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914" w:type="dxa"/>
            <w:vAlign w:val="center"/>
          </w:tcPr>
          <w:p w14:paraId="7F79A53E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✓</w:t>
            </w:r>
          </w:p>
        </w:tc>
        <w:tc>
          <w:tcPr>
            <w:tcW w:w="910" w:type="dxa"/>
            <w:vAlign w:val="center"/>
          </w:tcPr>
          <w:p w14:paraId="78C537FA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960" w:type="dxa"/>
            <w:vAlign w:val="center"/>
          </w:tcPr>
          <w:p w14:paraId="410166C9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899" w:type="dxa"/>
            <w:vAlign w:val="center"/>
          </w:tcPr>
          <w:p w14:paraId="6DD0F553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Segoe UI Symbol" w:hAnsi="Segoe UI Symbol" w:cs="Segoe UI Symbol"/>
                <w:b/>
                <w:bCs/>
                <w:sz w:val="20"/>
                <w:szCs w:val="20"/>
              </w:rPr>
              <w:t>✘</w:t>
            </w:r>
          </w:p>
        </w:tc>
        <w:tc>
          <w:tcPr>
            <w:tcW w:w="957" w:type="dxa"/>
            <w:vAlign w:val="center"/>
          </w:tcPr>
          <w:p w14:paraId="046055DC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7ECA9131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08EE" w:rsidRPr="00DA01FD" w14:paraId="7B0F14B7" w14:textId="77777777" w:rsidTr="00724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3C38901D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TREM2-IBA1 colocalisation</w:t>
            </w:r>
          </w:p>
        </w:tc>
        <w:tc>
          <w:tcPr>
            <w:tcW w:w="927" w:type="dxa"/>
            <w:vAlign w:val="center"/>
          </w:tcPr>
          <w:p w14:paraId="60FD764F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↑</w:t>
            </w:r>
          </w:p>
        </w:tc>
        <w:tc>
          <w:tcPr>
            <w:tcW w:w="1106" w:type="dxa"/>
            <w:vAlign w:val="center"/>
          </w:tcPr>
          <w:p w14:paraId="76B0A35E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compared to</w:t>
            </w:r>
          </w:p>
        </w:tc>
        <w:tc>
          <w:tcPr>
            <w:tcW w:w="914" w:type="dxa"/>
            <w:vAlign w:val="center"/>
          </w:tcPr>
          <w:p w14:paraId="717831D9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10" w:type="dxa"/>
            <w:vAlign w:val="center"/>
          </w:tcPr>
          <w:p w14:paraId="2B1D56D5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60" w:type="dxa"/>
            <w:vAlign w:val="center"/>
          </w:tcPr>
          <w:p w14:paraId="1F98ECBE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899" w:type="dxa"/>
            <w:vAlign w:val="center"/>
          </w:tcPr>
          <w:p w14:paraId="48BEF3D0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57" w:type="dxa"/>
            <w:vAlign w:val="center"/>
          </w:tcPr>
          <w:p w14:paraId="609C54A4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68680EDD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08EE" w:rsidRPr="00DA01FD" w14:paraId="10E52A4E" w14:textId="77777777" w:rsidTr="007242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0C9AA7EB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  <w:t xml:space="preserve">P2Y12-IBA1 </w:t>
            </w: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colocalisation</w:t>
            </w:r>
          </w:p>
        </w:tc>
        <w:tc>
          <w:tcPr>
            <w:tcW w:w="927" w:type="dxa"/>
            <w:vAlign w:val="center"/>
          </w:tcPr>
          <w:p w14:paraId="2428AA87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1106" w:type="dxa"/>
            <w:vAlign w:val="center"/>
          </w:tcPr>
          <w:p w14:paraId="4722D3CF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compared to</w:t>
            </w:r>
          </w:p>
        </w:tc>
        <w:tc>
          <w:tcPr>
            <w:tcW w:w="914" w:type="dxa"/>
            <w:vAlign w:val="center"/>
          </w:tcPr>
          <w:p w14:paraId="1E249314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10" w:type="dxa"/>
            <w:vAlign w:val="center"/>
          </w:tcPr>
          <w:p w14:paraId="7C2B28CC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60" w:type="dxa"/>
            <w:vAlign w:val="center"/>
          </w:tcPr>
          <w:p w14:paraId="1EC925B4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899" w:type="dxa"/>
            <w:vAlign w:val="center"/>
          </w:tcPr>
          <w:p w14:paraId="25B82D27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57" w:type="dxa"/>
            <w:vAlign w:val="center"/>
          </w:tcPr>
          <w:p w14:paraId="25A904F1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602F47DF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08EE" w:rsidRPr="00DA01FD" w14:paraId="05E0746C" w14:textId="77777777" w:rsidTr="00724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4294A237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Microglia density</w:t>
            </w:r>
          </w:p>
        </w:tc>
        <w:tc>
          <w:tcPr>
            <w:tcW w:w="927" w:type="dxa"/>
            <w:vAlign w:val="center"/>
          </w:tcPr>
          <w:p w14:paraId="5B1FF471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1106" w:type="dxa"/>
            <w:vAlign w:val="center"/>
          </w:tcPr>
          <w:p w14:paraId="73F1726F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compared to</w:t>
            </w:r>
          </w:p>
        </w:tc>
        <w:tc>
          <w:tcPr>
            <w:tcW w:w="914" w:type="dxa"/>
            <w:vAlign w:val="center"/>
          </w:tcPr>
          <w:p w14:paraId="10BFEEEF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910" w:type="dxa"/>
            <w:vAlign w:val="center"/>
          </w:tcPr>
          <w:p w14:paraId="2E3DFBCD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960" w:type="dxa"/>
            <w:vAlign w:val="center"/>
          </w:tcPr>
          <w:p w14:paraId="1AF1AB10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899" w:type="dxa"/>
            <w:vAlign w:val="center"/>
          </w:tcPr>
          <w:p w14:paraId="443C3225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57" w:type="dxa"/>
            <w:vAlign w:val="center"/>
          </w:tcPr>
          <w:p w14:paraId="545C8B29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7D5375F0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08EE" w:rsidRPr="00DA01FD" w14:paraId="5F88ABD2" w14:textId="77777777" w:rsidTr="007242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0EDF0D02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Microglia process lengths</w:t>
            </w:r>
          </w:p>
        </w:tc>
        <w:tc>
          <w:tcPr>
            <w:tcW w:w="927" w:type="dxa"/>
            <w:vAlign w:val="center"/>
          </w:tcPr>
          <w:p w14:paraId="1E02BAEE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1106" w:type="dxa"/>
            <w:vAlign w:val="center"/>
          </w:tcPr>
          <w:p w14:paraId="69C9EE96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compared to</w:t>
            </w:r>
          </w:p>
        </w:tc>
        <w:tc>
          <w:tcPr>
            <w:tcW w:w="914" w:type="dxa"/>
            <w:vAlign w:val="center"/>
          </w:tcPr>
          <w:p w14:paraId="02D2DE31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910" w:type="dxa"/>
            <w:vAlign w:val="center"/>
          </w:tcPr>
          <w:p w14:paraId="6EA2AE47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960" w:type="dxa"/>
            <w:vAlign w:val="center"/>
          </w:tcPr>
          <w:p w14:paraId="7204C7A3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899" w:type="dxa"/>
            <w:vAlign w:val="center"/>
          </w:tcPr>
          <w:p w14:paraId="3C6BB412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57" w:type="dxa"/>
            <w:vAlign w:val="center"/>
          </w:tcPr>
          <w:p w14:paraId="0AE7FA1F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00733A1A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08EE" w:rsidRPr="00DA01FD" w14:paraId="5BFCECC6" w14:textId="77777777" w:rsidTr="00724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19346FDC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C1q expression</w:t>
            </w:r>
          </w:p>
        </w:tc>
        <w:tc>
          <w:tcPr>
            <w:tcW w:w="927" w:type="dxa"/>
            <w:vAlign w:val="center"/>
          </w:tcPr>
          <w:p w14:paraId="0BB3FE54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1106" w:type="dxa"/>
            <w:vAlign w:val="center"/>
          </w:tcPr>
          <w:p w14:paraId="133080DC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compared to</w:t>
            </w:r>
          </w:p>
        </w:tc>
        <w:tc>
          <w:tcPr>
            <w:tcW w:w="914" w:type="dxa"/>
            <w:vAlign w:val="center"/>
          </w:tcPr>
          <w:p w14:paraId="46CC2F12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—</w:t>
            </w:r>
          </w:p>
        </w:tc>
        <w:tc>
          <w:tcPr>
            <w:tcW w:w="910" w:type="dxa"/>
            <w:vAlign w:val="center"/>
          </w:tcPr>
          <w:p w14:paraId="22369364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960" w:type="dxa"/>
            <w:vAlign w:val="center"/>
          </w:tcPr>
          <w:p w14:paraId="22C1329B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899" w:type="dxa"/>
            <w:vAlign w:val="center"/>
          </w:tcPr>
          <w:p w14:paraId="68BF1E87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2A64">
              <w:rPr>
                <w:rFonts w:ascii="Arial" w:hAnsi="Arial" w:cs="Arial"/>
                <w:b/>
                <w:bCs/>
                <w:sz w:val="20"/>
                <w:szCs w:val="20"/>
              </w:rPr>
              <w:t>↓</w:t>
            </w:r>
          </w:p>
        </w:tc>
        <w:tc>
          <w:tcPr>
            <w:tcW w:w="957" w:type="dxa"/>
            <w:vAlign w:val="center"/>
          </w:tcPr>
          <w:p w14:paraId="0703000E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1925D8DA" w14:textId="77777777" w:rsidR="006808EE" w:rsidRPr="003D2A64" w:rsidRDefault="006808EE" w:rsidP="007242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08EE" w:rsidRPr="00DA01FD" w14:paraId="41A72A4E" w14:textId="77777777" w:rsidTr="0072429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vAlign w:val="center"/>
          </w:tcPr>
          <w:p w14:paraId="11145002" w14:textId="77777777" w:rsidR="006808EE" w:rsidRPr="003D2A64" w:rsidRDefault="006808EE" w:rsidP="00724296">
            <w:pPr>
              <w:contextualSpacing/>
              <w:jc w:val="both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D2A6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GFAP-A2A colocalisation</w:t>
            </w:r>
          </w:p>
        </w:tc>
        <w:tc>
          <w:tcPr>
            <w:tcW w:w="927" w:type="dxa"/>
            <w:vAlign w:val="center"/>
          </w:tcPr>
          <w:p w14:paraId="534E1BAA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—</w:t>
            </w:r>
          </w:p>
        </w:tc>
        <w:tc>
          <w:tcPr>
            <w:tcW w:w="1106" w:type="dxa"/>
            <w:vAlign w:val="center"/>
          </w:tcPr>
          <w:p w14:paraId="768838C6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compared to</w:t>
            </w:r>
          </w:p>
        </w:tc>
        <w:tc>
          <w:tcPr>
            <w:tcW w:w="914" w:type="dxa"/>
            <w:vAlign w:val="center"/>
          </w:tcPr>
          <w:p w14:paraId="62F6F2F9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↓</w:t>
            </w:r>
          </w:p>
        </w:tc>
        <w:tc>
          <w:tcPr>
            <w:tcW w:w="910" w:type="dxa"/>
            <w:vAlign w:val="center"/>
          </w:tcPr>
          <w:p w14:paraId="36D41BCA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—</w:t>
            </w:r>
          </w:p>
        </w:tc>
        <w:tc>
          <w:tcPr>
            <w:tcW w:w="960" w:type="dxa"/>
            <w:vAlign w:val="center"/>
          </w:tcPr>
          <w:p w14:paraId="023AEC5A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—</w:t>
            </w:r>
          </w:p>
        </w:tc>
        <w:tc>
          <w:tcPr>
            <w:tcW w:w="899" w:type="dxa"/>
            <w:vAlign w:val="center"/>
          </w:tcPr>
          <w:p w14:paraId="2989F59D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D2A64">
              <w:rPr>
                <w:rFonts w:ascii="Arial" w:hAnsi="Arial" w:cs="Arial"/>
                <w:sz w:val="20"/>
                <w:szCs w:val="20"/>
              </w:rPr>
              <w:t>—</w:t>
            </w:r>
          </w:p>
        </w:tc>
        <w:tc>
          <w:tcPr>
            <w:tcW w:w="957" w:type="dxa"/>
            <w:vAlign w:val="center"/>
          </w:tcPr>
          <w:p w14:paraId="2CA0555D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7" w:type="dxa"/>
            <w:vAlign w:val="center"/>
          </w:tcPr>
          <w:p w14:paraId="1DF7ACA6" w14:textId="77777777" w:rsidR="006808EE" w:rsidRPr="003D2A64" w:rsidRDefault="006808EE" w:rsidP="007242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0ECF8C" w14:textId="77777777" w:rsidR="006808EE" w:rsidRPr="00DA01FD" w:rsidRDefault="006808EE" w:rsidP="006808EE">
      <w:pPr>
        <w:spacing w:after="60" w:line="480" w:lineRule="auto"/>
        <w:jc w:val="both"/>
        <w:rPr>
          <w:rFonts w:ascii="Arial" w:hAnsi="Arial" w:cs="Arial"/>
          <w:b/>
          <w:bCs/>
        </w:rPr>
      </w:pPr>
      <w:r w:rsidRPr="00DA01FD">
        <w:rPr>
          <w:rFonts w:ascii="Arial" w:hAnsi="Arial" w:cs="Arial"/>
          <w:b/>
          <w:bCs/>
        </w:rPr>
        <w:t>Summary Table</w:t>
      </w:r>
      <w:r>
        <w:rPr>
          <w:rFonts w:ascii="Arial" w:hAnsi="Arial" w:cs="Arial"/>
          <w:b/>
          <w:bCs/>
        </w:rPr>
        <w:t>-1</w:t>
      </w:r>
      <w:r w:rsidRPr="00DA01FD">
        <w:rPr>
          <w:rFonts w:ascii="Arial" w:hAnsi="Arial" w:cs="Arial"/>
          <w:b/>
          <w:bCs/>
        </w:rPr>
        <w:t>: Summary of different treatments and their functional readouts.</w:t>
      </w:r>
    </w:p>
    <w:p w14:paraId="4859B13B" w14:textId="77777777" w:rsidR="004E780C" w:rsidRDefault="004E780C"/>
    <w:sectPr w:rsidR="004E780C" w:rsidSect="006808EE">
      <w:footerReference w:type="even" r:id="rId6"/>
      <w:footerReference w:type="default" r:id="rId7"/>
      <w:pgSz w:w="11900" w:h="16840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25898768"/>
      <w:docPartObj>
        <w:docPartGallery w:val="Page Numbers (Bottom of Page)"/>
        <w:docPartUnique/>
      </w:docPartObj>
    </w:sdtPr>
    <w:sdtContent>
      <w:p w14:paraId="2F6F3D7F" w14:textId="77777777" w:rsidR="006808EE" w:rsidRDefault="006808E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9702F5" w14:textId="77777777" w:rsidR="006808EE" w:rsidRDefault="006808EE" w:rsidP="00B63A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7235654"/>
      <w:docPartObj>
        <w:docPartGallery w:val="Page Numbers (Bottom of Page)"/>
        <w:docPartUnique/>
      </w:docPartObj>
    </w:sdtPr>
    <w:sdtContent>
      <w:p w14:paraId="2B9E7ADD" w14:textId="77777777" w:rsidR="006808EE" w:rsidRDefault="006808E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DC3CC9" w14:textId="77777777" w:rsidR="006808EE" w:rsidRDefault="006808EE" w:rsidP="00B63AA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8EE"/>
    <w:rsid w:val="002978F5"/>
    <w:rsid w:val="003852CF"/>
    <w:rsid w:val="004E780C"/>
    <w:rsid w:val="006808EE"/>
    <w:rsid w:val="00BA4023"/>
    <w:rsid w:val="00CD296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A289B"/>
  <w15:chartTrackingRefBased/>
  <w15:docId w15:val="{8839A3D8-9FEE-4565-9073-105BF33FE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8EE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08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8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8E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8E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8E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8E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8E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8E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8E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8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8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8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8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8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8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8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8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8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8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08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8E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08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8E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08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8EE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08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8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8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8E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808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8EE"/>
    <w:rPr>
      <w:kern w:val="0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808EE"/>
  </w:style>
  <w:style w:type="character" w:styleId="LineNumber">
    <w:name w:val="line number"/>
    <w:basedOn w:val="DefaultParagraphFont"/>
    <w:uiPriority w:val="99"/>
    <w:semiHidden/>
    <w:unhideWhenUsed/>
    <w:rsid w:val="006808EE"/>
  </w:style>
  <w:style w:type="table" w:styleId="GridTable4-Accent1">
    <w:name w:val="Grid Table 4 Accent 1"/>
    <w:basedOn w:val="TableNormal"/>
    <w:uiPriority w:val="49"/>
    <w:rsid w:val="006808EE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381</Words>
  <Characters>1612</Characters>
  <Application>Microsoft Office Word</Application>
  <DocSecurity>0</DocSecurity>
  <Lines>141</Lines>
  <Paragraphs>63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2025-10-08T10:16:00Z</dcterms:created>
  <dcterms:modified xsi:type="dcterms:W3CDTF">2025-10-08T10:16:00Z</dcterms:modified>
</cp:coreProperties>
</file>