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0D26C" w14:textId="0602E60E" w:rsidR="008A3307" w:rsidRPr="00DC0818" w:rsidRDefault="00C7008B" w:rsidP="005F3088">
      <w:pPr>
        <w:pStyle w:val="Titre1"/>
        <w:spacing w:after="480" w:line="360" w:lineRule="auto"/>
        <w:ind w:right="-4"/>
        <w:jc w:val="center"/>
        <w:rPr>
          <w:rFonts w:eastAsia="Times"/>
          <w:sz w:val="24"/>
          <w:szCs w:val="24"/>
        </w:rPr>
      </w:pPr>
      <w:bookmarkStart w:id="0" w:name="_rlsiqw837qmz" w:colFirst="0" w:colLast="0"/>
      <w:bookmarkEnd w:id="0"/>
      <w:r w:rsidRPr="00DC0818">
        <w:rPr>
          <w:rFonts w:eastAsia="Times"/>
          <w:sz w:val="24"/>
          <w:szCs w:val="24"/>
        </w:rPr>
        <w:t>Extreme temperature trends in Antarctica exacerbated by explosive atmospheric rivers</w:t>
      </w:r>
    </w:p>
    <w:p w14:paraId="61F5075F" w14:textId="0F0BA202" w:rsidR="008A3307" w:rsidRPr="00DC0818" w:rsidRDefault="00C7008B" w:rsidP="005F3088">
      <w:pPr>
        <w:spacing w:after="720"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</w:rPr>
        <w:t>Vincent Favier</w:t>
      </w:r>
      <w:proofErr w:type="gramStart"/>
      <w:r w:rsidRPr="00DC0818">
        <w:rPr>
          <w:rFonts w:eastAsia="Times"/>
          <w:sz w:val="24"/>
          <w:szCs w:val="24"/>
          <w:vertAlign w:val="superscript"/>
        </w:rPr>
        <w:t>1,*</w:t>
      </w:r>
      <w:proofErr w:type="gramEnd"/>
      <w:r w:rsidRPr="00DC0818">
        <w:rPr>
          <w:rFonts w:eastAsia="Times"/>
          <w:sz w:val="24"/>
          <w:szCs w:val="24"/>
        </w:rPr>
        <w:t>, Juliette Blanchet</w:t>
      </w:r>
      <w:r w:rsidRPr="00DC0818">
        <w:rPr>
          <w:rFonts w:eastAsia="Times"/>
          <w:sz w:val="24"/>
          <w:szCs w:val="24"/>
          <w:vertAlign w:val="superscript"/>
        </w:rPr>
        <w:t>1,*</w:t>
      </w:r>
      <w:r w:rsidRPr="00DC0818">
        <w:rPr>
          <w:rFonts w:eastAsia="Times"/>
          <w:sz w:val="24"/>
          <w:szCs w:val="24"/>
        </w:rPr>
        <w:t>, Niels Dutrievoz</w:t>
      </w:r>
      <w:r w:rsidRPr="00DC0818">
        <w:rPr>
          <w:rFonts w:eastAsia="Times"/>
          <w:sz w:val="24"/>
          <w:szCs w:val="24"/>
          <w:vertAlign w:val="superscript"/>
        </w:rPr>
        <w:t>1,2,*</w:t>
      </w:r>
      <w:r w:rsidRPr="00DC0818">
        <w:rPr>
          <w:rFonts w:eastAsia="Times"/>
          <w:sz w:val="24"/>
          <w:szCs w:val="24"/>
        </w:rPr>
        <w:t>, Benjamin Pohl</w:t>
      </w:r>
      <w:r w:rsidRPr="00DC0818">
        <w:rPr>
          <w:rFonts w:eastAsia="Times"/>
          <w:sz w:val="24"/>
          <w:szCs w:val="24"/>
          <w:vertAlign w:val="superscript"/>
        </w:rPr>
        <w:t>3</w:t>
      </w:r>
      <w:r w:rsidRPr="00DC0818">
        <w:rPr>
          <w:rFonts w:eastAsia="Times"/>
          <w:sz w:val="24"/>
          <w:szCs w:val="24"/>
        </w:rPr>
        <w:t>, Kyle R. Clem</w:t>
      </w:r>
      <w:r w:rsidRPr="00DC0818">
        <w:rPr>
          <w:rFonts w:eastAsia="Times"/>
          <w:sz w:val="24"/>
          <w:szCs w:val="24"/>
          <w:vertAlign w:val="superscript"/>
        </w:rPr>
        <w:t>4</w:t>
      </w:r>
      <w:r w:rsidRPr="00DC0818">
        <w:rPr>
          <w:rFonts w:eastAsia="Times"/>
          <w:sz w:val="24"/>
          <w:szCs w:val="24"/>
        </w:rPr>
        <w:t>, Leonard Barthelemy</w:t>
      </w:r>
      <w:r w:rsidRPr="00DC0818">
        <w:rPr>
          <w:rFonts w:eastAsia="Times"/>
          <w:sz w:val="24"/>
          <w:szCs w:val="24"/>
          <w:vertAlign w:val="superscript"/>
        </w:rPr>
        <w:t>5</w:t>
      </w:r>
      <w:r w:rsidRPr="00DC0818">
        <w:rPr>
          <w:rFonts w:eastAsia="Times"/>
          <w:sz w:val="24"/>
          <w:szCs w:val="24"/>
        </w:rPr>
        <w:t>, Victoire Buffet</w:t>
      </w:r>
      <w:r w:rsidRPr="00DC0818">
        <w:rPr>
          <w:rFonts w:eastAsia="Times"/>
          <w:sz w:val="24"/>
          <w:szCs w:val="24"/>
          <w:vertAlign w:val="superscript"/>
        </w:rPr>
        <w:t>1,3</w:t>
      </w:r>
      <w:r w:rsidRPr="00DC0818">
        <w:rPr>
          <w:rFonts w:eastAsia="Times"/>
          <w:sz w:val="24"/>
          <w:szCs w:val="24"/>
        </w:rPr>
        <w:t xml:space="preserve">, Jonathan </w:t>
      </w:r>
      <w:r w:rsidR="002371EE">
        <w:rPr>
          <w:rFonts w:eastAsia="Times"/>
          <w:sz w:val="24"/>
          <w:szCs w:val="24"/>
        </w:rPr>
        <w:t xml:space="preserve">D. </w:t>
      </w:r>
      <w:r w:rsidRPr="00DC0818">
        <w:rPr>
          <w:rFonts w:eastAsia="Times"/>
          <w:sz w:val="24"/>
          <w:szCs w:val="24"/>
        </w:rPr>
        <w:t>Wille</w:t>
      </w:r>
      <w:r w:rsidRPr="00DC0818">
        <w:rPr>
          <w:rFonts w:eastAsia="Times"/>
          <w:sz w:val="24"/>
          <w:szCs w:val="24"/>
          <w:vertAlign w:val="superscript"/>
        </w:rPr>
        <w:t>1,6</w:t>
      </w:r>
      <w:r w:rsidRPr="00DC0818">
        <w:rPr>
          <w:rFonts w:eastAsia="Times"/>
          <w:sz w:val="24"/>
          <w:szCs w:val="24"/>
        </w:rPr>
        <w:t>, Francis Codron</w:t>
      </w:r>
      <w:r w:rsidRPr="00DC0818">
        <w:rPr>
          <w:rFonts w:eastAsia="Times"/>
          <w:sz w:val="24"/>
          <w:szCs w:val="24"/>
          <w:vertAlign w:val="superscript"/>
        </w:rPr>
        <w:t>5</w:t>
      </w:r>
      <w:r w:rsidRPr="00DC0818">
        <w:rPr>
          <w:rFonts w:eastAsia="Times"/>
          <w:sz w:val="24"/>
          <w:szCs w:val="24"/>
        </w:rPr>
        <w:t>, Deniz Bozkurt</w:t>
      </w:r>
      <w:r w:rsidR="00BD4D05" w:rsidRPr="00DC0818">
        <w:rPr>
          <w:rFonts w:eastAsia="Times"/>
          <w:sz w:val="24"/>
          <w:szCs w:val="24"/>
          <w:vertAlign w:val="superscript"/>
        </w:rPr>
        <w:t>7,8,9</w:t>
      </w:r>
      <w:r w:rsidRPr="00DC0818">
        <w:rPr>
          <w:rFonts w:eastAsia="Times"/>
          <w:sz w:val="24"/>
          <w:szCs w:val="24"/>
        </w:rPr>
        <w:t>, Rebecca Baiman</w:t>
      </w:r>
      <w:r w:rsidR="00BD4D05" w:rsidRPr="00DC0818">
        <w:rPr>
          <w:rFonts w:eastAsia="Times"/>
          <w:sz w:val="24"/>
          <w:szCs w:val="24"/>
          <w:vertAlign w:val="superscript"/>
        </w:rPr>
        <w:t>10</w:t>
      </w:r>
      <w:r w:rsidRPr="00DC0818">
        <w:rPr>
          <w:rFonts w:eastAsia="Times"/>
          <w:sz w:val="24"/>
          <w:szCs w:val="24"/>
        </w:rPr>
        <w:t>, Andrew C. Winters</w:t>
      </w:r>
      <w:r w:rsidR="00BD4D05" w:rsidRPr="00DC0818">
        <w:rPr>
          <w:rFonts w:eastAsia="Times"/>
          <w:sz w:val="24"/>
          <w:szCs w:val="24"/>
          <w:vertAlign w:val="superscript"/>
        </w:rPr>
        <w:t>10</w:t>
      </w:r>
      <w:r w:rsidRPr="00DC0818">
        <w:rPr>
          <w:rFonts w:eastAsia="Times"/>
          <w:sz w:val="24"/>
          <w:szCs w:val="24"/>
        </w:rPr>
        <w:t>, Irina Gorodetskaya</w:t>
      </w:r>
      <w:r w:rsidR="00BD4D05" w:rsidRPr="00DC0818">
        <w:rPr>
          <w:rFonts w:eastAsia="Times"/>
          <w:sz w:val="24"/>
          <w:szCs w:val="24"/>
          <w:vertAlign w:val="superscript"/>
        </w:rPr>
        <w:t>11</w:t>
      </w:r>
      <w:r w:rsidRPr="00DC0818">
        <w:rPr>
          <w:rFonts w:eastAsia="Times"/>
          <w:sz w:val="24"/>
          <w:szCs w:val="24"/>
        </w:rPr>
        <w:t>, Tessa Vance</w:t>
      </w:r>
      <w:r w:rsidR="00BD4D05" w:rsidRPr="00DC0818">
        <w:rPr>
          <w:rFonts w:eastAsia="Times"/>
          <w:sz w:val="24"/>
          <w:szCs w:val="24"/>
          <w:vertAlign w:val="superscript"/>
        </w:rPr>
        <w:t>12,13</w:t>
      </w:r>
      <w:r w:rsidRPr="00DC0818">
        <w:rPr>
          <w:rFonts w:eastAsia="Times"/>
          <w:sz w:val="24"/>
          <w:szCs w:val="24"/>
        </w:rPr>
        <w:t>, Danielle Udy</w:t>
      </w:r>
      <w:r w:rsidR="00BD4D05" w:rsidRPr="00DC0818">
        <w:rPr>
          <w:rFonts w:eastAsia="Times"/>
          <w:sz w:val="24"/>
          <w:szCs w:val="24"/>
          <w:vertAlign w:val="superscript"/>
        </w:rPr>
        <w:t>14,15</w:t>
      </w:r>
    </w:p>
    <w:p w14:paraId="1028BB47" w14:textId="77777777" w:rsidR="008A3307" w:rsidRPr="00DC0818" w:rsidRDefault="00C7008B" w:rsidP="00DC0818">
      <w:pPr>
        <w:spacing w:line="360" w:lineRule="auto"/>
        <w:rPr>
          <w:rFonts w:eastAsia="Times"/>
          <w:sz w:val="24"/>
          <w:szCs w:val="24"/>
          <w:lang w:val="fr-FR"/>
        </w:rPr>
      </w:pPr>
      <w:r w:rsidRPr="00DC0818">
        <w:rPr>
          <w:rFonts w:eastAsia="Times"/>
          <w:sz w:val="24"/>
          <w:szCs w:val="24"/>
          <w:vertAlign w:val="superscript"/>
          <w:lang w:val="fr-FR"/>
        </w:rPr>
        <w:t>1</w:t>
      </w:r>
      <w:r w:rsidRPr="00DC0818">
        <w:rPr>
          <w:rFonts w:eastAsia="Times"/>
          <w:sz w:val="24"/>
          <w:szCs w:val="24"/>
          <w:lang w:val="fr-FR"/>
        </w:rPr>
        <w:t>Institut des Géosciences de l’Environnement, CNRS/UGA, Saint Martin d'Hères, France</w:t>
      </w:r>
    </w:p>
    <w:p w14:paraId="05A55EA0" w14:textId="77777777" w:rsidR="008A3307" w:rsidRPr="00DC0818" w:rsidRDefault="00C7008B" w:rsidP="00DC0818">
      <w:pPr>
        <w:spacing w:line="360" w:lineRule="auto"/>
        <w:rPr>
          <w:rFonts w:eastAsia="Times"/>
          <w:sz w:val="24"/>
          <w:szCs w:val="24"/>
          <w:lang w:val="fr-FR"/>
        </w:rPr>
      </w:pPr>
      <w:r w:rsidRPr="00DC0818">
        <w:rPr>
          <w:rFonts w:eastAsia="Times"/>
          <w:sz w:val="24"/>
          <w:szCs w:val="24"/>
          <w:vertAlign w:val="superscript"/>
          <w:lang w:val="fr-FR"/>
        </w:rPr>
        <w:t>2</w:t>
      </w:r>
      <w:r w:rsidRPr="00DC0818">
        <w:rPr>
          <w:rFonts w:eastAsia="Times"/>
          <w:sz w:val="24"/>
          <w:szCs w:val="24"/>
          <w:lang w:val="fr-FR"/>
        </w:rPr>
        <w:t>Ecole Normale Supérieure Paris-Saclay, Université Paris-Saclay, 91290 Gif-sur-Yvette, France</w:t>
      </w:r>
    </w:p>
    <w:p w14:paraId="342BCCB5" w14:textId="77777777" w:rsidR="008A3307" w:rsidRPr="00DC0818" w:rsidRDefault="00C7008B" w:rsidP="00DC0818">
      <w:pPr>
        <w:spacing w:line="360" w:lineRule="auto"/>
        <w:rPr>
          <w:rFonts w:eastAsia="Times"/>
          <w:sz w:val="24"/>
          <w:szCs w:val="24"/>
          <w:lang w:val="fr-FR"/>
        </w:rPr>
      </w:pPr>
      <w:r w:rsidRPr="00DC0818">
        <w:rPr>
          <w:rFonts w:eastAsia="Times"/>
          <w:sz w:val="24"/>
          <w:szCs w:val="24"/>
          <w:vertAlign w:val="superscript"/>
          <w:lang w:val="fr-FR"/>
        </w:rPr>
        <w:t>3</w:t>
      </w:r>
      <w:r w:rsidRPr="00DC0818">
        <w:rPr>
          <w:rFonts w:eastAsia="Times"/>
          <w:sz w:val="24"/>
          <w:szCs w:val="24"/>
          <w:lang w:val="fr-FR"/>
        </w:rPr>
        <w:t>Biogéosciences, UMR6282 CNRS / Université Bourgogne Europe, Dijon, France</w:t>
      </w:r>
    </w:p>
    <w:p w14:paraId="0F591885" w14:textId="77777777" w:rsidR="008A3307" w:rsidRPr="00DC0818" w:rsidRDefault="00C7008B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4</w:t>
      </w:r>
      <w:r w:rsidRPr="00DC0818">
        <w:rPr>
          <w:rFonts w:eastAsia="Times"/>
          <w:sz w:val="24"/>
          <w:szCs w:val="24"/>
        </w:rPr>
        <w:t>School of Geography, Environment and Earth Sciences, Victoria University of Wellington, Wellington, New Zealand</w:t>
      </w:r>
    </w:p>
    <w:p w14:paraId="680E54D8" w14:textId="77777777" w:rsidR="008A3307" w:rsidRPr="00DC0818" w:rsidRDefault="00C7008B" w:rsidP="00DC0818">
      <w:pPr>
        <w:spacing w:line="360" w:lineRule="auto"/>
        <w:rPr>
          <w:rFonts w:eastAsia="Times"/>
          <w:sz w:val="24"/>
          <w:szCs w:val="24"/>
          <w:lang w:val="fr-FR"/>
        </w:rPr>
      </w:pPr>
      <w:r w:rsidRPr="00DC0818">
        <w:rPr>
          <w:rFonts w:eastAsia="Times"/>
          <w:sz w:val="24"/>
          <w:szCs w:val="24"/>
          <w:vertAlign w:val="superscript"/>
          <w:lang w:val="fr-FR"/>
        </w:rPr>
        <w:t>5</w:t>
      </w:r>
      <w:r w:rsidRPr="00DC0818">
        <w:rPr>
          <w:rFonts w:eastAsia="Times"/>
          <w:sz w:val="24"/>
          <w:szCs w:val="24"/>
          <w:lang w:val="fr-FR"/>
        </w:rPr>
        <w:t>Laboratoire d'Océanographie et du Climat, LOCEAN, Sorbonne Université, CNRS, MNHN, IRD, Paris, France</w:t>
      </w:r>
    </w:p>
    <w:p w14:paraId="08D9DAF5" w14:textId="77777777" w:rsidR="008A3307" w:rsidRPr="00DC0818" w:rsidRDefault="00C7008B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6</w:t>
      </w:r>
      <w:r w:rsidRPr="00DC0818">
        <w:rPr>
          <w:rFonts w:eastAsia="Times"/>
          <w:sz w:val="24"/>
          <w:szCs w:val="24"/>
        </w:rPr>
        <w:t>Institute for Atmospheric and Climate Science, ETH Zurich, Zurich, Switzerland</w:t>
      </w:r>
    </w:p>
    <w:p w14:paraId="413FE72F" w14:textId="6629A299" w:rsidR="008A3307" w:rsidRPr="00DC0818" w:rsidRDefault="00BD4D05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7</w:t>
      </w:r>
      <w:r w:rsidR="00C7008B" w:rsidRPr="00DC0818">
        <w:rPr>
          <w:rFonts w:eastAsia="Times"/>
          <w:sz w:val="24"/>
          <w:szCs w:val="24"/>
        </w:rPr>
        <w:t xml:space="preserve"> Department of Meteorology, University of Valparaíso, Valparaíso, Chile.</w:t>
      </w:r>
    </w:p>
    <w:p w14:paraId="4B94C413" w14:textId="1B183991" w:rsidR="008A3307" w:rsidRPr="00DC0818" w:rsidRDefault="00BD4D05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8</w:t>
      </w:r>
      <w:r w:rsidR="00C7008B" w:rsidRPr="00DC0818">
        <w:rPr>
          <w:rFonts w:eastAsia="Times"/>
          <w:sz w:val="24"/>
          <w:szCs w:val="24"/>
        </w:rPr>
        <w:t xml:space="preserve"> </w:t>
      </w:r>
      <w:proofErr w:type="spellStart"/>
      <w:r w:rsidR="00C7008B" w:rsidRPr="00DC0818">
        <w:rPr>
          <w:rFonts w:eastAsia="Times"/>
          <w:sz w:val="24"/>
          <w:szCs w:val="24"/>
        </w:rPr>
        <w:t>Center</w:t>
      </w:r>
      <w:proofErr w:type="spellEnd"/>
      <w:r w:rsidR="00C7008B" w:rsidRPr="00DC0818">
        <w:rPr>
          <w:rFonts w:eastAsia="Times"/>
          <w:sz w:val="24"/>
          <w:szCs w:val="24"/>
        </w:rPr>
        <w:t xml:space="preserve"> for Climate and Resilience Research (CR)2, Santiago, Chile.</w:t>
      </w:r>
    </w:p>
    <w:p w14:paraId="2532EA1D" w14:textId="469FCBB0" w:rsidR="008A3307" w:rsidRPr="00DC0818" w:rsidRDefault="00BD4D05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9</w:t>
      </w:r>
      <w:r w:rsidR="00C7008B" w:rsidRPr="00DC0818">
        <w:rPr>
          <w:rFonts w:eastAsia="Times"/>
          <w:sz w:val="24"/>
          <w:szCs w:val="24"/>
        </w:rPr>
        <w:t xml:space="preserve"> </w:t>
      </w:r>
      <w:proofErr w:type="spellStart"/>
      <w:r w:rsidR="00C7008B" w:rsidRPr="00DC0818">
        <w:rPr>
          <w:rFonts w:eastAsia="Times"/>
          <w:sz w:val="24"/>
          <w:szCs w:val="24"/>
        </w:rPr>
        <w:t>Center</w:t>
      </w:r>
      <w:proofErr w:type="spellEnd"/>
      <w:r w:rsidR="00C7008B" w:rsidRPr="00DC0818">
        <w:rPr>
          <w:rFonts w:eastAsia="Times"/>
          <w:sz w:val="24"/>
          <w:szCs w:val="24"/>
        </w:rPr>
        <w:t xml:space="preserve"> for Oceanographic Research COPAS COASTAL, Universidad de Concepción, Concepción, Chile</w:t>
      </w:r>
    </w:p>
    <w:p w14:paraId="3594BDD0" w14:textId="551D106D" w:rsidR="00BD4D05" w:rsidRPr="00DC0818" w:rsidRDefault="00BD4D05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10</w:t>
      </w:r>
      <w:r w:rsidRPr="00DC0818">
        <w:rPr>
          <w:rFonts w:eastAsia="Times"/>
          <w:sz w:val="24"/>
          <w:szCs w:val="24"/>
        </w:rPr>
        <w:t>Department of Atmospheric and Oceanic Sciences, University of Colorado Boulder, Boulder, CO, USA</w:t>
      </w:r>
    </w:p>
    <w:p w14:paraId="0BFAF4F9" w14:textId="29EA3209" w:rsidR="00BD4D05" w:rsidRPr="00DC0818" w:rsidRDefault="00BD4D05" w:rsidP="00DC0818">
      <w:pPr>
        <w:spacing w:line="360" w:lineRule="auto"/>
        <w:rPr>
          <w:sz w:val="24"/>
          <w:szCs w:val="24"/>
          <w:lang w:val="en-US"/>
        </w:rPr>
      </w:pPr>
      <w:r w:rsidRPr="00DC0818">
        <w:rPr>
          <w:rFonts w:eastAsia="Times"/>
          <w:sz w:val="24"/>
          <w:szCs w:val="24"/>
          <w:vertAlign w:val="superscript"/>
        </w:rPr>
        <w:t>11</w:t>
      </w:r>
      <w:r w:rsidR="00736465" w:rsidRPr="00DC0818">
        <w:rPr>
          <w:rFonts w:eastAsia="Times"/>
          <w:sz w:val="24"/>
          <w:szCs w:val="24"/>
        </w:rPr>
        <w:t>CIIMAR - In</w:t>
      </w:r>
      <w:proofErr w:type="spellStart"/>
      <w:r w:rsidR="00736465" w:rsidRPr="00DC0818">
        <w:rPr>
          <w:color w:val="000000"/>
          <w:sz w:val="24"/>
          <w:szCs w:val="24"/>
          <w:lang w:val="en-US"/>
        </w:rPr>
        <w:t>terdisciplinary</w:t>
      </w:r>
      <w:proofErr w:type="spellEnd"/>
      <w:r w:rsidR="00736465" w:rsidRPr="00DC0818">
        <w:rPr>
          <w:color w:val="000000"/>
          <w:sz w:val="24"/>
          <w:szCs w:val="24"/>
          <w:lang w:val="en-US"/>
        </w:rPr>
        <w:t xml:space="preserve"> Centre of Marine and Environmental Research</w:t>
      </w:r>
      <w:r w:rsidR="00736465" w:rsidRPr="00DC0818">
        <w:rPr>
          <w:color w:val="000000"/>
          <w:sz w:val="24"/>
          <w:szCs w:val="24"/>
          <w:lang w:val="en-US"/>
        </w:rPr>
        <w:br/>
        <w:t>of the University of Porto, Matosinhos, Portugal</w:t>
      </w:r>
    </w:p>
    <w:p w14:paraId="5FC13C07" w14:textId="3C721EC2" w:rsidR="00BD4D05" w:rsidRPr="00DC0818" w:rsidRDefault="00BD4D05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12</w:t>
      </w:r>
      <w:r w:rsidRPr="00DC0818">
        <w:rPr>
          <w:rFonts w:eastAsia="Times"/>
          <w:sz w:val="24"/>
          <w:szCs w:val="24"/>
        </w:rPr>
        <w:t xml:space="preserve">Australian Antarctic Program Partnership, Institute for Marine &amp; Antarctic Studies, University of Tasmania, Battery Point, Tasmania, </w:t>
      </w:r>
      <w:proofErr w:type="gramStart"/>
      <w:r w:rsidRPr="00DC0818">
        <w:rPr>
          <w:rFonts w:eastAsia="Times"/>
          <w:sz w:val="24"/>
          <w:szCs w:val="24"/>
        </w:rPr>
        <w:t>Australia  7004</w:t>
      </w:r>
      <w:proofErr w:type="gramEnd"/>
    </w:p>
    <w:p w14:paraId="1328CF02" w14:textId="47AC6A2D" w:rsidR="00BD4D05" w:rsidRPr="00DC0818" w:rsidRDefault="00BD4D05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13</w:t>
      </w:r>
      <w:r w:rsidRPr="00DC0818">
        <w:rPr>
          <w:rFonts w:eastAsia="Times"/>
          <w:sz w:val="24"/>
          <w:szCs w:val="24"/>
        </w:rPr>
        <w:t>Australian Antarctic Division, Channel Highway, Kingston Tasmania. Australia 7050</w:t>
      </w:r>
    </w:p>
    <w:p w14:paraId="2D4C32E1" w14:textId="37DBF128" w:rsidR="008A3307" w:rsidRPr="00DC0818" w:rsidRDefault="00736465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14</w:t>
      </w:r>
      <w:r w:rsidRPr="00DC0818">
        <w:rPr>
          <w:rFonts w:eastAsia="Times"/>
          <w:sz w:val="24"/>
          <w:szCs w:val="24"/>
        </w:rPr>
        <w:t>I</w:t>
      </w:r>
      <w:r w:rsidR="00C7008B" w:rsidRPr="00DC0818">
        <w:rPr>
          <w:rFonts w:eastAsia="Times"/>
          <w:sz w:val="24"/>
          <w:szCs w:val="24"/>
        </w:rPr>
        <w:t>nstitute for Marine &amp; Antarctic Studies, University of Tasmania, Hobart, Tasmania, Australia</w:t>
      </w:r>
    </w:p>
    <w:p w14:paraId="7F74466F" w14:textId="0855628F" w:rsidR="008A3307" w:rsidRPr="00DC0818" w:rsidRDefault="00BD4D05" w:rsidP="005F3088">
      <w:pPr>
        <w:spacing w:after="360"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  <w:vertAlign w:val="superscript"/>
        </w:rPr>
        <w:t>15</w:t>
      </w:r>
      <w:r w:rsidR="00C7008B" w:rsidRPr="00DC0818">
        <w:rPr>
          <w:rFonts w:eastAsia="Times"/>
          <w:sz w:val="24"/>
          <w:szCs w:val="24"/>
        </w:rPr>
        <w:t>Australian Centre for Excellence in Antarctic Science, University of Tasmania, Hobart, Tasmania, Australia</w:t>
      </w:r>
    </w:p>
    <w:p w14:paraId="7D7A984A" w14:textId="5E1F0C7C" w:rsidR="00E164FE" w:rsidRDefault="00C7008B" w:rsidP="005F3088">
      <w:pPr>
        <w:spacing w:line="360" w:lineRule="auto"/>
        <w:rPr>
          <w:sz w:val="24"/>
          <w:szCs w:val="24"/>
        </w:rPr>
      </w:pPr>
      <w:r w:rsidRPr="00DC0818">
        <w:rPr>
          <w:rFonts w:eastAsia="Times"/>
          <w:sz w:val="24"/>
          <w:szCs w:val="24"/>
        </w:rPr>
        <w:t>*authors contributed equally to the present article.</w:t>
      </w:r>
      <w:r w:rsidR="00E164FE">
        <w:rPr>
          <w:sz w:val="24"/>
          <w:szCs w:val="24"/>
        </w:rPr>
        <w:br w:type="page"/>
      </w:r>
    </w:p>
    <w:p w14:paraId="01771C0B" w14:textId="513D1175" w:rsidR="008A3307" w:rsidRPr="00DC0818" w:rsidRDefault="00C7008B" w:rsidP="005F3088">
      <w:pPr>
        <w:widowControl w:val="0"/>
        <w:spacing w:after="600"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b/>
          <w:sz w:val="24"/>
          <w:szCs w:val="24"/>
        </w:rPr>
        <w:lastRenderedPageBreak/>
        <w:t>Supplementary information</w:t>
      </w:r>
    </w:p>
    <w:p w14:paraId="517B7E47" w14:textId="70C41504" w:rsidR="008A3307" w:rsidRPr="00DC0818" w:rsidRDefault="00C7008B" w:rsidP="00DC0818">
      <w:pPr>
        <w:spacing w:line="360" w:lineRule="auto"/>
        <w:rPr>
          <w:rFonts w:eastAsia="Times"/>
          <w:b/>
          <w:sz w:val="24"/>
          <w:szCs w:val="24"/>
        </w:rPr>
      </w:pPr>
      <w:r w:rsidRPr="00DC0818">
        <w:rPr>
          <w:rFonts w:eastAsia="Times"/>
          <w:b/>
          <w:sz w:val="24"/>
          <w:szCs w:val="24"/>
        </w:rPr>
        <w:t xml:space="preserve">Supplementary Table 1: TX10 trends and significance </w:t>
      </w:r>
      <w:r w:rsidR="00CF3E9A" w:rsidRPr="00CF3E9A">
        <w:rPr>
          <w:b/>
          <w:sz w:val="24"/>
          <w:szCs w:val="24"/>
        </w:rPr>
        <w:t>at the 90% confidence level</w:t>
      </w:r>
      <w:r w:rsidR="00CF3E9A">
        <w:rPr>
          <w:b/>
          <w:sz w:val="24"/>
          <w:szCs w:val="24"/>
        </w:rPr>
        <w:t xml:space="preserve"> </w:t>
      </w:r>
      <w:r w:rsidRPr="00DC0818">
        <w:rPr>
          <w:rFonts w:eastAsia="Times"/>
          <w:b/>
          <w:sz w:val="24"/>
          <w:szCs w:val="24"/>
        </w:rPr>
        <w:t>over 1980-2020</w:t>
      </w:r>
      <w:r w:rsidR="00F26694">
        <w:rPr>
          <w:rFonts w:eastAsia="Times"/>
          <w:b/>
          <w:sz w:val="24"/>
          <w:szCs w:val="24"/>
        </w:rPr>
        <w:t xml:space="preserve"> and the entire period with data</w:t>
      </w:r>
    </w:p>
    <w:tbl>
      <w:tblPr>
        <w:tblW w:w="7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1600"/>
        <w:gridCol w:w="1240"/>
        <w:gridCol w:w="1920"/>
        <w:gridCol w:w="1240"/>
      </w:tblGrid>
      <w:tr w:rsidR="00233540" w:rsidRPr="00DC0818" w14:paraId="3F72F9E0" w14:textId="77777777" w:rsidTr="008F2E44">
        <w:trPr>
          <w:trHeight w:val="288"/>
        </w:trPr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D2BD1F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DC0818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ADFB7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Trend 1980-2021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940C3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DC0818">
              <w:rPr>
                <w:color w:val="000000"/>
                <w:sz w:val="24"/>
                <w:szCs w:val="24"/>
                <w:lang w:val="fr-FR"/>
              </w:rPr>
              <w:t>significant</w:t>
            </w:r>
            <w:proofErr w:type="spellEnd"/>
            <w:proofErr w:type="gramEnd"/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A4B47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Trend (</w:t>
            </w: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entire</w:t>
            </w:r>
            <w:proofErr w:type="spellEnd"/>
            <w:r w:rsidRPr="00DC0818">
              <w:rPr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period</w:t>
            </w:r>
            <w:proofErr w:type="spellEnd"/>
            <w:r w:rsidRPr="00DC0818">
              <w:rPr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AB9B55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DC0818">
              <w:rPr>
                <w:color w:val="000000"/>
                <w:sz w:val="24"/>
                <w:szCs w:val="24"/>
                <w:lang w:val="fr-FR"/>
              </w:rPr>
              <w:t>significant</w:t>
            </w:r>
            <w:proofErr w:type="spellEnd"/>
            <w:proofErr w:type="gramEnd"/>
          </w:p>
        </w:tc>
      </w:tr>
      <w:tr w:rsidR="00233540" w:rsidRPr="00DC0818" w14:paraId="0616E0D8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8D2BA" w14:textId="7A2E8CCD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Amundsen</w:t>
            </w:r>
            <w:r w:rsidR="00A03121">
              <w:rPr>
                <w:color w:val="000000"/>
                <w:sz w:val="24"/>
                <w:szCs w:val="24"/>
                <w:lang w:val="fr-FR"/>
              </w:rPr>
              <w:t xml:space="preserve"> </w:t>
            </w:r>
            <w:r w:rsidRPr="00DC0818">
              <w:rPr>
                <w:color w:val="000000"/>
                <w:sz w:val="24"/>
                <w:szCs w:val="24"/>
                <w:lang w:val="fr-FR"/>
              </w:rPr>
              <w:t>Scott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906E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1,19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BBEBD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1302C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20E2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734C7358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C61B0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Casey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C5EA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7EB9C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6895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F2432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5B880DC1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1E76F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Concordia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87FE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F1D4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20EC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D725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44633517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48E04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Davis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8EE52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B827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94F1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D391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68BD2163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88D1F" w14:textId="164F4F1D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Dumont</w:t>
            </w:r>
            <w:r w:rsidR="00A03121">
              <w:rPr>
                <w:color w:val="000000"/>
                <w:sz w:val="24"/>
                <w:szCs w:val="24"/>
                <w:lang w:val="fr-FR"/>
              </w:rPr>
              <w:t xml:space="preserve"> d’U</w:t>
            </w:r>
            <w:r w:rsidRPr="00DC0818">
              <w:rPr>
                <w:color w:val="000000"/>
                <w:sz w:val="24"/>
                <w:szCs w:val="24"/>
                <w:lang w:val="fr-FR"/>
              </w:rPr>
              <w:t>rville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AA8F7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0E93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0BD60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DDB2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24F82022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6B1F9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Esperanza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6839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2DB12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B299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0,50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8516A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2DEC0EF1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57CE9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Halley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5D83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40967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964F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372E8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1E69A993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5F32A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Marambio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E7445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0,88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F1EA8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7F79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21D4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310F0E3B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B2725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Mawson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99FD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6D0ED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A06AA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E772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55AC21A5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1C434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McMurdo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0BF68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BBB5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DF7A8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2AAB8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7C650C67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397C0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Neumayer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16E4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159BC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C725C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C3760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70334FD6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9C3E7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Novolazarevskaya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D51C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-0,35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634F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B28D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9DD80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76243A9D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0610C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Rothera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7C3CD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F836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046C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91E8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7EB31BFA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98D9F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Syowa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AFEE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0C9B7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7525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F8E4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158FC7A4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54E44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Vernadsky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857B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9556D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F29E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7BE6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13E3CE20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EA92BA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Vostok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0BD39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C148E2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15D7B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00C07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 </w:t>
            </w:r>
          </w:p>
        </w:tc>
      </w:tr>
    </w:tbl>
    <w:p w14:paraId="0AAA4EA8" w14:textId="7B056D97" w:rsidR="00B7223F" w:rsidRPr="00DC0818" w:rsidRDefault="00B7223F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</w:rPr>
        <w:br w:type="page"/>
      </w:r>
    </w:p>
    <w:p w14:paraId="38DD8F80" w14:textId="369CECA4" w:rsidR="008A3307" w:rsidRPr="00DC0818" w:rsidRDefault="00C7008B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b/>
          <w:sz w:val="24"/>
          <w:szCs w:val="24"/>
        </w:rPr>
        <w:lastRenderedPageBreak/>
        <w:t xml:space="preserve">Supplementary Table 2: </w:t>
      </w:r>
      <w:r w:rsidR="00F26694">
        <w:rPr>
          <w:rFonts w:eastAsia="Times"/>
          <w:b/>
          <w:sz w:val="24"/>
          <w:szCs w:val="24"/>
        </w:rPr>
        <w:t>A</w:t>
      </w:r>
      <w:r w:rsidR="00F26694" w:rsidRPr="00DC0818">
        <w:rPr>
          <w:rFonts w:eastAsia="Times"/>
          <w:b/>
          <w:sz w:val="24"/>
          <w:szCs w:val="24"/>
        </w:rPr>
        <w:t>TX10 trends and significance</w:t>
      </w:r>
      <w:r w:rsidR="00CF3E9A">
        <w:rPr>
          <w:rFonts w:eastAsia="Times"/>
          <w:b/>
          <w:sz w:val="24"/>
          <w:szCs w:val="24"/>
        </w:rPr>
        <w:t xml:space="preserve"> </w:t>
      </w:r>
      <w:r w:rsidR="00CF3E9A" w:rsidRPr="00CF3E9A">
        <w:rPr>
          <w:b/>
          <w:sz w:val="24"/>
          <w:szCs w:val="24"/>
        </w:rPr>
        <w:t>at the 90% confidence level</w:t>
      </w:r>
      <w:r w:rsidR="00F26694" w:rsidRPr="00DC0818">
        <w:rPr>
          <w:rFonts w:eastAsia="Times"/>
          <w:b/>
          <w:sz w:val="24"/>
          <w:szCs w:val="24"/>
        </w:rPr>
        <w:t xml:space="preserve"> over 1980-2020</w:t>
      </w:r>
      <w:r w:rsidR="00F26694">
        <w:rPr>
          <w:rFonts w:eastAsia="Times"/>
          <w:b/>
          <w:sz w:val="24"/>
          <w:szCs w:val="24"/>
        </w:rPr>
        <w:t xml:space="preserve"> and the entire period with data</w:t>
      </w:r>
    </w:p>
    <w:tbl>
      <w:tblPr>
        <w:tblW w:w="8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1942"/>
        <w:gridCol w:w="1240"/>
        <w:gridCol w:w="2162"/>
        <w:gridCol w:w="1240"/>
      </w:tblGrid>
      <w:tr w:rsidR="00233540" w:rsidRPr="00DC0818" w14:paraId="58982760" w14:textId="77777777" w:rsidTr="008F2E44">
        <w:trPr>
          <w:trHeight w:val="288"/>
        </w:trPr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AC26BB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DC0818">
              <w:rPr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56960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Trend 1980-2021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C61F9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DC0818">
              <w:rPr>
                <w:color w:val="000000"/>
                <w:sz w:val="24"/>
                <w:szCs w:val="24"/>
                <w:lang w:val="fr-FR"/>
              </w:rPr>
              <w:t>significant</w:t>
            </w:r>
            <w:proofErr w:type="spellEnd"/>
            <w:proofErr w:type="gramEnd"/>
            <w:r w:rsidRPr="00DC0818">
              <w:rPr>
                <w:color w:val="000000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B70BF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Trend (</w:t>
            </w: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entire</w:t>
            </w:r>
            <w:proofErr w:type="spellEnd"/>
            <w:r w:rsidRPr="00DC0818">
              <w:rPr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period</w:t>
            </w:r>
            <w:proofErr w:type="spellEnd"/>
            <w:r w:rsidRPr="00DC0818">
              <w:rPr>
                <w:color w:val="000000"/>
                <w:sz w:val="24"/>
                <w:szCs w:val="24"/>
                <w:lang w:val="fr-FR"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54003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DC0818">
              <w:rPr>
                <w:color w:val="000000"/>
                <w:sz w:val="24"/>
                <w:szCs w:val="24"/>
                <w:lang w:val="fr-FR"/>
              </w:rPr>
              <w:t>significant</w:t>
            </w:r>
            <w:proofErr w:type="spellEnd"/>
            <w:proofErr w:type="gramEnd"/>
          </w:p>
        </w:tc>
      </w:tr>
      <w:tr w:rsidR="00233540" w:rsidRPr="00DC0818" w14:paraId="0564B5FF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B63F7" w14:textId="3848F6B2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Amundsen</w:t>
            </w:r>
            <w:r w:rsidR="00A03121">
              <w:rPr>
                <w:color w:val="000000"/>
                <w:sz w:val="24"/>
                <w:szCs w:val="24"/>
                <w:lang w:val="fr-FR"/>
              </w:rPr>
              <w:t xml:space="preserve"> </w:t>
            </w:r>
            <w:r w:rsidRPr="00DC0818">
              <w:rPr>
                <w:color w:val="000000"/>
                <w:sz w:val="24"/>
                <w:szCs w:val="24"/>
                <w:lang w:val="fr-FR"/>
              </w:rPr>
              <w:t>Scott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6EF9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3680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A901D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76B85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 </w:t>
            </w:r>
          </w:p>
        </w:tc>
      </w:tr>
      <w:tr w:rsidR="00233540" w:rsidRPr="00DC0818" w14:paraId="644C79BC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6A19A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Casey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239A2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9C787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8716A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3D48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70D1CE3F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6FA76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Concordia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3608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BD957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DA975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AD8F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656186D4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23D59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Davis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85FE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4730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D4695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98BB5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64B4CC4E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E5851" w14:textId="753CFF84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Dumont</w:t>
            </w:r>
            <w:r w:rsidR="00A03121">
              <w:rPr>
                <w:color w:val="000000"/>
                <w:sz w:val="24"/>
                <w:szCs w:val="24"/>
                <w:lang w:val="fr-FR"/>
              </w:rPr>
              <w:t xml:space="preserve"> d’U</w:t>
            </w:r>
            <w:r w:rsidRPr="00DC0818">
              <w:rPr>
                <w:color w:val="000000"/>
                <w:sz w:val="24"/>
                <w:szCs w:val="24"/>
                <w:lang w:val="fr-FR"/>
              </w:rPr>
              <w:t>rville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F0B72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6DD18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CC2E7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DE20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37640678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EBB29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Esperanza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EB9C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B1098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85B42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1A3C2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3C2C4FB1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8FDE4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Halley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0D49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7961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6D5C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3840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1B849DEB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A02A9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Marambio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4BA3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8283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ACEB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0,33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855E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5C7821C1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B04C8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Mawson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34047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5B28A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F54A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FD341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2487E67E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3CB59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McMurdo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CCDD5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1163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DC112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4DD3A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196E102E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2433F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Neumayer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A88B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B196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BB26E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9109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6FE7334B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F6557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Novolazarevskaya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F9007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512B7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BDCD5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-0,07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3CCDD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</w:tr>
      <w:tr w:rsidR="00233540" w:rsidRPr="00DC0818" w14:paraId="3AE82192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520FF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Rothera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F95BB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FD82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483B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D2598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56BB5BAF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CA059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Syowa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06D0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327D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D3B54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9CA8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504F6CBA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91CB7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Vernadsky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F9803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7648F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9A800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0,10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EF0FA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TRUE</w:t>
            </w:r>
          </w:p>
        </w:tc>
      </w:tr>
      <w:tr w:rsidR="00233540" w:rsidRPr="00DC0818" w14:paraId="3C5D3FAA" w14:textId="77777777" w:rsidTr="008F2E44">
        <w:trPr>
          <w:trHeight w:val="288"/>
        </w:trPr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0B0778" w14:textId="77777777" w:rsidR="00233540" w:rsidRPr="00DC0818" w:rsidRDefault="00233540" w:rsidP="006643A8">
            <w:pPr>
              <w:spacing w:line="240" w:lineRule="auto"/>
              <w:jc w:val="left"/>
              <w:rPr>
                <w:color w:val="000000"/>
                <w:sz w:val="24"/>
                <w:szCs w:val="24"/>
                <w:lang w:val="fr-FR"/>
              </w:rPr>
            </w:pPr>
            <w:proofErr w:type="spellStart"/>
            <w:r w:rsidRPr="00DC0818">
              <w:rPr>
                <w:color w:val="000000"/>
                <w:sz w:val="24"/>
                <w:szCs w:val="24"/>
                <w:lang w:val="fr-FR"/>
              </w:rPr>
              <w:t>Vostok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2A4FA6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3E70F8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808F85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-0,15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0EA859" w14:textId="77777777" w:rsidR="00233540" w:rsidRPr="00DC0818" w:rsidRDefault="00233540" w:rsidP="006643A8">
            <w:pPr>
              <w:spacing w:line="240" w:lineRule="auto"/>
              <w:jc w:val="center"/>
              <w:rPr>
                <w:color w:val="000000"/>
                <w:sz w:val="24"/>
                <w:szCs w:val="24"/>
                <w:lang w:val="fr-FR"/>
              </w:rPr>
            </w:pPr>
            <w:r w:rsidRPr="00DC0818">
              <w:rPr>
                <w:color w:val="000000"/>
                <w:sz w:val="24"/>
                <w:szCs w:val="24"/>
                <w:lang w:val="fr-FR"/>
              </w:rPr>
              <w:t> </w:t>
            </w:r>
          </w:p>
        </w:tc>
      </w:tr>
    </w:tbl>
    <w:p w14:paraId="35C5FE16" w14:textId="5BF2E09C" w:rsidR="00B7223F" w:rsidRPr="00DC0818" w:rsidRDefault="00B7223F" w:rsidP="00DC0818">
      <w:pPr>
        <w:spacing w:line="360" w:lineRule="auto"/>
        <w:rPr>
          <w:rFonts w:eastAsia="Times"/>
          <w:sz w:val="24"/>
          <w:szCs w:val="24"/>
        </w:rPr>
      </w:pPr>
      <w:r w:rsidRPr="00DC0818">
        <w:rPr>
          <w:rFonts w:eastAsia="Times"/>
          <w:sz w:val="24"/>
          <w:szCs w:val="24"/>
        </w:rPr>
        <w:br w:type="page"/>
      </w:r>
    </w:p>
    <w:p w14:paraId="6AAC4DBF" w14:textId="7CFC94F3" w:rsidR="008A3307" w:rsidRPr="00DC0818" w:rsidRDefault="00C7008B" w:rsidP="00DC08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rFonts w:eastAsia="Times"/>
          <w:b/>
          <w:sz w:val="24"/>
          <w:szCs w:val="24"/>
        </w:rPr>
      </w:pPr>
      <w:r w:rsidRPr="00DC0818">
        <w:rPr>
          <w:rFonts w:eastAsia="Times"/>
          <w:b/>
          <w:sz w:val="24"/>
          <w:szCs w:val="24"/>
        </w:rPr>
        <w:lastRenderedPageBreak/>
        <w:t>Supplementary Figures</w:t>
      </w:r>
    </w:p>
    <w:p w14:paraId="7D7D5097" w14:textId="77777777" w:rsidR="00921775" w:rsidRPr="00DC0818" w:rsidRDefault="00921775" w:rsidP="00921775">
      <w:pPr>
        <w:widowControl w:val="0"/>
        <w:spacing w:line="360" w:lineRule="auto"/>
        <w:ind w:left="720"/>
        <w:rPr>
          <w:rFonts w:eastAsia="Times"/>
          <w:sz w:val="24"/>
          <w:szCs w:val="24"/>
        </w:rPr>
      </w:pPr>
      <w:bookmarkStart w:id="1" w:name="_y715ojky43je" w:colFirst="0" w:colLast="0"/>
      <w:bookmarkEnd w:id="1"/>
      <w:r w:rsidRPr="00DC0818">
        <w:rPr>
          <w:rFonts w:eastAsia="Times"/>
          <w:noProof/>
          <w:sz w:val="24"/>
          <w:szCs w:val="24"/>
        </w:rPr>
        <w:drawing>
          <wp:inline distT="114300" distB="114300" distL="114300" distR="114300" wp14:anchorId="7DE42C66" wp14:editId="35884FAC">
            <wp:extent cx="5787413" cy="5832850"/>
            <wp:effectExtent l="0" t="0" r="381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7180" cy="5842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9BB53" w14:textId="12312608" w:rsidR="00921775" w:rsidRDefault="00921775" w:rsidP="00921775">
      <w:pPr>
        <w:widowControl w:val="0"/>
        <w:spacing w:line="360" w:lineRule="auto"/>
        <w:rPr>
          <w:sz w:val="24"/>
          <w:szCs w:val="24"/>
        </w:rPr>
      </w:pPr>
      <w:r w:rsidRPr="00DC0818">
        <w:rPr>
          <w:rFonts w:eastAsia="Times"/>
          <w:b/>
          <w:sz w:val="24"/>
          <w:szCs w:val="24"/>
        </w:rPr>
        <w:t xml:space="preserve">Supplementary Figure </w:t>
      </w:r>
      <w:r w:rsidR="00C30730">
        <w:rPr>
          <w:rFonts w:eastAsia="Times"/>
          <w:b/>
          <w:sz w:val="24"/>
          <w:szCs w:val="24"/>
        </w:rPr>
        <w:t>1</w:t>
      </w:r>
      <w:r w:rsidRPr="00DC0818">
        <w:rPr>
          <w:rFonts w:eastAsia="Times"/>
          <w:b/>
          <w:sz w:val="24"/>
          <w:szCs w:val="24"/>
        </w:rPr>
        <w:t xml:space="preserve">: </w:t>
      </w:r>
      <w:r w:rsidRPr="00DC0818">
        <w:rPr>
          <w:b/>
          <w:sz w:val="24"/>
          <w:szCs w:val="24"/>
        </w:rPr>
        <w:t>Role of AR trends in the variations of high temperature events</w:t>
      </w:r>
      <w:r w:rsidRPr="00DC0818">
        <w:rPr>
          <w:rFonts w:eastAsia="Times"/>
          <w:b/>
          <w:sz w:val="24"/>
          <w:szCs w:val="24"/>
        </w:rPr>
        <w:t xml:space="preserve"> </w:t>
      </w:r>
      <w:r>
        <w:rPr>
          <w:rFonts w:eastAsia="Times"/>
          <w:b/>
          <w:sz w:val="24"/>
          <w:szCs w:val="24"/>
        </w:rPr>
        <w:t xml:space="preserve">- </w:t>
      </w:r>
      <w:r w:rsidRPr="00DC0818">
        <w:rPr>
          <w:rFonts w:eastAsia="Times"/>
          <w:b/>
          <w:sz w:val="24"/>
          <w:szCs w:val="24"/>
        </w:rPr>
        <w:t xml:space="preserve">Same as Figure 2 but </w:t>
      </w:r>
      <w:r w:rsidRPr="00DC0818">
        <w:rPr>
          <w:b/>
          <w:sz w:val="24"/>
          <w:szCs w:val="24"/>
        </w:rPr>
        <w:t>with AR from MERRA</w:t>
      </w:r>
      <w:r>
        <w:rPr>
          <w:b/>
          <w:sz w:val="24"/>
          <w:szCs w:val="24"/>
        </w:rPr>
        <w:t>-</w:t>
      </w:r>
      <w:r w:rsidRPr="00DC0818">
        <w:rPr>
          <w:b/>
          <w:sz w:val="24"/>
          <w:szCs w:val="24"/>
        </w:rPr>
        <w:t>2</w:t>
      </w:r>
      <w:r w:rsidRPr="00DC0818">
        <w:rPr>
          <w:sz w:val="24"/>
          <w:szCs w:val="24"/>
        </w:rPr>
        <w:t>. For all sites: (a) Trends in the annual detection rate of ARs in ERA5, MERRA</w:t>
      </w:r>
      <w:r>
        <w:rPr>
          <w:sz w:val="24"/>
          <w:szCs w:val="24"/>
        </w:rPr>
        <w:t>-</w:t>
      </w:r>
      <w:r w:rsidRPr="00DC0818">
        <w:rPr>
          <w:sz w:val="24"/>
          <w:szCs w:val="24"/>
        </w:rPr>
        <w:t>2, and ERA5-MERRA</w:t>
      </w:r>
      <w:r>
        <w:rPr>
          <w:sz w:val="24"/>
          <w:szCs w:val="24"/>
        </w:rPr>
        <w:t>-</w:t>
      </w:r>
      <w:r w:rsidRPr="00DC0818">
        <w:rPr>
          <w:sz w:val="24"/>
          <w:szCs w:val="24"/>
        </w:rPr>
        <w:t>2 (squares from left to right). (b) Trends in the detection rate of ARs in MERRA</w:t>
      </w:r>
      <w:r>
        <w:rPr>
          <w:sz w:val="24"/>
          <w:szCs w:val="24"/>
        </w:rPr>
        <w:t>-</w:t>
      </w:r>
      <w:r w:rsidRPr="00DC0818">
        <w:rPr>
          <w:sz w:val="24"/>
          <w:szCs w:val="24"/>
        </w:rPr>
        <w:t>2 associated with temperatures and temperature anomalies exceeding the 99th percentile (T99 and AT99, respectively, squares from left to right). (c) Trends in the probability of detecting an AR during a high temperature event (here T99 or AT99) in MERRA</w:t>
      </w:r>
      <w:r>
        <w:rPr>
          <w:sz w:val="24"/>
          <w:szCs w:val="24"/>
        </w:rPr>
        <w:t>-</w:t>
      </w:r>
      <w:r w:rsidRPr="00DC0818">
        <w:rPr>
          <w:sz w:val="24"/>
          <w:szCs w:val="24"/>
        </w:rPr>
        <w:t>2 (squares from left to right). (d) Trends in the probability of a high temperature event (here T99 and AT99, squares from left to right) occurring during an AR detection in MERRA</w:t>
      </w:r>
      <w:r>
        <w:rPr>
          <w:sz w:val="24"/>
          <w:szCs w:val="24"/>
        </w:rPr>
        <w:t>-</w:t>
      </w:r>
      <w:r w:rsidRPr="00DC0818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DC0818">
        <w:rPr>
          <w:rFonts w:eastAsia="Times"/>
          <w:sz w:val="24"/>
          <w:szCs w:val="24"/>
        </w:rPr>
        <w:t>The size of the box is changing linearly with the trend, with reference size</w:t>
      </w:r>
      <w:r>
        <w:rPr>
          <w:rFonts w:eastAsia="Times"/>
          <w:sz w:val="24"/>
          <w:szCs w:val="24"/>
        </w:rPr>
        <w:t>s</w:t>
      </w:r>
      <w:r w:rsidRPr="00DC0818">
        <w:rPr>
          <w:rFonts w:eastAsia="Times"/>
          <w:sz w:val="24"/>
          <w:szCs w:val="24"/>
        </w:rPr>
        <w:t xml:space="preserve"> as given in the lower right side of each figure.</w:t>
      </w:r>
    </w:p>
    <w:p w14:paraId="03FAB39D" w14:textId="77777777" w:rsidR="007066E8" w:rsidRPr="00DC0818" w:rsidRDefault="007066E8" w:rsidP="007066E8">
      <w:pPr>
        <w:pStyle w:val="Titre3"/>
        <w:keepNext w:val="0"/>
        <w:keepLines w:val="0"/>
        <w:widowControl w:val="0"/>
        <w:spacing w:line="360" w:lineRule="auto"/>
        <w:ind w:left="-20"/>
        <w:jc w:val="center"/>
        <w:rPr>
          <w:rFonts w:eastAsia="Times"/>
          <w:sz w:val="24"/>
          <w:szCs w:val="24"/>
        </w:rPr>
      </w:pPr>
      <w:r w:rsidRPr="00DC0818">
        <w:rPr>
          <w:rFonts w:eastAsia="Times"/>
          <w:noProof/>
          <w:sz w:val="24"/>
          <w:szCs w:val="24"/>
        </w:rPr>
        <w:lastRenderedPageBreak/>
        <w:drawing>
          <wp:inline distT="114300" distB="114300" distL="114300" distR="114300" wp14:anchorId="1D8971BE" wp14:editId="3CDD51ED">
            <wp:extent cx="6480075" cy="4851400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75" cy="485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95332" w14:textId="23D1890F" w:rsidR="007066E8" w:rsidRPr="00DC0818" w:rsidRDefault="007066E8" w:rsidP="007066E8">
      <w:pPr>
        <w:pStyle w:val="Titre3"/>
        <w:keepNext w:val="0"/>
        <w:keepLines w:val="0"/>
        <w:widowControl w:val="0"/>
        <w:spacing w:line="360" w:lineRule="auto"/>
        <w:ind w:left="-20"/>
        <w:rPr>
          <w:b w:val="0"/>
          <w:sz w:val="24"/>
          <w:szCs w:val="24"/>
        </w:rPr>
      </w:pPr>
      <w:bookmarkStart w:id="2" w:name="_ysn6k3yq1s7n" w:colFirst="0" w:colLast="0"/>
      <w:bookmarkEnd w:id="2"/>
      <w:r>
        <w:rPr>
          <w:sz w:val="24"/>
          <w:szCs w:val="24"/>
        </w:rPr>
        <w:t>Supplementary</w:t>
      </w:r>
      <w:r w:rsidRPr="00DC0818">
        <w:rPr>
          <w:sz w:val="24"/>
          <w:szCs w:val="24"/>
        </w:rPr>
        <w:t xml:space="preserve"> Figure </w:t>
      </w:r>
      <w:r w:rsidR="00C30730">
        <w:rPr>
          <w:sz w:val="24"/>
          <w:szCs w:val="24"/>
        </w:rPr>
        <w:t>2</w:t>
      </w:r>
      <w:r w:rsidRPr="00DC0818">
        <w:rPr>
          <w:sz w:val="24"/>
          <w:szCs w:val="24"/>
        </w:rPr>
        <w:t xml:space="preserve">: Differences in large scale flow </w:t>
      </w:r>
      <w:r>
        <w:rPr>
          <w:sz w:val="24"/>
          <w:szCs w:val="24"/>
        </w:rPr>
        <w:t xml:space="preserve">anomalies during </w:t>
      </w:r>
      <w:r w:rsidRPr="00DC0818">
        <w:rPr>
          <w:sz w:val="24"/>
          <w:szCs w:val="24"/>
        </w:rPr>
        <w:t xml:space="preserve">Tx at Esperanza and </w:t>
      </w:r>
      <w:proofErr w:type="spellStart"/>
      <w:r w:rsidRPr="00DC0818">
        <w:rPr>
          <w:sz w:val="24"/>
          <w:szCs w:val="24"/>
        </w:rPr>
        <w:t>Vernadsky</w:t>
      </w:r>
      <w:proofErr w:type="spellEnd"/>
      <w:r w:rsidRPr="00DC0818">
        <w:rPr>
          <w:sz w:val="24"/>
          <w:szCs w:val="24"/>
        </w:rPr>
        <w:t xml:space="preserve"> associated with ARs. </w:t>
      </w:r>
      <w:r w:rsidRPr="00DC0818">
        <w:rPr>
          <w:b w:val="0"/>
          <w:sz w:val="24"/>
          <w:szCs w:val="24"/>
        </w:rPr>
        <w:t xml:space="preserve">Panels present the difference in composite anomalies between Esperanza </w:t>
      </w:r>
      <w:r w:rsidRPr="00DC0818">
        <w:rPr>
          <w:rFonts w:eastAsia="Times"/>
          <w:b w:val="0"/>
          <w:sz w:val="24"/>
          <w:szCs w:val="24"/>
        </w:rPr>
        <w:t xml:space="preserve">(accounting for 23 AR events) and </w:t>
      </w:r>
      <w:r w:rsidRPr="00DC0818">
        <w:rPr>
          <w:b w:val="0"/>
          <w:sz w:val="24"/>
          <w:szCs w:val="24"/>
        </w:rPr>
        <w:t xml:space="preserve">Vernadsky </w:t>
      </w:r>
      <w:r w:rsidRPr="00DC0818">
        <w:rPr>
          <w:rFonts w:eastAsia="Times"/>
          <w:b w:val="0"/>
          <w:sz w:val="24"/>
          <w:szCs w:val="24"/>
        </w:rPr>
        <w:t>(accounting for 24 AR events)</w:t>
      </w:r>
      <w:r>
        <w:rPr>
          <w:rFonts w:eastAsia="Times"/>
          <w:b w:val="0"/>
          <w:sz w:val="24"/>
          <w:szCs w:val="24"/>
        </w:rPr>
        <w:t xml:space="preserve"> </w:t>
      </w:r>
      <w:r w:rsidRPr="00BE1575">
        <w:rPr>
          <w:rFonts w:eastAsia="Times"/>
          <w:b w:val="0"/>
          <w:sz w:val="24"/>
          <w:szCs w:val="24"/>
        </w:rPr>
        <w:t>compared to the mean</w:t>
      </w:r>
      <w:r w:rsidRPr="00DC0818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 xml:space="preserve">Panels show </w:t>
      </w:r>
      <w:r w:rsidRPr="00340C35">
        <w:rPr>
          <w:b w:val="0"/>
          <w:sz w:val="24"/>
          <w:szCs w:val="24"/>
        </w:rPr>
        <w:t xml:space="preserve">(a) </w:t>
      </w:r>
      <w:r w:rsidRPr="00340C35">
        <w:rPr>
          <w:rFonts w:eastAsia="Times"/>
          <w:b w:val="0"/>
          <w:sz w:val="24"/>
          <w:szCs w:val="24"/>
        </w:rPr>
        <w:t>Outgoing Longwave Radiation (shaded,</w:t>
      </w:r>
      <w:r w:rsidRPr="00340C35">
        <w:rPr>
          <w:rFonts w:eastAsia="Times"/>
          <w:sz w:val="24"/>
          <w:szCs w:val="24"/>
        </w:rPr>
        <w:t xml:space="preserve"> </w:t>
      </w:r>
      <w:r w:rsidRPr="00340C35">
        <w:rPr>
          <w:rFonts w:eastAsia="Times"/>
          <w:b w:val="0"/>
          <w:sz w:val="24"/>
          <w:szCs w:val="24"/>
        </w:rPr>
        <w:t>OLR, W m</w:t>
      </w:r>
      <w:r w:rsidRPr="00340C35">
        <w:rPr>
          <w:rFonts w:eastAsia="Times"/>
          <w:b w:val="0"/>
          <w:sz w:val="24"/>
          <w:szCs w:val="24"/>
          <w:vertAlign w:val="superscript"/>
        </w:rPr>
        <w:t>-2</w:t>
      </w:r>
      <w:r w:rsidRPr="00340C35">
        <w:rPr>
          <w:rFonts w:eastAsia="Times"/>
          <w:b w:val="0"/>
          <w:sz w:val="24"/>
          <w:szCs w:val="24"/>
        </w:rPr>
        <w:t xml:space="preserve">), 200 </w:t>
      </w:r>
      <w:proofErr w:type="spellStart"/>
      <w:r w:rsidRPr="00340C35">
        <w:rPr>
          <w:rFonts w:eastAsia="Times"/>
          <w:b w:val="0"/>
          <w:sz w:val="24"/>
          <w:szCs w:val="24"/>
        </w:rPr>
        <w:t>hPa</w:t>
      </w:r>
      <w:proofErr w:type="spellEnd"/>
      <w:r w:rsidRPr="00340C35">
        <w:rPr>
          <w:rFonts w:eastAsia="Times"/>
          <w:b w:val="0"/>
          <w:sz w:val="24"/>
          <w:szCs w:val="24"/>
        </w:rPr>
        <w:t xml:space="preserve"> stream function (contoured, interval is 3 x 10</w:t>
      </w:r>
      <w:r w:rsidRPr="00340C35">
        <w:rPr>
          <w:rFonts w:eastAsia="Times"/>
          <w:b w:val="0"/>
          <w:sz w:val="24"/>
          <w:szCs w:val="24"/>
          <w:vertAlign w:val="superscript"/>
        </w:rPr>
        <w:t>6</w:t>
      </w:r>
      <w:r w:rsidRPr="00340C35">
        <w:rPr>
          <w:rFonts w:eastAsia="Times"/>
          <w:b w:val="0"/>
          <w:sz w:val="24"/>
          <w:szCs w:val="24"/>
        </w:rPr>
        <w:t xml:space="preserve"> m</w:t>
      </w:r>
      <w:r w:rsidRPr="00340C35">
        <w:rPr>
          <w:rFonts w:eastAsia="Times"/>
          <w:b w:val="0"/>
          <w:sz w:val="24"/>
          <w:szCs w:val="24"/>
          <w:vertAlign w:val="superscript"/>
        </w:rPr>
        <w:t>2</w:t>
      </w:r>
      <w:r w:rsidRPr="00340C35">
        <w:rPr>
          <w:rFonts w:eastAsia="Times"/>
          <w:b w:val="0"/>
          <w:sz w:val="24"/>
          <w:szCs w:val="24"/>
        </w:rPr>
        <w:t>s</w:t>
      </w:r>
      <w:r w:rsidRPr="00340C35">
        <w:rPr>
          <w:rFonts w:eastAsia="Times"/>
          <w:b w:val="0"/>
          <w:sz w:val="24"/>
          <w:szCs w:val="24"/>
          <w:vertAlign w:val="superscript"/>
        </w:rPr>
        <w:t>-1</w:t>
      </w:r>
      <w:r w:rsidRPr="00340C35">
        <w:rPr>
          <w:rFonts w:eastAsia="Times"/>
          <w:b w:val="0"/>
          <w:sz w:val="24"/>
          <w:szCs w:val="24"/>
        </w:rPr>
        <w:t xml:space="preserve"> with zero contour omitted), and wave flux anomalies (vectors, m</w:t>
      </w:r>
      <w:r w:rsidRPr="00340C35">
        <w:rPr>
          <w:rFonts w:eastAsia="Times"/>
          <w:b w:val="0"/>
          <w:sz w:val="24"/>
          <w:szCs w:val="24"/>
          <w:vertAlign w:val="superscript"/>
        </w:rPr>
        <w:t xml:space="preserve">2 </w:t>
      </w:r>
      <w:r w:rsidRPr="00340C35">
        <w:rPr>
          <w:rFonts w:eastAsia="Times"/>
          <w:b w:val="0"/>
          <w:sz w:val="24"/>
          <w:szCs w:val="24"/>
        </w:rPr>
        <w:t>s</w:t>
      </w:r>
      <w:r w:rsidRPr="00340C35">
        <w:rPr>
          <w:rFonts w:eastAsia="Times"/>
          <w:b w:val="0"/>
          <w:sz w:val="24"/>
          <w:szCs w:val="24"/>
          <w:vertAlign w:val="superscript"/>
        </w:rPr>
        <w:t>-2</w:t>
      </w:r>
      <w:r w:rsidRPr="00340C35">
        <w:rPr>
          <w:rFonts w:eastAsia="Times"/>
          <w:b w:val="0"/>
          <w:sz w:val="24"/>
          <w:szCs w:val="24"/>
        </w:rPr>
        <w:t>). The wave flux vectors less than 1.75 m</w:t>
      </w:r>
      <w:r w:rsidRPr="00340C35">
        <w:rPr>
          <w:rFonts w:eastAsia="Times"/>
          <w:b w:val="0"/>
          <w:sz w:val="24"/>
          <w:szCs w:val="24"/>
          <w:vertAlign w:val="superscript"/>
        </w:rPr>
        <w:t xml:space="preserve">2 </w:t>
      </w:r>
      <w:r w:rsidRPr="00340C35">
        <w:rPr>
          <w:rFonts w:eastAsia="Times"/>
          <w:b w:val="0"/>
          <w:sz w:val="24"/>
          <w:szCs w:val="24"/>
        </w:rPr>
        <w:t>s</w:t>
      </w:r>
      <w:r w:rsidRPr="00340C35">
        <w:rPr>
          <w:rFonts w:eastAsia="Times"/>
          <w:b w:val="0"/>
          <w:sz w:val="24"/>
          <w:szCs w:val="24"/>
          <w:vertAlign w:val="superscript"/>
        </w:rPr>
        <w:t xml:space="preserve">-2 </w:t>
      </w:r>
      <w:r w:rsidRPr="00340C35">
        <w:rPr>
          <w:rFonts w:eastAsia="Times"/>
          <w:b w:val="0"/>
          <w:sz w:val="24"/>
          <w:szCs w:val="24"/>
        </w:rPr>
        <w:t>(weak to easterly) are omitted</w:t>
      </w:r>
      <w:r w:rsidRPr="00340C35">
        <w:rPr>
          <w:b w:val="0"/>
          <w:sz w:val="24"/>
          <w:szCs w:val="24"/>
        </w:rPr>
        <w:t xml:space="preserve">; (b) 500 </w:t>
      </w:r>
      <w:proofErr w:type="spellStart"/>
      <w:r w:rsidRPr="00340C35">
        <w:rPr>
          <w:b w:val="0"/>
          <w:sz w:val="24"/>
          <w:szCs w:val="24"/>
        </w:rPr>
        <w:t>hPa</w:t>
      </w:r>
      <w:proofErr w:type="spellEnd"/>
      <w:r w:rsidRPr="00340C35">
        <w:rPr>
          <w:b w:val="0"/>
          <w:sz w:val="24"/>
          <w:szCs w:val="24"/>
        </w:rPr>
        <w:t xml:space="preserve"> geopotential height anomalies (m); (c) Total thermal advection at 925 </w:t>
      </w:r>
      <w:proofErr w:type="spellStart"/>
      <w:r w:rsidRPr="00340C35">
        <w:rPr>
          <w:b w:val="0"/>
          <w:sz w:val="24"/>
          <w:szCs w:val="24"/>
        </w:rPr>
        <w:t>hPa</w:t>
      </w:r>
      <w:proofErr w:type="spellEnd"/>
      <w:r w:rsidRPr="00340C35">
        <w:rPr>
          <w:b w:val="0"/>
          <w:sz w:val="24"/>
          <w:szCs w:val="24"/>
        </w:rPr>
        <w:t xml:space="preserve"> (°C·day</w:t>
      </w:r>
      <w:r w:rsidRPr="00340C35">
        <w:rPr>
          <w:b w:val="0"/>
          <w:sz w:val="24"/>
          <w:szCs w:val="24"/>
          <w:vertAlign w:val="superscript"/>
        </w:rPr>
        <w:t>-1</w:t>
      </w:r>
      <w:r w:rsidRPr="00340C35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>;</w:t>
      </w:r>
      <w:r w:rsidRPr="00340C35">
        <w:rPr>
          <w:b w:val="0"/>
          <w:sz w:val="24"/>
          <w:szCs w:val="24"/>
        </w:rPr>
        <w:t xml:space="preserve"> (d) Total column water vapor (mm); (e)</w:t>
      </w:r>
      <w:r w:rsidRPr="00DC0818">
        <w:rPr>
          <w:b w:val="0"/>
          <w:sz w:val="24"/>
          <w:szCs w:val="24"/>
        </w:rPr>
        <w:t xml:space="preserve"> </w:t>
      </w:r>
      <w:r w:rsidRPr="00DC0818">
        <w:rPr>
          <w:rFonts w:eastAsia="Times"/>
          <w:b w:val="0"/>
          <w:sz w:val="24"/>
          <w:szCs w:val="24"/>
        </w:rPr>
        <w:t>2-meter air temperature (°C).</w:t>
      </w:r>
      <w:r>
        <w:rPr>
          <w:rFonts w:eastAsia="Times"/>
          <w:b w:val="0"/>
          <w:sz w:val="24"/>
          <w:szCs w:val="24"/>
        </w:rPr>
        <w:t xml:space="preserve"> </w:t>
      </w:r>
      <w:r w:rsidRPr="00DC0818">
        <w:rPr>
          <w:rFonts w:eastAsia="Times"/>
          <w:b w:val="0"/>
          <w:sz w:val="24"/>
          <w:szCs w:val="24"/>
        </w:rPr>
        <w:t>The bold contours are significance levels at 95% using a two-tailed t test</w:t>
      </w:r>
      <w:r w:rsidRPr="00DC0818">
        <w:rPr>
          <w:b w:val="0"/>
          <w:sz w:val="24"/>
          <w:szCs w:val="24"/>
        </w:rPr>
        <w:t>.</w:t>
      </w:r>
      <w:r w:rsidRPr="00DC0818">
        <w:rPr>
          <w:rFonts w:eastAsia="Times"/>
          <w:b w:val="0"/>
          <w:sz w:val="24"/>
          <w:szCs w:val="24"/>
        </w:rPr>
        <w:t xml:space="preserve"> (f-j) same as (a-e) but for Tx events that are not co-occurring with an AR.</w:t>
      </w:r>
    </w:p>
    <w:p w14:paraId="73E34B59" w14:textId="77777777" w:rsidR="008A3307" w:rsidRPr="00DC0818" w:rsidRDefault="008A3307" w:rsidP="00DC0818">
      <w:pPr>
        <w:spacing w:line="360" w:lineRule="auto"/>
        <w:rPr>
          <w:sz w:val="24"/>
          <w:szCs w:val="24"/>
        </w:rPr>
      </w:pPr>
      <w:bookmarkStart w:id="3" w:name="_anppq5svisdq" w:colFirst="0" w:colLast="0"/>
      <w:bookmarkEnd w:id="3"/>
    </w:p>
    <w:p w14:paraId="40078815" w14:textId="77777777" w:rsidR="008A3307" w:rsidRPr="00DC0818" w:rsidRDefault="00C7008B" w:rsidP="00DC0818">
      <w:pPr>
        <w:spacing w:line="360" w:lineRule="auto"/>
        <w:jc w:val="center"/>
        <w:rPr>
          <w:sz w:val="24"/>
          <w:szCs w:val="24"/>
        </w:rPr>
      </w:pPr>
      <w:bookmarkStart w:id="4" w:name="_zahf193fiz0e" w:colFirst="0" w:colLast="0"/>
      <w:bookmarkEnd w:id="4"/>
      <w:r w:rsidRPr="00DC0818">
        <w:rPr>
          <w:noProof/>
          <w:sz w:val="24"/>
          <w:szCs w:val="24"/>
        </w:rPr>
        <w:lastRenderedPageBreak/>
        <w:drawing>
          <wp:inline distT="114300" distB="114300" distL="114300" distR="114300" wp14:anchorId="7F279725" wp14:editId="2CDE50D7">
            <wp:extent cx="6480075" cy="40640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75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C6764" w14:textId="4A1BF5D0" w:rsidR="008A3307" w:rsidRPr="00DC0818" w:rsidRDefault="00C7008B" w:rsidP="00576293">
      <w:pPr>
        <w:pStyle w:val="Titre3"/>
        <w:widowControl w:val="0"/>
        <w:spacing w:line="360" w:lineRule="auto"/>
        <w:rPr>
          <w:b w:val="0"/>
          <w:sz w:val="24"/>
          <w:szCs w:val="24"/>
        </w:rPr>
      </w:pPr>
      <w:bookmarkStart w:id="5" w:name="_ii70blaarex9" w:colFirst="0" w:colLast="0"/>
      <w:bookmarkEnd w:id="5"/>
      <w:r w:rsidRPr="00DC0818">
        <w:rPr>
          <w:rFonts w:eastAsia="Times"/>
          <w:sz w:val="24"/>
          <w:szCs w:val="24"/>
        </w:rPr>
        <w:t xml:space="preserve">Supplementary Figure </w:t>
      </w:r>
      <w:r w:rsidR="00C30730">
        <w:rPr>
          <w:rFonts w:eastAsia="Times"/>
          <w:sz w:val="24"/>
          <w:szCs w:val="24"/>
        </w:rPr>
        <w:t>3</w:t>
      </w:r>
      <w:r w:rsidRPr="00DC0818">
        <w:rPr>
          <w:rFonts w:eastAsia="Times"/>
          <w:sz w:val="24"/>
          <w:szCs w:val="24"/>
        </w:rPr>
        <w:t xml:space="preserve">: </w:t>
      </w:r>
      <w:r w:rsidRPr="00DC0818">
        <w:rPr>
          <w:sz w:val="24"/>
          <w:szCs w:val="24"/>
        </w:rPr>
        <w:t>Running trend analysis of T</w:t>
      </w:r>
      <w:r w:rsidR="004E5DE8">
        <w:rPr>
          <w:sz w:val="24"/>
          <w:szCs w:val="24"/>
        </w:rPr>
        <w:t>x</w:t>
      </w:r>
      <w:r w:rsidRPr="00DC0818">
        <w:rPr>
          <w:sz w:val="24"/>
          <w:szCs w:val="24"/>
        </w:rPr>
        <w:t xml:space="preserve"> for successive multi-year periods at each Antarctic station. </w:t>
      </w:r>
      <w:r w:rsidRPr="00DC0818">
        <w:rPr>
          <w:b w:val="0"/>
          <w:sz w:val="24"/>
          <w:szCs w:val="24"/>
        </w:rPr>
        <w:t xml:space="preserve">Years on the x-axis represent the start, and years on the y-axis represent the end of the period for which a trend is calculated. Black dots are </w:t>
      </w:r>
      <w:r w:rsidRPr="00576293">
        <w:rPr>
          <w:rFonts w:eastAsia="Times"/>
          <w:b w:val="0"/>
          <w:sz w:val="24"/>
          <w:szCs w:val="24"/>
        </w:rPr>
        <w:t>where</w:t>
      </w:r>
      <w:r w:rsidRPr="00DC0818">
        <w:rPr>
          <w:b w:val="0"/>
          <w:sz w:val="24"/>
          <w:szCs w:val="24"/>
        </w:rPr>
        <w:t xml:space="preserve"> trends are significant at 90% level. </w:t>
      </w:r>
    </w:p>
    <w:p w14:paraId="1D175866" w14:textId="77777777" w:rsidR="008A3307" w:rsidRPr="00DC0818" w:rsidRDefault="008A3307" w:rsidP="00DC0818">
      <w:pPr>
        <w:spacing w:line="360" w:lineRule="auto"/>
        <w:rPr>
          <w:sz w:val="24"/>
          <w:szCs w:val="24"/>
        </w:rPr>
      </w:pPr>
    </w:p>
    <w:p w14:paraId="23A6F847" w14:textId="77777777" w:rsidR="008A3307" w:rsidRPr="00DC0818" w:rsidRDefault="00C7008B" w:rsidP="00DC0818">
      <w:pPr>
        <w:spacing w:line="360" w:lineRule="auto"/>
        <w:rPr>
          <w:sz w:val="24"/>
          <w:szCs w:val="24"/>
        </w:rPr>
      </w:pPr>
      <w:r w:rsidRPr="00DC0818">
        <w:rPr>
          <w:noProof/>
          <w:sz w:val="24"/>
          <w:szCs w:val="24"/>
        </w:rPr>
        <w:lastRenderedPageBreak/>
        <w:drawing>
          <wp:inline distT="114300" distB="114300" distL="114300" distR="114300" wp14:anchorId="67D01F3F" wp14:editId="364B973E">
            <wp:extent cx="6480075" cy="430530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75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F909C" w14:textId="30DD6924" w:rsidR="008A3307" w:rsidRPr="00DC0818" w:rsidRDefault="00C7008B" w:rsidP="00DC0818">
      <w:pPr>
        <w:pStyle w:val="Titre3"/>
        <w:spacing w:line="360" w:lineRule="auto"/>
        <w:rPr>
          <w:sz w:val="24"/>
          <w:szCs w:val="24"/>
        </w:rPr>
      </w:pPr>
      <w:bookmarkStart w:id="6" w:name="_gz8cw67qzay3" w:colFirst="0" w:colLast="0"/>
      <w:bookmarkEnd w:id="6"/>
      <w:r w:rsidRPr="00DC0818">
        <w:rPr>
          <w:rFonts w:eastAsia="Times"/>
          <w:sz w:val="24"/>
          <w:szCs w:val="24"/>
        </w:rPr>
        <w:t xml:space="preserve">Supplementary Figure </w:t>
      </w:r>
      <w:r w:rsidR="00C30730">
        <w:rPr>
          <w:rFonts w:eastAsia="Times"/>
          <w:sz w:val="24"/>
          <w:szCs w:val="24"/>
        </w:rPr>
        <w:t>4</w:t>
      </w:r>
      <w:r w:rsidRPr="00DC0818">
        <w:rPr>
          <w:rFonts w:eastAsia="Times"/>
          <w:sz w:val="24"/>
          <w:szCs w:val="24"/>
        </w:rPr>
        <w:t xml:space="preserve">: same as Supplementary Figure </w:t>
      </w:r>
      <w:r w:rsidR="00F1175B">
        <w:rPr>
          <w:rFonts w:eastAsia="Times"/>
          <w:sz w:val="24"/>
          <w:szCs w:val="24"/>
        </w:rPr>
        <w:t>3</w:t>
      </w:r>
      <w:r w:rsidRPr="00DC0818">
        <w:rPr>
          <w:rFonts w:eastAsia="Times"/>
          <w:sz w:val="24"/>
          <w:szCs w:val="24"/>
        </w:rPr>
        <w:t xml:space="preserve"> but for </w:t>
      </w:r>
      <w:proofErr w:type="spellStart"/>
      <w:r w:rsidR="004E5DE8">
        <w:rPr>
          <w:sz w:val="24"/>
          <w:szCs w:val="24"/>
        </w:rPr>
        <w:t>ATx</w:t>
      </w:r>
      <w:proofErr w:type="spellEnd"/>
      <w:r w:rsidRPr="00DC0818">
        <w:rPr>
          <w:sz w:val="24"/>
          <w:szCs w:val="24"/>
        </w:rPr>
        <w:t>.</w:t>
      </w:r>
    </w:p>
    <w:p w14:paraId="0879EC66" w14:textId="77777777" w:rsidR="008A3307" w:rsidRPr="00DC0818" w:rsidRDefault="008A3307" w:rsidP="00DC0818">
      <w:pPr>
        <w:pStyle w:val="Titre3"/>
        <w:keepNext w:val="0"/>
        <w:keepLines w:val="0"/>
        <w:widowControl w:val="0"/>
        <w:spacing w:line="360" w:lineRule="auto"/>
        <w:ind w:left="-20"/>
        <w:rPr>
          <w:sz w:val="24"/>
          <w:szCs w:val="24"/>
        </w:rPr>
      </w:pPr>
      <w:bookmarkStart w:id="7" w:name="_176ar9e1hjp" w:colFirst="0" w:colLast="0"/>
      <w:bookmarkStart w:id="8" w:name="_euaj4tp47no" w:colFirst="0" w:colLast="0"/>
      <w:bookmarkStart w:id="9" w:name="_GoBack"/>
      <w:bookmarkEnd w:id="7"/>
      <w:bookmarkEnd w:id="8"/>
      <w:bookmarkEnd w:id="9"/>
    </w:p>
    <w:sectPr w:rsidR="008A3307" w:rsidRPr="00DC0818" w:rsidSect="005F3088">
      <w:footerReference w:type="default" r:id="rId12"/>
      <w:pgSz w:w="11909" w:h="16834"/>
      <w:pgMar w:top="1440" w:right="850" w:bottom="1440" w:left="850" w:header="72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84596" w14:textId="77777777" w:rsidR="001A1FC7" w:rsidRDefault="001A1FC7">
      <w:pPr>
        <w:spacing w:line="240" w:lineRule="auto"/>
      </w:pPr>
      <w:r>
        <w:separator/>
      </w:r>
    </w:p>
  </w:endnote>
  <w:endnote w:type="continuationSeparator" w:id="0">
    <w:p w14:paraId="45963966" w14:textId="77777777" w:rsidR="001A1FC7" w:rsidRDefault="001A1F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57AB3" w14:textId="77777777" w:rsidR="009D1188" w:rsidRDefault="009D1188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FEECC" w14:textId="77777777" w:rsidR="001A1FC7" w:rsidRDefault="001A1FC7">
      <w:pPr>
        <w:spacing w:line="240" w:lineRule="auto"/>
      </w:pPr>
      <w:r>
        <w:separator/>
      </w:r>
    </w:p>
  </w:footnote>
  <w:footnote w:type="continuationSeparator" w:id="0">
    <w:p w14:paraId="6B50DDFE" w14:textId="77777777" w:rsidR="001A1FC7" w:rsidRDefault="001A1F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C355F"/>
    <w:multiLevelType w:val="multilevel"/>
    <w:tmpl w:val="99409A7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986A78"/>
    <w:multiLevelType w:val="multilevel"/>
    <w:tmpl w:val="B9D80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265206"/>
    <w:multiLevelType w:val="multilevel"/>
    <w:tmpl w:val="122CA7F6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5A263CAC"/>
    <w:multiLevelType w:val="multilevel"/>
    <w:tmpl w:val="96E439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F1E728F"/>
    <w:multiLevelType w:val="multilevel"/>
    <w:tmpl w:val="3104A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307"/>
    <w:rsid w:val="000001F3"/>
    <w:rsid w:val="00000686"/>
    <w:rsid w:val="00001742"/>
    <w:rsid w:val="00005BC8"/>
    <w:rsid w:val="0001047A"/>
    <w:rsid w:val="00011B13"/>
    <w:rsid w:val="0001556E"/>
    <w:rsid w:val="00023BB6"/>
    <w:rsid w:val="00024117"/>
    <w:rsid w:val="00025B10"/>
    <w:rsid w:val="00025FAD"/>
    <w:rsid w:val="00026820"/>
    <w:rsid w:val="0003251A"/>
    <w:rsid w:val="0003662B"/>
    <w:rsid w:val="00042252"/>
    <w:rsid w:val="0005120E"/>
    <w:rsid w:val="0005212A"/>
    <w:rsid w:val="00060057"/>
    <w:rsid w:val="00061553"/>
    <w:rsid w:val="00064E4B"/>
    <w:rsid w:val="00064ED4"/>
    <w:rsid w:val="000671D9"/>
    <w:rsid w:val="0007042F"/>
    <w:rsid w:val="00070B23"/>
    <w:rsid w:val="00074E66"/>
    <w:rsid w:val="00077A58"/>
    <w:rsid w:val="000852F6"/>
    <w:rsid w:val="0008581C"/>
    <w:rsid w:val="00090268"/>
    <w:rsid w:val="000950A5"/>
    <w:rsid w:val="000962A2"/>
    <w:rsid w:val="000A0AE3"/>
    <w:rsid w:val="000C2066"/>
    <w:rsid w:val="000C33B1"/>
    <w:rsid w:val="000C4ED8"/>
    <w:rsid w:val="000D526E"/>
    <w:rsid w:val="000E37F8"/>
    <w:rsid w:val="000E4149"/>
    <w:rsid w:val="000E7643"/>
    <w:rsid w:val="000E7F98"/>
    <w:rsid w:val="00107BC6"/>
    <w:rsid w:val="00113498"/>
    <w:rsid w:val="0011735F"/>
    <w:rsid w:val="00120632"/>
    <w:rsid w:val="0012475C"/>
    <w:rsid w:val="001249BA"/>
    <w:rsid w:val="0012595D"/>
    <w:rsid w:val="00141A41"/>
    <w:rsid w:val="001464A7"/>
    <w:rsid w:val="00153A84"/>
    <w:rsid w:val="0015686B"/>
    <w:rsid w:val="00161786"/>
    <w:rsid w:val="00163341"/>
    <w:rsid w:val="0016732D"/>
    <w:rsid w:val="00171319"/>
    <w:rsid w:val="001762C6"/>
    <w:rsid w:val="001949F0"/>
    <w:rsid w:val="00194C25"/>
    <w:rsid w:val="001959C0"/>
    <w:rsid w:val="001A1FC7"/>
    <w:rsid w:val="001A2D8C"/>
    <w:rsid w:val="001A4AC5"/>
    <w:rsid w:val="001A5CD3"/>
    <w:rsid w:val="001A62C6"/>
    <w:rsid w:val="001A6492"/>
    <w:rsid w:val="001B1628"/>
    <w:rsid w:val="001B3840"/>
    <w:rsid w:val="001C0151"/>
    <w:rsid w:val="001D41D5"/>
    <w:rsid w:val="001D62B1"/>
    <w:rsid w:val="001F4F05"/>
    <w:rsid w:val="001F5FE3"/>
    <w:rsid w:val="00200F27"/>
    <w:rsid w:val="0020651C"/>
    <w:rsid w:val="00206FDA"/>
    <w:rsid w:val="00217596"/>
    <w:rsid w:val="00233540"/>
    <w:rsid w:val="00235529"/>
    <w:rsid w:val="002364CA"/>
    <w:rsid w:val="002371EE"/>
    <w:rsid w:val="00244EC1"/>
    <w:rsid w:val="00245236"/>
    <w:rsid w:val="0025348D"/>
    <w:rsid w:val="00261A0E"/>
    <w:rsid w:val="00262E5F"/>
    <w:rsid w:val="00264421"/>
    <w:rsid w:val="00270090"/>
    <w:rsid w:val="002716C5"/>
    <w:rsid w:val="00283A00"/>
    <w:rsid w:val="00284760"/>
    <w:rsid w:val="002A1E5E"/>
    <w:rsid w:val="002C1F1C"/>
    <w:rsid w:val="002C2BB6"/>
    <w:rsid w:val="002C6506"/>
    <w:rsid w:val="002D0EC3"/>
    <w:rsid w:val="002D5DBF"/>
    <w:rsid w:val="002E3E6E"/>
    <w:rsid w:val="002F2C99"/>
    <w:rsid w:val="002F31CA"/>
    <w:rsid w:val="002F63CE"/>
    <w:rsid w:val="00320461"/>
    <w:rsid w:val="00330EFC"/>
    <w:rsid w:val="00333E13"/>
    <w:rsid w:val="0033492F"/>
    <w:rsid w:val="00335063"/>
    <w:rsid w:val="003360AE"/>
    <w:rsid w:val="00340C35"/>
    <w:rsid w:val="00341FD2"/>
    <w:rsid w:val="00344C68"/>
    <w:rsid w:val="00350840"/>
    <w:rsid w:val="00355E7D"/>
    <w:rsid w:val="00361E83"/>
    <w:rsid w:val="0036485D"/>
    <w:rsid w:val="00371AA2"/>
    <w:rsid w:val="0037359C"/>
    <w:rsid w:val="00385A3A"/>
    <w:rsid w:val="00385C7D"/>
    <w:rsid w:val="003A392B"/>
    <w:rsid w:val="003B3ECE"/>
    <w:rsid w:val="003B4C06"/>
    <w:rsid w:val="003B5D16"/>
    <w:rsid w:val="003B6C94"/>
    <w:rsid w:val="003C592A"/>
    <w:rsid w:val="003D2787"/>
    <w:rsid w:val="003D2DB1"/>
    <w:rsid w:val="003E1BD4"/>
    <w:rsid w:val="003E2836"/>
    <w:rsid w:val="003E3339"/>
    <w:rsid w:val="003E593E"/>
    <w:rsid w:val="003F137A"/>
    <w:rsid w:val="003F246E"/>
    <w:rsid w:val="003F3C37"/>
    <w:rsid w:val="00401826"/>
    <w:rsid w:val="00402BF1"/>
    <w:rsid w:val="00410166"/>
    <w:rsid w:val="00411E27"/>
    <w:rsid w:val="004167ED"/>
    <w:rsid w:val="00417646"/>
    <w:rsid w:val="0042260F"/>
    <w:rsid w:val="00424595"/>
    <w:rsid w:val="00425DA6"/>
    <w:rsid w:val="00430713"/>
    <w:rsid w:val="004428AF"/>
    <w:rsid w:val="00450EB5"/>
    <w:rsid w:val="00454696"/>
    <w:rsid w:val="004718F9"/>
    <w:rsid w:val="00474865"/>
    <w:rsid w:val="00483C82"/>
    <w:rsid w:val="004913F0"/>
    <w:rsid w:val="00496D81"/>
    <w:rsid w:val="004A1442"/>
    <w:rsid w:val="004A3638"/>
    <w:rsid w:val="004C0247"/>
    <w:rsid w:val="004C450E"/>
    <w:rsid w:val="004C5247"/>
    <w:rsid w:val="004D5052"/>
    <w:rsid w:val="004E1082"/>
    <w:rsid w:val="004E3C03"/>
    <w:rsid w:val="004E5DE8"/>
    <w:rsid w:val="004E6DB2"/>
    <w:rsid w:val="004F19BB"/>
    <w:rsid w:val="00501871"/>
    <w:rsid w:val="00513C6D"/>
    <w:rsid w:val="00515633"/>
    <w:rsid w:val="00520E21"/>
    <w:rsid w:val="00521FDF"/>
    <w:rsid w:val="00526D26"/>
    <w:rsid w:val="00534178"/>
    <w:rsid w:val="0053612A"/>
    <w:rsid w:val="0054657E"/>
    <w:rsid w:val="005614BF"/>
    <w:rsid w:val="005625C1"/>
    <w:rsid w:val="00573506"/>
    <w:rsid w:val="00575914"/>
    <w:rsid w:val="00576293"/>
    <w:rsid w:val="00576981"/>
    <w:rsid w:val="0057766D"/>
    <w:rsid w:val="0058349D"/>
    <w:rsid w:val="005858F2"/>
    <w:rsid w:val="00593C50"/>
    <w:rsid w:val="005979BA"/>
    <w:rsid w:val="005A0821"/>
    <w:rsid w:val="005A14CE"/>
    <w:rsid w:val="005B000F"/>
    <w:rsid w:val="005B4C2E"/>
    <w:rsid w:val="005B4E7B"/>
    <w:rsid w:val="005C7E67"/>
    <w:rsid w:val="005D43FD"/>
    <w:rsid w:val="005D44FB"/>
    <w:rsid w:val="005D4E73"/>
    <w:rsid w:val="005D53C2"/>
    <w:rsid w:val="005E14FD"/>
    <w:rsid w:val="005E7E5E"/>
    <w:rsid w:val="005F1CA7"/>
    <w:rsid w:val="005F3088"/>
    <w:rsid w:val="005F6FA0"/>
    <w:rsid w:val="00604DD5"/>
    <w:rsid w:val="00611D37"/>
    <w:rsid w:val="0061590C"/>
    <w:rsid w:val="00617FED"/>
    <w:rsid w:val="00621EF2"/>
    <w:rsid w:val="006259AE"/>
    <w:rsid w:val="006643A8"/>
    <w:rsid w:val="006648F6"/>
    <w:rsid w:val="006651CB"/>
    <w:rsid w:val="00667E5D"/>
    <w:rsid w:val="00672418"/>
    <w:rsid w:val="006740A5"/>
    <w:rsid w:val="00683836"/>
    <w:rsid w:val="00684EA2"/>
    <w:rsid w:val="00693277"/>
    <w:rsid w:val="006A0B98"/>
    <w:rsid w:val="006B21B0"/>
    <w:rsid w:val="006B49F6"/>
    <w:rsid w:val="006C0FBB"/>
    <w:rsid w:val="006C17D9"/>
    <w:rsid w:val="006C6BE3"/>
    <w:rsid w:val="006F002D"/>
    <w:rsid w:val="006F1DF3"/>
    <w:rsid w:val="006F4C37"/>
    <w:rsid w:val="00702F50"/>
    <w:rsid w:val="007066E8"/>
    <w:rsid w:val="00706C6C"/>
    <w:rsid w:val="007117AC"/>
    <w:rsid w:val="007204E1"/>
    <w:rsid w:val="00732E93"/>
    <w:rsid w:val="00733AA5"/>
    <w:rsid w:val="007349EF"/>
    <w:rsid w:val="00736465"/>
    <w:rsid w:val="00737335"/>
    <w:rsid w:val="00737EBC"/>
    <w:rsid w:val="00741BAB"/>
    <w:rsid w:val="00751C47"/>
    <w:rsid w:val="00754FF6"/>
    <w:rsid w:val="007629C7"/>
    <w:rsid w:val="00765D55"/>
    <w:rsid w:val="00780AD5"/>
    <w:rsid w:val="0078295F"/>
    <w:rsid w:val="0078371F"/>
    <w:rsid w:val="00785278"/>
    <w:rsid w:val="00787594"/>
    <w:rsid w:val="00795A6C"/>
    <w:rsid w:val="007A3894"/>
    <w:rsid w:val="007A3BD2"/>
    <w:rsid w:val="007A50BC"/>
    <w:rsid w:val="007A673A"/>
    <w:rsid w:val="007B2903"/>
    <w:rsid w:val="007B6784"/>
    <w:rsid w:val="007C4AB6"/>
    <w:rsid w:val="007F5D5D"/>
    <w:rsid w:val="00801F86"/>
    <w:rsid w:val="00811E72"/>
    <w:rsid w:val="0081512E"/>
    <w:rsid w:val="00826B58"/>
    <w:rsid w:val="00827C08"/>
    <w:rsid w:val="00850080"/>
    <w:rsid w:val="008502FC"/>
    <w:rsid w:val="00854F58"/>
    <w:rsid w:val="00865F2D"/>
    <w:rsid w:val="00867B3E"/>
    <w:rsid w:val="0087329F"/>
    <w:rsid w:val="00880E58"/>
    <w:rsid w:val="00891BE3"/>
    <w:rsid w:val="008928AA"/>
    <w:rsid w:val="008930BD"/>
    <w:rsid w:val="00893EA0"/>
    <w:rsid w:val="008A0E2C"/>
    <w:rsid w:val="008A17DD"/>
    <w:rsid w:val="008A3307"/>
    <w:rsid w:val="008A4B82"/>
    <w:rsid w:val="008A7DA6"/>
    <w:rsid w:val="008C0F8F"/>
    <w:rsid w:val="008C1C2F"/>
    <w:rsid w:val="008C25E5"/>
    <w:rsid w:val="008D0E24"/>
    <w:rsid w:val="008E6BF3"/>
    <w:rsid w:val="008F2E44"/>
    <w:rsid w:val="008F358D"/>
    <w:rsid w:val="008F5CC8"/>
    <w:rsid w:val="00900054"/>
    <w:rsid w:val="00921775"/>
    <w:rsid w:val="00922724"/>
    <w:rsid w:val="00934A9D"/>
    <w:rsid w:val="00934C75"/>
    <w:rsid w:val="00943AD3"/>
    <w:rsid w:val="00950349"/>
    <w:rsid w:val="00950D0C"/>
    <w:rsid w:val="0096036F"/>
    <w:rsid w:val="009621BB"/>
    <w:rsid w:val="00967F38"/>
    <w:rsid w:val="0097420A"/>
    <w:rsid w:val="00975DA3"/>
    <w:rsid w:val="009769EB"/>
    <w:rsid w:val="00982EB6"/>
    <w:rsid w:val="00990AE7"/>
    <w:rsid w:val="009950B7"/>
    <w:rsid w:val="009973B9"/>
    <w:rsid w:val="009A7CE9"/>
    <w:rsid w:val="009B08BB"/>
    <w:rsid w:val="009B254A"/>
    <w:rsid w:val="009B6EBA"/>
    <w:rsid w:val="009C34F2"/>
    <w:rsid w:val="009C57D8"/>
    <w:rsid w:val="009C7D7B"/>
    <w:rsid w:val="009D1188"/>
    <w:rsid w:val="009D7F81"/>
    <w:rsid w:val="009E280C"/>
    <w:rsid w:val="009E4F38"/>
    <w:rsid w:val="009E6742"/>
    <w:rsid w:val="009E6F82"/>
    <w:rsid w:val="009F1D07"/>
    <w:rsid w:val="00A02C52"/>
    <w:rsid w:val="00A03121"/>
    <w:rsid w:val="00A0456B"/>
    <w:rsid w:val="00A0486C"/>
    <w:rsid w:val="00A06CBE"/>
    <w:rsid w:val="00A11050"/>
    <w:rsid w:val="00A26230"/>
    <w:rsid w:val="00A50DE1"/>
    <w:rsid w:val="00A568B3"/>
    <w:rsid w:val="00A629EE"/>
    <w:rsid w:val="00A6460A"/>
    <w:rsid w:val="00A71ED3"/>
    <w:rsid w:val="00A72DAA"/>
    <w:rsid w:val="00A745B8"/>
    <w:rsid w:val="00A761C8"/>
    <w:rsid w:val="00A7672C"/>
    <w:rsid w:val="00A84BEE"/>
    <w:rsid w:val="00A93B08"/>
    <w:rsid w:val="00A95CAC"/>
    <w:rsid w:val="00A96690"/>
    <w:rsid w:val="00AA10E6"/>
    <w:rsid w:val="00AA7D0F"/>
    <w:rsid w:val="00AB1885"/>
    <w:rsid w:val="00AC401F"/>
    <w:rsid w:val="00AC6F68"/>
    <w:rsid w:val="00AD3CFD"/>
    <w:rsid w:val="00AE7D2A"/>
    <w:rsid w:val="00AF1C55"/>
    <w:rsid w:val="00B072AF"/>
    <w:rsid w:val="00B14D9D"/>
    <w:rsid w:val="00B213BE"/>
    <w:rsid w:val="00B22248"/>
    <w:rsid w:val="00B26791"/>
    <w:rsid w:val="00B3074D"/>
    <w:rsid w:val="00B30BF0"/>
    <w:rsid w:val="00B40909"/>
    <w:rsid w:val="00B42586"/>
    <w:rsid w:val="00B50E36"/>
    <w:rsid w:val="00B60849"/>
    <w:rsid w:val="00B61E02"/>
    <w:rsid w:val="00B71867"/>
    <w:rsid w:val="00B7223F"/>
    <w:rsid w:val="00B7681B"/>
    <w:rsid w:val="00B80D79"/>
    <w:rsid w:val="00B84718"/>
    <w:rsid w:val="00B85BEC"/>
    <w:rsid w:val="00B946CF"/>
    <w:rsid w:val="00BB66FF"/>
    <w:rsid w:val="00BB6E4C"/>
    <w:rsid w:val="00BB74D3"/>
    <w:rsid w:val="00BD4D05"/>
    <w:rsid w:val="00BE1575"/>
    <w:rsid w:val="00BE2E33"/>
    <w:rsid w:val="00BE6FB4"/>
    <w:rsid w:val="00BF5A65"/>
    <w:rsid w:val="00C12EC9"/>
    <w:rsid w:val="00C20823"/>
    <w:rsid w:val="00C218CD"/>
    <w:rsid w:val="00C2218A"/>
    <w:rsid w:val="00C232BE"/>
    <w:rsid w:val="00C2450F"/>
    <w:rsid w:val="00C30730"/>
    <w:rsid w:val="00C43920"/>
    <w:rsid w:val="00C475AD"/>
    <w:rsid w:val="00C65E27"/>
    <w:rsid w:val="00C7008B"/>
    <w:rsid w:val="00C715CD"/>
    <w:rsid w:val="00C72464"/>
    <w:rsid w:val="00C7503B"/>
    <w:rsid w:val="00C87EDC"/>
    <w:rsid w:val="00C94A82"/>
    <w:rsid w:val="00C94DFF"/>
    <w:rsid w:val="00C97722"/>
    <w:rsid w:val="00CA4A05"/>
    <w:rsid w:val="00CB3ADE"/>
    <w:rsid w:val="00CB6B00"/>
    <w:rsid w:val="00CB6C00"/>
    <w:rsid w:val="00CB736D"/>
    <w:rsid w:val="00CC688C"/>
    <w:rsid w:val="00CC792E"/>
    <w:rsid w:val="00CD3382"/>
    <w:rsid w:val="00CD5440"/>
    <w:rsid w:val="00CD784F"/>
    <w:rsid w:val="00CE3EF5"/>
    <w:rsid w:val="00CE49B1"/>
    <w:rsid w:val="00CE5271"/>
    <w:rsid w:val="00CF3E9A"/>
    <w:rsid w:val="00CF43C1"/>
    <w:rsid w:val="00CF795E"/>
    <w:rsid w:val="00D00816"/>
    <w:rsid w:val="00D0525B"/>
    <w:rsid w:val="00D07168"/>
    <w:rsid w:val="00D1018A"/>
    <w:rsid w:val="00D11237"/>
    <w:rsid w:val="00D11DAF"/>
    <w:rsid w:val="00D15069"/>
    <w:rsid w:val="00D1583C"/>
    <w:rsid w:val="00D159C6"/>
    <w:rsid w:val="00D31A38"/>
    <w:rsid w:val="00D35A88"/>
    <w:rsid w:val="00D512AA"/>
    <w:rsid w:val="00D654BC"/>
    <w:rsid w:val="00D66207"/>
    <w:rsid w:val="00D66A23"/>
    <w:rsid w:val="00D70375"/>
    <w:rsid w:val="00D7163C"/>
    <w:rsid w:val="00D7289B"/>
    <w:rsid w:val="00D72964"/>
    <w:rsid w:val="00D848F9"/>
    <w:rsid w:val="00D861A5"/>
    <w:rsid w:val="00D87388"/>
    <w:rsid w:val="00D94569"/>
    <w:rsid w:val="00D96449"/>
    <w:rsid w:val="00DA068D"/>
    <w:rsid w:val="00DA2572"/>
    <w:rsid w:val="00DB13F4"/>
    <w:rsid w:val="00DB24B5"/>
    <w:rsid w:val="00DC0818"/>
    <w:rsid w:val="00DC5123"/>
    <w:rsid w:val="00DC5DDE"/>
    <w:rsid w:val="00DD179F"/>
    <w:rsid w:val="00DD4C01"/>
    <w:rsid w:val="00DE2AB1"/>
    <w:rsid w:val="00DE3219"/>
    <w:rsid w:val="00DE45A3"/>
    <w:rsid w:val="00DE5FDB"/>
    <w:rsid w:val="00DE67F6"/>
    <w:rsid w:val="00DF6368"/>
    <w:rsid w:val="00E02A25"/>
    <w:rsid w:val="00E10463"/>
    <w:rsid w:val="00E10885"/>
    <w:rsid w:val="00E164FE"/>
    <w:rsid w:val="00E23742"/>
    <w:rsid w:val="00E24853"/>
    <w:rsid w:val="00E276E1"/>
    <w:rsid w:val="00E321E6"/>
    <w:rsid w:val="00E3513E"/>
    <w:rsid w:val="00E372AD"/>
    <w:rsid w:val="00E377CF"/>
    <w:rsid w:val="00E654D1"/>
    <w:rsid w:val="00E7054E"/>
    <w:rsid w:val="00E71019"/>
    <w:rsid w:val="00E73044"/>
    <w:rsid w:val="00E73BA9"/>
    <w:rsid w:val="00E9121D"/>
    <w:rsid w:val="00EA0040"/>
    <w:rsid w:val="00EA171B"/>
    <w:rsid w:val="00EC357E"/>
    <w:rsid w:val="00EC5261"/>
    <w:rsid w:val="00EC5FD0"/>
    <w:rsid w:val="00ED130F"/>
    <w:rsid w:val="00ED1366"/>
    <w:rsid w:val="00ED4FBC"/>
    <w:rsid w:val="00EE122B"/>
    <w:rsid w:val="00EE69A4"/>
    <w:rsid w:val="00EE7180"/>
    <w:rsid w:val="00EF0A3F"/>
    <w:rsid w:val="00EF0AEF"/>
    <w:rsid w:val="00F1175B"/>
    <w:rsid w:val="00F12B3E"/>
    <w:rsid w:val="00F14D76"/>
    <w:rsid w:val="00F26694"/>
    <w:rsid w:val="00F274BE"/>
    <w:rsid w:val="00F31CAE"/>
    <w:rsid w:val="00F32484"/>
    <w:rsid w:val="00F3555A"/>
    <w:rsid w:val="00F403E2"/>
    <w:rsid w:val="00F436B0"/>
    <w:rsid w:val="00F43B34"/>
    <w:rsid w:val="00F45E4E"/>
    <w:rsid w:val="00F50A34"/>
    <w:rsid w:val="00F564DF"/>
    <w:rsid w:val="00F60380"/>
    <w:rsid w:val="00F70B24"/>
    <w:rsid w:val="00F839E6"/>
    <w:rsid w:val="00F84562"/>
    <w:rsid w:val="00F860F6"/>
    <w:rsid w:val="00F92F4A"/>
    <w:rsid w:val="00FA3AE5"/>
    <w:rsid w:val="00FA57F3"/>
    <w:rsid w:val="00FA5BA5"/>
    <w:rsid w:val="00FB20F9"/>
    <w:rsid w:val="00FC0F88"/>
    <w:rsid w:val="00FC1EDD"/>
    <w:rsid w:val="00FC3764"/>
    <w:rsid w:val="00FE311D"/>
    <w:rsid w:val="00FE52E8"/>
    <w:rsid w:val="00FF0857"/>
    <w:rsid w:val="00FF34D7"/>
    <w:rsid w:val="00FF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BB7BF"/>
  <w15:docId w15:val="{200CBB91-5C85-45DB-992C-DD972AC8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fr-F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ind w:left="720" w:hanging="360"/>
      <w:outlineLvl w:val="1"/>
    </w:pPr>
    <w:rPr>
      <w:b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sz w:val="18"/>
      <w:szCs w:val="1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38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836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705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7054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654BC"/>
    <w:pPr>
      <w:spacing w:before="100" w:beforeAutospacing="1" w:after="100" w:afterAutospacing="1" w:line="240" w:lineRule="auto"/>
      <w:jc w:val="left"/>
    </w:pPr>
    <w:rPr>
      <w:sz w:val="24"/>
      <w:szCs w:val="24"/>
      <w:lang w:val="fr-FR"/>
    </w:rPr>
  </w:style>
  <w:style w:type="paragraph" w:styleId="Bibliographie">
    <w:name w:val="Bibliography"/>
    <w:basedOn w:val="Normal"/>
    <w:next w:val="Normal"/>
    <w:uiPriority w:val="37"/>
    <w:unhideWhenUsed/>
    <w:rsid w:val="00F43B34"/>
    <w:pPr>
      <w:tabs>
        <w:tab w:val="left" w:pos="384"/>
      </w:tabs>
      <w:spacing w:line="480" w:lineRule="auto"/>
      <w:ind w:left="384" w:hanging="384"/>
    </w:pPr>
  </w:style>
  <w:style w:type="paragraph" w:customStyle="1" w:styleId="Corps">
    <w:name w:val="Corps"/>
    <w:qFormat/>
    <w:rsid w:val="00EA0040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eastAsia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C715C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15CD"/>
  </w:style>
  <w:style w:type="paragraph" w:styleId="Pieddepage">
    <w:name w:val="footer"/>
    <w:basedOn w:val="Normal"/>
    <w:link w:val="PieddepageCar"/>
    <w:uiPriority w:val="99"/>
    <w:unhideWhenUsed/>
    <w:rsid w:val="00C715CD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15CD"/>
  </w:style>
  <w:style w:type="character" w:styleId="Lienhypertexte">
    <w:name w:val="Hyperlink"/>
    <w:basedOn w:val="Policepardfaut"/>
    <w:uiPriority w:val="99"/>
    <w:unhideWhenUsed/>
    <w:rsid w:val="0081512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1512E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E49B1"/>
    <w:pPr>
      <w:spacing w:line="240" w:lineRule="auto"/>
      <w:jc w:val="left"/>
    </w:pPr>
  </w:style>
  <w:style w:type="paragraph" w:styleId="Paragraphedeliste">
    <w:name w:val="List Paragraph"/>
    <w:basedOn w:val="Normal"/>
    <w:uiPriority w:val="34"/>
    <w:qFormat/>
    <w:rsid w:val="00A7672C"/>
    <w:pPr>
      <w:ind w:left="720"/>
      <w:contextualSpacing/>
    </w:pPr>
  </w:style>
  <w:style w:type="character" w:styleId="Numrodeligne">
    <w:name w:val="line number"/>
    <w:basedOn w:val="Policepardfaut"/>
    <w:uiPriority w:val="99"/>
    <w:semiHidden/>
    <w:unhideWhenUsed/>
    <w:rsid w:val="005F3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8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0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2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50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51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42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3F851-821C-4E2F-8DDA-F24F34538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815</Words>
  <Characters>4488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VINCENT FAVIER</dc:creator>
  <cp:lastModifiedBy>VINCENT FAVIER</cp:lastModifiedBy>
  <cp:revision>10</cp:revision>
  <cp:lastPrinted>2025-09-24T17:49:00Z</cp:lastPrinted>
  <dcterms:created xsi:type="dcterms:W3CDTF">2025-09-23T15:18:00Z</dcterms:created>
  <dcterms:modified xsi:type="dcterms:W3CDTF">2025-09-24T18:18:00Z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id="l01ZHX3E"/&gt;&lt;style id="http://www.zotero.org/styles/nature-geoscience" hasBibliography="1" bibliographyStyleHasBeenSet="1"/&gt;&lt;prefs&gt;&lt;pref name="fieldType" value="Field"/&gt;&lt;pref name="automaticJourna</vt:lpwstr>
  </property>
  <property fmtid="{D5CDD505-2E9C-101B-9397-08002B2CF9AE}" pid="3" name="ZOTERO_PREF_2">
    <vt:lpwstr>lAbbreviations" value="true"/&gt;&lt;/prefs&gt;&lt;/data&gt;</vt:lpwstr>
  </property>
</Properties>
</file>