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606DA" w14:textId="77777777" w:rsidR="00501639" w:rsidRDefault="00D0475E" w:rsidP="00D0475E">
      <w:pPr>
        <w:spacing w:line="480" w:lineRule="auto"/>
        <w:rPr>
          <w:b/>
          <w:sz w:val="28"/>
          <w:szCs w:val="28"/>
        </w:rPr>
      </w:pPr>
      <w:r>
        <w:rPr>
          <w:b/>
        </w:rPr>
        <w:t>Supplementary Information</w:t>
      </w:r>
    </w:p>
    <w:p w14:paraId="585606DB" w14:textId="77777777" w:rsidR="00501639" w:rsidRDefault="00D0475E" w:rsidP="00D0475E">
      <w:pPr>
        <w:spacing w:line="480" w:lineRule="auto"/>
        <w:rPr>
          <w:sz w:val="30"/>
          <w:szCs w:val="30"/>
        </w:rPr>
      </w:pPr>
      <w:r>
        <w:rPr>
          <w:sz w:val="30"/>
          <w:szCs w:val="30"/>
        </w:rPr>
        <w:t>Micro-scale organization of non-cyanobacterial diazotrophs drives nitrogen fixation in marine particles</w:t>
      </w:r>
    </w:p>
    <w:p w14:paraId="585606DC" w14:textId="77777777" w:rsidR="00501639" w:rsidRDefault="00501639" w:rsidP="00D0475E">
      <w:pPr>
        <w:spacing w:line="480" w:lineRule="auto"/>
        <w:rPr>
          <w:sz w:val="28"/>
          <w:szCs w:val="28"/>
        </w:rPr>
      </w:pPr>
    </w:p>
    <w:p w14:paraId="585606DD" w14:textId="77777777" w:rsidR="00501639" w:rsidRDefault="00D0475E" w:rsidP="00D0475E">
      <w:pPr>
        <w:spacing w:line="480" w:lineRule="auto"/>
        <w:rPr>
          <w:vertAlign w:val="superscript"/>
        </w:rPr>
      </w:pPr>
      <w:r>
        <w:t>Arthur Coët</w:t>
      </w:r>
      <w:r>
        <w:rPr>
          <w:vertAlign w:val="superscript"/>
        </w:rPr>
        <w:t>1,3</w:t>
      </w:r>
      <w:r>
        <w:t>, Olivier Grosso</w:t>
      </w:r>
      <w:r>
        <w:rPr>
          <w:vertAlign w:val="superscript"/>
        </w:rPr>
        <w:t>1</w:t>
      </w:r>
      <w:r>
        <w:t>, Nicolas Brouilly</w:t>
      </w:r>
      <w:r>
        <w:rPr>
          <w:vertAlign w:val="superscript"/>
        </w:rPr>
        <w:t>2</w:t>
      </w:r>
      <w:r>
        <w:t>, Pierre Ronceray</w:t>
      </w:r>
      <w:r>
        <w:rPr>
          <w:i/>
          <w:vertAlign w:val="superscript"/>
        </w:rPr>
        <w:t>3</w:t>
      </w:r>
      <w:r>
        <w:t>, Mar Benavides</w:t>
      </w:r>
      <w:r>
        <w:rPr>
          <w:vertAlign w:val="superscript"/>
        </w:rPr>
        <w:t>1,4*</w:t>
      </w:r>
    </w:p>
    <w:p w14:paraId="585606DE" w14:textId="77777777" w:rsidR="00501639" w:rsidRDefault="00D0475E" w:rsidP="00D0475E">
      <w:pPr>
        <w:spacing w:line="480" w:lineRule="auto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(1) Aix Marseille </w:t>
      </w:r>
      <w:proofErr w:type="spellStart"/>
      <w:r>
        <w:rPr>
          <w:i/>
          <w:sz w:val="18"/>
          <w:szCs w:val="18"/>
        </w:rPr>
        <w:t>Univ</w:t>
      </w:r>
      <w:proofErr w:type="spellEnd"/>
      <w:r>
        <w:rPr>
          <w:i/>
          <w:sz w:val="18"/>
          <w:szCs w:val="18"/>
        </w:rPr>
        <w:t>, Université de Toulon, CNRS, IRD, MIO UM 110, Marseille, France</w:t>
      </w:r>
    </w:p>
    <w:p w14:paraId="585606DF" w14:textId="77777777" w:rsidR="00501639" w:rsidRDefault="00D0475E" w:rsidP="00D0475E">
      <w:pPr>
        <w:spacing w:line="480" w:lineRule="auto"/>
        <w:rPr>
          <w:i/>
          <w:sz w:val="18"/>
          <w:szCs w:val="18"/>
          <w:highlight w:val="white"/>
        </w:rPr>
      </w:pPr>
      <w:r>
        <w:rPr>
          <w:i/>
          <w:sz w:val="18"/>
          <w:szCs w:val="18"/>
        </w:rPr>
        <w:t xml:space="preserve">(2) </w:t>
      </w:r>
      <w:r>
        <w:rPr>
          <w:i/>
          <w:sz w:val="18"/>
          <w:szCs w:val="18"/>
          <w:highlight w:val="white"/>
        </w:rPr>
        <w:t>CNRS, IBDM, Aix-Marseille Université, 13009 Marseille, France</w:t>
      </w:r>
    </w:p>
    <w:p w14:paraId="585606E0" w14:textId="77777777" w:rsidR="00501639" w:rsidRDefault="00D0475E" w:rsidP="00D0475E">
      <w:pPr>
        <w:spacing w:line="480" w:lineRule="auto"/>
        <w:rPr>
          <w:i/>
          <w:sz w:val="18"/>
          <w:szCs w:val="18"/>
        </w:rPr>
      </w:pPr>
      <w:r>
        <w:rPr>
          <w:i/>
          <w:sz w:val="18"/>
          <w:szCs w:val="18"/>
          <w:highlight w:val="white"/>
        </w:rPr>
        <w:t xml:space="preserve">(3) </w:t>
      </w:r>
      <w:r>
        <w:rPr>
          <w:i/>
          <w:sz w:val="18"/>
          <w:szCs w:val="18"/>
        </w:rPr>
        <w:t xml:space="preserve">Aix Marseille </w:t>
      </w:r>
      <w:proofErr w:type="spellStart"/>
      <w:r>
        <w:rPr>
          <w:i/>
          <w:sz w:val="18"/>
          <w:szCs w:val="18"/>
        </w:rPr>
        <w:t>Univ</w:t>
      </w:r>
      <w:proofErr w:type="spellEnd"/>
      <w:r>
        <w:rPr>
          <w:i/>
          <w:sz w:val="18"/>
          <w:szCs w:val="18"/>
        </w:rPr>
        <w:t>, CNRS, CINAM, Turing Centre for Living Systems, Marseille, France</w:t>
      </w:r>
    </w:p>
    <w:p w14:paraId="585606E1" w14:textId="77777777" w:rsidR="00501639" w:rsidRDefault="00D0475E" w:rsidP="00D0475E">
      <w:pPr>
        <w:spacing w:line="480" w:lineRule="auto"/>
        <w:rPr>
          <w:i/>
          <w:sz w:val="18"/>
          <w:szCs w:val="18"/>
        </w:rPr>
      </w:pPr>
      <w:r>
        <w:rPr>
          <w:i/>
          <w:sz w:val="18"/>
          <w:szCs w:val="18"/>
        </w:rPr>
        <w:t>(4) National Oceanography Centre, European Way, Southampton SO14 3ZH, United Kingdom</w:t>
      </w:r>
    </w:p>
    <w:p w14:paraId="585606E2" w14:textId="77777777" w:rsidR="00501639" w:rsidRDefault="00501639" w:rsidP="00D0475E">
      <w:pPr>
        <w:spacing w:line="480" w:lineRule="auto"/>
        <w:rPr>
          <w:i/>
          <w:sz w:val="16"/>
          <w:szCs w:val="16"/>
        </w:rPr>
      </w:pPr>
    </w:p>
    <w:p w14:paraId="585606E3" w14:textId="77777777" w:rsidR="00501639" w:rsidRDefault="00D0475E" w:rsidP="00D0475E">
      <w:pPr>
        <w:spacing w:line="480" w:lineRule="auto"/>
      </w:pPr>
      <w:r>
        <w:t xml:space="preserve">*Corresponding </w:t>
      </w:r>
      <w:proofErr w:type="gramStart"/>
      <w:r>
        <w:t>author :</w:t>
      </w:r>
      <w:proofErr w:type="gramEnd"/>
      <w:r>
        <w:t xml:space="preserve"> Mar Benavides (</w:t>
      </w:r>
      <w:hyperlink r:id="rId7">
        <w:r>
          <w:rPr>
            <w:color w:val="1155CC"/>
            <w:u w:val="single"/>
          </w:rPr>
          <w:t>mar.benavides@noc.ac.uk</w:t>
        </w:r>
      </w:hyperlink>
      <w:r>
        <w:t>)</w:t>
      </w:r>
    </w:p>
    <w:p w14:paraId="585606E4" w14:textId="77777777" w:rsidR="00501639" w:rsidRDefault="00501639" w:rsidP="00D0475E">
      <w:pPr>
        <w:spacing w:line="480" w:lineRule="auto"/>
      </w:pPr>
    </w:p>
    <w:p w14:paraId="585606E8" w14:textId="77777777" w:rsidR="00501639" w:rsidRDefault="00D0475E" w:rsidP="00D0475E">
      <w:pPr>
        <w:spacing w:line="480" w:lineRule="auto"/>
        <w:rPr>
          <w:b/>
          <w:i/>
        </w:rPr>
      </w:pPr>
      <w:r>
        <w:rPr>
          <w:b/>
          <w:i/>
        </w:rPr>
        <w:t>This file includes:</w:t>
      </w:r>
    </w:p>
    <w:p w14:paraId="585606E9" w14:textId="77777777" w:rsidR="00501639" w:rsidRDefault="00D0475E" w:rsidP="00D0475E">
      <w:pPr>
        <w:spacing w:line="480" w:lineRule="auto"/>
      </w:pPr>
      <w:r>
        <w:t>Supplementary Methods</w:t>
      </w:r>
    </w:p>
    <w:p w14:paraId="585606EA" w14:textId="77777777" w:rsidR="00501639" w:rsidRDefault="00D0475E" w:rsidP="00D0475E">
      <w:pPr>
        <w:spacing w:line="480" w:lineRule="auto"/>
      </w:pPr>
      <w:r>
        <w:t>Supplementary Figures S1-S2</w:t>
      </w:r>
      <w:r>
        <w:br/>
      </w:r>
      <w:r>
        <w:t>Supplementary Tables S1-S7</w:t>
      </w:r>
      <w:r>
        <w:br w:type="page"/>
      </w:r>
    </w:p>
    <w:p w14:paraId="585606EB" w14:textId="77777777" w:rsidR="00501639" w:rsidRDefault="00D0475E" w:rsidP="00D0475E">
      <w:pPr>
        <w:spacing w:line="480" w:lineRule="auto"/>
        <w:rPr>
          <w:b/>
        </w:rPr>
      </w:pPr>
      <w:r>
        <w:rPr>
          <w:b/>
        </w:rPr>
        <w:lastRenderedPageBreak/>
        <w:t>Supplementary methods</w:t>
      </w:r>
    </w:p>
    <w:p w14:paraId="585606EC" w14:textId="77777777" w:rsidR="00501639" w:rsidRDefault="00D0475E" w:rsidP="00D0475E">
      <w:pPr>
        <w:spacing w:before="240" w:after="240" w:line="480" w:lineRule="auto"/>
      </w:pPr>
      <w:r>
        <w:rPr>
          <w:i/>
        </w:rPr>
        <w:t>Image processing</w:t>
      </w:r>
      <w:r>
        <w:br/>
        <w:t xml:space="preserve">For each channel and annulus, the image was duplicated and cropped to retain only the region of interest. Cell detection was performed in </w:t>
      </w:r>
      <w:proofErr w:type="spellStart"/>
      <w:r>
        <w:t>TrackMate</w:t>
      </w:r>
      <w:proofErr w:type="spellEnd"/>
      <w:r>
        <w:t xml:space="preserve"> using the Laplacian-of-Gaussian detector (estimated spot diameter 2 </w:t>
      </w:r>
      <w:proofErr w:type="spellStart"/>
      <w:r>
        <w:t>μm</w:t>
      </w:r>
      <w:proofErr w:type="spellEnd"/>
      <w:r>
        <w:t xml:space="preserve">); thresholds were set based on quality histograms and detections verified visually to avoid false positives. </w:t>
      </w:r>
    </w:p>
    <w:p w14:paraId="585606ED" w14:textId="77777777" w:rsidR="00501639" w:rsidRDefault="00D0475E" w:rsidP="00D0475E">
      <w:pPr>
        <w:spacing w:before="240" w:after="240" w:line="480" w:lineRule="auto"/>
      </w:pPr>
      <w:r>
        <w:t xml:space="preserve">The area of each annulus (measured in Fiji) was multiplied by the slice thickness (2 </w:t>
      </w:r>
      <w:proofErr w:type="spellStart"/>
      <w:r>
        <w:t>μm</w:t>
      </w:r>
      <w:proofErr w:type="spellEnd"/>
      <w:r>
        <w:t>) to obtain its volume (</w:t>
      </w:r>
      <w:r>
        <w:rPr>
          <w:i/>
        </w:rPr>
        <w:t>Vi</w:t>
      </w:r>
      <w:r>
        <w:t xml:space="preserve">). For each 3D annulus, we determined the density (cells μm⁻³) of DAPI, RSG⁺, and NifH⁺ cells. Densities from three equatorial slices (one per particle) were pooled as a volume-weighted mean, yielding a representative value for each radial zone.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856070A" wp14:editId="5856070B">
            <wp:simplePos x="0" y="0"/>
            <wp:positionH relativeFrom="column">
              <wp:posOffset>1933575</wp:posOffset>
            </wp:positionH>
            <wp:positionV relativeFrom="paragraph">
              <wp:posOffset>1400175</wp:posOffset>
            </wp:positionV>
            <wp:extent cx="1671638" cy="814388"/>
            <wp:effectExtent l="0" t="0" r="0" b="0"/>
            <wp:wrapTopAndBottom distT="114300" distB="11430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638" cy="814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5606EE" w14:textId="3CCA3C6A" w:rsidR="00501639" w:rsidRDefault="00D0475E" w:rsidP="00D0475E">
      <w:pPr>
        <w:spacing w:before="240" w:after="240" w:line="480" w:lineRule="auto"/>
      </w:pPr>
      <w:r>
        <w:t>For each zone, an enrichment factor (EF) was calculated as:</w:t>
      </w:r>
      <w:r>
        <w:br/>
        <w:t xml:space="preserve">where </w:t>
      </w:r>
      <w:proofErr w:type="spellStart"/>
      <w:r>
        <w:t>ρfree</w:t>
      </w:r>
      <w:proofErr w:type="spellEnd"/>
      <w:r>
        <w:t xml:space="preserve">-living​ is the density of cells in the 0.2–3 </w:t>
      </w:r>
      <w:proofErr w:type="spellStart"/>
      <w:r>
        <w:t>μm</w:t>
      </w:r>
      <w:proofErr w:type="spellEnd"/>
      <w:r>
        <w:t xml:space="preserve"> fraction from the same bottle. Zonal densities were also expressed as percentages of the total DAPI count.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856070C" wp14:editId="5856070D">
            <wp:simplePos x="0" y="0"/>
            <wp:positionH relativeFrom="column">
              <wp:posOffset>2105025</wp:posOffset>
            </wp:positionH>
            <wp:positionV relativeFrom="paragraph">
              <wp:posOffset>1257300</wp:posOffset>
            </wp:positionV>
            <wp:extent cx="1733550" cy="580655"/>
            <wp:effectExtent l="0" t="0" r="0" b="0"/>
            <wp:wrapTopAndBottom distT="114300" distB="114300"/>
            <wp:docPr id="1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580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5606EF" w14:textId="77777777" w:rsidR="00501639" w:rsidRDefault="00D0475E" w:rsidP="00D0475E">
      <w:pPr>
        <w:spacing w:before="240" w:after="240" w:line="480" w:lineRule="auto"/>
      </w:pPr>
      <w:r>
        <w:t xml:space="preserve">To estimate the number of diatoms per aggregate, we first measured the initial culture concentration (4 × 10⁵ cells mL⁻¹). A 500 mL aliquot was mixed with 500 mL of filtered seawater and incubated in roller tables. Aggregates (0.8 ± 0.25 mL⁻¹) were counted, giving 800 l⁻¹. Aggregate volumes were obtained from projected areas assuming a prolate ellipsoid (V = 4/3 πab²), with a mean of 44,421 ± 16,000 μm³. </w:t>
      </w:r>
      <w:proofErr w:type="spellStart"/>
      <w:r>
        <w:rPr>
          <w:i/>
        </w:rPr>
        <w:t>Thalassiosira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pseudonana</w:t>
      </w:r>
      <w:proofErr w:type="spellEnd"/>
      <w:r>
        <w:t xml:space="preserve"> cells were approximated as cylinders (length 4 µm, diameter 7 µm; </w:t>
      </w:r>
      <w:hyperlink r:id="rId10">
        <w:r>
          <w:t>1</w:t>
        </w:r>
      </w:hyperlink>
      <w:r>
        <w:t xml:space="preserve">), yielding 88 µm³ per cell. Based on 2 × 10⁸ cells </w:t>
      </w:r>
      <w:r>
        <w:lastRenderedPageBreak/>
        <w:t>added, we estimate 2.5 × 10⁵ diatoms and 2.1 × 10⁷ µm³ of diatom biomass per aggregate. Compared to measured aggregate volume (4.4 × 10⁴ µm³), this implies a 500-fold compaction, used to scale free-living cell densities for comparison with particle-associated populations. This approximation ignores porosity, resin shrinkage, and should be interpreted cautiously.</w:t>
      </w:r>
    </w:p>
    <w:p w14:paraId="585606F0" w14:textId="77777777" w:rsidR="00501639" w:rsidRDefault="00D0475E" w:rsidP="00D0475E">
      <w:pPr>
        <w:spacing w:before="240" w:after="240" w:line="480" w:lineRule="auto"/>
      </w:pPr>
      <w:r>
        <w:t>Total particle-associated cell numbers were extrapolated by calculating the volume of each concentric annulus as a 3D ellipsoidal shell (difference between outer and inner ellipsoids). A volume-weighted mean density for the whole particle was then multiplied by mean aggregate volume to yield cell numbers per aggregate, and by aggregate abundance to estimate total particle-associated populations per treatment.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856070E" wp14:editId="5856070F">
            <wp:simplePos x="0" y="0"/>
            <wp:positionH relativeFrom="column">
              <wp:posOffset>1133475</wp:posOffset>
            </wp:positionH>
            <wp:positionV relativeFrom="paragraph">
              <wp:posOffset>1695450</wp:posOffset>
            </wp:positionV>
            <wp:extent cx="3671888" cy="682594"/>
            <wp:effectExtent l="0" t="0" r="0" b="0"/>
            <wp:wrapSquare wrapText="bothSides" distT="114300" distB="114300" distL="114300" distR="114300"/>
            <wp:docPr id="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1888" cy="6825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5606F1" w14:textId="77777777" w:rsidR="00501639" w:rsidRDefault="00501639" w:rsidP="00D0475E">
      <w:pPr>
        <w:spacing w:before="240" w:after="240" w:line="480" w:lineRule="auto"/>
      </w:pPr>
    </w:p>
    <w:p w14:paraId="585606F2" w14:textId="77777777" w:rsidR="00501639" w:rsidRDefault="00D0475E" w:rsidP="00D0475E">
      <w:pPr>
        <w:spacing w:before="240" w:after="240" w:line="480" w:lineRule="auto"/>
      </w:pPr>
      <w:r>
        <w:br w:type="page"/>
      </w:r>
    </w:p>
    <w:p w14:paraId="585606F3" w14:textId="77777777" w:rsidR="00501639" w:rsidRDefault="00D0475E" w:rsidP="00D0475E">
      <w:pPr>
        <w:spacing w:before="240" w:after="240" w:line="480" w:lineRule="auto"/>
      </w:pPr>
      <w:r>
        <w:rPr>
          <w:b/>
        </w:rPr>
        <w:lastRenderedPageBreak/>
        <w:t>Supplementary figures</w:t>
      </w:r>
      <w:r>
        <w:br/>
        <w:t>Figure S1: Sample preparation workflow for particle embedding and sectioning. (A) Agarose-embedded particle observed under a Leica M165C stereomicroscope, with a calibrated scale bar (1 division = 25 µm). (B) Methacrylate block containing a particle, image taken from the instrument screen. (C) Semi-thin sections (2 µm) obtained from the block using a glass knife.</w:t>
      </w:r>
      <w:r>
        <w:br w:type="page"/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58560710" wp14:editId="58560711">
            <wp:simplePos x="0" y="0"/>
            <wp:positionH relativeFrom="column">
              <wp:posOffset>-909636</wp:posOffset>
            </wp:positionH>
            <wp:positionV relativeFrom="paragraph">
              <wp:posOffset>342900</wp:posOffset>
            </wp:positionV>
            <wp:extent cx="7758113" cy="4362595"/>
            <wp:effectExtent l="0" t="0" r="0" b="0"/>
            <wp:wrapSquare wrapText="bothSides" distT="114300" distB="114300" distL="114300" distR="11430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8113" cy="4362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5606F4" w14:textId="77777777" w:rsidR="00501639" w:rsidRDefault="00D0475E" w:rsidP="00D0475E">
      <w:pPr>
        <w:spacing w:before="240" w:after="240" w:line="480" w:lineRule="auto"/>
      </w:pPr>
      <w:r>
        <w:lastRenderedPageBreak/>
        <w:t xml:space="preserve">Figure S2: Ultramicrotome equatorial section of a marine particle showing the five concentric zones used for spatial analysis: Peripheral (0-20% of radius), External (20-40%), Median (40-60%), Internal (60-80%), and Core (80-100%). White dots represent individual bacterial cells detected by DAPI staining. This zonation approach enabled quantitative analysis of cell distribution from particle periphery to core. Scale bar = 100 </w:t>
      </w:r>
      <w:proofErr w:type="spellStart"/>
      <w:r>
        <w:t>μm</w:t>
      </w:r>
      <w:proofErr w:type="spellEnd"/>
      <w:r>
        <w:t>.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58560712" wp14:editId="58560713">
            <wp:simplePos x="0" y="0"/>
            <wp:positionH relativeFrom="column">
              <wp:posOffset>19052</wp:posOffset>
            </wp:positionH>
            <wp:positionV relativeFrom="paragraph">
              <wp:posOffset>114300</wp:posOffset>
            </wp:positionV>
            <wp:extent cx="5943600" cy="5943600"/>
            <wp:effectExtent l="0" t="0" r="0" b="0"/>
            <wp:wrapSquare wrapText="bothSides" distT="114300" distB="114300" distL="114300" distR="11430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5606F5" w14:textId="77777777" w:rsidR="00501639" w:rsidRDefault="00D0475E" w:rsidP="00D0475E">
      <w:pPr>
        <w:spacing w:before="240" w:after="240" w:line="480" w:lineRule="auto"/>
      </w:pPr>
      <w:r>
        <w:br w:type="page"/>
      </w:r>
    </w:p>
    <w:p w14:paraId="585606F6" w14:textId="77777777" w:rsidR="00501639" w:rsidRDefault="00D0475E" w:rsidP="00D0475E">
      <w:pPr>
        <w:spacing w:line="480" w:lineRule="auto"/>
        <w:rPr>
          <w:b/>
        </w:rPr>
      </w:pPr>
      <w:r>
        <w:rPr>
          <w:b/>
        </w:rPr>
        <w:lastRenderedPageBreak/>
        <w:t>Supplementary tables</w:t>
      </w:r>
    </w:p>
    <w:p w14:paraId="585606F7" w14:textId="77777777" w:rsidR="00501639" w:rsidRDefault="00501639" w:rsidP="00D0475E">
      <w:pPr>
        <w:spacing w:line="480" w:lineRule="auto"/>
        <w:rPr>
          <w:b/>
        </w:rPr>
      </w:pPr>
    </w:p>
    <w:p w14:paraId="585606F8" w14:textId="77777777" w:rsidR="00501639" w:rsidRDefault="00D0475E" w:rsidP="00D0475E">
      <w:pPr>
        <w:spacing w:line="480" w:lineRule="auto"/>
      </w:pPr>
      <w:r>
        <w:t xml:space="preserve">Table S1: DAPI⁺ and NifH⁺ counts in the 0.2–3 µm fraction, obtained from 0.2 µm polycarbonate filters stained with DAPI (for total cells) and anti-NifH antibody (for diazotrophs). Raw counts per filter were converted to cell abundances (cells mL⁻¹) by normalizing to the filtered </w:t>
      </w:r>
      <w:proofErr w:type="gramStart"/>
      <w:r>
        <w:t>volume, and</w:t>
      </w:r>
      <w:proofErr w:type="gramEnd"/>
      <w:r>
        <w:t xml:space="preserve"> are reported by treatment and incubation time.</w:t>
      </w:r>
    </w:p>
    <w:p w14:paraId="585606F9" w14:textId="77777777" w:rsidR="00501639" w:rsidRDefault="00501639" w:rsidP="00D0475E">
      <w:pPr>
        <w:spacing w:line="480" w:lineRule="auto"/>
      </w:pPr>
    </w:p>
    <w:p w14:paraId="585606FA" w14:textId="77777777" w:rsidR="00501639" w:rsidRDefault="00D0475E" w:rsidP="00D0475E">
      <w:pPr>
        <w:spacing w:line="480" w:lineRule="auto"/>
      </w:pPr>
      <w:r>
        <w:t>Table S2: Raw counts of NifH⁺, RSG⁺, and DAPI⁺ cells per concentric layer in particle cross-sections, with calculated shell volumes, slice volumes, and resulting cell densities (cells µm⁻³).</w:t>
      </w:r>
    </w:p>
    <w:p w14:paraId="585606FB" w14:textId="77777777" w:rsidR="00501639" w:rsidRDefault="00501639" w:rsidP="00D0475E">
      <w:pPr>
        <w:spacing w:line="480" w:lineRule="auto"/>
      </w:pPr>
    </w:p>
    <w:p w14:paraId="585606FC" w14:textId="77777777" w:rsidR="00501639" w:rsidRDefault="00D0475E" w:rsidP="00D0475E">
      <w:pPr>
        <w:spacing w:line="480" w:lineRule="auto"/>
      </w:pPr>
      <w:r>
        <w:t>Table S3: MIMS measurements of O₂/</w:t>
      </w:r>
      <w:proofErr w:type="spellStart"/>
      <w:r>
        <w:t>Ar</w:t>
      </w:r>
      <w:proofErr w:type="spellEnd"/>
      <w:r>
        <w:t xml:space="preserve"> ratios and ¹⁵N₂ enrichment.</w:t>
      </w:r>
    </w:p>
    <w:p w14:paraId="585606FD" w14:textId="77777777" w:rsidR="00501639" w:rsidRDefault="00D0475E" w:rsidP="00D0475E">
      <w:pPr>
        <w:spacing w:line="480" w:lineRule="auto"/>
      </w:pPr>
      <w:r>
        <w:t>O₂/</w:t>
      </w:r>
      <w:proofErr w:type="spellStart"/>
      <w:r>
        <w:t>Ar</w:t>
      </w:r>
      <w:proofErr w:type="spellEnd"/>
      <w:r>
        <w:t xml:space="preserve"> ratios (% of initial) by treatment and time, with corresponding dissolved ¹⁵N₂ enrichment values.</w:t>
      </w:r>
    </w:p>
    <w:p w14:paraId="585606FE" w14:textId="77777777" w:rsidR="00501639" w:rsidRDefault="00501639" w:rsidP="00D0475E">
      <w:pPr>
        <w:spacing w:line="480" w:lineRule="auto"/>
      </w:pPr>
    </w:p>
    <w:p w14:paraId="585606FF" w14:textId="77777777" w:rsidR="00501639" w:rsidRDefault="00D0475E" w:rsidP="00D0475E">
      <w:pPr>
        <w:spacing w:line="480" w:lineRule="auto"/>
      </w:pPr>
      <w:r>
        <w:t>Table S4: IRMS results for bulk particulate ¹⁵N enrichment and derived N₂ fixation rates.</w:t>
      </w:r>
    </w:p>
    <w:p w14:paraId="58560700" w14:textId="77777777" w:rsidR="00501639" w:rsidRDefault="00D0475E" w:rsidP="00D0475E">
      <w:pPr>
        <w:spacing w:line="480" w:lineRule="auto"/>
      </w:pPr>
      <w:r>
        <w:t>Atom % ¹⁵N, δ¹⁵N, and volumetric N₂ fixation rates per bottle across treatments and incubation times.</w:t>
      </w:r>
    </w:p>
    <w:p w14:paraId="58560701" w14:textId="77777777" w:rsidR="00501639" w:rsidRDefault="00501639" w:rsidP="00D0475E">
      <w:pPr>
        <w:spacing w:line="480" w:lineRule="auto"/>
        <w:rPr>
          <w:b/>
        </w:rPr>
      </w:pPr>
    </w:p>
    <w:p w14:paraId="58560702" w14:textId="77777777" w:rsidR="00501639" w:rsidRDefault="00D0475E" w:rsidP="00D0475E">
      <w:pPr>
        <w:spacing w:line="480" w:lineRule="auto"/>
      </w:pPr>
      <w:r>
        <w:t>Table S5: Pairwise Wilcoxon comparisons of enrichment factors (particle-associated vs free-living) across radial zones and incubation times. Reported values include W statistics, p-values, adjusted p-values (BH correction), Cliff’s delta effect sizes with confidence intervals, and qualitative magnitude.</w:t>
      </w:r>
    </w:p>
    <w:p w14:paraId="58560703" w14:textId="77777777" w:rsidR="00501639" w:rsidRDefault="00501639" w:rsidP="00D0475E">
      <w:pPr>
        <w:spacing w:line="480" w:lineRule="auto"/>
        <w:rPr>
          <w:b/>
        </w:rPr>
      </w:pPr>
    </w:p>
    <w:p w14:paraId="58560704" w14:textId="77777777" w:rsidR="00501639" w:rsidRDefault="00D0475E" w:rsidP="00D0475E">
      <w:pPr>
        <w:spacing w:line="480" w:lineRule="auto"/>
      </w:pPr>
      <w:r>
        <w:t xml:space="preserve">Table S6: Kruskal–Wallis results for N₂ fixation per NifH⁺ cell across incubation times (12, 24, 72 h) within each treatment. Reported values: n, H statistic, </w:t>
      </w:r>
      <w:proofErr w:type="spellStart"/>
      <w:r>
        <w:t>df</w:t>
      </w:r>
      <w:proofErr w:type="spellEnd"/>
      <w:r>
        <w:t>, p-value.</w:t>
      </w:r>
    </w:p>
    <w:p w14:paraId="58560705" w14:textId="77777777" w:rsidR="00501639" w:rsidRDefault="00501639" w:rsidP="00D0475E">
      <w:pPr>
        <w:spacing w:line="480" w:lineRule="auto"/>
        <w:rPr>
          <w:b/>
        </w:rPr>
      </w:pPr>
    </w:p>
    <w:p w14:paraId="58560706" w14:textId="77777777" w:rsidR="00501639" w:rsidRDefault="00D0475E" w:rsidP="00D0475E">
      <w:pPr>
        <w:spacing w:line="480" w:lineRule="auto"/>
      </w:pPr>
      <w:r>
        <w:t>Table S7: Pairwise Dunn’s tests contrasting time points (12, 24, 72 h) within each treatment. Reported values: Z statistic, raw and adjusted p-values, significance codes</w:t>
      </w:r>
    </w:p>
    <w:p w14:paraId="58560707" w14:textId="77777777" w:rsidR="00501639" w:rsidRDefault="00501639" w:rsidP="00D0475E">
      <w:pPr>
        <w:spacing w:line="480" w:lineRule="auto"/>
      </w:pPr>
    </w:p>
    <w:p w14:paraId="58560708" w14:textId="77777777" w:rsidR="00501639" w:rsidRDefault="00D0475E" w:rsidP="00D0475E">
      <w:pPr>
        <w:spacing w:line="480" w:lineRule="auto"/>
        <w:rPr>
          <w:b/>
        </w:rPr>
      </w:pPr>
      <w:r>
        <w:rPr>
          <w:b/>
        </w:rPr>
        <w:t>References:</w:t>
      </w:r>
    </w:p>
    <w:p w14:paraId="58560709" w14:textId="77777777" w:rsidR="00501639" w:rsidRDefault="00D0475E" w:rsidP="00D0475E">
      <w:pPr>
        <w:spacing w:line="480" w:lineRule="auto"/>
        <w:ind w:left="264"/>
      </w:pPr>
      <w:hyperlink r:id="rId14">
        <w:r>
          <w:t>1.</w:t>
        </w:r>
      </w:hyperlink>
      <w:r>
        <w:tab/>
      </w:r>
      <w:hyperlink r:id="rId15">
        <w:r>
          <w:t xml:space="preserve">Hildebrand, M., Kim, S., Shi, D., Scott, K. &amp; Subramaniam, S. 3D imaging of diatoms with ion-abrasion scanning electron microscopy. </w:t>
        </w:r>
      </w:hyperlink>
      <w:hyperlink r:id="rId16">
        <w:r>
          <w:rPr>
            <w:i/>
          </w:rPr>
          <w:t xml:space="preserve">J. Struct. Biol. </w:t>
        </w:r>
      </w:hyperlink>
      <w:hyperlink r:id="rId17">
        <w:r>
          <w:rPr>
            <w:b/>
          </w:rPr>
          <w:t>166</w:t>
        </w:r>
      </w:hyperlink>
      <w:hyperlink r:id="rId18">
        <w:r>
          <w:t xml:space="preserve">, 316–328 (2009). </w:t>
        </w:r>
      </w:hyperlink>
    </w:p>
    <w:sectPr w:rsidR="00501639">
      <w:footerReference w:type="defaul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60719" w14:textId="77777777" w:rsidR="00D0475E" w:rsidRDefault="00D0475E">
      <w:pPr>
        <w:spacing w:line="240" w:lineRule="auto"/>
      </w:pPr>
      <w:r>
        <w:separator/>
      </w:r>
    </w:p>
  </w:endnote>
  <w:endnote w:type="continuationSeparator" w:id="0">
    <w:p w14:paraId="5856071B" w14:textId="77777777" w:rsidR="00D0475E" w:rsidRDefault="00D047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60714" w14:textId="45FB59D1" w:rsidR="00501639" w:rsidRDefault="00D0475E">
    <w:pPr>
      <w:jc w:val="right"/>
    </w:pPr>
    <w:r>
      <w:fldChar w:fldCharType="begin"/>
    </w:r>
    <w:r>
      <w:instrText>PAGE</w:instrText>
    </w:r>
    <w:r>
      <w:fldChar w:fldCharType="separate"/>
    </w:r>
    <w:r w:rsidR="003E20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60715" w14:textId="77777777" w:rsidR="00D0475E" w:rsidRDefault="00D0475E">
      <w:pPr>
        <w:spacing w:line="240" w:lineRule="auto"/>
      </w:pPr>
      <w:r>
        <w:separator/>
      </w:r>
    </w:p>
  </w:footnote>
  <w:footnote w:type="continuationSeparator" w:id="0">
    <w:p w14:paraId="58560717" w14:textId="77777777" w:rsidR="00D0475E" w:rsidRDefault="00D0475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639"/>
    <w:rsid w:val="003E20D5"/>
    <w:rsid w:val="00501639"/>
    <w:rsid w:val="00AA7CBC"/>
    <w:rsid w:val="00D04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5606DA"/>
  <w15:docId w15:val="{8ACB7D9B-750C-B64A-BD5B-7F3F68B9A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hyperlink" Target="https://www.zotero.org/google-docs/?znyfBT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mar.benavides@noc.ac.uk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zotero.org/google-docs/?znyfBT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zotero.org/google-docs/?znyfB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yperlink" Target="https://www.zotero.org/google-docs/?znyfBT" TargetMode="External"/><Relationship Id="rId10" Type="http://schemas.openxmlformats.org/officeDocument/2006/relationships/hyperlink" Target="https://www.zotero.org/google-docs/?2AUaGK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www.zotero.org/google-docs/?znyfB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mLcO88c/SFYdvUE32KKXnMlLUA==">CgMxLjA4AHIhMUlDR3NrQTB2aXV5c3Btc0ZWY0ZMUnlmRFhLazJmRXh3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894</Words>
  <Characters>5102</Characters>
  <Application>Microsoft Office Word</Application>
  <DocSecurity>0</DocSecurity>
  <Lines>42</Lines>
  <Paragraphs>11</Paragraphs>
  <ScaleCrop>false</ScaleCrop>
  <Company/>
  <LinksUpToDate>false</LinksUpToDate>
  <CharactersWithSpaces>5985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 Benavides</cp:lastModifiedBy>
  <cp:revision>3</cp:revision>
  <dcterms:created xsi:type="dcterms:W3CDTF">2025-09-24T15:41:00Z</dcterms:created>
  <dcterms:modified xsi:type="dcterms:W3CDTF">2025-09-24T15:42:00Z</dcterms:modified>
</cp:coreProperties>
</file>