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A537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495300</wp:posOffset>
            </wp:positionH>
            <wp:positionV relativeFrom="paragraph">
              <wp:posOffset>26035</wp:posOffset>
            </wp:positionV>
            <wp:extent cx="2545080" cy="8839200"/>
            <wp:effectExtent l="0" t="0" r="8255" b="0"/>
            <wp:wrapNone/>
            <wp:docPr id="18686796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79643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" t="2699" r="5354" b="1994"/>
                    <a:stretch>
                      <a:fillRect/>
                    </a:stretch>
                  </pic:blipFill>
                  <pic:spPr>
                    <a:xfrm>
                      <a:off x="0" y="0"/>
                      <a:ext cx="2544792" cy="883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4B7BF4">
      <w:pPr>
        <w:rPr>
          <w:rFonts w:ascii="Times New Roman" w:hAnsi="Times New Roman" w:cs="Times New Roman"/>
        </w:rPr>
      </w:pPr>
    </w:p>
    <w:p w14:paraId="249383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14:paraId="1CCBDFDE">
      <w:pPr>
        <w:rPr>
          <w:rFonts w:ascii="Times New Roman" w:hAnsi="Times New Roman" w:cs="Times New Roman"/>
        </w:rPr>
      </w:pPr>
    </w:p>
    <w:p w14:paraId="2BD43789">
      <w:pPr>
        <w:rPr>
          <w:rFonts w:ascii="Times New Roman" w:hAnsi="Times New Roman" w:cs="Times New Roman"/>
        </w:rPr>
      </w:pPr>
    </w:p>
    <w:p w14:paraId="06836546">
      <w:pPr>
        <w:rPr>
          <w:rFonts w:ascii="Times New Roman" w:hAnsi="Times New Roman" w:cs="Times New Roman"/>
        </w:rPr>
      </w:pPr>
    </w:p>
    <w:p w14:paraId="5F519D9D">
      <w:pPr>
        <w:rPr>
          <w:rFonts w:ascii="Times New Roman" w:hAnsi="Times New Roman" w:cs="Times New Roman"/>
        </w:rPr>
      </w:pPr>
    </w:p>
    <w:p w14:paraId="1A297676">
      <w:pPr>
        <w:rPr>
          <w:rFonts w:ascii="Times New Roman" w:hAnsi="Times New Roman" w:cs="Times New Roman"/>
        </w:rPr>
      </w:pPr>
    </w:p>
    <w:p w14:paraId="2A88E88E">
      <w:pPr>
        <w:rPr>
          <w:rFonts w:ascii="Times New Roman" w:hAnsi="Times New Roman" w:cs="Times New Roman"/>
        </w:rPr>
      </w:pPr>
    </w:p>
    <w:p w14:paraId="134A04A9">
      <w:pPr>
        <w:rPr>
          <w:rFonts w:ascii="Times New Roman" w:hAnsi="Times New Roman" w:cs="Times New Roman"/>
        </w:rPr>
      </w:pPr>
    </w:p>
    <w:p w14:paraId="61F0DA52">
      <w:pPr>
        <w:rPr>
          <w:rFonts w:ascii="Times New Roman" w:hAnsi="Times New Roman" w:cs="Times New Roman"/>
        </w:rPr>
      </w:pPr>
    </w:p>
    <w:p w14:paraId="0F4BA7B6">
      <w:pPr>
        <w:rPr>
          <w:rFonts w:ascii="Times New Roman" w:hAnsi="Times New Roman" w:cs="Times New Roman"/>
        </w:rPr>
      </w:pPr>
    </w:p>
    <w:p w14:paraId="5CBAB39D">
      <w:pPr>
        <w:rPr>
          <w:rFonts w:ascii="Times New Roman" w:hAnsi="Times New Roman" w:cs="Times New Roman"/>
        </w:rPr>
      </w:pPr>
    </w:p>
    <w:p w14:paraId="12AFE807">
      <w:pPr>
        <w:rPr>
          <w:rFonts w:ascii="Times New Roman" w:hAnsi="Times New Roman" w:cs="Times New Roman"/>
        </w:rPr>
      </w:pPr>
    </w:p>
    <w:p w14:paraId="1E476A18">
      <w:pPr>
        <w:rPr>
          <w:rFonts w:ascii="Times New Roman" w:hAnsi="Times New Roman" w:cs="Times New Roman"/>
        </w:rPr>
      </w:pPr>
    </w:p>
    <w:p w14:paraId="70C2FF97">
      <w:pPr>
        <w:rPr>
          <w:rFonts w:ascii="Times New Roman" w:hAnsi="Times New Roman" w:cs="Times New Roman"/>
        </w:rPr>
      </w:pPr>
    </w:p>
    <w:p w14:paraId="7DEE0BAD">
      <w:pPr>
        <w:rPr>
          <w:rFonts w:ascii="Times New Roman" w:hAnsi="Times New Roman" w:cs="Times New Roman"/>
        </w:rPr>
      </w:pPr>
    </w:p>
    <w:p w14:paraId="13DF0F9B">
      <w:pPr>
        <w:rPr>
          <w:rFonts w:ascii="Times New Roman" w:hAnsi="Times New Roman" w:cs="Times New Roman"/>
        </w:rPr>
      </w:pPr>
    </w:p>
    <w:p w14:paraId="4736DE33">
      <w:pPr>
        <w:rPr>
          <w:rFonts w:ascii="Times New Roman" w:hAnsi="Times New Roman" w:cs="Times New Roman"/>
        </w:rPr>
      </w:pPr>
    </w:p>
    <w:p w14:paraId="0818D465">
      <w:pPr>
        <w:rPr>
          <w:rFonts w:ascii="Times New Roman" w:hAnsi="Times New Roman" w:cs="Times New Roman"/>
        </w:rPr>
      </w:pPr>
    </w:p>
    <w:p w14:paraId="7440DAE8">
      <w:pPr>
        <w:rPr>
          <w:rFonts w:ascii="Times New Roman" w:hAnsi="Times New Roman" w:cs="Times New Roman"/>
        </w:rPr>
      </w:pPr>
    </w:p>
    <w:p w14:paraId="60DBFFE1">
      <w:pPr>
        <w:rPr>
          <w:rFonts w:ascii="Times New Roman" w:hAnsi="Times New Roman" w:cs="Times New Roman"/>
        </w:rPr>
      </w:pPr>
    </w:p>
    <w:p w14:paraId="1E161D7E">
      <w:pPr>
        <w:rPr>
          <w:rFonts w:ascii="Times New Roman" w:hAnsi="Times New Roman" w:cs="Times New Roman"/>
        </w:rPr>
      </w:pPr>
    </w:p>
    <w:p w14:paraId="3BB84BD2">
      <w:pPr>
        <w:rPr>
          <w:rFonts w:ascii="Times New Roman" w:hAnsi="Times New Roman" w:cs="Times New Roman"/>
        </w:rPr>
      </w:pPr>
    </w:p>
    <w:p w14:paraId="730557B7">
      <w:pPr>
        <w:rPr>
          <w:rFonts w:ascii="Times New Roman" w:hAnsi="Times New Roman" w:cs="Times New Roman"/>
        </w:rPr>
      </w:pPr>
    </w:p>
    <w:p w14:paraId="1F033C16">
      <w:pPr>
        <w:rPr>
          <w:rFonts w:ascii="Times New Roman" w:hAnsi="Times New Roman" w:cs="Times New Roman"/>
        </w:rPr>
      </w:pPr>
    </w:p>
    <w:p w14:paraId="0EA9243D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Figure S1.</w:t>
      </w:r>
      <w:r>
        <w:rPr>
          <w:rFonts w:ascii="Times New Roman" w:hAnsi="Times New Roman" w:cs="Times New Roman"/>
          <w:sz w:val="21"/>
          <w:szCs w:val="21"/>
        </w:rPr>
        <w:t xml:space="preserve"> Samples collected aseptically from </w:t>
      </w:r>
      <w:r>
        <w:rPr>
          <w:rFonts w:ascii="Times New Roman" w:hAnsi="Times New Roman" w:eastAsia="宋体" w:cs="Times New Roman"/>
          <w:color w:val="000000"/>
          <w:kern w:val="0"/>
          <w:sz w:val="21"/>
          <w:szCs w:val="21"/>
          <w:lang w:bidi="ar"/>
        </w:rPr>
        <w:t>LPLN, RPLN, LSLN, RSLN, LSpLN, RSpLN, LILN, RILN</w:t>
      </w:r>
      <w:r>
        <w:rPr>
          <w:rFonts w:ascii="Times New Roman" w:hAnsi="Times New Roman" w:cs="Times New Roman"/>
          <w:sz w:val="21"/>
          <w:szCs w:val="21"/>
        </w:rPr>
        <w:t>, and splenic tissue at 0, 3, 7, 15, 30, and 45 days post-infection.</w:t>
      </w:r>
    </w:p>
    <w:p w14:paraId="712E548E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5272405" cy="5071745"/>
            <wp:effectExtent l="0" t="0" r="4445" b="0"/>
            <wp:wrapTopAndBottom/>
            <wp:docPr id="21441778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177851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2" t="6911" r="5448" b="547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E3677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S2.</w:t>
      </w:r>
      <w:r>
        <w:rPr>
          <w:rFonts w:ascii="Times New Roman" w:hAnsi="Times New Roman" w:cs="Times New Roman"/>
          <w:sz w:val="24"/>
        </w:rPr>
        <w:t xml:space="preserve"> Tissue reference standards corresponding to each grade of gross anatomy scoring.</w:t>
      </w:r>
    </w:p>
    <w:p w14:paraId="1754E9A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559CCA1">
      <w:pPr>
        <w:spacing w:after="0" w:line="240" w:lineRule="auto"/>
        <w:rPr>
          <w:rFonts w:ascii="Times New Roman" w:hAnsi="Times New Roman" w:eastAsia="宋体" w:cs="Times New Roman"/>
          <w:b/>
          <w:bCs/>
          <w:sz w:val="21"/>
          <w:szCs w:val="21"/>
        </w:rPr>
      </w:pPr>
      <w:bookmarkStart w:id="3" w:name="_GoBack"/>
      <w:bookmarkEnd w:id="3"/>
      <w:bookmarkStart w:id="0" w:name="OLE_LINK1"/>
      <w:r>
        <w:rPr>
          <w:rFonts w:ascii="Times New Roman" w:hAnsi="Times New Roman" w:eastAsia="宋体" w:cs="Times New Roman"/>
          <w:b/>
          <w:bCs/>
          <w:color w:val="000000"/>
          <w:kern w:val="0"/>
          <w:sz w:val="21"/>
          <w:szCs w:val="21"/>
          <w:lang w:bidi="ar"/>
        </w:rPr>
        <w:t>Table S1</w:t>
      </w:r>
      <w:bookmarkEnd w:id="0"/>
      <w:r>
        <w:rPr>
          <w:rFonts w:ascii="Times New Roman" w:hAnsi="Times New Roman" w:eastAsia="宋体" w:cs="Times New Roman"/>
          <w:b/>
          <w:bCs/>
          <w:color w:val="000000"/>
          <w:kern w:val="0"/>
          <w:sz w:val="21"/>
          <w:szCs w:val="21"/>
          <w:lang w:bidi="ar"/>
        </w:rPr>
        <w:t xml:space="preserve">. </w:t>
      </w:r>
      <w:r>
        <w:rPr>
          <w:rFonts w:ascii="Times New Roman" w:hAnsi="Times New Roman" w:eastAsia="宋体" w:cs="Times New Roman"/>
          <w:b/>
          <w:bCs/>
          <w:sz w:val="21"/>
          <w:szCs w:val="21"/>
        </w:rPr>
        <w:t>Gross Anatomical Score</w:t>
      </w:r>
    </w:p>
    <w:tbl>
      <w:tblPr>
        <w:tblStyle w:val="15"/>
        <w:tblW w:w="5000" w:type="pct"/>
        <w:jc w:val="center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single" w:color="000000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5"/>
        <w:gridCol w:w="1447"/>
        <w:gridCol w:w="7041"/>
        <w:gridCol w:w="729"/>
      </w:tblGrid>
      <w:tr w14:paraId="76A44D87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686" w:type="pct"/>
            <w:tcBorders>
              <w:bottom w:val="single" w:color="000000" w:sz="4" w:space="0"/>
            </w:tcBorders>
            <w:noWrap/>
            <w:vAlign w:val="center"/>
          </w:tcPr>
          <w:p w14:paraId="710C11C1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Tissue</w:t>
            </w:r>
          </w:p>
        </w:tc>
        <w:tc>
          <w:tcPr>
            <w:tcW w:w="677" w:type="pct"/>
            <w:tcBorders>
              <w:bottom w:val="single" w:color="000000" w:sz="4" w:space="0"/>
            </w:tcBorders>
            <w:vAlign w:val="center"/>
          </w:tcPr>
          <w:p w14:paraId="77120E13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Scoring Parameter</w:t>
            </w:r>
          </w:p>
        </w:tc>
        <w:tc>
          <w:tcPr>
            <w:tcW w:w="3295" w:type="pct"/>
            <w:tcBorders>
              <w:bottom w:val="single" w:color="000000" w:sz="4" w:space="0"/>
            </w:tcBorders>
            <w:vAlign w:val="center"/>
          </w:tcPr>
          <w:p w14:paraId="0AB2DD93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bidi="ar"/>
              </w:rPr>
              <w:t>Scoring Criteria</w:t>
            </w:r>
          </w:p>
        </w:tc>
        <w:tc>
          <w:tcPr>
            <w:tcW w:w="341" w:type="pct"/>
            <w:tcBorders>
              <w:bottom w:val="single" w:color="000000" w:sz="4" w:space="0"/>
            </w:tcBorders>
            <w:vAlign w:val="center"/>
          </w:tcPr>
          <w:p w14:paraId="0AEB0ED2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bidi="ar"/>
              </w:rPr>
              <w:t>Score</w:t>
            </w:r>
          </w:p>
        </w:tc>
      </w:tr>
      <w:tr w14:paraId="34F41FF9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686" w:type="pct"/>
            <w:vMerge w:val="restart"/>
            <w:tcBorders>
              <w:bottom w:val="nil"/>
            </w:tcBorders>
            <w:noWrap/>
            <w:vAlign w:val="center"/>
          </w:tcPr>
          <w:p w14:paraId="183F1993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Lymph node</w:t>
            </w:r>
          </w:p>
        </w:tc>
        <w:tc>
          <w:tcPr>
            <w:tcW w:w="677" w:type="pct"/>
            <w:vMerge w:val="restart"/>
            <w:tcBorders>
              <w:bottom w:val="nil"/>
            </w:tcBorders>
            <w:vAlign w:val="center"/>
          </w:tcPr>
          <w:p w14:paraId="47C4D4AC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Color</w:t>
            </w:r>
          </w:p>
        </w:tc>
        <w:tc>
          <w:tcPr>
            <w:tcW w:w="3295" w:type="pct"/>
            <w:tcBorders>
              <w:bottom w:val="nil"/>
            </w:tcBorders>
          </w:tcPr>
          <w:p w14:paraId="651FB422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Entirely white</w:t>
            </w:r>
          </w:p>
        </w:tc>
        <w:tc>
          <w:tcPr>
            <w:tcW w:w="341" w:type="pct"/>
            <w:tcBorders>
              <w:bottom w:val="nil"/>
            </w:tcBorders>
            <w:vAlign w:val="center"/>
          </w:tcPr>
          <w:p w14:paraId="0C4E5A8A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0</w:t>
            </w:r>
          </w:p>
        </w:tc>
      </w:tr>
      <w:tr w14:paraId="3BA9CBFD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686" w:type="pct"/>
            <w:vMerge w:val="continue"/>
            <w:tcBorders>
              <w:top w:val="nil"/>
              <w:bottom w:val="nil"/>
            </w:tcBorders>
            <w:noWrap/>
            <w:vAlign w:val="center"/>
          </w:tcPr>
          <w:p w14:paraId="147B6402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77" w:type="pct"/>
            <w:vMerge w:val="continue"/>
            <w:tcBorders>
              <w:top w:val="nil"/>
              <w:bottom w:val="nil"/>
            </w:tcBorders>
            <w:vAlign w:val="center"/>
          </w:tcPr>
          <w:p w14:paraId="5CB85E51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295" w:type="pct"/>
            <w:tcBorders>
              <w:top w:val="nil"/>
              <w:bottom w:val="nil"/>
            </w:tcBorders>
          </w:tcPr>
          <w:p w14:paraId="28072F1B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Areas exhibiting light brown/tan or pale red coloration, accounting for less than 50% of the total tissue area</w:t>
            </w:r>
          </w:p>
        </w:tc>
        <w:tc>
          <w:tcPr>
            <w:tcW w:w="341" w:type="pct"/>
            <w:tcBorders>
              <w:top w:val="nil"/>
              <w:bottom w:val="nil"/>
            </w:tcBorders>
            <w:vAlign w:val="center"/>
          </w:tcPr>
          <w:p w14:paraId="36A6E4F1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</w:tr>
      <w:tr w14:paraId="1E5B31BA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686" w:type="pct"/>
            <w:vMerge w:val="continue"/>
            <w:tcBorders>
              <w:top w:val="nil"/>
              <w:bottom w:val="nil"/>
            </w:tcBorders>
            <w:noWrap/>
            <w:vAlign w:val="center"/>
          </w:tcPr>
          <w:p w14:paraId="7C038BF6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77" w:type="pct"/>
            <w:vMerge w:val="continue"/>
            <w:tcBorders>
              <w:top w:val="nil"/>
              <w:bottom w:val="nil"/>
            </w:tcBorders>
            <w:vAlign w:val="center"/>
          </w:tcPr>
          <w:p w14:paraId="2F1D6184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295" w:type="pct"/>
            <w:tcBorders>
              <w:top w:val="nil"/>
              <w:bottom w:val="nil"/>
            </w:tcBorders>
          </w:tcPr>
          <w:p w14:paraId="1532D641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Areas exhibiting yellowish-brown or reddish coloration, accounting for less than 50% of the total tissue area</w:t>
            </w:r>
          </w:p>
        </w:tc>
        <w:tc>
          <w:tcPr>
            <w:tcW w:w="341" w:type="pct"/>
            <w:tcBorders>
              <w:top w:val="nil"/>
              <w:bottom w:val="nil"/>
            </w:tcBorders>
            <w:vAlign w:val="center"/>
          </w:tcPr>
          <w:p w14:paraId="5A523229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</w:tr>
      <w:tr w14:paraId="456217D3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686" w:type="pct"/>
            <w:vMerge w:val="continue"/>
            <w:tcBorders>
              <w:top w:val="nil"/>
              <w:bottom w:val="nil"/>
            </w:tcBorders>
            <w:noWrap/>
            <w:vAlign w:val="center"/>
          </w:tcPr>
          <w:p w14:paraId="2B8F7674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77" w:type="pct"/>
            <w:vMerge w:val="continue"/>
            <w:tcBorders>
              <w:top w:val="nil"/>
              <w:bottom w:val="nil"/>
            </w:tcBorders>
            <w:vAlign w:val="center"/>
          </w:tcPr>
          <w:p w14:paraId="39BFF75D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295" w:type="pct"/>
            <w:tcBorders>
              <w:top w:val="nil"/>
              <w:bottom w:val="nil"/>
            </w:tcBorders>
          </w:tcPr>
          <w:p w14:paraId="14817F9B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Areas exhibiting yellowish-brown or reddish coloration, accounting for more than 50% of the total tissue area</w:t>
            </w:r>
          </w:p>
        </w:tc>
        <w:tc>
          <w:tcPr>
            <w:tcW w:w="341" w:type="pct"/>
            <w:tcBorders>
              <w:top w:val="nil"/>
              <w:bottom w:val="nil"/>
            </w:tcBorders>
            <w:vAlign w:val="center"/>
          </w:tcPr>
          <w:p w14:paraId="47092876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</w:tr>
      <w:tr w14:paraId="4B632CAF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686" w:type="pct"/>
            <w:vMerge w:val="continue"/>
            <w:tcBorders>
              <w:top w:val="nil"/>
              <w:bottom w:val="nil"/>
            </w:tcBorders>
            <w:noWrap/>
            <w:vAlign w:val="center"/>
          </w:tcPr>
          <w:p w14:paraId="5F38D523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77" w:type="pct"/>
            <w:vMerge w:val="continue"/>
            <w:tcBorders>
              <w:top w:val="nil"/>
              <w:bottom w:val="nil"/>
            </w:tcBorders>
            <w:vAlign w:val="center"/>
          </w:tcPr>
          <w:p w14:paraId="2255979A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295" w:type="pct"/>
            <w:tcBorders>
              <w:top w:val="nil"/>
              <w:bottom w:val="nil"/>
            </w:tcBorders>
          </w:tcPr>
          <w:p w14:paraId="48A5BA66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Score 4: Entirely deep red</w:t>
            </w:r>
          </w:p>
        </w:tc>
        <w:tc>
          <w:tcPr>
            <w:tcW w:w="341" w:type="pct"/>
            <w:tcBorders>
              <w:top w:val="nil"/>
              <w:bottom w:val="nil"/>
            </w:tcBorders>
            <w:vAlign w:val="center"/>
          </w:tcPr>
          <w:p w14:paraId="18ECB186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</w:tr>
      <w:tr w14:paraId="423E0729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686" w:type="pct"/>
            <w:vMerge w:val="continue"/>
            <w:tcBorders>
              <w:top w:val="nil"/>
              <w:bottom w:val="nil"/>
            </w:tcBorders>
            <w:noWrap/>
            <w:vAlign w:val="center"/>
          </w:tcPr>
          <w:p w14:paraId="36B60898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77" w:type="pct"/>
            <w:vMerge w:val="restart"/>
            <w:tcBorders>
              <w:top w:val="nil"/>
              <w:bottom w:val="nil"/>
            </w:tcBorders>
            <w:vAlign w:val="center"/>
          </w:tcPr>
          <w:p w14:paraId="007492F4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Area Change</w:t>
            </w:r>
          </w:p>
        </w:tc>
        <w:tc>
          <w:tcPr>
            <w:tcW w:w="3295" w:type="pct"/>
            <w:tcBorders>
              <w:top w:val="nil"/>
              <w:bottom w:val="nil"/>
            </w:tcBorders>
          </w:tcPr>
          <w:p w14:paraId="1336450E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Area size is essentially similar to the control</w:t>
            </w:r>
          </w:p>
        </w:tc>
        <w:tc>
          <w:tcPr>
            <w:tcW w:w="341" w:type="pct"/>
            <w:tcBorders>
              <w:top w:val="nil"/>
              <w:bottom w:val="nil"/>
            </w:tcBorders>
            <w:vAlign w:val="center"/>
          </w:tcPr>
          <w:p w14:paraId="2403D639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0</w:t>
            </w:r>
          </w:p>
        </w:tc>
      </w:tr>
      <w:tr w14:paraId="3D0E6269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686" w:type="pct"/>
            <w:vMerge w:val="continue"/>
            <w:tcBorders>
              <w:top w:val="nil"/>
              <w:bottom w:val="nil"/>
            </w:tcBorders>
            <w:noWrap/>
            <w:vAlign w:val="center"/>
          </w:tcPr>
          <w:p w14:paraId="60A585CC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77" w:type="pct"/>
            <w:vMerge w:val="continue"/>
            <w:tcBorders>
              <w:top w:val="nil"/>
              <w:bottom w:val="nil"/>
            </w:tcBorders>
            <w:vAlign w:val="center"/>
          </w:tcPr>
          <w:p w14:paraId="490AD9CC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295" w:type="pct"/>
            <w:tcBorders>
              <w:top w:val="nil"/>
              <w:bottom w:val="nil"/>
            </w:tcBorders>
          </w:tcPr>
          <w:p w14:paraId="40523629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Area is reduced by less than 0.6-fold or increased by more than 1.7-fold but less than 2.25-fold compared to the control</w:t>
            </w:r>
          </w:p>
        </w:tc>
        <w:tc>
          <w:tcPr>
            <w:tcW w:w="341" w:type="pct"/>
            <w:tcBorders>
              <w:top w:val="nil"/>
              <w:bottom w:val="nil"/>
            </w:tcBorders>
            <w:vAlign w:val="center"/>
          </w:tcPr>
          <w:p w14:paraId="2CF48E93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</w:tr>
      <w:tr w14:paraId="1CAFA375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686" w:type="pct"/>
            <w:vMerge w:val="continue"/>
            <w:tcBorders>
              <w:top w:val="nil"/>
              <w:bottom w:val="single" w:color="000000" w:sz="4" w:space="0"/>
            </w:tcBorders>
            <w:noWrap/>
            <w:vAlign w:val="center"/>
          </w:tcPr>
          <w:p w14:paraId="6BE23B25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77" w:type="pct"/>
            <w:vMerge w:val="continue"/>
            <w:tcBorders>
              <w:top w:val="nil"/>
              <w:bottom w:val="single" w:color="000000" w:sz="4" w:space="0"/>
            </w:tcBorders>
            <w:vAlign w:val="center"/>
          </w:tcPr>
          <w:p w14:paraId="6103F4F3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295" w:type="pct"/>
            <w:tcBorders>
              <w:top w:val="nil"/>
              <w:bottom w:val="single" w:color="000000" w:sz="4" w:space="0"/>
            </w:tcBorders>
          </w:tcPr>
          <w:p w14:paraId="6FD8E784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Area is increased by more than 2.25-fold compared to the control</w:t>
            </w:r>
          </w:p>
        </w:tc>
        <w:tc>
          <w:tcPr>
            <w:tcW w:w="341" w:type="pct"/>
            <w:tcBorders>
              <w:top w:val="nil"/>
              <w:bottom w:val="single" w:color="000000" w:sz="4" w:space="0"/>
            </w:tcBorders>
            <w:vAlign w:val="center"/>
          </w:tcPr>
          <w:p w14:paraId="6F36999A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</w:tr>
      <w:tr w14:paraId="124C6FAB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686" w:type="pct"/>
            <w:vMerge w:val="restart"/>
            <w:tcBorders>
              <w:top w:val="single" w:color="000000" w:sz="4" w:space="0"/>
              <w:bottom w:val="nil"/>
            </w:tcBorders>
            <w:noWrap/>
            <w:vAlign w:val="center"/>
          </w:tcPr>
          <w:p w14:paraId="191E7262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Spleen</w:t>
            </w:r>
          </w:p>
        </w:tc>
        <w:tc>
          <w:tcPr>
            <w:tcW w:w="677" w:type="pct"/>
            <w:vMerge w:val="restart"/>
            <w:tcBorders>
              <w:top w:val="single" w:color="000000" w:sz="4" w:space="0"/>
              <w:bottom w:val="nil"/>
            </w:tcBorders>
            <w:vAlign w:val="center"/>
          </w:tcPr>
          <w:p w14:paraId="4016D9E4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Hemorrhagic Spots</w:t>
            </w:r>
          </w:p>
        </w:tc>
        <w:tc>
          <w:tcPr>
            <w:tcW w:w="3295" w:type="pct"/>
            <w:tcBorders>
              <w:top w:val="single" w:color="000000" w:sz="4" w:space="0"/>
              <w:bottom w:val="nil"/>
            </w:tcBorders>
          </w:tcPr>
          <w:p w14:paraId="47B1D3D3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Smooth surface, no red spots</w:t>
            </w:r>
          </w:p>
        </w:tc>
        <w:tc>
          <w:tcPr>
            <w:tcW w:w="341" w:type="pct"/>
            <w:tcBorders>
              <w:top w:val="single" w:color="000000" w:sz="4" w:space="0"/>
              <w:bottom w:val="nil"/>
            </w:tcBorders>
            <w:vAlign w:val="center"/>
          </w:tcPr>
          <w:p w14:paraId="0C1810E2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0</w:t>
            </w:r>
          </w:p>
        </w:tc>
      </w:tr>
      <w:tr w14:paraId="776C1D6E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686" w:type="pct"/>
            <w:vMerge w:val="continue"/>
            <w:tcBorders>
              <w:top w:val="nil"/>
              <w:bottom w:val="nil"/>
            </w:tcBorders>
            <w:noWrap/>
            <w:vAlign w:val="center"/>
          </w:tcPr>
          <w:p w14:paraId="1964A420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77" w:type="pct"/>
            <w:vMerge w:val="continue"/>
            <w:tcBorders>
              <w:top w:val="nil"/>
              <w:bottom w:val="nil"/>
            </w:tcBorders>
            <w:vAlign w:val="center"/>
          </w:tcPr>
          <w:p w14:paraId="44F93186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295" w:type="pct"/>
            <w:tcBorders>
              <w:top w:val="nil"/>
              <w:bottom w:val="nil"/>
            </w:tcBorders>
          </w:tcPr>
          <w:p w14:paraId="26EDA99D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A few scattered red spots on the surface</w:t>
            </w:r>
          </w:p>
        </w:tc>
        <w:tc>
          <w:tcPr>
            <w:tcW w:w="341" w:type="pct"/>
            <w:tcBorders>
              <w:top w:val="nil"/>
              <w:bottom w:val="nil"/>
            </w:tcBorders>
            <w:vAlign w:val="center"/>
          </w:tcPr>
          <w:p w14:paraId="0690ADE7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</w:tr>
      <w:tr w14:paraId="677879E5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686" w:type="pct"/>
            <w:vMerge w:val="continue"/>
            <w:tcBorders>
              <w:top w:val="nil"/>
              <w:bottom w:val="nil"/>
            </w:tcBorders>
            <w:noWrap/>
            <w:vAlign w:val="center"/>
          </w:tcPr>
          <w:p w14:paraId="09B1ECBE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77" w:type="pct"/>
            <w:vMerge w:val="continue"/>
            <w:tcBorders>
              <w:top w:val="nil"/>
              <w:bottom w:val="nil"/>
            </w:tcBorders>
            <w:vAlign w:val="center"/>
          </w:tcPr>
          <w:p w14:paraId="09D3D82B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295" w:type="pct"/>
            <w:tcBorders>
              <w:top w:val="nil"/>
              <w:bottom w:val="nil"/>
            </w:tcBorders>
          </w:tcPr>
          <w:p w14:paraId="1F18A45E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A small number of red spots on the surface</w:t>
            </w:r>
          </w:p>
        </w:tc>
        <w:tc>
          <w:tcPr>
            <w:tcW w:w="341" w:type="pct"/>
            <w:tcBorders>
              <w:top w:val="nil"/>
              <w:bottom w:val="nil"/>
            </w:tcBorders>
            <w:vAlign w:val="center"/>
          </w:tcPr>
          <w:p w14:paraId="0F666D36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</w:tr>
      <w:tr w14:paraId="7DE32CDD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686" w:type="pct"/>
            <w:vMerge w:val="continue"/>
            <w:tcBorders>
              <w:top w:val="nil"/>
              <w:bottom w:val="nil"/>
            </w:tcBorders>
            <w:noWrap/>
            <w:vAlign w:val="center"/>
          </w:tcPr>
          <w:p w14:paraId="13E938C3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77" w:type="pct"/>
            <w:vMerge w:val="continue"/>
            <w:tcBorders>
              <w:top w:val="nil"/>
              <w:bottom w:val="nil"/>
            </w:tcBorders>
            <w:vAlign w:val="center"/>
          </w:tcPr>
          <w:p w14:paraId="753339E6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295" w:type="pct"/>
            <w:tcBorders>
              <w:top w:val="nil"/>
              <w:bottom w:val="nil"/>
            </w:tcBorders>
          </w:tcPr>
          <w:p w14:paraId="49411B13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A large number of red spots on the surface</w:t>
            </w:r>
          </w:p>
        </w:tc>
        <w:tc>
          <w:tcPr>
            <w:tcW w:w="341" w:type="pct"/>
            <w:tcBorders>
              <w:top w:val="nil"/>
              <w:bottom w:val="nil"/>
            </w:tcBorders>
            <w:vAlign w:val="center"/>
          </w:tcPr>
          <w:p w14:paraId="61B87EBE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</w:tr>
      <w:tr w14:paraId="38065DD4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686" w:type="pct"/>
            <w:vMerge w:val="continue"/>
            <w:tcBorders>
              <w:top w:val="nil"/>
              <w:bottom w:val="nil"/>
            </w:tcBorders>
            <w:noWrap/>
            <w:vAlign w:val="center"/>
          </w:tcPr>
          <w:p w14:paraId="0F3D256E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77" w:type="pct"/>
            <w:vMerge w:val="restart"/>
            <w:tcBorders>
              <w:top w:val="nil"/>
              <w:bottom w:val="nil"/>
            </w:tcBorders>
            <w:vAlign w:val="center"/>
          </w:tcPr>
          <w:p w14:paraId="37D1AC47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Marginal Reddening</w:t>
            </w:r>
          </w:p>
        </w:tc>
        <w:tc>
          <w:tcPr>
            <w:tcW w:w="3295" w:type="pct"/>
            <w:tcBorders>
              <w:top w:val="nil"/>
              <w:bottom w:val="nil"/>
            </w:tcBorders>
          </w:tcPr>
          <w:p w14:paraId="01CAE5EE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Normal color at the margin</w:t>
            </w:r>
          </w:p>
        </w:tc>
        <w:tc>
          <w:tcPr>
            <w:tcW w:w="341" w:type="pct"/>
            <w:tcBorders>
              <w:top w:val="nil"/>
              <w:bottom w:val="nil"/>
            </w:tcBorders>
            <w:vAlign w:val="center"/>
          </w:tcPr>
          <w:p w14:paraId="5FE38F89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0</w:t>
            </w:r>
          </w:p>
        </w:tc>
      </w:tr>
      <w:tr w14:paraId="3B674533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686" w:type="pct"/>
            <w:vMerge w:val="continue"/>
            <w:tcBorders>
              <w:top w:val="nil"/>
              <w:bottom w:val="nil"/>
            </w:tcBorders>
            <w:noWrap/>
            <w:vAlign w:val="center"/>
          </w:tcPr>
          <w:p w14:paraId="674A5D70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77" w:type="pct"/>
            <w:vMerge w:val="continue"/>
            <w:tcBorders>
              <w:top w:val="nil"/>
              <w:bottom w:val="nil"/>
            </w:tcBorders>
            <w:vAlign w:val="center"/>
          </w:tcPr>
          <w:p w14:paraId="2AEF8035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295" w:type="pct"/>
            <w:tcBorders>
              <w:top w:val="nil"/>
              <w:bottom w:val="nil"/>
            </w:tcBorders>
          </w:tcPr>
          <w:p w14:paraId="41164805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Reddened area accounts for less than 50% of the entire tissue margin</w:t>
            </w:r>
          </w:p>
        </w:tc>
        <w:tc>
          <w:tcPr>
            <w:tcW w:w="341" w:type="pct"/>
            <w:tcBorders>
              <w:top w:val="nil"/>
              <w:bottom w:val="nil"/>
            </w:tcBorders>
            <w:vAlign w:val="center"/>
          </w:tcPr>
          <w:p w14:paraId="0ED5CEB2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</w:tr>
      <w:tr w14:paraId="706E0C86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686" w:type="pct"/>
            <w:vMerge w:val="continue"/>
            <w:tcBorders>
              <w:top w:val="nil"/>
            </w:tcBorders>
            <w:noWrap/>
            <w:vAlign w:val="center"/>
          </w:tcPr>
          <w:p w14:paraId="03D69AC2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77" w:type="pct"/>
            <w:vMerge w:val="continue"/>
            <w:tcBorders>
              <w:top w:val="nil"/>
            </w:tcBorders>
            <w:vAlign w:val="center"/>
          </w:tcPr>
          <w:p w14:paraId="5AFBC729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295" w:type="pct"/>
            <w:tcBorders>
              <w:top w:val="nil"/>
            </w:tcBorders>
          </w:tcPr>
          <w:p w14:paraId="08146310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Reddened area accounts for more than 50% of the entire tissue margin</w:t>
            </w:r>
          </w:p>
        </w:tc>
        <w:tc>
          <w:tcPr>
            <w:tcW w:w="341" w:type="pct"/>
            <w:tcBorders>
              <w:top w:val="nil"/>
            </w:tcBorders>
            <w:vAlign w:val="center"/>
          </w:tcPr>
          <w:p w14:paraId="11291742">
            <w:pPr>
              <w:widowControl/>
              <w:spacing w:after="0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</w:tr>
    </w:tbl>
    <w:p w14:paraId="48E370CF">
      <w:pPr>
        <w:rPr>
          <w:rFonts w:ascii="Times New Roman" w:hAnsi="Times New Roman" w:cs="Times New Roman"/>
        </w:rPr>
      </w:pPr>
    </w:p>
    <w:p w14:paraId="16202260">
      <w:pPr>
        <w:widowControl/>
        <w:adjustRightInd w:val="0"/>
        <w:snapToGrid w:val="0"/>
        <w:spacing w:after="0" w:line="24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sz w:val="21"/>
          <w:szCs w:val="21"/>
        </w:rPr>
        <w:t>Table S2. Histopathological Score Criteria</w:t>
      </w:r>
    </w:p>
    <w:tbl>
      <w:tblPr>
        <w:tblStyle w:val="15"/>
        <w:tblW w:w="5000" w:type="pct"/>
        <w:jc w:val="center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single" w:color="000000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0"/>
        <w:gridCol w:w="8223"/>
        <w:gridCol w:w="729"/>
      </w:tblGrid>
      <w:tr w14:paraId="1B5BA863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shd w:val="clear" w:color="auto" w:fill="FFFFFF"/>
            <w:vAlign w:val="center"/>
          </w:tcPr>
          <w:p w14:paraId="69D37465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  <w:t>Scoring Parameter</w:t>
            </w:r>
          </w:p>
        </w:tc>
        <w:tc>
          <w:tcPr>
            <w:tcW w:w="3849" w:type="pct"/>
            <w:tcBorders>
              <w:bottom w:val="single" w:color="000000" w:sz="4" w:space="0"/>
            </w:tcBorders>
            <w:shd w:val="clear" w:color="auto" w:fill="FFFFFF"/>
            <w:vAlign w:val="center"/>
          </w:tcPr>
          <w:p w14:paraId="7025376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bidi="ar"/>
              </w:rPr>
              <w:t>Scoring Criteria</w:t>
            </w:r>
          </w:p>
        </w:tc>
        <w:tc>
          <w:tcPr>
            <w:tcW w:w="341" w:type="pct"/>
            <w:tcBorders>
              <w:bottom w:val="single" w:color="000000" w:sz="4" w:space="0"/>
            </w:tcBorders>
            <w:shd w:val="clear" w:color="auto" w:fill="FFFFFF"/>
            <w:vAlign w:val="center"/>
          </w:tcPr>
          <w:p w14:paraId="5ECA8BA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sz w:val="21"/>
                <w:szCs w:val="21"/>
                <w:lang w:bidi="ar"/>
              </w:rPr>
              <w:t>Score</w:t>
            </w:r>
          </w:p>
        </w:tc>
      </w:tr>
      <w:tr w14:paraId="3AE37C01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restart"/>
            <w:shd w:val="clear" w:color="auto" w:fill="FFFFFF"/>
            <w:vAlign w:val="center"/>
          </w:tcPr>
          <w:p w14:paraId="26578BF9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bookmarkStart w:id="1" w:name="_Hlk201401807"/>
            <w:r>
              <w:rPr>
                <w:rFonts w:ascii="Times New Roman" w:hAnsi="Times New Roman" w:eastAsia="宋体" w:cs="Times New Roman"/>
                <w:color w:val="000000"/>
                <w:sz w:val="24"/>
              </w:rPr>
              <w:t>Inflammation Severity</w:t>
            </w:r>
          </w:p>
        </w:tc>
        <w:tc>
          <w:tcPr>
            <w:tcW w:w="3849" w:type="pct"/>
            <w:tcBorders>
              <w:bottom w:val="nil"/>
            </w:tcBorders>
            <w:shd w:val="clear" w:color="auto" w:fill="FFFFFF"/>
          </w:tcPr>
          <w:p w14:paraId="07A1972B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No significant inflammatory cell infiltration observed within the field of view</w:t>
            </w:r>
          </w:p>
        </w:tc>
        <w:tc>
          <w:tcPr>
            <w:tcW w:w="341" w:type="pct"/>
            <w:tcBorders>
              <w:bottom w:val="nil"/>
            </w:tcBorders>
            <w:shd w:val="clear" w:color="auto" w:fill="FFFFFF"/>
            <w:vAlign w:val="center"/>
          </w:tcPr>
          <w:p w14:paraId="5D30F99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0</w:t>
            </w:r>
          </w:p>
        </w:tc>
      </w:tr>
      <w:tr w14:paraId="6F08AB49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4419190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nil"/>
            </w:tcBorders>
            <w:shd w:val="clear" w:color="auto" w:fill="FFFFFF"/>
          </w:tcPr>
          <w:p w14:paraId="11E18273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Minor inflammatory cell infiltration observed (number of inflammatory cells per field &lt; 10)</w:t>
            </w:r>
          </w:p>
        </w:tc>
        <w:tc>
          <w:tcPr>
            <w:tcW w:w="34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56410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</w:t>
            </w:r>
          </w:p>
        </w:tc>
      </w:tr>
      <w:tr w14:paraId="18C78F4E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3AA00D4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nil"/>
            </w:tcBorders>
            <w:shd w:val="clear" w:color="auto" w:fill="FFFFFF"/>
          </w:tcPr>
          <w:p w14:paraId="2929224C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Moderate inflammatory cell infiltration compared to control (number of inflammatory cells per field between 10 and 20, inclusive)</w:t>
            </w:r>
          </w:p>
        </w:tc>
        <w:tc>
          <w:tcPr>
            <w:tcW w:w="34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15937B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</w:t>
            </w:r>
          </w:p>
        </w:tc>
      </w:tr>
      <w:tr w14:paraId="548FC46D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3AD170F6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single" w:color="000000" w:sz="4" w:space="0"/>
            </w:tcBorders>
            <w:shd w:val="clear" w:color="auto" w:fill="FFFFFF"/>
          </w:tcPr>
          <w:p w14:paraId="0FE76E1A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Severe inflammatory cell infiltration (number of inflammatory cells per field ≥ 20) with a certain degree of cellular structural damage</w:t>
            </w:r>
          </w:p>
        </w:tc>
        <w:tc>
          <w:tcPr>
            <w:tcW w:w="341" w:type="pct"/>
            <w:tcBorders>
              <w:top w:val="nil"/>
              <w:bottom w:val="single" w:color="000000" w:sz="4" w:space="0"/>
            </w:tcBorders>
            <w:shd w:val="clear" w:color="auto" w:fill="FFFFFF"/>
            <w:vAlign w:val="center"/>
          </w:tcPr>
          <w:p w14:paraId="3C77A20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</w:t>
            </w:r>
          </w:p>
        </w:tc>
      </w:tr>
      <w:tr w14:paraId="53453AA1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restart"/>
            <w:shd w:val="clear" w:color="auto" w:fill="FFFFFF"/>
            <w:vAlign w:val="center"/>
          </w:tcPr>
          <w:p w14:paraId="2A6F7A4B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Cyst Formation</w:t>
            </w:r>
          </w:p>
        </w:tc>
        <w:tc>
          <w:tcPr>
            <w:tcW w:w="3849" w:type="pct"/>
            <w:tcBorders>
              <w:bottom w:val="nil"/>
            </w:tcBorders>
            <w:shd w:val="clear" w:color="auto" w:fill="FFFFFF"/>
          </w:tcPr>
          <w:p w14:paraId="11B349EB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No cystic structures present</w:t>
            </w:r>
          </w:p>
        </w:tc>
        <w:tc>
          <w:tcPr>
            <w:tcW w:w="341" w:type="pct"/>
            <w:tcBorders>
              <w:bottom w:val="nil"/>
            </w:tcBorders>
            <w:shd w:val="clear" w:color="auto" w:fill="FFFFFF"/>
            <w:vAlign w:val="center"/>
          </w:tcPr>
          <w:p w14:paraId="2627787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0</w:t>
            </w:r>
          </w:p>
        </w:tc>
      </w:tr>
      <w:tr w14:paraId="4A6FEB24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21E724A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nil"/>
            </w:tcBorders>
            <w:shd w:val="clear" w:color="auto" w:fill="FFFFFF"/>
          </w:tcPr>
          <w:p w14:paraId="3B76FA28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Cysts are small in size and sparse in number</w:t>
            </w:r>
          </w:p>
        </w:tc>
        <w:tc>
          <w:tcPr>
            <w:tcW w:w="34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67AD4A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</w:t>
            </w:r>
          </w:p>
        </w:tc>
      </w:tr>
      <w:tr w14:paraId="5798A44E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429C9633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nil"/>
            </w:tcBorders>
            <w:shd w:val="clear" w:color="auto" w:fill="FFFFFF"/>
          </w:tcPr>
          <w:p w14:paraId="0C3AFF5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Cysts are moderate in both size and number</w:t>
            </w:r>
          </w:p>
        </w:tc>
        <w:tc>
          <w:tcPr>
            <w:tcW w:w="34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636EA6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</w:t>
            </w:r>
          </w:p>
        </w:tc>
      </w:tr>
      <w:tr w14:paraId="0AB613C2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15E4218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single" w:color="000000" w:sz="4" w:space="0"/>
            </w:tcBorders>
            <w:shd w:val="clear" w:color="auto" w:fill="FFFFFF"/>
          </w:tcPr>
          <w:p w14:paraId="6BE7D033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Cysts are large in size and numerous</w:t>
            </w:r>
          </w:p>
        </w:tc>
        <w:tc>
          <w:tcPr>
            <w:tcW w:w="341" w:type="pct"/>
            <w:tcBorders>
              <w:top w:val="nil"/>
              <w:bottom w:val="single" w:color="000000" w:sz="4" w:space="0"/>
            </w:tcBorders>
            <w:shd w:val="clear" w:color="auto" w:fill="FFFFFF"/>
            <w:vAlign w:val="center"/>
          </w:tcPr>
          <w:p w14:paraId="372B1449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</w:t>
            </w:r>
          </w:p>
        </w:tc>
      </w:tr>
      <w:tr w14:paraId="15799E61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restart"/>
            <w:shd w:val="clear" w:color="auto" w:fill="FFFFFF"/>
            <w:vAlign w:val="center"/>
          </w:tcPr>
          <w:p w14:paraId="0620A7C9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Bacterial Load</w:t>
            </w:r>
          </w:p>
        </w:tc>
        <w:tc>
          <w:tcPr>
            <w:tcW w:w="3849" w:type="pct"/>
            <w:tcBorders>
              <w:bottom w:val="nil"/>
            </w:tcBorders>
            <w:shd w:val="clear" w:color="auto" w:fill="FFFFFF"/>
          </w:tcPr>
          <w:p w14:paraId="2DD1873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No bacteria observable</w:t>
            </w:r>
          </w:p>
        </w:tc>
        <w:tc>
          <w:tcPr>
            <w:tcW w:w="341" w:type="pct"/>
            <w:tcBorders>
              <w:bottom w:val="nil"/>
            </w:tcBorders>
            <w:shd w:val="clear" w:color="auto" w:fill="FFFFFF"/>
            <w:vAlign w:val="center"/>
          </w:tcPr>
          <w:p w14:paraId="5A3DF1FF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0</w:t>
            </w:r>
          </w:p>
        </w:tc>
      </w:tr>
      <w:tr w14:paraId="42C6ED99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75BDA17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nil"/>
            </w:tcBorders>
            <w:shd w:val="clear" w:color="auto" w:fill="FFFFFF"/>
          </w:tcPr>
          <w:p w14:paraId="06E73A5B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Occasional observation of a small number of bacteria</w:t>
            </w:r>
          </w:p>
        </w:tc>
        <w:tc>
          <w:tcPr>
            <w:tcW w:w="34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B6617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</w:t>
            </w:r>
          </w:p>
        </w:tc>
      </w:tr>
      <w:tr w14:paraId="7E90C6A1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6495E3B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nil"/>
            </w:tcBorders>
            <w:shd w:val="clear" w:color="auto" w:fill="FFFFFF"/>
          </w:tcPr>
          <w:p w14:paraId="654DDB3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Bacteria observable in multiple fields, but the quantity is relatively low and no bacterial clusters are formed</w:t>
            </w:r>
          </w:p>
        </w:tc>
        <w:tc>
          <w:tcPr>
            <w:tcW w:w="34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DFB0DB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</w:t>
            </w:r>
          </w:p>
        </w:tc>
      </w:tr>
      <w:tr w14:paraId="31750CEC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1320FF1C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single" w:color="000000" w:sz="4" w:space="0"/>
            </w:tcBorders>
            <w:shd w:val="clear" w:color="auto" w:fill="FFFFFF"/>
          </w:tcPr>
          <w:p w14:paraId="73E788F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A large number of bacteria observable, with the presence of bacterial clusters</w:t>
            </w:r>
          </w:p>
        </w:tc>
        <w:tc>
          <w:tcPr>
            <w:tcW w:w="341" w:type="pct"/>
            <w:tcBorders>
              <w:top w:val="nil"/>
              <w:bottom w:val="single" w:color="000000" w:sz="4" w:space="0"/>
            </w:tcBorders>
            <w:shd w:val="clear" w:color="auto" w:fill="FFFFFF"/>
            <w:vAlign w:val="center"/>
          </w:tcPr>
          <w:p w14:paraId="147D9976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</w:t>
            </w:r>
          </w:p>
        </w:tc>
      </w:tr>
      <w:tr w14:paraId="5C4BCFAE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restart"/>
            <w:shd w:val="clear" w:color="auto" w:fill="FFFFFF"/>
            <w:vAlign w:val="center"/>
          </w:tcPr>
          <w:p w14:paraId="727D976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Fibrosis</w:t>
            </w:r>
          </w:p>
        </w:tc>
        <w:tc>
          <w:tcPr>
            <w:tcW w:w="3849" w:type="pct"/>
            <w:tcBorders>
              <w:bottom w:val="nil"/>
            </w:tcBorders>
            <w:shd w:val="clear" w:color="auto" w:fill="FFFFFF"/>
          </w:tcPr>
          <w:p w14:paraId="5725D97A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No fibrotic structures observed</w:t>
            </w:r>
          </w:p>
        </w:tc>
        <w:tc>
          <w:tcPr>
            <w:tcW w:w="341" w:type="pct"/>
            <w:tcBorders>
              <w:bottom w:val="nil"/>
            </w:tcBorders>
            <w:shd w:val="clear" w:color="auto" w:fill="FFFFFF"/>
            <w:vAlign w:val="center"/>
          </w:tcPr>
          <w:p w14:paraId="62150ACA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0</w:t>
            </w:r>
          </w:p>
        </w:tc>
      </w:tr>
      <w:tr w14:paraId="0FCD5B74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636B406B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nil"/>
            </w:tcBorders>
            <w:shd w:val="clear" w:color="auto" w:fill="FFFFFF"/>
          </w:tcPr>
          <w:p w14:paraId="24932C8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Mild fibrosis observed</w:t>
            </w:r>
          </w:p>
        </w:tc>
        <w:tc>
          <w:tcPr>
            <w:tcW w:w="34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2000D9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</w:t>
            </w:r>
          </w:p>
        </w:tc>
      </w:tr>
      <w:tr w14:paraId="5691A040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543A23B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nil"/>
            </w:tcBorders>
            <w:shd w:val="clear" w:color="auto" w:fill="FFFFFF"/>
          </w:tcPr>
          <w:p w14:paraId="5579149F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Moderate fibrosis with noticeable hyperplasia</w:t>
            </w:r>
          </w:p>
        </w:tc>
        <w:tc>
          <w:tcPr>
            <w:tcW w:w="34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18FC3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</w:t>
            </w:r>
          </w:p>
        </w:tc>
      </w:tr>
      <w:tr w14:paraId="4C45D54A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2BBDAD43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single" w:color="000000" w:sz="4" w:space="0"/>
            </w:tcBorders>
            <w:shd w:val="clear" w:color="auto" w:fill="FFFFFF"/>
          </w:tcPr>
          <w:p w14:paraId="26ACC06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Severe fibrosis with significant hyperplasia, where the original architecture is substantially compressed or even replaced by proliferative tissue</w:t>
            </w:r>
          </w:p>
        </w:tc>
        <w:tc>
          <w:tcPr>
            <w:tcW w:w="341" w:type="pct"/>
            <w:tcBorders>
              <w:top w:val="nil"/>
              <w:bottom w:val="single" w:color="000000" w:sz="4" w:space="0"/>
            </w:tcBorders>
            <w:shd w:val="clear" w:color="auto" w:fill="FFFFFF"/>
            <w:vAlign w:val="center"/>
          </w:tcPr>
          <w:p w14:paraId="4C5DF9D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</w:t>
            </w:r>
          </w:p>
        </w:tc>
      </w:tr>
      <w:tr w14:paraId="69C92861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restart"/>
            <w:shd w:val="clear" w:color="auto" w:fill="FFFFFF"/>
            <w:vAlign w:val="center"/>
          </w:tcPr>
          <w:p w14:paraId="2E145638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Hemorrhage</w:t>
            </w:r>
          </w:p>
        </w:tc>
        <w:tc>
          <w:tcPr>
            <w:tcW w:w="3849" w:type="pct"/>
            <w:tcBorders>
              <w:bottom w:val="nil"/>
            </w:tcBorders>
            <w:shd w:val="clear" w:color="auto" w:fill="FFFFFF"/>
          </w:tcPr>
          <w:p w14:paraId="5D3C701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No erythrocytes observed outside vascular structures</w:t>
            </w:r>
          </w:p>
        </w:tc>
        <w:tc>
          <w:tcPr>
            <w:tcW w:w="341" w:type="pct"/>
            <w:tcBorders>
              <w:bottom w:val="nil"/>
            </w:tcBorders>
            <w:shd w:val="clear" w:color="auto" w:fill="FFFFFF"/>
            <w:vAlign w:val="center"/>
          </w:tcPr>
          <w:p w14:paraId="72A61D91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0</w:t>
            </w:r>
          </w:p>
        </w:tc>
      </w:tr>
      <w:tr w14:paraId="7BFF800A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651EEFDF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nil"/>
            </w:tcBorders>
            <w:shd w:val="clear" w:color="auto" w:fill="FFFFFF"/>
          </w:tcPr>
          <w:p w14:paraId="6EE527A8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Occasional, scattered erythrocytes discernible in extravascular structures</w:t>
            </w:r>
          </w:p>
        </w:tc>
        <w:tc>
          <w:tcPr>
            <w:tcW w:w="34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2F5C9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</w:t>
            </w:r>
          </w:p>
        </w:tc>
      </w:tr>
      <w:tr w14:paraId="3890B47F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13DFFD8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nil"/>
            </w:tcBorders>
            <w:shd w:val="clear" w:color="auto" w:fill="FFFFFF"/>
          </w:tcPr>
          <w:p w14:paraId="130D6A6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Clusters or diffusely distributed erythrocytes present in substantial areas of extravascular tissue</w:t>
            </w:r>
          </w:p>
        </w:tc>
        <w:tc>
          <w:tcPr>
            <w:tcW w:w="34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B8974A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</w:t>
            </w:r>
          </w:p>
        </w:tc>
      </w:tr>
      <w:tr w14:paraId="355D4358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226931F9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single" w:color="000000" w:sz="4" w:space="0"/>
            </w:tcBorders>
            <w:shd w:val="clear" w:color="auto" w:fill="FFFFFF"/>
          </w:tcPr>
          <w:p w14:paraId="38AEDC06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Extensive erythrocyte clusters or diffuse infiltration observable in extravascular tissue, with prominent hemosiderin deposition clearly visible</w:t>
            </w:r>
          </w:p>
        </w:tc>
        <w:tc>
          <w:tcPr>
            <w:tcW w:w="341" w:type="pct"/>
            <w:tcBorders>
              <w:top w:val="nil"/>
              <w:bottom w:val="single" w:color="000000" w:sz="4" w:space="0"/>
            </w:tcBorders>
            <w:shd w:val="clear" w:color="auto" w:fill="FFFFFF"/>
            <w:vAlign w:val="center"/>
          </w:tcPr>
          <w:p w14:paraId="273B9F5C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</w:t>
            </w:r>
          </w:p>
        </w:tc>
      </w:tr>
      <w:tr w14:paraId="66D1B671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restart"/>
            <w:shd w:val="clear" w:color="auto" w:fill="FFFFFF"/>
            <w:vAlign w:val="center"/>
          </w:tcPr>
          <w:p w14:paraId="55ED664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bookmarkStart w:id="2" w:name="_Hlk208014311"/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Lymphoid Follicles</w:t>
            </w:r>
            <w:bookmarkEnd w:id="2"/>
          </w:p>
        </w:tc>
        <w:tc>
          <w:tcPr>
            <w:tcW w:w="3849" w:type="pct"/>
            <w:tcBorders>
              <w:bottom w:val="nil"/>
            </w:tcBorders>
            <w:shd w:val="clear" w:color="auto" w:fill="FFFFFF"/>
          </w:tcPr>
          <w:p w14:paraId="0F798D6F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Normal number and size of lymphoid follicles</w:t>
            </w:r>
          </w:p>
        </w:tc>
        <w:tc>
          <w:tcPr>
            <w:tcW w:w="341" w:type="pct"/>
            <w:tcBorders>
              <w:bottom w:val="nil"/>
            </w:tcBorders>
            <w:shd w:val="clear" w:color="auto" w:fill="FFFFFF"/>
            <w:vAlign w:val="center"/>
          </w:tcPr>
          <w:p w14:paraId="4533946B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0</w:t>
            </w:r>
          </w:p>
        </w:tc>
      </w:tr>
      <w:tr w14:paraId="1D414EC6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16510AA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nil"/>
            </w:tcBorders>
            <w:shd w:val="clear" w:color="auto" w:fill="FFFFFF"/>
          </w:tcPr>
          <w:p w14:paraId="3E11ACD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Slightly reduced number and mildly decreased size of lymphoid follicles</w:t>
            </w:r>
          </w:p>
        </w:tc>
        <w:tc>
          <w:tcPr>
            <w:tcW w:w="34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1F77BC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</w:t>
            </w:r>
          </w:p>
        </w:tc>
      </w:tr>
      <w:tr w14:paraId="780B8E4C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6D77D5D9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nil"/>
            </w:tcBorders>
            <w:shd w:val="clear" w:color="auto" w:fill="FFFFFF"/>
          </w:tcPr>
          <w:p w14:paraId="2953D075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Markedly reduced number and significantly decreased size of lymphoid follicles</w:t>
            </w:r>
          </w:p>
        </w:tc>
        <w:tc>
          <w:tcPr>
            <w:tcW w:w="34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70DE4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</w:t>
            </w:r>
          </w:p>
        </w:tc>
      </w:tr>
      <w:tr w14:paraId="4DF02F4F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6E5EF14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single" w:color="000000" w:sz="4" w:space="0"/>
            </w:tcBorders>
            <w:shd w:val="clear" w:color="auto" w:fill="FFFFFF"/>
          </w:tcPr>
          <w:p w14:paraId="4B5AC10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Architecture of lymphoid follicles is severely disrupted</w:t>
            </w:r>
          </w:p>
        </w:tc>
        <w:tc>
          <w:tcPr>
            <w:tcW w:w="341" w:type="pct"/>
            <w:tcBorders>
              <w:top w:val="nil"/>
              <w:bottom w:val="single" w:color="000000" w:sz="4" w:space="0"/>
            </w:tcBorders>
            <w:shd w:val="clear" w:color="auto" w:fill="FFFFFF"/>
            <w:vAlign w:val="center"/>
          </w:tcPr>
          <w:p w14:paraId="73ACF998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</w:t>
            </w:r>
          </w:p>
        </w:tc>
      </w:tr>
      <w:tr w14:paraId="4551DD4C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restart"/>
            <w:shd w:val="clear" w:color="auto" w:fill="FFFFFF"/>
            <w:vAlign w:val="center"/>
          </w:tcPr>
          <w:p w14:paraId="1253C38B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Intracellular Inclusions</w:t>
            </w:r>
          </w:p>
        </w:tc>
        <w:tc>
          <w:tcPr>
            <w:tcW w:w="3849" w:type="pct"/>
            <w:tcBorders>
              <w:bottom w:val="nil"/>
            </w:tcBorders>
            <w:shd w:val="clear" w:color="auto" w:fill="FFFFFF"/>
          </w:tcPr>
          <w:p w14:paraId="328156C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No intracellular inclusions observed</w:t>
            </w:r>
          </w:p>
        </w:tc>
        <w:tc>
          <w:tcPr>
            <w:tcW w:w="341" w:type="pct"/>
            <w:tcBorders>
              <w:bottom w:val="nil"/>
            </w:tcBorders>
            <w:shd w:val="clear" w:color="auto" w:fill="FFFFFF"/>
            <w:vAlign w:val="center"/>
          </w:tcPr>
          <w:p w14:paraId="26EBF63A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0</w:t>
            </w:r>
          </w:p>
        </w:tc>
      </w:tr>
      <w:tr w14:paraId="132C8D78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70A3785C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nil"/>
            </w:tcBorders>
            <w:shd w:val="clear" w:color="auto" w:fill="FFFFFF"/>
          </w:tcPr>
          <w:p w14:paraId="4A4D53C3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Intracellular inclusions occasionally observed</w:t>
            </w:r>
          </w:p>
        </w:tc>
        <w:tc>
          <w:tcPr>
            <w:tcW w:w="34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9340E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</w:t>
            </w:r>
          </w:p>
        </w:tc>
      </w:tr>
      <w:tr w14:paraId="23A13A1C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2F3C01FF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nil"/>
            </w:tcBorders>
            <w:shd w:val="clear" w:color="auto" w:fill="FFFFFF"/>
          </w:tcPr>
          <w:p w14:paraId="2C255F7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Intracellular inclusions observed in multiple fields</w:t>
            </w:r>
          </w:p>
        </w:tc>
        <w:tc>
          <w:tcPr>
            <w:tcW w:w="34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CC2B2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</w:t>
            </w:r>
          </w:p>
        </w:tc>
      </w:tr>
      <w:tr w14:paraId="14A77C47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7B3F191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single" w:color="000000" w:sz="4" w:space="0"/>
            </w:tcBorders>
            <w:shd w:val="clear" w:color="auto" w:fill="FFFFFF"/>
          </w:tcPr>
          <w:p w14:paraId="3EB1734C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Abundant intracellular inclusions observed</w:t>
            </w:r>
          </w:p>
        </w:tc>
        <w:tc>
          <w:tcPr>
            <w:tcW w:w="341" w:type="pct"/>
            <w:tcBorders>
              <w:top w:val="nil"/>
              <w:bottom w:val="single" w:color="000000" w:sz="4" w:space="0"/>
            </w:tcBorders>
            <w:shd w:val="clear" w:color="auto" w:fill="FFFFFF"/>
            <w:vAlign w:val="center"/>
          </w:tcPr>
          <w:p w14:paraId="38A1077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</w:t>
            </w:r>
          </w:p>
        </w:tc>
      </w:tr>
      <w:bookmarkEnd w:id="1"/>
      <w:tr w14:paraId="12D5FBBB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restart"/>
            <w:shd w:val="clear" w:color="auto" w:fill="FFFFFF"/>
            <w:vAlign w:val="center"/>
          </w:tcPr>
          <w:p w14:paraId="78577DCA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Nuclear Chromatin Margination</w:t>
            </w:r>
          </w:p>
        </w:tc>
        <w:tc>
          <w:tcPr>
            <w:tcW w:w="3849" w:type="pct"/>
            <w:tcBorders>
              <w:bottom w:val="nil"/>
            </w:tcBorders>
            <w:shd w:val="clear" w:color="auto" w:fill="FFFFFF"/>
          </w:tcPr>
          <w:p w14:paraId="4F81B1F5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No cells exhibiting nuclear chromatin margination observed</w:t>
            </w:r>
          </w:p>
        </w:tc>
        <w:tc>
          <w:tcPr>
            <w:tcW w:w="341" w:type="pct"/>
            <w:tcBorders>
              <w:bottom w:val="nil"/>
            </w:tcBorders>
            <w:shd w:val="clear" w:color="auto" w:fill="FFFFFF"/>
            <w:vAlign w:val="center"/>
          </w:tcPr>
          <w:p w14:paraId="3D94DC58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0</w:t>
            </w:r>
          </w:p>
        </w:tc>
      </w:tr>
      <w:tr w14:paraId="2BEABBD9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3626EDA8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nil"/>
            </w:tcBorders>
            <w:shd w:val="clear" w:color="auto" w:fill="FFFFFF"/>
          </w:tcPr>
          <w:p w14:paraId="0E780CC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Cells exhibiting nuclear chromatin margination occasionally observed</w:t>
            </w:r>
          </w:p>
        </w:tc>
        <w:tc>
          <w:tcPr>
            <w:tcW w:w="34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8E80AA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</w:t>
            </w:r>
          </w:p>
        </w:tc>
      </w:tr>
      <w:tr w14:paraId="58A2EDB6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67352F4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  <w:bottom w:val="nil"/>
            </w:tcBorders>
            <w:shd w:val="clear" w:color="auto" w:fill="FFFFFF"/>
          </w:tcPr>
          <w:p w14:paraId="7E6285A9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Cells exhibiting nuclear chromatin margination observed in multiple fields</w:t>
            </w:r>
          </w:p>
        </w:tc>
        <w:tc>
          <w:tcPr>
            <w:tcW w:w="34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AE955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</w:t>
            </w:r>
          </w:p>
        </w:tc>
      </w:tr>
      <w:tr w14:paraId="220F18FA"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810" w:type="pct"/>
            <w:vMerge w:val="continue"/>
            <w:shd w:val="clear" w:color="auto" w:fill="FFFFFF"/>
            <w:vAlign w:val="center"/>
          </w:tcPr>
          <w:p w14:paraId="7D863C2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3849" w:type="pct"/>
            <w:tcBorders>
              <w:top w:val="nil"/>
            </w:tcBorders>
            <w:shd w:val="clear" w:color="auto" w:fill="FFFFFF"/>
          </w:tcPr>
          <w:p w14:paraId="21BF7B1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</w:rPr>
              <w:t>Abundant cells exhibiting nuclear chromatin margination observed</w:t>
            </w:r>
          </w:p>
        </w:tc>
        <w:tc>
          <w:tcPr>
            <w:tcW w:w="341" w:type="pct"/>
            <w:tcBorders>
              <w:top w:val="nil"/>
            </w:tcBorders>
            <w:shd w:val="clear" w:color="auto" w:fill="FFFFFF"/>
            <w:vAlign w:val="center"/>
          </w:tcPr>
          <w:p w14:paraId="49E2EF9C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</w:t>
            </w:r>
          </w:p>
        </w:tc>
      </w:tr>
    </w:tbl>
    <w:p w14:paraId="4A5FA28B">
      <w:pPr>
        <w:rPr>
          <w:rFonts w:ascii="Times New Roman" w:hAnsi="Times New Roman" w:cs="Times New Roman"/>
          <w:sz w:val="21"/>
          <w:szCs w:val="21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2CB"/>
    <w:rsid w:val="000632CB"/>
    <w:rsid w:val="002112C9"/>
    <w:rsid w:val="002925AD"/>
    <w:rsid w:val="004B41C7"/>
    <w:rsid w:val="00563117"/>
    <w:rsid w:val="00753A9B"/>
    <w:rsid w:val="00765405"/>
    <w:rsid w:val="00772F98"/>
    <w:rsid w:val="00B72070"/>
    <w:rsid w:val="00BD3BCF"/>
    <w:rsid w:val="00C24DD5"/>
    <w:rsid w:val="00EB51F8"/>
    <w:rsid w:val="670B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5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uiPriority w:val="9"/>
    <w:rPr>
      <w:rFonts w:cstheme="majorBidi"/>
      <w:color w:val="2F5597" w:themeColor="accent1" w:themeShade="BF"/>
      <w:sz w:val="24"/>
    </w:rPr>
  </w:style>
  <w:style w:type="character" w:customStyle="1" w:styleId="22">
    <w:name w:val="标题 6 字符"/>
    <w:basedOn w:val="16"/>
    <w:link w:val="7"/>
    <w:semiHidden/>
    <w:uiPriority w:val="9"/>
    <w:rPr>
      <w:rFonts w:cstheme="majorBidi"/>
      <w:b/>
      <w:bCs/>
      <w:color w:val="2F5597" w:themeColor="accent1" w:themeShade="BF"/>
    </w:rPr>
  </w:style>
  <w:style w:type="character" w:customStyle="1" w:styleId="23">
    <w:name w:val="标题 7 字符"/>
    <w:basedOn w:val="16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2F5597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3">
    <w:name w:val="明显引用 字符"/>
    <w:basedOn w:val="16"/>
    <w:link w:val="32"/>
    <w:uiPriority w:val="30"/>
    <w:rPr>
      <w:i/>
      <w:iCs/>
      <w:color w:val="2F5597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5">
    <w:name w:val="页眉 字符"/>
    <w:basedOn w:val="16"/>
    <w:link w:val="12"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573</Words>
  <Characters>3269</Characters>
  <Lines>298</Lines>
  <Paragraphs>172</Paragraphs>
  <TotalTime>72</TotalTime>
  <ScaleCrop>false</ScaleCrop>
  <LinksUpToDate>false</LinksUpToDate>
  <CharactersWithSpaces>3723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2025-09-05T21:33:00Z</dcterms:created>
  <dc:creator>世华 牛</dc:creator>
  <cp:lastModifiedBy>陈思</cp:lastModifiedBy>
  <dcterms:modified xsi:type="dcterms:W3CDTF">2025-09-22T12:05:23Z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eyJoZGlkIjoiYzMyOWIyMzUxYTNlZGNkY2M5ZDQ1ODAwZmY5MTUyMDQiLCJ1c2VySWQiOiIxNTU4NDk5Mzc4In0=</vt:lpwstr>
  </property>
  <property fmtid="{D5CDD505-2E9C-101B-9397-08002B2CF9AE}" pid="3" name="KSOProductBuildVer">
    <vt:lpwstr>2052-12.1.0.21541</vt:lpwstr>
  </property>
  <property fmtid="{D5CDD505-2E9C-101B-9397-08002B2CF9AE}" pid="4" name="ICV">
    <vt:lpwstr>737C262FDBAD4E19BBECDBCF6B37F87C_12</vt:lpwstr>
  </property>
</Properties>
</file>