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74D6A" w14:textId="77777777" w:rsidR="00965045" w:rsidRDefault="00000000">
      <w:pPr>
        <w:pStyle w:val="3--191791111214"/>
        <w:adjustRightInd w:val="0"/>
        <w:snapToGrid w:val="0"/>
        <w:spacing w:before="0" w:afterLines="50" w:after="156" w:line="360" w:lineRule="auto"/>
        <w:jc w:val="center"/>
        <w:rPr>
          <w:rFonts w:cs="Times New Roman"/>
          <w:b w:val="0"/>
          <w:bCs/>
          <w:sz w:val="24"/>
          <w:szCs w:val="24"/>
        </w:rPr>
      </w:pPr>
      <w:r>
        <w:rPr>
          <w:rFonts w:cs="Times New Roman" w:hint="eastAsia"/>
          <w:b w:val="0"/>
          <w:bCs/>
          <w:sz w:val="24"/>
          <w:szCs w:val="24"/>
        </w:rPr>
        <w:t>Supplementary Information</w:t>
      </w:r>
    </w:p>
    <w:p w14:paraId="3B019DF8" w14:textId="77777777" w:rsidR="00965045" w:rsidRDefault="00000000">
      <w:pPr>
        <w:pStyle w:val="3--191791111214"/>
        <w:adjustRightInd w:val="0"/>
        <w:snapToGrid w:val="0"/>
        <w:spacing w:before="0" w:afterLines="50" w:after="156" w:line="36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Cellular prion protein exacerbates brain demyelination by activating microglia through the TREM2-TYROBP axis in cuprizone-treated animals</w:t>
      </w:r>
    </w:p>
    <w:p w14:paraId="4816115A" w14:textId="77777777" w:rsidR="00965045" w:rsidRDefault="00000000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Qing Li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1ǂ</w:t>
      </w:r>
      <w:r>
        <w:rPr>
          <w:rFonts w:ascii="Times New Roman" w:hAnsi="Times New Roman" w:cs="Times New Roman"/>
          <w:sz w:val="24"/>
          <w:szCs w:val="24"/>
        </w:rPr>
        <w:t>, Peng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heng Huang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1ǂ</w:t>
      </w:r>
      <w:r>
        <w:rPr>
          <w:rFonts w:ascii="Times New Roman" w:hAnsi="Times New Roman" w:cs="Times New Roman"/>
          <w:sz w:val="24"/>
          <w:szCs w:val="24"/>
        </w:rPr>
        <w:t>, Jin</w:t>
      </w:r>
      <w:r>
        <w:rPr>
          <w:rFonts w:ascii="Times New Roman" w:hAnsi="Times New Roman" w:cs="Times New Roman" w:hint="eastAsia"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>iong Zhan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2ǂ</w:t>
      </w:r>
      <w:r>
        <w:rPr>
          <w:rFonts w:ascii="Times New Roman" w:hAnsi="Times New Roman" w:cs="Times New Roman"/>
          <w:sz w:val="24"/>
          <w:szCs w:val="24"/>
        </w:rPr>
        <w:t>, Han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un Yi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Zihao Zhang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 w:hint="eastAsia"/>
          <w:sz w:val="24"/>
          <w:szCs w:val="24"/>
        </w:rPr>
        <w:t>, Pingping Shen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>, Yuanjian Yang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Yan</w:t>
      </w:r>
      <w:r>
        <w:rPr>
          <w:rFonts w:ascii="Times New Roman" w:hAnsi="Times New Roman" w:cs="Times New Roman" w:hint="eastAsia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ing Wang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>, Dao</w:t>
      </w:r>
      <w:r>
        <w:rPr>
          <w:rFonts w:ascii="Times New Roman" w:hAnsi="Times New Roman" w:cs="Times New Roman" w:hint="eastAsia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un Hong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Ji</w:t>
      </w:r>
      <w:r>
        <w:rPr>
          <w:rFonts w:ascii="Times New Roman" w:hAnsi="Times New Roman" w:cs="Times New Roman" w:hint="eastAsia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an Ma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5,6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/>
          <w:sz w:val="24"/>
          <w:szCs w:val="24"/>
        </w:rPr>
        <w:t>, Xiao</w:t>
      </w:r>
      <w:r>
        <w:rPr>
          <w:rFonts w:ascii="Times New Roman" w:hAnsi="Times New Roman" w:cs="Times New Roman" w:hint="eastAsia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 Wu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7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/>
          <w:sz w:val="24"/>
          <w:szCs w:val="24"/>
        </w:rPr>
        <w:t>, Wen-Quan Zou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14:paraId="11A496DE" w14:textId="77777777" w:rsidR="00965045" w:rsidRDefault="00000000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Institute of Neurology and Department of Neurology, The First Affiliated Hospital, Jiangxi Medical College, Nanchang University, Nanchang 330006, Jiangxi Province, China;</w:t>
      </w:r>
    </w:p>
    <w:p w14:paraId="723C8F13" w14:textId="77777777" w:rsidR="00965045" w:rsidRDefault="00000000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Jiangxi Mental Hospital &amp; Affiliated Mental Hospital, Jiangxi Medical College, Nanchang University, Nanchang 330029, Jiangxi, China;</w:t>
      </w:r>
    </w:p>
    <w:p w14:paraId="1849B03C" w14:textId="77777777" w:rsidR="00965045" w:rsidRDefault="00000000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>Department of Neurology, The First Hospital of Jilin University, Changchun, China.</w:t>
      </w:r>
    </w:p>
    <w:p w14:paraId="5DFAA9AA" w14:textId="62AABFEF" w:rsidR="00965045" w:rsidRDefault="00000000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>Institute of Nuclear Medicine Molecular Imaging, Binzhou Medical University Hospital, Binzhou 256603, Shandong Province, China</w:t>
      </w:r>
      <w:r>
        <w:rPr>
          <w:rFonts w:ascii="Times New Roman" w:hAnsi="Times New Roman" w:cs="Times New Roman" w:hint="eastAsia"/>
          <w:sz w:val="24"/>
          <w:szCs w:val="24"/>
        </w:rPr>
        <w:t>;</w:t>
      </w:r>
    </w:p>
    <w:p w14:paraId="744BBD9D" w14:textId="77777777" w:rsidR="00965045" w:rsidRDefault="00000000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</w:rPr>
        <w:t>Beijing Institute for Brain Research, Chinese Academy of Medical Sciences &amp; Peking Union Medical College, Beijing, 102206, China;</w:t>
      </w:r>
    </w:p>
    <w:p w14:paraId="18B62E97" w14:textId="77777777" w:rsidR="00965045" w:rsidRDefault="00000000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sz w:val="24"/>
          <w:szCs w:val="24"/>
        </w:rPr>
        <w:t>Chinese Institute for Brain Research, Beijing, 102206, China;</w:t>
      </w:r>
    </w:p>
    <w:p w14:paraId="202628C1" w14:textId="77777777" w:rsidR="00965045" w:rsidRDefault="00000000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7</w:t>
      </w:r>
      <w:r>
        <w:rPr>
          <w:rFonts w:ascii="Times New Roman" w:hAnsi="Times New Roman" w:cs="Times New Roman"/>
          <w:sz w:val="24"/>
          <w:szCs w:val="24"/>
        </w:rPr>
        <w:t>Jiangxi Provincial Institute of Neurology, Nanchang 330006, Jiangxi Province, China.</w:t>
      </w:r>
    </w:p>
    <w:p w14:paraId="72F63C0B" w14:textId="77777777" w:rsidR="00965045" w:rsidRDefault="00965045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sz w:val="24"/>
          <w:szCs w:val="24"/>
        </w:rPr>
      </w:pPr>
    </w:p>
    <w:p w14:paraId="6B6A5A38" w14:textId="77777777" w:rsidR="00965045" w:rsidRDefault="00965045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sz w:val="24"/>
          <w:szCs w:val="24"/>
        </w:rPr>
      </w:pPr>
    </w:p>
    <w:p w14:paraId="6A1409A8" w14:textId="77777777" w:rsidR="00965045" w:rsidRDefault="00000000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ǂContributed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equally to this work.</w:t>
      </w:r>
    </w:p>
    <w:p w14:paraId="1DC360DA" w14:textId="77777777" w:rsidR="00965045" w:rsidRDefault="00000000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*Corresponding authors: Wen-Quan Zou, E-mail: </w:t>
      </w:r>
      <w:hyperlink r:id="rId6" w:history="1">
        <w:r w:rsidR="00965045">
          <w:rPr>
            <w:rStyle w:val="ab"/>
            <w:rFonts w:ascii="Times New Roman" w:hAnsi="Times New Roman" w:cs="Times New Roman"/>
            <w:sz w:val="24"/>
            <w:szCs w:val="24"/>
          </w:rPr>
          <w:t>wenquanzou@ncu.edu.cn</w:t>
        </w:r>
      </w:hyperlink>
      <w:r>
        <w:rPr>
          <w:rFonts w:ascii="Times New Roman" w:hAnsi="Times New Roman" w:cs="Times New Roman"/>
          <w:sz w:val="24"/>
          <w:szCs w:val="24"/>
        </w:rPr>
        <w:t>; Xiao</w:t>
      </w:r>
      <w:r>
        <w:rPr>
          <w:rFonts w:ascii="Times New Roman" w:hAnsi="Times New Roman" w:cs="Times New Roman" w:hint="eastAsia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u Wu, E-mail: </w:t>
      </w:r>
      <w:hyperlink r:id="rId7" w:history="1">
        <w:r w:rsidR="00965045">
          <w:rPr>
            <w:rStyle w:val="ab"/>
            <w:rFonts w:ascii="Times New Roman" w:hAnsi="Times New Roman" w:cs="Times New Roman"/>
            <w:sz w:val="24"/>
            <w:szCs w:val="24"/>
          </w:rPr>
          <w:t>wuxm79@163.com</w:t>
        </w:r>
      </w:hyperlink>
      <w:r>
        <w:rPr>
          <w:rFonts w:ascii="Times New Roman" w:hAnsi="Times New Roman" w:cs="Times New Roman"/>
          <w:sz w:val="24"/>
          <w:szCs w:val="24"/>
        </w:rPr>
        <w:t>; Ji</w:t>
      </w:r>
      <w:r>
        <w:rPr>
          <w:rFonts w:ascii="Times New Roman" w:hAnsi="Times New Roman" w:cs="Times New Roman" w:hint="eastAsia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an Ma, E-mail: majiyan@cibr.ac.cn.</w:t>
      </w:r>
    </w:p>
    <w:p w14:paraId="6B675778" w14:textId="77777777" w:rsidR="00965045" w:rsidRDefault="00965045">
      <w:pPr>
        <w:rPr>
          <w:rFonts w:hint="eastAsia"/>
        </w:rPr>
      </w:pPr>
    </w:p>
    <w:p w14:paraId="76939359" w14:textId="77777777" w:rsidR="00965045" w:rsidRDefault="00965045">
      <w:pPr>
        <w:rPr>
          <w:rFonts w:hint="eastAsia"/>
        </w:rPr>
      </w:pPr>
    </w:p>
    <w:p w14:paraId="1688A7CF" w14:textId="77777777" w:rsidR="00965045" w:rsidRDefault="00965045">
      <w:pPr>
        <w:rPr>
          <w:rFonts w:hint="eastAsia"/>
        </w:rPr>
      </w:pPr>
    </w:p>
    <w:p w14:paraId="139A6806" w14:textId="77777777" w:rsidR="00965045" w:rsidRDefault="00965045">
      <w:pPr>
        <w:rPr>
          <w:rFonts w:hint="eastAsia"/>
        </w:rPr>
      </w:pPr>
    </w:p>
    <w:p w14:paraId="25956E05" w14:textId="77777777" w:rsidR="00965045" w:rsidRDefault="00965045">
      <w:pPr>
        <w:rPr>
          <w:rFonts w:hint="eastAsia"/>
        </w:rPr>
      </w:pPr>
    </w:p>
    <w:p w14:paraId="70AA865D" w14:textId="77777777" w:rsidR="00965045" w:rsidRDefault="00965045">
      <w:pPr>
        <w:rPr>
          <w:rFonts w:hint="eastAsia"/>
        </w:rPr>
      </w:pPr>
    </w:p>
    <w:p w14:paraId="58F181BD" w14:textId="77777777" w:rsidR="00965045" w:rsidRDefault="00965045">
      <w:pPr>
        <w:rPr>
          <w:rFonts w:hint="eastAsia"/>
        </w:rPr>
      </w:pPr>
    </w:p>
    <w:p w14:paraId="11A6799F" w14:textId="617919B4" w:rsidR="00140BE3" w:rsidRPr="00140BE3" w:rsidRDefault="00140BE3" w:rsidP="00140BE3">
      <w:pPr>
        <w:rPr>
          <w:rFonts w:ascii="Times New Roman" w:hAnsi="Times New Roman" w:cs="Times New Roman" w:hint="eastAsia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noProof/>
          <w:sz w:val="22"/>
        </w:rPr>
        <w:lastRenderedPageBreak/>
        <w:drawing>
          <wp:anchor distT="0" distB="0" distL="114300" distR="114300" simplePos="0" relativeHeight="251660288" behindDoc="0" locked="0" layoutInCell="1" allowOverlap="1" wp14:anchorId="2B48F90B" wp14:editId="7077B5AC">
            <wp:simplePos x="0" y="0"/>
            <wp:positionH relativeFrom="margin">
              <wp:align>left</wp:align>
            </wp:positionH>
            <wp:positionV relativeFrom="paragraph">
              <wp:posOffset>362712</wp:posOffset>
            </wp:positionV>
            <wp:extent cx="5271770" cy="6106795"/>
            <wp:effectExtent l="0" t="0" r="5080" b="8255"/>
            <wp:wrapTopAndBottom/>
            <wp:docPr id="22" name="图片 22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igure S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10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s and figure</w:t>
      </w:r>
      <w:r w:rsidR="00000000">
        <w:rPr>
          <w:rFonts w:ascii="Times New Roman" w:hAnsi="Times New Roman" w:cs="Times New Roman"/>
          <w:b/>
          <w:bCs/>
          <w:sz w:val="24"/>
          <w:szCs w:val="24"/>
        </w:rPr>
        <w:t xml:space="preserve"> legends</w:t>
      </w:r>
    </w:p>
    <w:p w14:paraId="3A949351" w14:textId="21F57AEA" w:rsidR="00140BE3" w:rsidRDefault="00140BE3" w:rsidP="00140BE3">
      <w:pPr>
        <w:adjustRightInd w:val="0"/>
        <w:snapToGrid w:val="0"/>
        <w:spacing w:after="50" w:line="480" w:lineRule="auto"/>
        <w:rPr>
          <w:rFonts w:ascii="Times New Roman" w:hAnsi="Times New Roman" w:cs="Times New Roman"/>
          <w:b/>
          <w:bCs/>
          <w:sz w:val="22"/>
        </w:rPr>
      </w:pPr>
    </w:p>
    <w:p w14:paraId="22EEF26E" w14:textId="77777777" w:rsidR="00140BE3" w:rsidRDefault="00140BE3" w:rsidP="00140BE3">
      <w:pPr>
        <w:adjustRightInd w:val="0"/>
        <w:snapToGrid w:val="0"/>
        <w:spacing w:afterLines="50" w:after="156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S1 PrP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is up-regulated in EAE mice and in cuprizone-treated SH-SY5Y cells.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 Schematic of the experimental timeline for EAE induction using MOG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35–55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over 30 days. (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B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 and (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 Mean body weight and mean clinical disease scores, respectively, in EAE and CON mice. 7 mice/group. (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D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 and (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E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 Representative H&amp;E staining (showing immune cell infiltration, black arrows) and LFB staining (demyelination, black arrows) of spinal cord sections from EAE and CON mice. Scale bars = 300 μm. (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F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Demyelination score in </w:t>
      </w:r>
      <w:r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 xml:space="preserve">lumbar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spinal cords of EAE and CON mice,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graded as follows: 0: normal, 1: disordered nerve fibers, 2: formation of distinct vacuoles, 3: disappearance of myelin fibers. 4 mice/group. </w:t>
      </w:r>
      <w:bookmarkStart w:id="0" w:name="_Hlk209185731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G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 and (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H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bookmarkEnd w:id="0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Western blot and quantitative analysis of PrP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C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expression in </w:t>
      </w:r>
      <w:r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 xml:space="preserve">lumbar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spinal cord tissues 30 days after EAE induction 4 mice/group. (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I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 Experimental design for treating SH-SY5Y cells with cuprizone (0–100 µM, 24 hours).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J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Immunofluorescence staining of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PrP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(green) in cuprizone-treated SH-SY5Y cells. Nuclei were stained with DAPI (blue). Scale bars = 50 μm and 8.5 μm. (</w:t>
      </w: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) and (</w:t>
      </w: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Western blot and quantification of PrP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C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 SH-SY5Y cells after cuprizone treatment. 6 mice/group.</w:t>
      </w:r>
      <w:r>
        <w:rPr>
          <w:rFonts w:ascii="Times New Roman" w:hAnsi="Times New Roman" w:cs="Times New Roman"/>
          <w:sz w:val="24"/>
          <w:szCs w:val="24"/>
        </w:rPr>
        <w:t xml:space="preserve"> Data are represented as means ± SEM. *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p </w:t>
      </w:r>
      <w:r>
        <w:rPr>
          <w:rFonts w:ascii="Times New Roman" w:hAnsi="Times New Roman" w:cs="Times New Roman"/>
          <w:sz w:val="24"/>
          <w:szCs w:val="24"/>
        </w:rPr>
        <w:t>&lt; 0.05; **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p </w:t>
      </w:r>
      <w:r>
        <w:rPr>
          <w:rFonts w:ascii="Times New Roman" w:hAnsi="Times New Roman" w:cs="Times New Roman"/>
          <w:sz w:val="24"/>
          <w:szCs w:val="24"/>
        </w:rPr>
        <w:t>&lt; 0.01; ***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p </w:t>
      </w:r>
      <w:r>
        <w:rPr>
          <w:rFonts w:ascii="Times New Roman" w:hAnsi="Times New Roman" w:cs="Times New Roman"/>
          <w:sz w:val="24"/>
          <w:szCs w:val="24"/>
        </w:rPr>
        <w:t>&lt; 0.001; ****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p </w:t>
      </w:r>
      <w:r>
        <w:rPr>
          <w:rFonts w:ascii="Times New Roman" w:hAnsi="Times New Roman" w:cs="Times New Roman"/>
          <w:sz w:val="24"/>
          <w:szCs w:val="24"/>
        </w:rPr>
        <w:t>&lt; 0.0001. Two-way ANOVA with Sidak’s multiple comparisons test was used for panels (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) and (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). Unpaired </w:t>
      </w:r>
      <w:r>
        <w:rPr>
          <w:rFonts w:ascii="Times New Roman" w:hAnsi="Times New Roman" w:cs="Times New Roman"/>
          <w:i/>
          <w:iCs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test was used for panels (</w:t>
      </w:r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) and (</w:t>
      </w:r>
      <w:r>
        <w:rPr>
          <w:rFonts w:ascii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). One-way ANOVA with Tukey’s multiple comparisons was used for (</w:t>
      </w:r>
      <w:r>
        <w:rPr>
          <w:rFonts w:ascii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079341BE" w14:textId="4FC7D307" w:rsidR="00140BE3" w:rsidRDefault="00140BE3" w:rsidP="00140BE3">
      <w:pPr>
        <w:adjustRightInd w:val="0"/>
        <w:snapToGrid w:val="0"/>
        <w:spacing w:afterLines="50" w:after="156" w:line="48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37BF3AAF" wp14:editId="07234E18">
            <wp:simplePos x="0" y="0"/>
            <wp:positionH relativeFrom="column">
              <wp:posOffset>1829</wp:posOffset>
            </wp:positionH>
            <wp:positionV relativeFrom="paragraph">
              <wp:posOffset>0</wp:posOffset>
            </wp:positionV>
            <wp:extent cx="5264150" cy="6186170"/>
            <wp:effectExtent l="0" t="0" r="0" b="5080"/>
            <wp:wrapTopAndBottom/>
            <wp:docPr id="23" name="图片 23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igure S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18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S2 Validation of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Prnp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knockout and OPR-deletion in mice at various molecular levels.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Schematic of mature PrP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structure, illustrating the domains deleted in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Prnp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-OPR (aa 51–90) and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Prnp</w:t>
      </w:r>
      <w:proofErr w:type="spellEnd"/>
      <w:r>
        <w:rPr>
          <w:rFonts w:ascii="Times New Roman" w:hAnsi="Times New Roman" w:cs="Times New Roman"/>
          <w:sz w:val="24"/>
          <w:szCs w:val="24"/>
        </w:rPr>
        <w:t>-KO (entire mature PrP, aa 23–23</w:t>
      </w:r>
      <w:r>
        <w:rPr>
          <w:rFonts w:ascii="Times New Roman" w:hAnsi="Times New Roman" w:cs="Times New Roman" w:hint="eastAsia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). The red dashed line indicates the deleted regio</w:t>
      </w:r>
      <w:r>
        <w:rPr>
          <w:rFonts w:ascii="Times New Roman" w:hAnsi="Times New Roman" w:cs="Times New Roman" w:hint="eastAsia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B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Sanger sequencing confirmation of PrP sequences in the three genotypes. Wild-type (WT): CCACCTC;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Prnp</w:t>
      </w:r>
      <w:r>
        <w:rPr>
          <w:rFonts w:ascii="Times New Roman" w:hAnsi="Times New Roman" w:cs="Times New Roman"/>
          <w:sz w:val="24"/>
          <w:szCs w:val="24"/>
        </w:rPr>
        <w:t>-OPR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CCCGGGG;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Prnp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-KO: CCACGGA.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DNA agarose gel electrophoresis of PrP sequences across the three genotypes.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D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RT-qPCR analysis of PrP mRNA expression levels. Data are presented as means ± SEM; ns </w:t>
      </w:r>
      <w:r>
        <w:rPr>
          <w:rFonts w:ascii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&gt; 0.05, **</w:t>
      </w:r>
      <w:r>
        <w:rPr>
          <w:rFonts w:ascii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&lt; 0.01, ***</w:t>
      </w:r>
      <w:r>
        <w:rPr>
          <w:rFonts w:ascii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&lt; 0.001 (one-</w:t>
      </w:r>
      <w:r>
        <w:rPr>
          <w:rFonts w:ascii="Times New Roman" w:hAnsi="Times New Roman" w:cs="Times New Roman"/>
          <w:sz w:val="24"/>
          <w:szCs w:val="24"/>
        </w:rPr>
        <w:lastRenderedPageBreak/>
        <w:t>way ANOVA with Tukey’s test).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E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Western blot analysis of PrP protein expression in the three genotypes.</w:t>
      </w:r>
    </w:p>
    <w:p w14:paraId="6934BF77" w14:textId="63F075A0" w:rsidR="00140BE3" w:rsidRDefault="00140BE3" w:rsidP="00140BE3">
      <w:pPr>
        <w:adjustRightInd w:val="0"/>
        <w:snapToGrid w:val="0"/>
        <w:spacing w:afterLines="50" w:after="156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03FE6D8" w14:textId="7F19B5BE" w:rsidR="00140BE3" w:rsidRDefault="00140BE3" w:rsidP="00140BE3">
      <w:pPr>
        <w:adjustRightInd w:val="0"/>
        <w:snapToGrid w:val="0"/>
        <w:spacing w:afterLines="50" w:after="156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AA01B6D" w14:textId="77777777" w:rsidR="00140BE3" w:rsidRPr="00631643" w:rsidRDefault="00140BE3" w:rsidP="00140BE3">
      <w:pPr>
        <w:adjustRightInd w:val="0"/>
        <w:snapToGrid w:val="0"/>
        <w:spacing w:after="50" w:line="480" w:lineRule="auto"/>
        <w:rPr>
          <w:rFonts w:hint="eastAsia"/>
        </w:rPr>
      </w:pPr>
    </w:p>
    <w:p w14:paraId="37D149F1" w14:textId="77777777" w:rsidR="00140BE3" w:rsidRP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9C1C84D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057A0F8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614FD14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2BF5250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134A63E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3DB2F0D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742BAC7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80D7B5A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F8EE35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F81351A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7A2079F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2671C83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BE19A42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D7FC07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ECCCA2B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13E3B6D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520B9C8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318CAB8" w14:textId="07D77C66" w:rsidR="00140BE3" w:rsidRDefault="00140BE3" w:rsidP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 w:hint="eastAsia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585B9471" wp14:editId="752782F2">
            <wp:simplePos x="0" y="0"/>
            <wp:positionH relativeFrom="margin">
              <wp:posOffset>30480</wp:posOffset>
            </wp:positionH>
            <wp:positionV relativeFrom="paragraph">
              <wp:posOffset>131445</wp:posOffset>
            </wp:positionV>
            <wp:extent cx="5194935" cy="5975985"/>
            <wp:effectExtent l="0" t="0" r="5715" b="5715"/>
            <wp:wrapTopAndBottom/>
            <wp:docPr id="147533050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935" cy="597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C8C06" w14:textId="0A637660" w:rsidR="00140BE3" w:rsidRDefault="00140BE3" w:rsidP="007B0FB9">
      <w:pPr>
        <w:adjustRightInd w:val="0"/>
        <w:snapToGrid w:val="0"/>
        <w:spacing w:afterLines="50" w:after="156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S3 Knockout and OPR-deletion of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Prnp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ameliorates demyelination in female CPZ-treated mice.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 Mean body weight of mice treated with CPZ or control (CON) diet. 7–26/group. Two-way ANOVA with Tukey’s multiple comparisons test was used. (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B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Representative </w:t>
      </w:r>
      <w:r>
        <w:rPr>
          <w:rFonts w:ascii="Times New Roman" w:hAnsi="Times New Roman" w:cs="Times New Roman"/>
          <w:sz w:val="24"/>
          <w:szCs w:val="24"/>
        </w:rPr>
        <w:t>LFB staining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of </w:t>
      </w:r>
      <w:r>
        <w:rPr>
          <w:rFonts w:ascii="Times New Roman" w:hAnsi="Times New Roman" w:cs="Times New Roman"/>
          <w:sz w:val="24"/>
          <w:szCs w:val="24"/>
        </w:rPr>
        <w:t xml:space="preserve">sagittal brain sections showing myelination in the Cc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Cb</w:t>
      </w:r>
      <w:proofErr w:type="spellEnd"/>
      <w:r>
        <w:rPr>
          <w:rFonts w:ascii="Times New Roman" w:hAnsi="Times New Roman" w:cs="Times New Roman"/>
          <w:sz w:val="24"/>
          <w:szCs w:val="24"/>
        </w:rPr>
        <w:t>. The black dashed line outlines the Cc. Scale bars = 50 μm (Cc) and 100 μm (</w:t>
      </w:r>
      <w:proofErr w:type="spellStart"/>
      <w:r>
        <w:rPr>
          <w:rFonts w:ascii="Times New Roman" w:hAnsi="Times New Roman" w:cs="Times New Roman"/>
          <w:sz w:val="24"/>
          <w:szCs w:val="24"/>
        </w:rPr>
        <w:t>Cb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 Demyelination scores in CPZ- or CON-treated mice. 8–11 mice/group. (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D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Representative immunohistochemical staining of MBP in sagittal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sections of Cc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Cb</w:t>
      </w:r>
      <w:proofErr w:type="spellEnd"/>
      <w:r>
        <w:rPr>
          <w:rFonts w:ascii="Times New Roman" w:hAnsi="Times New Roman" w:cs="Times New Roman"/>
          <w:sz w:val="24"/>
          <w:szCs w:val="24"/>
        </w:rPr>
        <w:t>. The black dashed line indicates the Cc. Scale bars = 50 μm (Cc) and 100 μm (</w:t>
      </w:r>
      <w:proofErr w:type="spellStart"/>
      <w:r>
        <w:rPr>
          <w:rFonts w:ascii="Times New Roman" w:hAnsi="Times New Roman" w:cs="Times New Roman"/>
          <w:sz w:val="24"/>
          <w:szCs w:val="24"/>
        </w:rPr>
        <w:t>Cb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E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 Densitometric quantification of MBP staining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8–11 mice/group. </w:t>
      </w:r>
      <w:r>
        <w:rPr>
          <w:rFonts w:ascii="Times New Roman" w:hAnsi="Times New Roman" w:cs="Times New Roman"/>
          <w:sz w:val="24"/>
          <w:szCs w:val="24"/>
        </w:rPr>
        <w:t>Data are represented as means ± SEM. *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p </w:t>
      </w:r>
      <w:r>
        <w:rPr>
          <w:rFonts w:ascii="Times New Roman" w:hAnsi="Times New Roman" w:cs="Times New Roman"/>
          <w:sz w:val="24"/>
          <w:szCs w:val="24"/>
        </w:rPr>
        <w:t>&lt; 0.05; **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p </w:t>
      </w:r>
      <w:r>
        <w:rPr>
          <w:rFonts w:ascii="Times New Roman" w:hAnsi="Times New Roman" w:cs="Times New Roman"/>
          <w:sz w:val="24"/>
          <w:szCs w:val="24"/>
        </w:rPr>
        <w:t>&lt; 0.01; ***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p </w:t>
      </w:r>
      <w:r>
        <w:rPr>
          <w:rFonts w:ascii="Times New Roman" w:hAnsi="Times New Roman" w:cs="Times New Roman"/>
          <w:sz w:val="24"/>
          <w:szCs w:val="24"/>
        </w:rPr>
        <w:t>&lt; 0.001; ****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p </w:t>
      </w:r>
      <w:r>
        <w:rPr>
          <w:rFonts w:ascii="Times New Roman" w:hAnsi="Times New Roman" w:cs="Times New Roman"/>
          <w:sz w:val="24"/>
          <w:szCs w:val="24"/>
        </w:rPr>
        <w:t>&lt; 0.0001. One-way ANOVA with Tukey’s multiple comparisons test was applied to panels (</w:t>
      </w:r>
      <w:r w:rsidRPr="00140BE3"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) and (</w:t>
      </w:r>
      <w:r w:rsidRPr="00140BE3"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519AC741" w14:textId="52725F25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D1CF6C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507E785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004356A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4C32042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CE3DD06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37E8EEE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0301A61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DD19551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808AB39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5120E77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8722A05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F52D42D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656F7B3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6E47D63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F13FAC1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7E6086F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602E1EE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3FE17B0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6487971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9342E2D" w14:textId="046C75E1" w:rsidR="00140BE3" w:rsidRDefault="009D48C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 w:hint="eastAsia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63B5A86" wp14:editId="6006EAD9">
            <wp:simplePos x="0" y="0"/>
            <wp:positionH relativeFrom="margin">
              <wp:align>right</wp:align>
            </wp:positionH>
            <wp:positionV relativeFrom="paragraph">
              <wp:posOffset>501802</wp:posOffset>
            </wp:positionV>
            <wp:extent cx="5129530" cy="7967345"/>
            <wp:effectExtent l="0" t="0" r="0" b="0"/>
            <wp:wrapTopAndBottom/>
            <wp:docPr id="5662976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30" cy="796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47EFFE" w14:textId="7B10A478" w:rsidR="00140BE3" w:rsidRDefault="00140BE3" w:rsidP="007B0FB9">
      <w:pPr>
        <w:adjustRightInd w:val="0"/>
        <w:snapToGrid w:val="0"/>
        <w:spacing w:afterLines="50" w:after="156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S4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Behavioral assessment of anxiety and motor function.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 and (</w:t>
      </w:r>
      <w:r>
        <w:rPr>
          <w:rFonts w:ascii="Times New Roman" w:hAnsi="Times New Roman" w:cs="Times New Roman" w:hint="eastAsia"/>
          <w:b/>
          <w:bCs/>
          <w:sz w:val="24"/>
          <w:szCs w:val="24"/>
          <w:shd w:val="clear" w:color="auto" w:fill="FFFFFF"/>
        </w:rPr>
        <w:t>D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Total distance traveled and time spent in the central area during the open field test for male and female mice, respectively. 7–26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mice/group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B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>
        <w:rPr>
          <w:rFonts w:ascii="Times New Roman" w:hAnsi="Times New Roman" w:cs="Times New Roman" w:hint="eastAsia"/>
          <w:b/>
          <w:bCs/>
          <w:sz w:val="24"/>
          <w:szCs w:val="24"/>
          <w:shd w:val="clear" w:color="auto" w:fill="FFFFFF"/>
        </w:rPr>
        <w:t>E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Time spent in the open arms during the elevated plus maze test for male and female mice, respectively. 7–26 mice/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group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>
        <w:rPr>
          <w:rFonts w:ascii="Times New Roman" w:hAnsi="Times New Roman" w:cs="Times New Roman" w:hint="eastAsia"/>
          <w:b/>
          <w:bCs/>
          <w:sz w:val="24"/>
          <w:szCs w:val="24"/>
          <w:shd w:val="clear" w:color="auto" w:fill="FFFFFF"/>
        </w:rPr>
        <w:t>F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Latency to fall during the rotarod test for male and female mice, respectively. 7–26 mice/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group</w:t>
      </w:r>
      <w:r>
        <w:rPr>
          <w:rFonts w:ascii="Times New Roman" w:hAnsi="Times New Roman" w:cs="Times New Roman"/>
          <w:sz w:val="24"/>
          <w:szCs w:val="24"/>
        </w:rPr>
        <w:t>. Data are represented as means ± SEM. ns p &gt; 0.05; *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p </w:t>
      </w:r>
      <w:r>
        <w:rPr>
          <w:rFonts w:ascii="Times New Roman" w:hAnsi="Times New Roman" w:cs="Times New Roman"/>
          <w:sz w:val="24"/>
          <w:szCs w:val="24"/>
        </w:rPr>
        <w:t>&lt; 0.05; **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p </w:t>
      </w:r>
      <w:r>
        <w:rPr>
          <w:rFonts w:ascii="Times New Roman" w:hAnsi="Times New Roman" w:cs="Times New Roman"/>
          <w:sz w:val="24"/>
          <w:szCs w:val="24"/>
        </w:rPr>
        <w:t>&lt; 0.01; ***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p </w:t>
      </w:r>
      <w:r>
        <w:rPr>
          <w:rFonts w:ascii="Times New Roman" w:hAnsi="Times New Roman" w:cs="Times New Roman"/>
          <w:sz w:val="24"/>
          <w:szCs w:val="24"/>
        </w:rPr>
        <w:t>&lt; 0.001. One-way ANOVA with Tukey’s multiple comparisons test was used for all analyses.</w:t>
      </w:r>
    </w:p>
    <w:p w14:paraId="2E1D3D2D" w14:textId="67942E0E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689AE14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13CABA5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B29D48C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E7A1ED6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AAC31D7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228AD9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FA7AE66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C3134F1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52BD72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7F30B43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D00ACEB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C793E65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952A81C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4BE6DBF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82F5DAC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5A39428" w14:textId="1C3E309B" w:rsidR="00140BE3" w:rsidRDefault="009D48C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 w:hint="eastAsia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5B1EE8E3" wp14:editId="446CD61B">
            <wp:simplePos x="0" y="0"/>
            <wp:positionH relativeFrom="margin">
              <wp:posOffset>36576</wp:posOffset>
            </wp:positionH>
            <wp:positionV relativeFrom="paragraph">
              <wp:posOffset>114123</wp:posOffset>
            </wp:positionV>
            <wp:extent cx="5267325" cy="6968490"/>
            <wp:effectExtent l="0" t="0" r="9525" b="3810"/>
            <wp:wrapTopAndBottom/>
            <wp:docPr id="181998698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96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9E2454" w14:textId="77777777" w:rsidR="004400CD" w:rsidRDefault="004400CD" w:rsidP="007B0FB9">
      <w:pPr>
        <w:adjustRightInd w:val="0"/>
        <w:snapToGrid w:val="0"/>
        <w:spacing w:afterLines="50" w:after="156" w:line="48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S5 Inhibition of TREM2 expression via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Prnp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knockout or OPR deletion does not correlate with astrocyte activation in CPZ-treated mice.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Representative immunofluorescence image showing staining of astrocytes marker GFAP (green) in the Cc and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Cb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of mice. Nuclei were counterstained with DAPI. (blue).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Scale bars = 20 μm (Cc) and 100 μm (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Cb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). (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B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Quantification of MFI of GFAP MFI in Cc and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Cb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regions. 4–6 mice/group. Statistical analysis was performed using </w:t>
      </w:r>
      <w:r>
        <w:rPr>
          <w:rFonts w:ascii="Times New Roman" w:hAnsi="Times New Roman" w:cs="Times New Roman"/>
          <w:sz w:val="24"/>
          <w:szCs w:val="24"/>
        </w:rPr>
        <w:t>one-way ANOVA with Tukey’s multiple comparisons test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 (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Representative dual immunofluorescence staining of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TREM2 </w:t>
      </w:r>
      <w:r>
        <w:rPr>
          <w:rFonts w:ascii="Times New Roman" w:hAnsi="Times New Roman" w:cs="Times New Roman"/>
          <w:sz w:val="24"/>
          <w:szCs w:val="24"/>
        </w:rPr>
        <w:t xml:space="preserve">(green) and GFAP (red) in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Cc and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Cb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red rectangle highlights regions of GFAP and TREM2 co-localization. Nuclei were stained with DAPI (blue).  Scale bars = 20 μm (Cc) and 100 μm (</w:t>
      </w:r>
      <w:proofErr w:type="spellStart"/>
      <w:r>
        <w:rPr>
          <w:rFonts w:ascii="Times New Roman" w:hAnsi="Times New Roman" w:cs="Times New Roman"/>
          <w:sz w:val="24"/>
          <w:szCs w:val="24"/>
        </w:rPr>
        <w:t>Cb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D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 In WT mice, spatial overlap of GFAP and TREM2 fluorescence peaks was observed, and co-localization was quantified using Leica confocal imaging software. Data are expressed as means ± SEM. *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p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&lt; 0.05, **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p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&lt; 0.01, ***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p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&lt; 0.001, ****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p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&lt; 0.0001.</w:t>
      </w:r>
    </w:p>
    <w:p w14:paraId="4F9C01DF" w14:textId="77777777" w:rsidR="00140BE3" w:rsidRPr="004400CD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83983C1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24A4789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04894D4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1683C23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736616A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A0EB6FC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84DBDF4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C55FEE4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6F6B02D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EA22ACB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431A2DD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61F213C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972FB63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F526450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 w:hint="eastAsia"/>
          <w:b/>
          <w:bCs/>
          <w:sz w:val="24"/>
          <w:szCs w:val="24"/>
        </w:rPr>
      </w:pPr>
    </w:p>
    <w:p w14:paraId="180B0DC9" w14:textId="4F15C1DB" w:rsidR="00140BE3" w:rsidRDefault="004400CD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7FBCE980" wp14:editId="5616AF71">
            <wp:simplePos x="0" y="0"/>
            <wp:positionH relativeFrom="column">
              <wp:posOffset>1829</wp:posOffset>
            </wp:positionH>
            <wp:positionV relativeFrom="paragraph">
              <wp:posOffset>0</wp:posOffset>
            </wp:positionV>
            <wp:extent cx="5273675" cy="3914140"/>
            <wp:effectExtent l="0" t="0" r="3175" b="0"/>
            <wp:wrapTopAndBottom/>
            <wp:docPr id="139122397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1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D1590D" w14:textId="77777777" w:rsidR="004400CD" w:rsidRDefault="004400CD" w:rsidP="007B0FB9">
      <w:pPr>
        <w:adjustRightInd w:val="0"/>
        <w:snapToGrid w:val="0"/>
        <w:spacing w:afterLines="50" w:after="156" w:line="48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S6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Upregulation of TYROBP in CPZ-treated mice is abolished by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Prnp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knockout and OPR deletion, as assessed by IHC.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Representative immunohistochemical staining of TYROBP in sagittal sections of Cc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Cb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from CPZ-/CON-treated mice. </w:t>
      </w:r>
      <w:r>
        <w:rPr>
          <w:rFonts w:ascii="Times New Roman" w:hAnsi="Times New Roman" w:cs="Times New Roman"/>
          <w:sz w:val="24"/>
          <w:szCs w:val="24"/>
        </w:rPr>
        <w:t>The red rectangle indicates the enlarged area.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The </w:t>
      </w:r>
      <w:r>
        <w:rPr>
          <w:rFonts w:ascii="Times New Roman" w:hAnsi="Times New Roman" w:cs="Times New Roman"/>
          <w:sz w:val="24"/>
          <w:szCs w:val="24"/>
        </w:rPr>
        <w:t>Cc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is outlined with a black dashed line. </w:t>
      </w:r>
      <w:r>
        <w:rPr>
          <w:rFonts w:ascii="Times New Roman" w:hAnsi="Times New Roman" w:cs="Times New Roman"/>
          <w:sz w:val="24"/>
          <w:szCs w:val="24"/>
        </w:rPr>
        <w:t xml:space="preserve">Scale bars = 2 mm (Overview), 50 μm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(Cc) and </w:t>
      </w:r>
      <w:r>
        <w:rPr>
          <w:rFonts w:ascii="Times New Roman" w:hAnsi="Times New Roman" w:cs="Times New Roman"/>
          <w:sz w:val="24"/>
          <w:szCs w:val="24"/>
        </w:rPr>
        <w:t xml:space="preserve">100 μm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Cb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B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 Densitometric quantification of TYROBP expression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5 mice/group.</w:t>
      </w:r>
      <w:r>
        <w:rPr>
          <w:rFonts w:ascii="Times New Roman" w:hAnsi="Times New Roman" w:cs="Times New Roman"/>
          <w:sz w:val="24"/>
          <w:szCs w:val="24"/>
        </w:rPr>
        <w:t xml:space="preserve"> Data are represented as means ± SEM. **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p </w:t>
      </w:r>
      <w:r>
        <w:rPr>
          <w:rFonts w:ascii="Times New Roman" w:hAnsi="Times New Roman" w:cs="Times New Roman"/>
          <w:sz w:val="24"/>
          <w:szCs w:val="24"/>
        </w:rPr>
        <w:t>&lt; 0.01; ****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p </w:t>
      </w:r>
      <w:r>
        <w:rPr>
          <w:rFonts w:ascii="Times New Roman" w:hAnsi="Times New Roman" w:cs="Times New Roman"/>
          <w:sz w:val="24"/>
          <w:szCs w:val="24"/>
        </w:rPr>
        <w:t>&lt; 0.0001.</w:t>
      </w:r>
    </w:p>
    <w:p w14:paraId="13763DE9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66B1700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 w:hint="eastAsia"/>
          <w:b/>
          <w:bCs/>
          <w:sz w:val="24"/>
          <w:szCs w:val="24"/>
        </w:rPr>
      </w:pPr>
    </w:p>
    <w:p w14:paraId="6BA81607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9DC45D5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 w:hint="eastAsia"/>
          <w:b/>
          <w:bCs/>
          <w:sz w:val="24"/>
          <w:szCs w:val="24"/>
        </w:rPr>
      </w:pPr>
    </w:p>
    <w:p w14:paraId="5A2D29B9" w14:textId="77777777" w:rsidR="00140BE3" w:rsidRDefault="00140BE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DFBB449" w14:textId="77777777" w:rsidR="004400CD" w:rsidRDefault="004400CD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691E37E" w14:textId="0A775D4F" w:rsidR="004400CD" w:rsidRDefault="009D48C3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 w:hint="eastAsia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32311A78" wp14:editId="0AD2A69F">
            <wp:simplePos x="0" y="0"/>
            <wp:positionH relativeFrom="column">
              <wp:posOffset>-31648</wp:posOffset>
            </wp:positionH>
            <wp:positionV relativeFrom="paragraph">
              <wp:posOffset>153</wp:posOffset>
            </wp:positionV>
            <wp:extent cx="5261610" cy="8834120"/>
            <wp:effectExtent l="0" t="0" r="0" b="5080"/>
            <wp:wrapTopAndBottom/>
            <wp:docPr id="96924119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883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9677DA" w14:textId="0055CC79" w:rsidR="00965045" w:rsidRDefault="00000000" w:rsidP="007B0FB9">
      <w:pPr>
        <w:adjustRightInd w:val="0"/>
        <w:snapToGrid w:val="0"/>
        <w:spacing w:afterLines="50" w:after="156" w:line="48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Knockout and OPR-deletion of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Prnp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inhibit activation of NF-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κB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and TLR4 pathways.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Bubble plot showing </w:t>
      </w:r>
      <w:r>
        <w:rPr>
          <w:rFonts w:ascii="Times New Roman" w:hAnsi="Times New Roman" w:cs="Times New Roman"/>
          <w:sz w:val="24"/>
          <w:szCs w:val="24"/>
        </w:rPr>
        <w:t>KEGG enrichment analysis of the NF-</w:t>
      </w:r>
      <w:proofErr w:type="spellStart"/>
      <w:r>
        <w:rPr>
          <w:rFonts w:ascii="Times New Roman" w:hAnsi="Times New Roman" w:cs="Times New Roman"/>
          <w:sz w:val="24"/>
          <w:szCs w:val="24"/>
        </w:rPr>
        <w:t>κB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TLR4 signaling pathways.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B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and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Representative immunofluorescence staining of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NF-</w:t>
      </w:r>
      <w:proofErr w:type="spellStart"/>
      <w:r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>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B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(B) and TLR4 (C) </w:t>
      </w:r>
      <w:r>
        <w:rPr>
          <w:rFonts w:ascii="Times New Roman" w:hAnsi="Times New Roman" w:cs="Times New Roman"/>
          <w:sz w:val="24"/>
          <w:szCs w:val="24"/>
        </w:rPr>
        <w:t xml:space="preserve">(green) in the Cc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Cb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Nuclei were counterstained with DAPI (blue). Scale bars = 50 μm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(Cc) and 100 </w:t>
      </w:r>
      <w:r>
        <w:rPr>
          <w:rFonts w:ascii="Times New Roman" w:hAnsi="Times New Roman" w:cs="Times New Roman"/>
          <w:sz w:val="24"/>
          <w:szCs w:val="24"/>
        </w:rPr>
        <w:t xml:space="preserve">μm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Cb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Quantification of MFI of NF-</w:t>
      </w:r>
      <w:proofErr w:type="spellStart"/>
      <w:r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>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and TLR4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) MFI in the Cc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Cb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CPZ-/sham-treated mice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5–7 mice/group.</w:t>
      </w:r>
      <w:r>
        <w:rPr>
          <w:rFonts w:ascii="Times New Roman" w:hAnsi="Times New Roman" w:cs="Times New Roman"/>
          <w:sz w:val="24"/>
          <w:szCs w:val="24"/>
        </w:rPr>
        <w:t xml:space="preserve"> Data are represented as means ± SEM.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p </w:t>
      </w:r>
      <w:r>
        <w:rPr>
          <w:rFonts w:ascii="Times New Roman" w:hAnsi="Times New Roman" w:cs="Times New Roman"/>
          <w:sz w:val="24"/>
          <w:szCs w:val="24"/>
        </w:rPr>
        <w:t>&lt; 0.05; **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p </w:t>
      </w:r>
      <w:r>
        <w:rPr>
          <w:rFonts w:ascii="Times New Roman" w:hAnsi="Times New Roman" w:cs="Times New Roman"/>
          <w:sz w:val="24"/>
          <w:szCs w:val="24"/>
        </w:rPr>
        <w:t>&lt; 0.01; ***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p </w:t>
      </w:r>
      <w:r>
        <w:rPr>
          <w:rFonts w:ascii="Times New Roman" w:hAnsi="Times New Roman" w:cs="Times New Roman"/>
          <w:sz w:val="24"/>
          <w:szCs w:val="24"/>
        </w:rPr>
        <w:t>&lt; 0.001; ****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p </w:t>
      </w:r>
      <w:r>
        <w:rPr>
          <w:rFonts w:ascii="Times New Roman" w:hAnsi="Times New Roman" w:cs="Times New Roman"/>
          <w:sz w:val="24"/>
          <w:szCs w:val="24"/>
        </w:rPr>
        <w:t>&lt; 0.0001. One-way ANOVA with Tukey’s multiple comparisons test was used for (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) and (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2A80C74E" w14:textId="77777777" w:rsidR="00965045" w:rsidRDefault="00965045">
      <w:pPr>
        <w:rPr>
          <w:rFonts w:ascii="Times New Roman" w:hAnsi="Times New Roman" w:cs="Times New Roman"/>
          <w:sz w:val="22"/>
        </w:rPr>
      </w:pPr>
    </w:p>
    <w:sectPr w:rsidR="00965045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CA101F" w14:textId="77777777" w:rsidR="001602A5" w:rsidRDefault="001602A5">
      <w:pPr>
        <w:rPr>
          <w:rFonts w:hint="eastAsia"/>
        </w:rPr>
      </w:pPr>
      <w:r>
        <w:separator/>
      </w:r>
    </w:p>
  </w:endnote>
  <w:endnote w:type="continuationSeparator" w:id="0">
    <w:p w14:paraId="187BA92D" w14:textId="77777777" w:rsidR="001602A5" w:rsidRDefault="001602A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38168052"/>
    </w:sdtPr>
    <w:sdtContent>
      <w:p w14:paraId="45B66D93" w14:textId="77777777" w:rsidR="00965045" w:rsidRDefault="00000000">
        <w:pPr>
          <w:pStyle w:val="a3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2967706" w14:textId="77777777" w:rsidR="00965045" w:rsidRDefault="00965045">
    <w:pPr>
      <w:pStyle w:val="a3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9EB2DE" w14:textId="77777777" w:rsidR="001602A5" w:rsidRDefault="001602A5">
      <w:pPr>
        <w:rPr>
          <w:rFonts w:hint="eastAsia"/>
        </w:rPr>
      </w:pPr>
      <w:r>
        <w:separator/>
      </w:r>
    </w:p>
  </w:footnote>
  <w:footnote w:type="continuationSeparator" w:id="0">
    <w:p w14:paraId="19E29CE6" w14:textId="77777777" w:rsidR="001602A5" w:rsidRDefault="001602A5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554"/>
    <w:rsid w:val="00140BE3"/>
    <w:rsid w:val="001602A5"/>
    <w:rsid w:val="004400CD"/>
    <w:rsid w:val="005912D3"/>
    <w:rsid w:val="006E235A"/>
    <w:rsid w:val="006E4554"/>
    <w:rsid w:val="00731407"/>
    <w:rsid w:val="007B0FB9"/>
    <w:rsid w:val="008C154B"/>
    <w:rsid w:val="008C7CE1"/>
    <w:rsid w:val="0091434F"/>
    <w:rsid w:val="00965045"/>
    <w:rsid w:val="009D48C3"/>
    <w:rsid w:val="00AD572C"/>
    <w:rsid w:val="00DC2A9D"/>
    <w:rsid w:val="00DD7CE0"/>
    <w:rsid w:val="00E5017D"/>
    <w:rsid w:val="00EF0572"/>
    <w:rsid w:val="16C94348"/>
    <w:rsid w:val="21515666"/>
    <w:rsid w:val="3D6930EB"/>
    <w:rsid w:val="45CD0EAF"/>
    <w:rsid w:val="4DEE5E67"/>
    <w:rsid w:val="6A2D6B9D"/>
    <w:rsid w:val="77D87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2679863"/>
  <w15:docId w15:val="{D33E53D0-6742-4EEA-B667-51F7BC4E9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 w:line="278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 w:line="278" w:lineRule="auto"/>
      <w:jc w:val="left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 w:line="278" w:lineRule="auto"/>
      <w:jc w:val="left"/>
      <w:outlineLvl w:val="3"/>
    </w:pPr>
    <w:rPr>
      <w:rFonts w:cstheme="majorBidi"/>
      <w:color w:val="0F4761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 w:line="278" w:lineRule="auto"/>
      <w:jc w:val="left"/>
      <w:outlineLvl w:val="4"/>
    </w:pPr>
    <w:rPr>
      <w:rFonts w:cstheme="majorBidi"/>
      <w:color w:val="0F4761" w:themeColor="accent1" w:themeShade="BF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line="278" w:lineRule="auto"/>
      <w:jc w:val="left"/>
      <w:outlineLvl w:val="5"/>
    </w:pPr>
    <w:rPr>
      <w:rFonts w:cstheme="majorBidi"/>
      <w:b/>
      <w:bCs/>
      <w:color w:val="0F4761" w:themeColor="accent1" w:themeShade="BF"/>
      <w:sz w:val="22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line="278" w:lineRule="auto"/>
      <w:jc w:val="left"/>
      <w:outlineLvl w:val="6"/>
    </w:pPr>
    <w:rPr>
      <w:rFonts w:cstheme="majorBidi"/>
      <w:b/>
      <w:bCs/>
      <w:color w:val="595959" w:themeColor="text1" w:themeTint="A6"/>
      <w:sz w:val="22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line="278" w:lineRule="auto"/>
      <w:jc w:val="left"/>
      <w:outlineLvl w:val="7"/>
    </w:pPr>
    <w:rPr>
      <w:rFonts w:cstheme="majorBidi"/>
      <w:color w:val="595959" w:themeColor="text1" w:themeTint="A6"/>
      <w:sz w:val="22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line="278" w:lineRule="auto"/>
      <w:jc w:val="left"/>
      <w:outlineLvl w:val="8"/>
    </w:pPr>
    <w:rPr>
      <w:rFonts w:eastAsiaTheme="majorEastAsia" w:cstheme="majorBidi"/>
      <w:color w:val="595959" w:themeColor="text1" w:themeTint="A6"/>
      <w:sz w:val="22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paragraph" w:styleId="a9">
    <w:name w:val="Title"/>
    <w:basedOn w:val="a"/>
    <w:next w:val="a"/>
    <w:link w:val="aa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styleId="ab">
    <w:name w:val="Hyperlink"/>
    <w:basedOn w:val="a0"/>
    <w:uiPriority w:val="99"/>
    <w:unhideWhenUsed/>
    <w:qFormat/>
    <w:rPr>
      <w:color w:val="467886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a">
    <w:name w:val="标题 字符"/>
    <w:basedOn w:val="a0"/>
    <w:link w:val="a9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c">
    <w:name w:val="Quote"/>
    <w:basedOn w:val="a"/>
    <w:next w:val="a"/>
    <w:link w:val="ad"/>
    <w:uiPriority w:val="29"/>
    <w:qFormat/>
    <w:pPr>
      <w:spacing w:before="160" w:after="160" w:line="278" w:lineRule="auto"/>
      <w:jc w:val="center"/>
    </w:pPr>
    <w:rPr>
      <w:i/>
      <w:iCs/>
      <w:color w:val="404040" w:themeColor="text1" w:themeTint="BF"/>
      <w:sz w:val="22"/>
      <w:szCs w:val="24"/>
      <w14:ligatures w14:val="standardContextual"/>
    </w:rPr>
  </w:style>
  <w:style w:type="character" w:customStyle="1" w:styleId="ad">
    <w:name w:val="引用 字符"/>
    <w:basedOn w:val="a0"/>
    <w:link w:val="ac"/>
    <w:uiPriority w:val="29"/>
    <w:qFormat/>
    <w:rPr>
      <w:i/>
      <w:iCs/>
      <w:color w:val="404040" w:themeColor="text1" w:themeTint="BF"/>
    </w:rPr>
  </w:style>
  <w:style w:type="paragraph" w:styleId="ae">
    <w:name w:val="List Paragraph"/>
    <w:basedOn w:val="a"/>
    <w:uiPriority w:val="34"/>
    <w:qFormat/>
    <w:pPr>
      <w:spacing w:after="160" w:line="278" w:lineRule="auto"/>
      <w:ind w:left="720"/>
      <w:contextualSpacing/>
      <w:jc w:val="left"/>
    </w:pPr>
    <w:rPr>
      <w:sz w:val="22"/>
      <w:szCs w:val="24"/>
      <w14:ligatures w14:val="standardContextual"/>
    </w:rPr>
  </w:style>
  <w:style w:type="character" w:customStyle="1" w:styleId="11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f">
    <w:name w:val="Intense Quote"/>
    <w:basedOn w:val="a"/>
    <w:next w:val="a"/>
    <w:link w:val="af0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2"/>
      <w:szCs w:val="24"/>
      <w14:ligatures w14:val="standardContextual"/>
    </w:rPr>
  </w:style>
  <w:style w:type="character" w:customStyle="1" w:styleId="af0">
    <w:name w:val="明显引用 字符"/>
    <w:basedOn w:val="a0"/>
    <w:link w:val="af"/>
    <w:uiPriority w:val="30"/>
    <w:qFormat/>
    <w:rPr>
      <w:i/>
      <w:iCs/>
      <w:color w:val="0F4761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paragraph" w:customStyle="1" w:styleId="3--191791111214">
    <w:name w:val="3-源泓亿学尔-191791111214"/>
    <w:qFormat/>
    <w:pPr>
      <w:spacing w:before="240" w:after="120"/>
      <w:outlineLvl w:val="2"/>
    </w:pPr>
    <w:rPr>
      <w:rFonts w:ascii="Times New Roman" w:eastAsia="黑体" w:hAnsi="Times New Roman"/>
      <w:b/>
      <w:kern w:val="2"/>
      <w:sz w:val="26"/>
      <w:szCs w:val="2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  <w14:ligatures w14:val="none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  <w14:ligatures w14:val="none"/>
    </w:rPr>
  </w:style>
  <w:style w:type="paragraph" w:styleId="af1">
    <w:name w:val="Revision"/>
    <w:hidden/>
    <w:uiPriority w:val="99"/>
    <w:unhideWhenUsed/>
    <w:rsid w:val="00731407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mailto:wuxm79@163.com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wenquanzou@ncu.edu.cn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tif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14</Pages>
  <Words>1181</Words>
  <Characters>6310</Characters>
  <Application>Microsoft Office Word</Application>
  <DocSecurity>0</DocSecurity>
  <Lines>114</Lines>
  <Paragraphs>24</Paragraphs>
  <ScaleCrop>false</ScaleCrop>
  <Company/>
  <LinksUpToDate>false</LinksUpToDate>
  <CharactersWithSpaces>7467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Wintrain Zouman</dc:creator>
  <cp:lastModifiedBy>Wintrain Zouman</cp:lastModifiedBy>
  <cp:revision>5</cp:revision>
  <dcterms:created xsi:type="dcterms:W3CDTF">2025-09-22T23:54:00Z</dcterms:created>
  <dcterms:modified xsi:type="dcterms:W3CDTF">2025-09-24T14:14:00Z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eyJoZGlkIjoiYWU2ZmZhMjUxNjY1YjI4ODYyMDA5NjE0ZmIyNjM5ZjAiLCJ1c2VySWQiOiIyMTE2MzE1MjUifQ==</vt:lpwstr>
  </property>
  <property fmtid="{D5CDD505-2E9C-101B-9397-08002B2CF9AE}" pid="3" name="KSOProductBuildVer">
    <vt:lpwstr>2052-12.1.0.22529</vt:lpwstr>
  </property>
  <property fmtid="{D5CDD505-2E9C-101B-9397-08002B2CF9AE}" pid="4" name="ICV">
    <vt:lpwstr>6999B8A25C374D89B2EFB7DE7FB57D59_12</vt:lpwstr>
  </property>
</Properties>
</file>