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AC982D" w14:textId="77777777" w:rsidR="0084729E" w:rsidRDefault="00CA374A">
      <w:pPr>
        <w:spacing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Table 1: Participants’ demographical and clinical characteristics </w:t>
      </w:r>
    </w:p>
    <w:p w14:paraId="4B56D8CE" w14:textId="77777777" w:rsidR="0084729E" w:rsidRDefault="0084729E">
      <w:pPr>
        <w:spacing w:line="360" w:lineRule="auto"/>
        <w:rPr>
          <w:rFonts w:ascii="Times New Roman" w:eastAsia="Times New Roman" w:hAnsi="Times New Roman" w:cs="Times New Roman"/>
        </w:rPr>
      </w:pPr>
    </w:p>
    <w:tbl>
      <w:tblPr>
        <w:tblStyle w:val="a"/>
        <w:tblpPr w:leftFromText="180" w:rightFromText="180" w:vertAnchor="text" w:tblpY="210"/>
        <w:tblW w:w="1587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627"/>
        <w:gridCol w:w="2036"/>
        <w:gridCol w:w="2301"/>
        <w:gridCol w:w="2301"/>
        <w:gridCol w:w="2302"/>
        <w:gridCol w:w="1201"/>
        <w:gridCol w:w="3103"/>
      </w:tblGrid>
      <w:tr w:rsidR="0084729E" w14:paraId="43B6AEB2" w14:textId="77777777">
        <w:trPr>
          <w:trHeight w:val="297"/>
        </w:trPr>
        <w:tc>
          <w:tcPr>
            <w:tcW w:w="2627" w:type="dxa"/>
            <w:shd w:val="clear" w:color="auto" w:fill="B8CCE4"/>
            <w:vAlign w:val="bottom"/>
          </w:tcPr>
          <w:p w14:paraId="5DC8243C" w14:textId="77777777" w:rsidR="0084729E" w:rsidRDefault="00CA374A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36" w:type="dxa"/>
            <w:vMerge w:val="restart"/>
            <w:tcBorders>
              <w:bottom w:val="single" w:sz="4" w:space="0" w:color="000000"/>
            </w:tcBorders>
            <w:shd w:val="clear" w:color="auto" w:fill="B8CCE4"/>
            <w:vAlign w:val="center"/>
          </w:tcPr>
          <w:p w14:paraId="622303FC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HC</w:t>
            </w:r>
          </w:p>
        </w:tc>
        <w:tc>
          <w:tcPr>
            <w:tcW w:w="6904" w:type="dxa"/>
            <w:gridSpan w:val="3"/>
            <w:tcBorders>
              <w:bottom w:val="single" w:sz="4" w:space="0" w:color="000000"/>
            </w:tcBorders>
            <w:shd w:val="clear" w:color="auto" w:fill="B8CCE4"/>
            <w:vAlign w:val="bottom"/>
          </w:tcPr>
          <w:p w14:paraId="745CD3DA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PD</w:t>
            </w:r>
          </w:p>
        </w:tc>
        <w:tc>
          <w:tcPr>
            <w:tcW w:w="1201" w:type="dxa"/>
            <w:vMerge w:val="restart"/>
            <w:tcBorders>
              <w:bottom w:val="single" w:sz="4" w:space="0" w:color="000000"/>
            </w:tcBorders>
            <w:shd w:val="clear" w:color="auto" w:fill="B8CCE4"/>
            <w:vAlign w:val="center"/>
          </w:tcPr>
          <w:p w14:paraId="28385552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Global tests</w:t>
            </w:r>
          </w:p>
        </w:tc>
        <w:tc>
          <w:tcPr>
            <w:tcW w:w="3103" w:type="dxa"/>
            <w:vMerge w:val="restart"/>
            <w:tcBorders>
              <w:bottom w:val="single" w:sz="4" w:space="0" w:color="000000"/>
            </w:tcBorders>
            <w:shd w:val="clear" w:color="auto" w:fill="B8CCE4"/>
            <w:vAlign w:val="center"/>
          </w:tcPr>
          <w:p w14:paraId="142DFFB0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Post hoc tests</w:t>
            </w:r>
          </w:p>
        </w:tc>
      </w:tr>
      <w:tr w:rsidR="0084729E" w14:paraId="2156863A" w14:textId="77777777">
        <w:trPr>
          <w:trHeight w:val="277"/>
        </w:trPr>
        <w:tc>
          <w:tcPr>
            <w:tcW w:w="2627" w:type="dxa"/>
            <w:tcBorders>
              <w:bottom w:val="single" w:sz="4" w:space="0" w:color="000000"/>
            </w:tcBorders>
            <w:shd w:val="clear" w:color="auto" w:fill="B8CCE4"/>
            <w:vAlign w:val="bottom"/>
          </w:tcPr>
          <w:p w14:paraId="5258BF80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36" w:type="dxa"/>
            <w:vMerge/>
            <w:tcBorders>
              <w:bottom w:val="single" w:sz="4" w:space="0" w:color="000000"/>
            </w:tcBorders>
            <w:shd w:val="clear" w:color="auto" w:fill="B8CCE4"/>
            <w:vAlign w:val="center"/>
          </w:tcPr>
          <w:p w14:paraId="31B76D5D" w14:textId="77777777" w:rsidR="0084729E" w:rsidRDefault="008472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3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8CCE4"/>
            <w:vAlign w:val="center"/>
          </w:tcPr>
          <w:p w14:paraId="64EB56C9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>All PD</w:t>
            </w:r>
          </w:p>
        </w:tc>
        <w:tc>
          <w:tcPr>
            <w:tcW w:w="23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8CCE4"/>
            <w:vAlign w:val="center"/>
          </w:tcPr>
          <w:p w14:paraId="336D3A3B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>PD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vertAlign w:val="subscript"/>
              </w:rPr>
              <w:t>RBD(+)</w:t>
            </w:r>
          </w:p>
        </w:tc>
        <w:tc>
          <w:tcPr>
            <w:tcW w:w="23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8CCE4"/>
            <w:vAlign w:val="center"/>
          </w:tcPr>
          <w:p w14:paraId="005FC1C7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>PD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vertAlign w:val="subscript"/>
              </w:rPr>
              <w:t>RBD(-)</w:t>
            </w:r>
          </w:p>
        </w:tc>
        <w:tc>
          <w:tcPr>
            <w:tcW w:w="1201" w:type="dxa"/>
            <w:vMerge/>
            <w:tcBorders>
              <w:bottom w:val="single" w:sz="4" w:space="0" w:color="000000"/>
            </w:tcBorders>
            <w:shd w:val="clear" w:color="auto" w:fill="B8CCE4"/>
            <w:vAlign w:val="center"/>
          </w:tcPr>
          <w:p w14:paraId="7499A8AF" w14:textId="77777777" w:rsidR="0084729E" w:rsidRDefault="008472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3103" w:type="dxa"/>
            <w:vMerge/>
            <w:tcBorders>
              <w:bottom w:val="single" w:sz="4" w:space="0" w:color="000000"/>
            </w:tcBorders>
            <w:shd w:val="clear" w:color="auto" w:fill="B8CCE4"/>
            <w:vAlign w:val="center"/>
          </w:tcPr>
          <w:p w14:paraId="45E94706" w14:textId="77777777" w:rsidR="0084729E" w:rsidRDefault="008472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</w:p>
        </w:tc>
      </w:tr>
      <w:tr w:rsidR="0084729E" w14:paraId="434AD761" w14:textId="77777777">
        <w:trPr>
          <w:trHeight w:val="247"/>
        </w:trPr>
        <w:tc>
          <w:tcPr>
            <w:tcW w:w="2627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0F6818C5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</w:t>
            </w:r>
          </w:p>
        </w:tc>
        <w:tc>
          <w:tcPr>
            <w:tcW w:w="203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78AEBCD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3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784CDB9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3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CD4F92A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30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1679A9E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2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EA3A1DA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---</w:t>
            </w:r>
          </w:p>
        </w:tc>
        <w:tc>
          <w:tcPr>
            <w:tcW w:w="310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684E4D0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---</w:t>
            </w:r>
          </w:p>
        </w:tc>
      </w:tr>
      <w:tr w:rsidR="0084729E" w14:paraId="6701A1F5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29357995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Age (years)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03861EB3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67.9 ± 8.7 [53-83]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4B547D23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68.2 ± 9.0 [47-82]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035185D4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71.4 ± 9.4 [47-82]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6987CEE2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65.8 ± 8.3 [53-78]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1A18AF24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4003A5EF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4746D18F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44AF0F91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Sex (female), n (%)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0AF5062B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 (59.1%)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74FA66F3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 (57.7%)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454C757C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(63.6%)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2143DD9B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(53.3%)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439948B1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6A868FC8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47A5ED07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02E235FE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Disease duration (months)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3B3DF8FC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---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5385BFBA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45.7 ± 13.9 [20.2-80.5]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4D192DCB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47.6 ± 16.9 [20.2-80.5]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59FE9BD0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44.2 ± 11.7 [21.7-61.1]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17AC56F4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499080B1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1CB5D07F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43830082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MDS-UPDRS III (off)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13B74256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 ± 3.3 [0-10]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78789F2D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28.6 ± 11.5 [9-67]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467F7B8E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32.1 ± 14.1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[14-67]</w:t>
            </w:r>
            <w:bookmarkStart w:id="0" w:name="_GoBack"/>
            <w:bookmarkEnd w:id="0"/>
          </w:p>
        </w:tc>
        <w:tc>
          <w:tcPr>
            <w:tcW w:w="2302" w:type="dxa"/>
            <w:shd w:val="clear" w:color="auto" w:fill="auto"/>
            <w:vAlign w:val="center"/>
          </w:tcPr>
          <w:p w14:paraId="23B3DA51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26.0 ± 8.8 [9-39]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45CB2633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1D854507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RBD(+)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&gt;HC***,  PD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RBD(-)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&gt;HC***</w:t>
            </w:r>
          </w:p>
        </w:tc>
      </w:tr>
      <w:tr w:rsidR="0084729E" w14:paraId="7FF227FB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060C5F66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Hoehn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Yahr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 scale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23B47591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000000"/>
                <w:sz w:val="18"/>
                <w:szCs w:val="18"/>
              </w:rPr>
              <w:t>---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5D0F0747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 ± 0.6 [1-3]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24971333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 ± 0.4 [1-3]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52C84E4A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 ± 0.6 [1-3]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697040A7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126D235B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7F7F7E5E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07F4C4CB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RBDSQ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542E55EB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7.75 ± 3.79 [2-14]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10A2FEBA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18.19 ± 18.21 [0-74]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5812DDB1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32.6 ± 19.4 [12-74]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66CFAB03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7.8 ± 6.6 [0-17]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47E07884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097C4569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RBD(+)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&gt;HC**,  PD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RBD(+)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 PD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RBD(-)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**</w:t>
            </w:r>
          </w:p>
        </w:tc>
      </w:tr>
      <w:tr w:rsidR="0084729E" w14:paraId="4F24E27C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591FE950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Orthostatic hypotension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384683FF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(8.3%)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044290A0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(19.2%)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08B30C71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(36.4%)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57F0F502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(6.7%)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51F44323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22C087C2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3A3E1A92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5511940D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Systolic blood pressure drop at 3min (mmHg)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1E698ADF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 ± 8.9 [-12-13]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52013FD0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 ± 12.1 [-20-33]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14F9EE40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 ± 16.1 [-20-33]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5335BF00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 ± 8.5 [-13-23]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4FED5437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5EC4AD6D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355410D8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7B8E230F" w14:textId="600945A8" w:rsidR="0084729E" w:rsidRDefault="00CA374A" w:rsidP="005138A5">
            <w:pPr>
              <w:spacing w:after="0" w:line="240" w:lineRule="auto"/>
              <w:ind w:left="306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at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5min (mmHg)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16E3F65B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 ± 11.1 [-19-25]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426EB6EF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 ± 13.9 [-25-35]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2C6CB94E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 ± 18.6 [-25-35]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620DADF1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2.47 ± 9.8 [-15-22]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41D6D0C4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6913BD5A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2F34D6C6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7516FE90" w14:textId="5A539291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Diastolic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blood pressure </w:t>
            </w:r>
            <w:r w:rsidR="003D37A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drop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at 3min (mmHg)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0E30E130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bookmarkStart w:id="1" w:name="_heading=h.7fhmr2p97ksb" w:colFirst="0" w:colLast="0"/>
            <w:bookmarkEnd w:id="1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 ± 8.7 [-22-7]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043BA01E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-0.8 ± 7.0 [-11-13]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7E7A62C8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 ± 7.6 [-10-13]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382C823A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-2.2 ± 6.4 [-11-9]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1E8CB062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165753C1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07ABF5BA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19204498" w14:textId="532AA495" w:rsidR="0084729E" w:rsidRDefault="00CA374A" w:rsidP="005138A5">
            <w:pPr>
              <w:spacing w:after="0" w:line="240" w:lineRule="auto"/>
              <w:ind w:left="306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at 5min (mmHg)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05F44CD2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-4.3 ± 6.4 [-16-7]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0833C05A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 ± 7.5 [-13-21]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4466E8AE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 ± 7.6 [-5-21]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3AF92697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-1.7 ± 6.9 [-13-10]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034A3E5C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5246F82F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02EA7665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6AFE9218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SCOPA-AUT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4337A565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8.9 ± 7.0 [1-25]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48D0E523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15.0 ± 6.9 [3-26]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10F35A91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16.7 ± 7.2 [4-25]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62E620E6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13.7 ± 6.6 [3-26]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3189088C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7119B966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RBD(+)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&gt;HC*,  PD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RBD(-)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&gt;HC°</w:t>
            </w:r>
          </w:p>
        </w:tc>
      </w:tr>
      <w:tr w:rsidR="0084729E" w14:paraId="05BE636E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77CCA939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SCOPA cardiovascular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subscore</w:t>
            </w:r>
            <w:proofErr w:type="spellEnd"/>
          </w:p>
        </w:tc>
        <w:tc>
          <w:tcPr>
            <w:tcW w:w="2036" w:type="dxa"/>
            <w:shd w:val="clear" w:color="auto" w:fill="auto"/>
            <w:vAlign w:val="center"/>
          </w:tcPr>
          <w:p w14:paraId="0184FA2E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 ± 0.5 [0-1]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657E7486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 ± 0.9 [0-3]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3F493344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 ± 1.1 [0-3]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76407CEF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 ± 0.5 [0-1]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2305D6BC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320BB227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  <w:tr w:rsidR="0084729E" w14:paraId="4F032FAB" w14:textId="77777777">
        <w:trPr>
          <w:trHeight w:val="247"/>
        </w:trPr>
        <w:tc>
          <w:tcPr>
            <w:tcW w:w="2627" w:type="dxa"/>
            <w:shd w:val="clear" w:color="auto" w:fill="auto"/>
            <w:vAlign w:val="bottom"/>
          </w:tcPr>
          <w:p w14:paraId="73F91D98" w14:textId="77777777" w:rsidR="0084729E" w:rsidRDefault="00CA374A" w:rsidP="005138A5">
            <w:pPr>
              <w:spacing w:after="0" w:line="240" w:lineRule="auto"/>
              <w:ind w:left="306" w:hanging="284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MoCA</w:t>
            </w:r>
          </w:p>
        </w:tc>
        <w:tc>
          <w:tcPr>
            <w:tcW w:w="2036" w:type="dxa"/>
            <w:shd w:val="clear" w:color="auto" w:fill="auto"/>
            <w:vAlign w:val="center"/>
          </w:tcPr>
          <w:p w14:paraId="36F1379F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27.3 ± 2.47 [22-30]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5EEF9BB6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27.5 ± 2.0 [24-30]</w:t>
            </w:r>
          </w:p>
        </w:tc>
        <w:tc>
          <w:tcPr>
            <w:tcW w:w="2301" w:type="dxa"/>
            <w:shd w:val="clear" w:color="auto" w:fill="auto"/>
            <w:vAlign w:val="center"/>
          </w:tcPr>
          <w:p w14:paraId="293583DD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27.7 ± 2.1 [24-30]</w:t>
            </w:r>
          </w:p>
        </w:tc>
        <w:tc>
          <w:tcPr>
            <w:tcW w:w="2302" w:type="dxa"/>
            <w:shd w:val="clear" w:color="auto" w:fill="auto"/>
            <w:vAlign w:val="center"/>
          </w:tcPr>
          <w:p w14:paraId="05107A99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27.3 ± 2.0 [24-30]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643BF3BB" w14:textId="77777777" w:rsidR="0084729E" w:rsidRDefault="00CA37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0.770</w:t>
            </w:r>
          </w:p>
        </w:tc>
        <w:tc>
          <w:tcPr>
            <w:tcW w:w="3103" w:type="dxa"/>
            <w:shd w:val="clear" w:color="auto" w:fill="auto"/>
            <w:vAlign w:val="center"/>
          </w:tcPr>
          <w:p w14:paraId="6B0236F4" w14:textId="77777777" w:rsidR="0084729E" w:rsidRDefault="00CA37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ns</w:t>
            </w:r>
          </w:p>
        </w:tc>
      </w:tr>
    </w:tbl>
    <w:p w14:paraId="484884B8" w14:textId="77777777" w:rsidR="0084729E" w:rsidRDefault="00CA374A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21185944" w14:textId="77777777" w:rsidR="0084729E" w:rsidRDefault="0084729E">
      <w:pPr>
        <w:spacing w:line="360" w:lineRule="auto"/>
        <w:rPr>
          <w:rFonts w:ascii="Times New Roman" w:eastAsia="Times New Roman" w:hAnsi="Times New Roman" w:cs="Times New Roman"/>
        </w:rPr>
      </w:pPr>
    </w:p>
    <w:p w14:paraId="3E25580D" w14:textId="77777777" w:rsidR="0084729E" w:rsidRDefault="0084729E">
      <w:pPr>
        <w:spacing w:line="360" w:lineRule="auto"/>
        <w:rPr>
          <w:rFonts w:ascii="Times New Roman" w:eastAsia="Times New Roman" w:hAnsi="Times New Roman" w:cs="Times New Roman"/>
        </w:rPr>
      </w:pPr>
    </w:p>
    <w:p w14:paraId="39AFB61A" w14:textId="77777777" w:rsidR="0084729E" w:rsidRDefault="00CA374A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Quantitative variables are summarized as mean ± standard </w:t>
      </w:r>
      <w:r>
        <w:rPr>
          <w:rFonts w:ascii="Times New Roman" w:eastAsia="Times New Roman" w:hAnsi="Times New Roman" w:cs="Times New Roman"/>
        </w:rPr>
        <w:t>deviation [min-max] and categorical variables as counts and percentages. Clinical data other than the MDS-UPDRS III were only available in 12 HCs. Statistically significant effects for global comparisons with Kruskal-Wallis or Fisher’s exact tests are show</w:t>
      </w:r>
      <w:r>
        <w:rPr>
          <w:rFonts w:ascii="Times New Roman" w:eastAsia="Times New Roman" w:hAnsi="Times New Roman" w:cs="Times New Roman"/>
        </w:rPr>
        <w:t>n in bold. Asterisks indicate the significance level of the post hoc comparisons: adjusted p &lt; 0.05 (*), adjusted p &lt; 0.01 (**), adjusted p &lt; 0.001 (***).</w:t>
      </w:r>
    </w:p>
    <w:p w14:paraId="24E9D2F2" w14:textId="77777777" w:rsidR="0084729E" w:rsidRDefault="00CA374A">
      <w:pPr>
        <w:spacing w:line="36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lastRenderedPageBreak/>
        <w:t>Abbreviations: F: female; HC, healthy controls; M: male; MDS-UPDRS part III, Movement Disorder Societ</w:t>
      </w:r>
      <w:r>
        <w:rPr>
          <w:rFonts w:ascii="Times New Roman" w:eastAsia="Times New Roman" w:hAnsi="Times New Roman" w:cs="Times New Roman"/>
          <w:i/>
        </w:rPr>
        <w:t>y Unified Parkinson’s Disease Rating Scale part III; ns, non-significant; PD; Parkinson’s disease; PD</w:t>
      </w:r>
      <w:r>
        <w:rPr>
          <w:rFonts w:ascii="Times New Roman" w:eastAsia="Times New Roman" w:hAnsi="Times New Roman" w:cs="Times New Roman"/>
          <w:i/>
          <w:vertAlign w:val="subscript"/>
        </w:rPr>
        <w:t>RBD(+)</w:t>
      </w:r>
      <w:r>
        <w:rPr>
          <w:rFonts w:ascii="Times New Roman" w:eastAsia="Times New Roman" w:hAnsi="Times New Roman" w:cs="Times New Roman"/>
          <w:i/>
        </w:rPr>
        <w:t>, PD with RBD;</w:t>
      </w:r>
      <w:r>
        <w:rPr>
          <w:rFonts w:ascii="Times New Roman" w:eastAsia="Times New Roman" w:hAnsi="Times New Roman" w:cs="Times New Roman"/>
          <w:i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i/>
        </w:rPr>
        <w:t>PD</w:t>
      </w:r>
      <w:r>
        <w:rPr>
          <w:rFonts w:ascii="Times New Roman" w:eastAsia="Times New Roman" w:hAnsi="Times New Roman" w:cs="Times New Roman"/>
          <w:i/>
          <w:vertAlign w:val="subscript"/>
        </w:rPr>
        <w:t>RBD(-)</w:t>
      </w:r>
      <w:r>
        <w:rPr>
          <w:rFonts w:ascii="Times New Roman" w:eastAsia="Times New Roman" w:hAnsi="Times New Roman" w:cs="Times New Roman"/>
          <w:i/>
        </w:rPr>
        <w:t>, PD without RBD; RBDSQ, REM Sleep Behavior Disorder Screening Questionnaire; RBD, Rapid-Eye Movement Sleep Disorder; SCOPA-AU</w:t>
      </w:r>
      <w:r>
        <w:rPr>
          <w:rFonts w:ascii="Times New Roman" w:eastAsia="Times New Roman" w:hAnsi="Times New Roman" w:cs="Times New Roman"/>
          <w:i/>
        </w:rPr>
        <w:t xml:space="preserve">T </w:t>
      </w:r>
      <w:proofErr w:type="spellStart"/>
      <w:r>
        <w:rPr>
          <w:rFonts w:ascii="Times New Roman" w:eastAsia="Times New Roman" w:hAnsi="Times New Roman" w:cs="Times New Roman"/>
          <w:i/>
        </w:rPr>
        <w:t>SCales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for Outcomes in </w:t>
      </w:r>
      <w:proofErr w:type="spellStart"/>
      <w:r>
        <w:rPr>
          <w:rFonts w:ascii="Times New Roman" w:eastAsia="Times New Roman" w:hAnsi="Times New Roman" w:cs="Times New Roman"/>
          <w:i/>
        </w:rPr>
        <w:t>PArkinson’s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disease - Autonomic Dysfunction.</w:t>
      </w:r>
    </w:p>
    <w:p w14:paraId="394E5D0A" w14:textId="77777777" w:rsidR="0084729E" w:rsidRDefault="0084729E">
      <w:pPr>
        <w:rPr>
          <w:rFonts w:ascii="Times New Roman" w:eastAsia="Times New Roman" w:hAnsi="Times New Roman" w:cs="Times New Roman"/>
        </w:rPr>
      </w:pPr>
    </w:p>
    <w:sectPr w:rsidR="0084729E">
      <w:pgSz w:w="16838" w:h="11906" w:orient="landscape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29E"/>
    <w:rsid w:val="003D37A5"/>
    <w:rsid w:val="005138A5"/>
    <w:rsid w:val="0084729E"/>
    <w:rsid w:val="00A70E49"/>
    <w:rsid w:val="00CA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63D5F"/>
  <w15:docId w15:val="{7032EB78-8AA5-E541-BA5B-A62DB8D6F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vision">
    <w:name w:val="Revision"/>
    <w:hidden/>
    <w:uiPriority w:val="99"/>
    <w:semiHidden/>
    <w:rsid w:val="003D37A5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138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138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HM8rmvvOsv1cx2wxRLvYm89uWw==">CgMxLjAyDmguN2ZobXIycDk3a3NiOAByITE5aFJUa18yNlhoNXc5eE81b3hoTldabnk4UE13ZTIxMw==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XPS</dc:creator>
  <cp:lastModifiedBy>XPS</cp:lastModifiedBy>
  <cp:revision>2</cp:revision>
  <dcterms:created xsi:type="dcterms:W3CDTF">2025-09-14T16:56:00Z</dcterms:created>
  <dcterms:modified xsi:type="dcterms:W3CDTF">2025-09-14T16:56:00Z</dcterms:modified>
</cp:coreProperties>
</file>