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20C8E" w14:textId="77777777" w:rsidR="003E49E4" w:rsidRDefault="003E49E4" w:rsidP="003E49E4">
      <w:pPr>
        <w:spacing w:line="240" w:lineRule="atLeast"/>
        <w:jc w:val="left"/>
        <w:rPr>
          <w:bCs/>
          <w:color w:val="auto"/>
        </w:rPr>
      </w:pPr>
      <w:r>
        <w:rPr>
          <w:b/>
          <w:color w:val="auto"/>
        </w:rPr>
        <w:t>Table 1</w:t>
      </w:r>
      <w:r>
        <w:rPr>
          <w:bCs/>
          <w:color w:val="auto"/>
        </w:rPr>
        <w:t xml:space="preserve"> </w:t>
      </w:r>
      <w:r w:rsidRPr="00A54854">
        <w:rPr>
          <w:b/>
          <w:color w:val="auto"/>
        </w:rPr>
        <w:t>T1T2 Values and Texture Features of the Myocardium</w:t>
      </w:r>
      <w:r>
        <w:rPr>
          <w:bCs/>
          <w:color w:val="auto"/>
        </w:rPr>
        <w:t xml:space="preserve"> </w:t>
      </w:r>
    </w:p>
    <w:p w14:paraId="72587375" w14:textId="77777777" w:rsidR="003E49E4" w:rsidRPr="00EA6162" w:rsidRDefault="003E49E4" w:rsidP="003E49E4">
      <w:pPr>
        <w:spacing w:line="240" w:lineRule="atLeast"/>
        <w:jc w:val="left"/>
        <w:rPr>
          <w:bCs/>
          <w:color w:val="auto"/>
        </w:rPr>
      </w:pPr>
    </w:p>
    <w:p w14:paraId="46524178" w14:textId="28CB1E6F" w:rsidR="003E49E4" w:rsidRPr="00DF52FD" w:rsidRDefault="003E49E4" w:rsidP="003E49E4">
      <w:pPr>
        <w:spacing w:line="240" w:lineRule="atLeast"/>
        <w:jc w:val="left"/>
        <w:rPr>
          <w:b/>
          <w:color w:val="auto"/>
        </w:rPr>
      </w:pPr>
      <w:r w:rsidRPr="0028461B">
        <w:rPr>
          <w:noProof/>
        </w:rPr>
        <w:drawing>
          <wp:inline distT="0" distB="0" distL="0" distR="0" wp14:anchorId="4289EDBC" wp14:editId="78BA93F5">
            <wp:extent cx="5400040" cy="756285"/>
            <wp:effectExtent l="0" t="0" r="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5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67D12" w14:textId="77777777" w:rsidR="003E49E4" w:rsidRDefault="003E49E4" w:rsidP="003E49E4">
      <w:pPr>
        <w:spacing w:line="240" w:lineRule="atLeast"/>
        <w:jc w:val="left"/>
        <w:rPr>
          <w:b/>
          <w:color w:val="auto"/>
        </w:rPr>
      </w:pPr>
    </w:p>
    <w:p w14:paraId="7A190BA1" w14:textId="77777777" w:rsidR="003E49E4" w:rsidRDefault="003E49E4" w:rsidP="003E49E4">
      <w:pPr>
        <w:spacing w:line="240" w:lineRule="atLeast"/>
        <w:jc w:val="left"/>
        <w:rPr>
          <w:bCs/>
          <w:color w:val="auto"/>
        </w:rPr>
      </w:pPr>
      <w:proofErr w:type="spellStart"/>
      <w:r w:rsidRPr="000337A0">
        <w:rPr>
          <w:rFonts w:hint="eastAsia"/>
          <w:bCs/>
          <w:color w:val="auto"/>
        </w:rPr>
        <w:t>V</w:t>
      </w:r>
      <w:r w:rsidRPr="000337A0">
        <w:rPr>
          <w:bCs/>
          <w:color w:val="auto"/>
        </w:rPr>
        <w:t>etrl</w:t>
      </w:r>
      <w:proofErr w:type="spellEnd"/>
      <w:r w:rsidRPr="000337A0">
        <w:rPr>
          <w:bCs/>
          <w:color w:val="auto"/>
        </w:rPr>
        <w:t xml:space="preserve"> Fraction: </w:t>
      </w:r>
      <w:r>
        <w:rPr>
          <w:bCs/>
          <w:color w:val="auto"/>
        </w:rPr>
        <w:t xml:space="preserve">vertical fraction, STIR: short inversion time inversion recovery, </w:t>
      </w:r>
      <w:proofErr w:type="spellStart"/>
      <w:r>
        <w:rPr>
          <w:bCs/>
          <w:color w:val="auto"/>
        </w:rPr>
        <w:t>Horzl</w:t>
      </w:r>
      <w:proofErr w:type="spellEnd"/>
      <w:r>
        <w:rPr>
          <w:bCs/>
          <w:color w:val="auto"/>
        </w:rPr>
        <w:t xml:space="preserve"> </w:t>
      </w:r>
      <w:proofErr w:type="spellStart"/>
      <w:r>
        <w:rPr>
          <w:bCs/>
          <w:color w:val="auto"/>
        </w:rPr>
        <w:t>shREmp</w:t>
      </w:r>
      <w:proofErr w:type="spellEnd"/>
      <w:r>
        <w:rPr>
          <w:bCs/>
          <w:color w:val="auto"/>
        </w:rPr>
        <w:t xml:space="preserve">: horizontal short-run emphasis. </w:t>
      </w:r>
    </w:p>
    <w:p w14:paraId="2DE01580" w14:textId="77777777" w:rsidR="003E49E4" w:rsidRPr="000337A0" w:rsidRDefault="003E49E4" w:rsidP="003E49E4">
      <w:pPr>
        <w:spacing w:line="240" w:lineRule="atLeast"/>
        <w:jc w:val="left"/>
        <w:rPr>
          <w:bCs/>
          <w:color w:val="auto"/>
        </w:rPr>
      </w:pPr>
      <w:r>
        <w:rPr>
          <w:rFonts w:hint="eastAsia"/>
          <w:bCs/>
          <w:color w:val="auto"/>
        </w:rPr>
        <w:t>I</w:t>
      </w:r>
      <w:r>
        <w:rPr>
          <w:bCs/>
          <w:color w:val="auto"/>
        </w:rPr>
        <w:t xml:space="preserve">n the patients with chronic kidney diseases, T1T2 values of the septal myocardium were significantly greater and the two texture features were smaller than those in the control subjects. </w:t>
      </w:r>
    </w:p>
    <w:p w14:paraId="08A5ACA4" w14:textId="77777777" w:rsidR="003E49E4" w:rsidRDefault="003E49E4" w:rsidP="003E49E4">
      <w:pPr>
        <w:spacing w:line="240" w:lineRule="atLeast"/>
        <w:jc w:val="left"/>
        <w:rPr>
          <w:b/>
          <w:color w:val="auto"/>
        </w:rPr>
      </w:pPr>
    </w:p>
    <w:p w14:paraId="6BA1B7AD" w14:textId="77777777" w:rsidR="006E1865" w:rsidRPr="003E49E4" w:rsidRDefault="006E1865"/>
    <w:sectPr w:rsidR="006E1865" w:rsidRPr="003E49E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9E4"/>
    <w:rsid w:val="003E49E4"/>
    <w:rsid w:val="006E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6EF82A"/>
  <w15:chartTrackingRefBased/>
  <w15:docId w15:val="{D5C9E6BB-5FF6-4D52-AE7D-786FFF24C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49E4"/>
    <w:pPr>
      <w:widowControl w:val="0"/>
      <w:jc w:val="both"/>
    </w:pPr>
    <w:rPr>
      <w:rFonts w:ascii="Times New Roman" w:eastAsia="ＭＳ 明朝" w:hAnsi="Times New Roman" w:cs="Times New Roman"/>
      <w:color w:val="0000FF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2021-08-01T05:06:00Z</dcterms:created>
  <dcterms:modified xsi:type="dcterms:W3CDTF">2021-08-01T05:06:00Z</dcterms:modified>
</cp:coreProperties>
</file>