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75FF" w:rsidRPr="0053765E" w:rsidRDefault="00C175FF" w:rsidP="00C175FF">
      <w:pPr>
        <w:pStyle w:val="paragraph"/>
        <w:spacing w:before="0" w:beforeAutospacing="0" w:after="0" w:afterAutospacing="0"/>
        <w:textAlignment w:val="baseline"/>
        <w:rPr>
          <w:rFonts w:ascii="Segoe UI" w:hAnsi="Segoe UI" w:cs="Segoe UI"/>
          <w:sz w:val="18"/>
          <w:szCs w:val="18"/>
        </w:rPr>
      </w:pPr>
      <w:r w:rsidRPr="0053765E">
        <w:rPr>
          <w:b/>
          <w:bCs/>
          <w:sz w:val="20"/>
          <w:szCs w:val="20"/>
          <w:lang w:val="en"/>
        </w:rPr>
        <w:t>Supplement</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Data Assumptions and Structuring</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Height and Weight</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Patient’s recorded height and weight during the hospital visit was used. If this data was missing we obtained data from prior inpatient or outpatient records with the assumption that over a 2 year period height and weight remained stable.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Time of intubation (T</w:t>
      </w:r>
      <w:r w:rsidRPr="0053765E">
        <w:rPr>
          <w:sz w:val="16"/>
          <w:szCs w:val="16"/>
          <w:u w:val="single"/>
          <w:vertAlign w:val="subscript"/>
          <w:lang w:val="en"/>
        </w:rPr>
        <w:t>i</w:t>
      </w:r>
      <w:r w:rsidRPr="0053765E">
        <w:rPr>
          <w:sz w:val="20"/>
          <w:szCs w:val="20"/>
          <w:u w:val="single"/>
          <w:lang w:val="en"/>
        </w:rPr>
        <w:t>)</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To accurately capture the time of intubation (Ti) the earliest of the following data points were used: an endotracheal intubation procedure note in the electronic medical record; “Start Time” of mechanical ventilation documented in the mechanical ventilation record; time of administration of rapid sequence induction medications (cisatracurium, rocuronium, vecuronium, succinylcholine, etomidate); documentation of ventilator settings by the respiratory therapist in the mechanical ventilation record; nursing documentation of ventilator use in the oxygen delivery method section of the flowsheets; or initiation of continuous infusions of sedative medications (fentanyl, propofol).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Duration of intubation</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The duration of intubation was calculated by identifying the extubation time with the following criteria in the electronic medical record using a step-wise approach. First we searched for the field “time ventilator discontinued” in the mechanical ventilation record. If that data point was unavailable we used the “reason ventilator discontinued” or “ventilator mode off” fields, followed by time of “airway removal note”. In patients where there was evidence of mechanical ventilator records being discontinued, but the above evidence of extubation was missing, the first instance of supplemental oxygen delivery by methods not possible via mechanical ventilation was used. If the patient expired while receiving mechanical ventilation, expiration time was used as time of extubation within 8 hours of last mechanical ventilator record.  Finally, if none of the aforementioned exhaustive criteria were found, we added 4 hours to the last set of ventilator parameters recorded in the mechanical vent record and assumed that as the time of extubation. The duration of invasive mechanical ventilation was defined as the number of days between T</w:t>
      </w:r>
      <w:r w:rsidRPr="0053765E">
        <w:rPr>
          <w:sz w:val="16"/>
          <w:szCs w:val="16"/>
          <w:vertAlign w:val="subscript"/>
          <w:lang w:val="en"/>
        </w:rPr>
        <w:t>i</w:t>
      </w:r>
      <w:r w:rsidRPr="0053765E">
        <w:rPr>
          <w:sz w:val="20"/>
          <w:szCs w:val="20"/>
          <w:lang w:val="en"/>
        </w:rPr>
        <w:t> and successful extubation without the need for reintubation within 48 hours, or death.</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ICU readmission</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Intensive care unit (ICU) readmission was defined as over 48 hours between ICU discharge and ICU readmission and the first visit was used for this analysis. During the surge, hospitals within the system have expanded critical care capacity by creating dedicated COVID ICUs at certain hospitals.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Oxygen Delivery Method, Concentration, and Degree of Hypoxemia: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 The FiO</w:t>
      </w:r>
      <w:r w:rsidRPr="0053765E">
        <w:rPr>
          <w:sz w:val="16"/>
          <w:szCs w:val="16"/>
          <w:vertAlign w:val="subscript"/>
          <w:lang w:val="en"/>
        </w:rPr>
        <w:t>2</w:t>
      </w:r>
      <w:r w:rsidRPr="0053765E">
        <w:rPr>
          <w:sz w:val="20"/>
          <w:szCs w:val="20"/>
          <w:lang w:val="en"/>
        </w:rPr>
        <w:t> delivered was calculated based on the following formula: for nasal cannula or non-rebreather face mask, each liter of oxygen flow added 0·04 to 0·21 (room air), with a maximum of 6 liters per minute for nasal cannula and 15 liters per minute for non-rebreather mask. In cases where both nasal cannula and non-breather mask was used at the same time, FiO</w:t>
      </w:r>
      <w:r w:rsidRPr="0053765E">
        <w:rPr>
          <w:sz w:val="16"/>
          <w:szCs w:val="16"/>
          <w:vertAlign w:val="subscript"/>
          <w:lang w:val="en"/>
        </w:rPr>
        <w:t>2</w:t>
      </w:r>
      <w:r w:rsidRPr="0053765E">
        <w:rPr>
          <w:sz w:val="20"/>
          <w:szCs w:val="20"/>
          <w:lang w:val="en"/>
        </w:rPr>
        <w:t> was assumed to be 1·0. For non-invasive ventilation (NIV), high flow nasal cannula (HFNC), or venturi mask, the documented FiO</w:t>
      </w:r>
      <w:r w:rsidRPr="0053765E">
        <w:rPr>
          <w:sz w:val="16"/>
          <w:szCs w:val="16"/>
          <w:vertAlign w:val="subscript"/>
          <w:lang w:val="en"/>
        </w:rPr>
        <w:t>2</w:t>
      </w:r>
      <w:r w:rsidRPr="0053765E">
        <w:rPr>
          <w:sz w:val="20"/>
          <w:szCs w:val="20"/>
          <w:lang w:val="en"/>
        </w:rPr>
        <w:t> was used. Of note, there was limited use of NIV or HFNC because of concerns for airborne transmission of COVID-19 during this particular time. In the instances where the delivery method was not recorded in the electronic medical record, the previous recorded method was presumed to be have been continued, until change in flow rate or delivery method was noted.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To be able to accurately map hypoxemia prior to intubation, we used both arterial blood gas data on partial pressure of oxygen (PaO</w:t>
      </w:r>
      <w:r w:rsidRPr="0053765E">
        <w:rPr>
          <w:sz w:val="16"/>
          <w:szCs w:val="16"/>
          <w:vertAlign w:val="subscript"/>
          <w:lang w:val="en"/>
        </w:rPr>
        <w:t>2</w:t>
      </w:r>
      <w:r w:rsidRPr="0053765E">
        <w:rPr>
          <w:sz w:val="20"/>
          <w:szCs w:val="20"/>
          <w:lang w:val="en"/>
        </w:rPr>
        <w:t>) and peripherally measured oxygen saturation (SpO</w:t>
      </w:r>
      <w:r w:rsidRPr="0053765E">
        <w:rPr>
          <w:sz w:val="16"/>
          <w:szCs w:val="16"/>
          <w:vertAlign w:val="subscript"/>
          <w:lang w:val="en"/>
        </w:rPr>
        <w:t>2</w:t>
      </w:r>
      <w:r w:rsidRPr="0053765E">
        <w:rPr>
          <w:sz w:val="20"/>
          <w:szCs w:val="20"/>
          <w:lang w:val="en"/>
        </w:rPr>
        <w:t>). We calculated SpO</w:t>
      </w:r>
      <w:r w:rsidRPr="0053765E">
        <w:rPr>
          <w:sz w:val="16"/>
          <w:szCs w:val="16"/>
          <w:vertAlign w:val="subscript"/>
          <w:lang w:val="en"/>
        </w:rPr>
        <w:t>2</w:t>
      </w:r>
      <w:r w:rsidRPr="0053765E">
        <w:rPr>
          <w:sz w:val="20"/>
          <w:szCs w:val="20"/>
          <w:lang w:val="en"/>
        </w:rPr>
        <w:t>:FiO</w:t>
      </w:r>
      <w:r w:rsidRPr="0053765E">
        <w:rPr>
          <w:sz w:val="16"/>
          <w:szCs w:val="16"/>
          <w:vertAlign w:val="subscript"/>
          <w:lang w:val="en"/>
        </w:rPr>
        <w:t>2</w:t>
      </w:r>
      <w:r w:rsidRPr="0053765E">
        <w:rPr>
          <w:sz w:val="20"/>
          <w:szCs w:val="20"/>
          <w:lang w:val="en"/>
        </w:rPr>
        <w:t> ratios as well as PaO</w:t>
      </w:r>
      <w:r w:rsidRPr="0053765E">
        <w:rPr>
          <w:sz w:val="16"/>
          <w:szCs w:val="16"/>
          <w:vertAlign w:val="subscript"/>
          <w:lang w:val="en"/>
        </w:rPr>
        <w:t>2</w:t>
      </w:r>
      <w:r w:rsidRPr="0053765E">
        <w:rPr>
          <w:sz w:val="20"/>
          <w:szCs w:val="20"/>
          <w:lang w:val="en"/>
        </w:rPr>
        <w:t>:FiO2 ratios over time for each patient across their entire hospital stay. For separate analyses we converted SpO</w:t>
      </w:r>
      <w:r w:rsidRPr="0053765E">
        <w:rPr>
          <w:sz w:val="16"/>
          <w:szCs w:val="16"/>
          <w:vertAlign w:val="subscript"/>
          <w:lang w:val="en"/>
        </w:rPr>
        <w:t>2</w:t>
      </w:r>
      <w:r w:rsidRPr="0053765E">
        <w:rPr>
          <w:sz w:val="20"/>
          <w:szCs w:val="20"/>
          <w:lang w:val="en"/>
        </w:rPr>
        <w:t>:FiO</w:t>
      </w:r>
      <w:r w:rsidRPr="0053765E">
        <w:rPr>
          <w:sz w:val="16"/>
          <w:szCs w:val="16"/>
          <w:vertAlign w:val="subscript"/>
          <w:lang w:val="en"/>
        </w:rPr>
        <w:t>2</w:t>
      </w:r>
      <w:r w:rsidRPr="0053765E">
        <w:rPr>
          <w:sz w:val="20"/>
          <w:szCs w:val="20"/>
          <w:lang w:val="en"/>
        </w:rPr>
        <w:t> to PaO</w:t>
      </w:r>
      <w:r w:rsidRPr="0053765E">
        <w:rPr>
          <w:sz w:val="16"/>
          <w:szCs w:val="16"/>
          <w:vertAlign w:val="subscript"/>
          <w:lang w:val="en"/>
        </w:rPr>
        <w:t>2</w:t>
      </w:r>
      <w:r w:rsidRPr="0053765E">
        <w:rPr>
          <w:sz w:val="20"/>
          <w:szCs w:val="20"/>
          <w:lang w:val="en"/>
        </w:rPr>
        <w:t>:FiO</w:t>
      </w:r>
      <w:r w:rsidRPr="0053765E">
        <w:rPr>
          <w:sz w:val="16"/>
          <w:szCs w:val="16"/>
          <w:vertAlign w:val="subscript"/>
          <w:lang w:val="en"/>
        </w:rPr>
        <w:t>2</w:t>
      </w:r>
      <w:r w:rsidRPr="0053765E">
        <w:rPr>
          <w:sz w:val="20"/>
          <w:szCs w:val="20"/>
          <w:lang w:val="en"/>
        </w:rPr>
        <w:t> ratios (‘derived P/F’) to obtain an estimated trajectory of PaO</w:t>
      </w:r>
      <w:r w:rsidRPr="0053765E">
        <w:rPr>
          <w:sz w:val="16"/>
          <w:szCs w:val="16"/>
          <w:vertAlign w:val="subscript"/>
          <w:lang w:val="en"/>
        </w:rPr>
        <w:t>2</w:t>
      </w:r>
      <w:r w:rsidRPr="0053765E">
        <w:rPr>
          <w:sz w:val="20"/>
          <w:szCs w:val="20"/>
          <w:lang w:val="en"/>
        </w:rPr>
        <w:t> over time (refs). The assumption that derived P/F would have parallel trends compared to ABG derived P/F was tested.</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Respiratory System Compliance</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We used both static compliance (change in lung volume per unit change in pressure in the </w:t>
      </w:r>
      <w:r w:rsidRPr="0053765E">
        <w:rPr>
          <w:i/>
          <w:iCs/>
          <w:sz w:val="20"/>
          <w:szCs w:val="20"/>
          <w:lang w:val="en"/>
        </w:rPr>
        <w:t>absence of flow)</w:t>
      </w:r>
      <w:r w:rsidRPr="0053765E">
        <w:rPr>
          <w:sz w:val="20"/>
          <w:szCs w:val="20"/>
          <w:lang w:val="en"/>
        </w:rPr>
        <w:t> using the plateau pressure recorded in the electronic medical record, (Tidal Volume/ [Plateau Pressure – Peak End Expiratory Pressure (PEEP]); and dynamic compliance using the Peak Inspiratory Pressure (PIP) (change in lung volume per unit change in pressure in the </w:t>
      </w:r>
      <w:r w:rsidRPr="0053765E">
        <w:rPr>
          <w:i/>
          <w:iCs/>
          <w:sz w:val="20"/>
          <w:szCs w:val="20"/>
          <w:lang w:val="en"/>
        </w:rPr>
        <w:t>presence of flow), </w:t>
      </w:r>
      <w:r w:rsidRPr="0053765E">
        <w:rPr>
          <w:sz w:val="20"/>
          <w:szCs w:val="20"/>
          <w:lang w:val="en"/>
        </w:rPr>
        <w:t xml:space="preserve">(Tidal Volume/ [PIP – PEEP]) when patients were deeply sedated/paralyzed as described below. We only included values obtained at the time of full patient sedation, which was defined as the administration of intermittent bolus or continuous infusions of paralytics (cisatracurium, rocuronium, vecuronium) and (patient respiratory rate - set respiratory rate) &lt;2 (Figure S·7). We made the assumption that patients would not have a significant component of airway resistance for most COVID-19 respiratory failure patients in the early stage of disease (no more than a difference of 5-7 mmHg between PIP and </w:t>
      </w:r>
      <w:r w:rsidRPr="0053765E">
        <w:rPr>
          <w:sz w:val="20"/>
          <w:szCs w:val="20"/>
          <w:lang w:val="en"/>
        </w:rPr>
        <w:lastRenderedPageBreak/>
        <w:t>Plateau pressures), and that therefore this added pressure due to flow would have a minimal contribution to overall measured compliance. This assumption was tested by visualizing the difference between static and dynamic compliance seen over time (Figure S·3).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u w:val="single"/>
          <w:lang w:val="en"/>
        </w:rPr>
        <w:t>Interventions to prevent the worsening of ARDS</w:t>
      </w:r>
      <w:r w:rsidRPr="0053765E">
        <w:rPr>
          <w:sz w:val="20"/>
          <w:szCs w:val="20"/>
          <w:lang w:val="en"/>
        </w:rPr>
        <w:t>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lang w:val="en"/>
        </w:rPr>
        <w:t>We recorded the use of paralytic medications, vasopressor or inotropic medications, lung protective ventilatory settings, steroids, and various experimental treatments that were provided during the surge (azithromycin, vitamin C, hydroxychloroquine, tocilizumab, anakinra, steroids) (Table 2). Proning was defined as a binary variable, and was extracted by string pattern search of items related to the patient position in the EMR. The search discerns positive matches (e,g., “proned”) from the negative ones (e.g., “unproned”).  We created a standardized set and returned tidal volumes for each patient based on predicted body weight, calculated based on sex and height.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r w:rsidRPr="0053765E">
        <w:rPr>
          <w:rFonts w:ascii="Arial" w:hAnsi="Arial" w:cs="Arial"/>
          <w:sz w:val="22"/>
          <w:szCs w:val="22"/>
        </w:rPr>
        <w:br/>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p>
    <w:p w:rsidR="00C175FF" w:rsidRPr="0053765E" w:rsidRDefault="00C175FF" w:rsidP="00C175FF">
      <w:pPr>
        <w:textAlignment w:val="baseline"/>
        <w:rPr>
          <w:rFonts w:ascii="Segoe UI" w:hAnsi="Segoe UI" w:cs="Segoe UI"/>
          <w:sz w:val="18"/>
          <w:szCs w:val="18"/>
        </w:rPr>
      </w:pPr>
      <w:r w:rsidRPr="0053765E">
        <w:rPr>
          <w:b/>
          <w:bCs/>
          <w:sz w:val="20"/>
          <w:szCs w:val="20"/>
          <w:lang w:val="en"/>
        </w:rPr>
        <w:t>Table S1</w:t>
      </w:r>
      <w:r w:rsidRPr="0053765E">
        <w:rPr>
          <w:sz w:val="20"/>
          <w:szCs w:val="20"/>
          <w:lang w:val="en"/>
        </w:rPr>
        <w:t>. Demographics for the group of patients with no reliable compliance measurements in the first 24 hours compared to 1979 COVID–ARDS database</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30"/>
        <w:gridCol w:w="2400"/>
        <w:gridCol w:w="2415"/>
      </w:tblGrid>
      <w:tr w:rsidR="00C175FF" w:rsidRPr="0053765E" w:rsidTr="0025437E">
        <w:trPr>
          <w:trHeight w:val="300"/>
        </w:trPr>
        <w:tc>
          <w:tcPr>
            <w:tcW w:w="2730" w:type="dxa"/>
            <w:tcBorders>
              <w:top w:val="single" w:sz="6" w:space="0" w:color="auto"/>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tc>
        <w:tc>
          <w:tcPr>
            <w:tcW w:w="240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All patients       </w:t>
            </w:r>
            <w:r w:rsidRPr="0053765E">
              <w:rPr>
                <w:sz w:val="16"/>
                <w:szCs w:val="16"/>
              </w:rPr>
              <w:t> </w:t>
            </w:r>
          </w:p>
          <w:p w:rsidR="00C175FF" w:rsidRPr="0053765E" w:rsidRDefault="00C175FF" w:rsidP="0025437E">
            <w:pPr>
              <w:textAlignment w:val="baseline"/>
            </w:pPr>
            <w:r w:rsidRPr="0053765E">
              <w:rPr>
                <w:b/>
                <w:bCs/>
                <w:sz w:val="16"/>
                <w:szCs w:val="16"/>
              </w:rPr>
              <w:t>N=1979</w:t>
            </w:r>
            <w:r w:rsidRPr="0053765E">
              <w:rPr>
                <w:sz w:val="16"/>
                <w:szCs w:val="16"/>
              </w:rPr>
              <w:t> </w:t>
            </w:r>
          </w:p>
        </w:tc>
        <w:tc>
          <w:tcPr>
            <w:tcW w:w="240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No reliable compliance in first 24hrs. </w:t>
            </w:r>
            <w:r w:rsidRPr="0053765E">
              <w:rPr>
                <w:sz w:val="16"/>
                <w:szCs w:val="16"/>
              </w:rPr>
              <w:t> </w:t>
            </w:r>
          </w:p>
          <w:p w:rsidR="00C175FF" w:rsidRPr="0053765E" w:rsidRDefault="00C175FF" w:rsidP="0025437E">
            <w:pPr>
              <w:textAlignment w:val="baseline"/>
            </w:pPr>
            <w:r w:rsidRPr="0053765E">
              <w:rPr>
                <w:b/>
                <w:bCs/>
                <w:sz w:val="16"/>
                <w:szCs w:val="16"/>
              </w:rPr>
              <w:t>N= 425</w:t>
            </w:r>
            <w:r w:rsidRPr="0053765E">
              <w:rPr>
                <w:sz w:val="16"/>
                <w:szCs w:val="16"/>
              </w:rPr>
              <w:t>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Age, median (IQ)</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66·0 [57·0,74·0]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69·0 [61·0,77·0]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Female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633 (32·0)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143 (33·6%) </w:t>
            </w:r>
          </w:p>
        </w:tc>
      </w:tr>
      <w:tr w:rsidR="00C175FF" w:rsidRPr="0053765E" w:rsidTr="0025437E">
        <w:trPr>
          <w:trHeight w:val="300"/>
        </w:trPr>
        <w:tc>
          <w:tcPr>
            <w:tcW w:w="7545" w:type="dxa"/>
            <w:gridSpan w:val="3"/>
            <w:tcBorders>
              <w:top w:val="nil"/>
              <w:left w:val="single" w:sz="6" w:space="0" w:color="auto"/>
              <w:bottom w:val="single" w:sz="6" w:space="0" w:color="auto"/>
              <w:right w:val="single" w:sz="6" w:space="0" w:color="auto"/>
            </w:tcBorders>
            <w:shd w:val="clear" w:color="auto" w:fill="auto"/>
            <w:vAlign w:val="center"/>
            <w:hideMark/>
          </w:tcPr>
          <w:p w:rsidR="00C175FF" w:rsidRPr="0053765E" w:rsidRDefault="00C175FF" w:rsidP="0025437E">
            <w:pPr>
              <w:jc w:val="center"/>
              <w:textAlignment w:val="baseline"/>
            </w:pPr>
            <w:r w:rsidRPr="0053765E">
              <w:rPr>
                <w:b/>
                <w:bCs/>
                <w:sz w:val="16"/>
                <w:szCs w:val="16"/>
              </w:rPr>
              <w:t>Race</w:t>
            </w:r>
            <w:r w:rsidRPr="0053765E">
              <w:rPr>
                <w:sz w:val="16"/>
                <w:szCs w:val="16"/>
              </w:rPr>
              <w:t>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Black/African American</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364 (18·4)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74 (17·4)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Asian</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189 (9·6)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35 (8·2)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Native Am/Alaskan</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 (0·2)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 (0·5)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Native Hawaii/Pacif Isl</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 (0·2)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 (0·2)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Other/Multiracial</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589 (29·8)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109 (25·6)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Unknown</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106 (5·4)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25 (5·9)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White</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724 (36·6)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179 (42·1) </w:t>
            </w:r>
          </w:p>
        </w:tc>
      </w:tr>
      <w:tr w:rsidR="00C175FF" w:rsidRPr="0053765E" w:rsidTr="0025437E">
        <w:trPr>
          <w:trHeight w:val="300"/>
        </w:trPr>
        <w:tc>
          <w:tcPr>
            <w:tcW w:w="7545" w:type="dxa"/>
            <w:gridSpan w:val="3"/>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Comorbidities (Charlson Index) </w:t>
            </w:r>
            <w:r w:rsidRPr="0053765E">
              <w:rPr>
                <w:sz w:val="16"/>
                <w:szCs w:val="16"/>
              </w:rPr>
              <w:t>mean (SD)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5·1 (3·3)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 (3·4)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MEWS on admission </w:t>
            </w:r>
            <w:r w:rsidRPr="0053765E">
              <w:rPr>
                <w:sz w:val="16"/>
                <w:szCs w:val="16"/>
              </w:rPr>
              <w:t>mean (SD)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4·1 (1·9)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4·2 (1·9)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Chronic Lung Disease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140 (7·1)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38 (8·9)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Diabetes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887(44·8)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212 (49·9)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HTN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1292 (65·3)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280 (65·9)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lastRenderedPageBreak/>
              <w:t>CHF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162 (8·2)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48 (11·3)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CAD (%)</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280 (14·1)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72 (16·9)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CKD (%)</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302 (15·3)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74 (17·4)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ESRD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113 (5·7)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28(6·6)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Positive Smoking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240 (15·4)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45 (14·8)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Malignancy </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199 (10·1)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52 (12·2)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BMI on admission </w:t>
            </w:r>
            <w:r w:rsidRPr="0053765E">
              <w:rPr>
                <w:sz w:val="16"/>
                <w:szCs w:val="16"/>
              </w:rPr>
              <w:t>mean (SD)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31·5 (34·3)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color w:val="444444"/>
                <w:sz w:val="16"/>
                <w:szCs w:val="16"/>
              </w:rPr>
              <w:t>33·0 (73·2) </w:t>
            </w:r>
          </w:p>
        </w:tc>
      </w:tr>
      <w:tr w:rsidR="00C175FF" w:rsidRPr="0053765E" w:rsidTr="0025437E">
        <w:trPr>
          <w:trHeight w:val="300"/>
        </w:trPr>
        <w:tc>
          <w:tcPr>
            <w:tcW w:w="7545" w:type="dxa"/>
            <w:gridSpan w:val="3"/>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jc w:val="center"/>
              <w:textAlignment w:val="baseline"/>
            </w:pPr>
            <w:r w:rsidRPr="0053765E">
              <w:rPr>
                <w:b/>
                <w:bCs/>
                <w:sz w:val="16"/>
                <w:szCs w:val="16"/>
              </w:rPr>
              <w:t>BMI Categories </w:t>
            </w:r>
            <w:r w:rsidRPr="0053765E">
              <w:rPr>
                <w:sz w:val="16"/>
                <w:szCs w:val="16"/>
              </w:rPr>
              <w:t>n (%)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BMI &lt;18 underweight</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23 (1·2)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13 (3·1)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BMI 18 – &lt;30 normal–overweight</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964 (48·7)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224 (52·7)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BMI 30 – &lt;40 obese</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676 (34·2)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123 (28·9)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BMI &gt;=40 extremely obese</w:t>
            </w:r>
            <w:r w:rsidRPr="0053765E">
              <w:rPr>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316 (16)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65 (15·3) </w:t>
            </w:r>
          </w:p>
        </w:tc>
      </w:tr>
      <w:tr w:rsidR="00C175FF" w:rsidRPr="0053765E" w:rsidTr="0025437E">
        <w:trPr>
          <w:trHeight w:val="300"/>
        </w:trPr>
        <w:tc>
          <w:tcPr>
            <w:tcW w:w="7545" w:type="dxa"/>
            <w:gridSpan w:val="3"/>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Median hours from hospital presentation to intubation (IQR)</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47·0 (5·9,121·4)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31·9 (1·7,107·1)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Count of patients intubated within 48 hours of presentatio</w:t>
            </w:r>
            <w:r w:rsidRPr="0053765E">
              <w:rPr>
                <w:sz w:val="16"/>
                <w:szCs w:val="16"/>
              </w:rPr>
              <w:t>n (%)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995 (50·28)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243 (57·2) </w:t>
            </w:r>
          </w:p>
        </w:tc>
      </w:tr>
      <w:tr w:rsidR="00C175FF" w:rsidRPr="0053765E" w:rsidTr="0025437E">
        <w:trPr>
          <w:trHeight w:val="300"/>
        </w:trPr>
        <w:tc>
          <w:tcPr>
            <w:tcW w:w="7545" w:type="dxa"/>
            <w:gridSpan w:val="3"/>
            <w:tcBorders>
              <w:top w:val="nil"/>
              <w:left w:val="single" w:sz="6" w:space="0" w:color="auto"/>
              <w:bottom w:val="single" w:sz="6" w:space="0" w:color="auto"/>
              <w:right w:val="single" w:sz="6" w:space="0" w:color="auto"/>
            </w:tcBorders>
            <w:shd w:val="clear" w:color="auto" w:fill="auto"/>
            <w:vAlign w:val="center"/>
            <w:hideMark/>
          </w:tcPr>
          <w:p w:rsidR="00C175FF" w:rsidRPr="0053765E" w:rsidRDefault="00C175FF" w:rsidP="0025437E">
            <w:pPr>
              <w:jc w:val="center"/>
              <w:textAlignment w:val="baseline"/>
            </w:pPr>
            <w:r w:rsidRPr="0053765E">
              <w:rPr>
                <w:b/>
                <w:bCs/>
                <w:color w:val="000000"/>
                <w:sz w:val="16"/>
                <w:szCs w:val="16"/>
              </w:rPr>
              <w:t>Pre–intubation O2 supplementation </w:t>
            </w:r>
            <w:r w:rsidRPr="0053765E">
              <w:rPr>
                <w:color w:val="000000"/>
                <w:sz w:val="16"/>
                <w:szCs w:val="16"/>
              </w:rPr>
              <w:t>n (%)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NRB</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995 (50·3)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278 (65·4)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NRB+NC</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47 (2·4)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 (1·4)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NC</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125 (6·3)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43 (10·1)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HFNC</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43 (2·2)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10 (2·4)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NIV (BiPAP+CPAP)</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60 (3)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 (2·1)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Venturi</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19 (1)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 (0·) </w:t>
            </w:r>
          </w:p>
        </w:tc>
      </w:tr>
      <w:tr w:rsidR="00C175FF" w:rsidRPr="0053765E" w:rsidTr="0025437E">
        <w:trPr>
          <w:trHeight w:val="300"/>
        </w:trPr>
        <w:tc>
          <w:tcPr>
            <w:tcW w:w="273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color w:val="000000"/>
                <w:sz w:val="16"/>
                <w:szCs w:val="16"/>
              </w:rPr>
              <w:t>Other</w:t>
            </w:r>
            <w:r w:rsidRPr="0053765E">
              <w:rPr>
                <w:color w:val="000000"/>
                <w:sz w:val="16"/>
                <w:szCs w:val="16"/>
              </w:rPr>
              <w:t>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211 (10·7) </w:t>
            </w:r>
          </w:p>
        </w:tc>
        <w:tc>
          <w:tcPr>
            <w:tcW w:w="24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75 (17·6) </w:t>
            </w:r>
          </w:p>
        </w:tc>
      </w:tr>
    </w:tbl>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Table S2</w:t>
      </w:r>
      <w:r w:rsidRPr="0053765E">
        <w:rPr>
          <w:sz w:val="20"/>
          <w:szCs w:val="20"/>
          <w:lang w:val="en"/>
        </w:rPr>
        <w:t>. Oxygenation trends and duration of ventilation for group with no reliable compliance data, compared to total cohort.</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76"/>
        <w:gridCol w:w="2288"/>
        <w:gridCol w:w="2288"/>
        <w:gridCol w:w="2292"/>
      </w:tblGrid>
      <w:tr w:rsidR="00C175FF" w:rsidRPr="0053765E" w:rsidTr="0025437E">
        <w:trPr>
          <w:trHeight w:val="615"/>
        </w:trPr>
        <w:tc>
          <w:tcPr>
            <w:tcW w:w="2505" w:type="dxa"/>
            <w:tcBorders>
              <w:top w:val="single" w:sz="6" w:space="0" w:color="auto"/>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tc>
        <w:tc>
          <w:tcPr>
            <w:tcW w:w="234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b/>
                <w:bCs/>
                <w:sz w:val="16"/>
                <w:szCs w:val="16"/>
              </w:rPr>
              <w:t>Total Cohort</w:t>
            </w:r>
            <w:r w:rsidRPr="0053765E">
              <w:rPr>
                <w:sz w:val="16"/>
                <w:szCs w:val="16"/>
              </w:rPr>
              <w:t> </w:t>
            </w:r>
          </w:p>
          <w:p w:rsidR="00C175FF" w:rsidRPr="0053765E" w:rsidRDefault="00C175FF" w:rsidP="0025437E">
            <w:pPr>
              <w:textAlignment w:val="baseline"/>
            </w:pPr>
            <w:r w:rsidRPr="0053765E">
              <w:rPr>
                <w:b/>
                <w:bCs/>
                <w:sz w:val="16"/>
                <w:szCs w:val="16"/>
              </w:rPr>
              <w:t>N= 1979</w:t>
            </w:r>
            <w:r w:rsidRPr="0053765E">
              <w:rPr>
                <w:sz w:val="16"/>
                <w:szCs w:val="16"/>
              </w:rPr>
              <w:t> </w:t>
            </w:r>
          </w:p>
        </w:tc>
        <w:tc>
          <w:tcPr>
            <w:tcW w:w="234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b/>
                <w:bCs/>
                <w:sz w:val="16"/>
                <w:szCs w:val="16"/>
              </w:rPr>
              <w:t>All patients with reliable compliance </w:t>
            </w:r>
            <w:r w:rsidRPr="0053765E">
              <w:rPr>
                <w:sz w:val="16"/>
                <w:szCs w:val="16"/>
              </w:rPr>
              <w:t> </w:t>
            </w:r>
          </w:p>
          <w:p w:rsidR="00C175FF" w:rsidRPr="0053765E" w:rsidRDefault="00C175FF" w:rsidP="0025437E">
            <w:pPr>
              <w:textAlignment w:val="baseline"/>
            </w:pPr>
            <w:r w:rsidRPr="0053765E">
              <w:rPr>
                <w:b/>
                <w:bCs/>
                <w:sz w:val="16"/>
                <w:szCs w:val="16"/>
              </w:rPr>
              <w:t>N=1554</w:t>
            </w:r>
            <w:r w:rsidRPr="0053765E">
              <w:rPr>
                <w:sz w:val="16"/>
                <w:szCs w:val="16"/>
              </w:rPr>
              <w:t> </w:t>
            </w:r>
          </w:p>
          <w:p w:rsidR="00C175FF" w:rsidRPr="0053765E" w:rsidRDefault="00C175FF" w:rsidP="0025437E">
            <w:pPr>
              <w:textAlignment w:val="baseline"/>
            </w:pPr>
            <w:r w:rsidRPr="0053765E">
              <w:rPr>
                <w:sz w:val="16"/>
                <w:szCs w:val="16"/>
              </w:rPr>
              <w:t> </w:t>
            </w:r>
          </w:p>
        </w:tc>
        <w:tc>
          <w:tcPr>
            <w:tcW w:w="234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b/>
                <w:bCs/>
                <w:sz w:val="16"/>
                <w:szCs w:val="16"/>
              </w:rPr>
              <w:t>No reliable compliance in first 24hrs</w:t>
            </w:r>
            <w:r w:rsidRPr="0053765E">
              <w:rPr>
                <w:sz w:val="16"/>
                <w:szCs w:val="16"/>
              </w:rPr>
              <w:t> </w:t>
            </w:r>
          </w:p>
          <w:p w:rsidR="00C175FF" w:rsidRPr="0053765E" w:rsidRDefault="00C175FF" w:rsidP="0025437E">
            <w:pPr>
              <w:textAlignment w:val="baseline"/>
            </w:pPr>
            <w:r w:rsidRPr="0053765E">
              <w:rPr>
                <w:b/>
                <w:bCs/>
                <w:sz w:val="16"/>
                <w:szCs w:val="16"/>
              </w:rPr>
              <w:t>N=425</w:t>
            </w:r>
            <w:r w:rsidRPr="0053765E">
              <w:rPr>
                <w:sz w:val="16"/>
                <w:szCs w:val="16"/>
              </w:rPr>
              <w:t> </w:t>
            </w:r>
          </w:p>
          <w:p w:rsidR="00C175FF" w:rsidRPr="0053765E" w:rsidRDefault="00C175FF" w:rsidP="0025437E">
            <w:pPr>
              <w:textAlignment w:val="baseline"/>
            </w:pPr>
            <w:r w:rsidRPr="0053765E">
              <w:rPr>
                <w:sz w:val="16"/>
                <w:szCs w:val="16"/>
              </w:rPr>
              <w:t>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 </w:t>
            </w:r>
            <w:r w:rsidRPr="0053765E">
              <w:rPr>
                <w:b/>
                <w:bCs/>
                <w:i/>
                <w:iCs/>
                <w:sz w:val="16"/>
                <w:szCs w:val="16"/>
              </w:rPr>
              <w:t>derived</w:t>
            </w:r>
            <w:r w:rsidRPr="0053765E">
              <w:rPr>
                <w:b/>
                <w:bCs/>
                <w:sz w:val="16"/>
                <w:szCs w:val="16"/>
              </w:rPr>
              <w:t> </w:t>
            </w:r>
            <w:r w:rsidRPr="0053765E">
              <w:rPr>
                <w:b/>
                <w:bCs/>
                <w:sz w:val="16"/>
                <w:szCs w:val="16"/>
                <w:u w:val="single"/>
              </w:rPr>
              <w:t>pre</w:t>
            </w:r>
            <w:r w:rsidRPr="0053765E">
              <w:rPr>
                <w:b/>
                <w:bCs/>
                <w:sz w:val="16"/>
                <w:szCs w:val="16"/>
              </w:rPr>
              <w:t> intubation (12hr mean)</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98·34 (89·22)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60·49 (53·15,107·02)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1772 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94·64 (85·08)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60·13 (52·17,98·92)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1419 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113·20 (103·02)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63·43 (56·08,138·10)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353 </w:t>
            </w:r>
          </w:p>
        </w:tc>
      </w:tr>
      <w:tr w:rsidR="00C175FF" w:rsidRPr="0053765E" w:rsidTr="0025437E">
        <w:trPr>
          <w:trHeight w:val="30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 </w:t>
            </w:r>
            <w:r w:rsidRPr="0053765E">
              <w:rPr>
                <w:b/>
                <w:bCs/>
                <w:i/>
                <w:iCs/>
                <w:sz w:val="16"/>
                <w:szCs w:val="16"/>
              </w:rPr>
              <w:t>derived</w:t>
            </w:r>
            <w:r w:rsidRPr="0053765E">
              <w:rPr>
                <w:b/>
                <w:bCs/>
                <w:sz w:val="16"/>
                <w:szCs w:val="16"/>
              </w:rPr>
              <w:t> </w:t>
            </w:r>
            <w:r w:rsidRPr="0053765E">
              <w:rPr>
                <w:b/>
                <w:bCs/>
                <w:sz w:val="16"/>
                <w:szCs w:val="16"/>
                <w:u w:val="single"/>
              </w:rPr>
              <w:t>post</w:t>
            </w:r>
            <w:r w:rsidRPr="0053765E">
              <w:rPr>
                <w:b/>
                <w:bCs/>
                <w:sz w:val="16"/>
                <w:szCs w:val="16"/>
              </w:rPr>
              <w:t> intubation, (12hr mean) </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68·96 (41·48)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53·81 (40·65,83·85)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68·20 (38·77)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54·32 (40·97,83·07)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1543 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71·79 (50·31)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51·64 (40·04,86·71)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411 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 from </w:t>
            </w:r>
            <w:r w:rsidRPr="0053765E">
              <w:rPr>
                <w:b/>
                <w:bCs/>
                <w:i/>
                <w:iCs/>
                <w:sz w:val="16"/>
                <w:szCs w:val="16"/>
              </w:rPr>
              <w:t>ABG</w:t>
            </w:r>
            <w:r w:rsidRPr="0053765E">
              <w:rPr>
                <w:b/>
                <w:bCs/>
                <w:sz w:val="16"/>
                <w:szCs w:val="16"/>
              </w:rPr>
              <w:t> </w:t>
            </w:r>
            <w:r w:rsidRPr="0053765E">
              <w:rPr>
                <w:b/>
                <w:bCs/>
                <w:sz w:val="16"/>
                <w:szCs w:val="16"/>
                <w:u w:val="single"/>
              </w:rPr>
              <w:t>pre</w:t>
            </w:r>
            <w:r w:rsidRPr="0053765E">
              <w:rPr>
                <w:b/>
                <w:bCs/>
                <w:sz w:val="16"/>
                <w:szCs w:val="16"/>
              </w:rPr>
              <w:t> intubation (12hr mean) </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113·63 (113·62)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76·23 (61·73,113·33)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556 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109·32 (100·27)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75·31 (61·56,110·72)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132·83 (159·33)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83·54 (63·55,127·53)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102 </w:t>
            </w:r>
          </w:p>
        </w:tc>
      </w:tr>
      <w:tr w:rsidR="00C175FF" w:rsidRPr="0053765E" w:rsidTr="0025437E">
        <w:trPr>
          <w:trHeight w:val="42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lastRenderedPageBreak/>
              <w:t>First ABG P/F post intubation (within 4 hours after Ti), </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w:t>
            </w:r>
            <w:r w:rsidRPr="0053765E">
              <w:rPr>
                <w:b/>
                <w:bCs/>
                <w:sz w:val="16"/>
                <w:szCs w:val="16"/>
              </w:rPr>
              <w:t> </w:t>
            </w:r>
            <w:r w:rsidRPr="0053765E">
              <w:rPr>
                <w:sz w:val="16"/>
                <w:szCs w:val="16"/>
              </w:rPr>
              <w:t>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155·07 (127·70)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121·00 (86·00,188·92)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1376 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149·39 (105·58)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120·00 (85·00,183·81)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1116 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179·47 (194·54)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129·50 (90·00,212·59)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260 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 from </w:t>
            </w:r>
            <w:r w:rsidRPr="0053765E">
              <w:rPr>
                <w:b/>
                <w:bCs/>
                <w:i/>
                <w:iCs/>
                <w:sz w:val="16"/>
                <w:szCs w:val="16"/>
              </w:rPr>
              <w:t>ABG</w:t>
            </w:r>
            <w:r w:rsidRPr="0053765E">
              <w:rPr>
                <w:b/>
                <w:bCs/>
                <w:sz w:val="16"/>
                <w:szCs w:val="16"/>
              </w:rPr>
              <w:t> </w:t>
            </w:r>
            <w:r w:rsidRPr="0053765E">
              <w:rPr>
                <w:b/>
                <w:bCs/>
                <w:sz w:val="16"/>
                <w:szCs w:val="16"/>
                <w:u w:val="single"/>
              </w:rPr>
              <w:t>post</w:t>
            </w:r>
            <w:r w:rsidRPr="0053765E">
              <w:rPr>
                <w:b/>
                <w:bCs/>
                <w:sz w:val="16"/>
                <w:szCs w:val="16"/>
              </w:rPr>
              <w:t> intubation (12 hr post, ABG) </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160·78 (95·58)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138·33 (97·11,198·00)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1844 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155·33 (88·47)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136·31 (96·50,189·79)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1484 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183·21 (118·08)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150·17 (101·75,237·12)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360 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 gradient </w:t>
            </w:r>
            <w:r w:rsidRPr="0053765E">
              <w:rPr>
                <w:b/>
                <w:bCs/>
                <w:i/>
                <w:iCs/>
                <w:sz w:val="16"/>
                <w:szCs w:val="16"/>
              </w:rPr>
              <w:t>derived</w:t>
            </w:r>
            <w:r w:rsidRPr="0053765E">
              <w:rPr>
                <w:b/>
                <w:bCs/>
                <w:sz w:val="16"/>
                <w:szCs w:val="16"/>
              </w:rPr>
              <w:t> 24 hrs pre intubation (derived P/F)</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85·44 (1869·17)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-6·22 (-106·55,1·94)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1649 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-321·66 (2054·35)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-6·39 (-108·70,1·58)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1345 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-125·17 (500·91)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-4·82 (-101·83,3·96)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304 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Proportion of time on FiO2&gt;=60% pre–intubation</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60·45% (37·27%)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70·40% (25·98%,97·86%)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1703 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61·86% (36·79%)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73·31% (28·19%,97·91%)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1380 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54·42% (38·76%)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60·11% (14·67%,96·88%)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323 </w:t>
            </w:r>
          </w:p>
        </w:tc>
      </w:tr>
      <w:tr w:rsidR="00C175FF" w:rsidRPr="0053765E" w:rsidTr="0025437E">
        <w:trPr>
          <w:trHeight w:val="42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Proportion of time on FiO2&gt;=60% post–intubation</w:t>
            </w:r>
            <w:r w:rsidRPr="0053765E">
              <w:rPr>
                <w:sz w:val="16"/>
                <w:szCs w:val="16"/>
              </w:rPr>
              <w:t> </w:t>
            </w:r>
          </w:p>
          <w:p w:rsidR="00C175FF" w:rsidRPr="0053765E" w:rsidRDefault="00C175FF" w:rsidP="0025437E">
            <w:pPr>
              <w:textAlignment w:val="baseline"/>
            </w:pPr>
            <w:r w:rsidRPr="0053765E">
              <w:rPr>
                <w:sz w:val="16"/>
                <w:szCs w:val="16"/>
              </w:rPr>
              <w:t>Mean (SD)</w:t>
            </w:r>
            <w:r w:rsidRPr="0053765E">
              <w:rPr>
                <w:b/>
                <w:bCs/>
                <w:sz w:val="16"/>
                <w:szCs w:val="16"/>
              </w:rPr>
              <w:t> </w:t>
            </w:r>
            <w:r w:rsidRPr="0053765E">
              <w:rPr>
                <w:sz w:val="16"/>
                <w:szCs w:val="16"/>
              </w:rPr>
              <w:t>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54·05% (35·13%)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51·45% (20·01%,93·69%)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1959 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52·62% (34·62%)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48·78% (19·43%,89·65%)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59·53% (36·55%)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60·45% (23·43%,100·00%)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405 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PEEP (Mean within 24 hrs of Ti)</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12·29 (3·87)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12·00 (10·00,15·00)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1957 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12·48 (3·72)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12·35 (10·00,15·00)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11·57 (4·32)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11·00 (8·58,15·00)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403 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Mean Peak pressure (cm H2O) within 24 hrs of intubation</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32·35 (6·85)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32·00 (27·71,36·20)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1953 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32·75 (6·43)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32·46 (28·50,36·25)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30·82 (8·10)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30·00 (25·50,35·00)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399 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Vt cc/Kg of IBW</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6·96 (1·28) </w:t>
            </w:r>
          </w:p>
          <w:p w:rsidR="00C175FF" w:rsidRPr="0053765E" w:rsidRDefault="00C175FF" w:rsidP="0025437E">
            <w:pPr>
              <w:textAlignment w:val="baseline"/>
            </w:pPr>
            <w:r w:rsidRPr="0053765E">
              <w:rPr>
                <w:sz w:val="16"/>
                <w:szCs w:val="16"/>
              </w:rPr>
              <w:t> </w:t>
            </w:r>
          </w:p>
          <w:p w:rsidR="00C175FF" w:rsidRPr="0053765E" w:rsidRDefault="00C175FF" w:rsidP="0025437E">
            <w:pPr>
              <w:shd w:val="clear" w:color="auto" w:fill="FFFFFF"/>
              <w:textAlignment w:val="baseline"/>
            </w:pPr>
            <w:r w:rsidRPr="0053765E">
              <w:rPr>
                <w:sz w:val="16"/>
                <w:szCs w:val="16"/>
              </w:rPr>
              <w:t>6·79 (6·10,7·60) </w:t>
            </w:r>
          </w:p>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sz w:val="16"/>
                <w:szCs w:val="16"/>
              </w:rPr>
              <w:t>1791 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6·91 (1·22) </w:t>
            </w:r>
          </w:p>
          <w:p w:rsidR="00C175FF" w:rsidRPr="0053765E" w:rsidRDefault="00C175FF" w:rsidP="0025437E">
            <w:pPr>
              <w:textAlignment w:val="baseline"/>
            </w:pPr>
            <w:r w:rsidRPr="0053765E">
              <w:rPr>
                <w:sz w:val="16"/>
                <w:szCs w:val="16"/>
              </w:rPr>
              <w:t> </w:t>
            </w:r>
          </w:p>
          <w:p w:rsidR="00C175FF" w:rsidRPr="0053765E" w:rsidRDefault="00C175FF" w:rsidP="0025437E">
            <w:pPr>
              <w:shd w:val="clear" w:color="auto" w:fill="FFFFFF"/>
              <w:textAlignment w:val="baseline"/>
            </w:pPr>
            <w:r w:rsidRPr="0053765E">
              <w:rPr>
                <w:sz w:val="16"/>
                <w:szCs w:val="16"/>
              </w:rPr>
              <w:t>6·76 (6·08,7·51) </w:t>
            </w:r>
          </w:p>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sz w:val="16"/>
                <w:szCs w:val="16"/>
              </w:rPr>
              <w:t>1423 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7·11 (1·46) </w:t>
            </w:r>
          </w:p>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sz w:val="16"/>
                <w:szCs w:val="16"/>
              </w:rPr>
              <w:t>6·99 (6·23,7·84) </w:t>
            </w:r>
          </w:p>
          <w:p w:rsidR="00C175FF" w:rsidRPr="0053765E" w:rsidRDefault="00C175FF" w:rsidP="0025437E">
            <w:pPr>
              <w:textAlignment w:val="baseline"/>
            </w:pPr>
            <w:r w:rsidRPr="0053765E">
              <w:rPr>
                <w:sz w:val="16"/>
                <w:szCs w:val="16"/>
              </w:rPr>
              <w:t> </w:t>
            </w:r>
          </w:p>
          <w:p w:rsidR="00C175FF" w:rsidRPr="0053765E" w:rsidRDefault="00C175FF" w:rsidP="0025437E">
            <w:pPr>
              <w:textAlignment w:val="baseline"/>
            </w:pPr>
            <w:r w:rsidRPr="0053765E">
              <w:rPr>
                <w:sz w:val="16"/>
                <w:szCs w:val="16"/>
              </w:rPr>
              <w:t>368 </w:t>
            </w:r>
          </w:p>
        </w:tc>
      </w:tr>
      <w:tr w:rsidR="00C175FF" w:rsidRPr="0053765E" w:rsidTr="0025437E">
        <w:trPr>
          <w:trHeight w:val="30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Set respiratory rate (per minute)</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24·46 (13·92)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24·00 (20·00,27·60)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1961 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24·75 (9·64)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24·00 (20·00,28·00)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23·34 (24·03)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20·00 (17·60,25·17)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407 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Total respiratory rate </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25·59 (4·86)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25·54 (22·00,29·00)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1962 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25·70 (4·79)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25·67 (22·25,29·24)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25·17 (5·14)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25·25 (21·62,28·67)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40 </w:t>
            </w:r>
          </w:p>
        </w:tc>
      </w:tr>
      <w:tr w:rsidR="00C175FF" w:rsidRPr="0053765E" w:rsidTr="0025437E">
        <w:trPr>
          <w:trHeight w:val="42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Plateau pressure</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27·91 (6·76)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27·50 (23·89,32·00)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1282 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28·32 (6·58)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28·00 (24·25,32·00)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1062 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25·91 (7·26)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25·00 (21·50,29·81)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220 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Driving pressure</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16·07 (6·35)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15·00 (12·00,19·00)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1266 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16·24 (6·37)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15·00 (12·00,19·25)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1055 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15·23 (6·19)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14·00 (11·71,17·83)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211 </w:t>
            </w:r>
          </w:p>
        </w:tc>
      </w:tr>
      <w:tr w:rsidR="00C175FF" w:rsidRPr="0053765E" w:rsidTr="0025437E">
        <w:trPr>
          <w:trHeight w:val="405"/>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Oxygenation Index</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t>n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11·05 (6·16)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9·95 (6·76,13·83)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1627 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11·12 (5·67)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10·17 (7·00,13·90)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1341 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10·70 (8·06)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8·86 (5·90,13·40)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286 </w:t>
            </w:r>
          </w:p>
        </w:tc>
      </w:tr>
      <w:tr w:rsidR="00C175FF" w:rsidRPr="0053765E" w:rsidTr="0025437E">
        <w:trPr>
          <w:trHeight w:val="420"/>
        </w:trPr>
        <w:tc>
          <w:tcPr>
            <w:tcW w:w="2505"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PFP Value</w:t>
            </w:r>
            <w:r w:rsidRPr="0053765E">
              <w:rPr>
                <w:sz w:val="16"/>
                <w:szCs w:val="16"/>
              </w:rPr>
              <w:t> </w:t>
            </w:r>
          </w:p>
          <w:p w:rsidR="00C175FF" w:rsidRPr="0053765E" w:rsidRDefault="00C175FF" w:rsidP="0025437E">
            <w:pPr>
              <w:textAlignment w:val="baseline"/>
            </w:pPr>
            <w:r w:rsidRPr="0053765E">
              <w:rPr>
                <w:sz w:val="16"/>
                <w:szCs w:val="16"/>
              </w:rPr>
              <w:t>Mean (SD)  </w:t>
            </w:r>
          </w:p>
          <w:p w:rsidR="00C175FF" w:rsidRPr="0053765E" w:rsidRDefault="00C175FF" w:rsidP="0025437E">
            <w:pPr>
              <w:textAlignment w:val="baseline"/>
            </w:pPr>
            <w:r w:rsidRPr="0053765E">
              <w:rPr>
                <w:sz w:val="16"/>
                <w:szCs w:val="16"/>
              </w:rPr>
              <w:t>Median (IQR) </w:t>
            </w:r>
          </w:p>
          <w:p w:rsidR="00C175FF" w:rsidRPr="0053765E" w:rsidRDefault="00C175FF" w:rsidP="0025437E">
            <w:pPr>
              <w:textAlignment w:val="baseline"/>
            </w:pPr>
            <w:r w:rsidRPr="0053765E">
              <w:rPr>
                <w:sz w:val="16"/>
                <w:szCs w:val="16"/>
              </w:rPr>
              <w:lastRenderedPageBreak/>
              <w:t>n </w:t>
            </w:r>
          </w:p>
          <w:p w:rsidR="00C175FF" w:rsidRPr="0053765E" w:rsidRDefault="00C175FF" w:rsidP="0025437E">
            <w:pPr>
              <w:textAlignment w:val="baseline"/>
            </w:pPr>
            <w:r w:rsidRPr="0053765E">
              <w:rPr>
                <w:sz w:val="16"/>
                <w:szCs w:val="16"/>
              </w:rPr>
              <w:t>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lastRenderedPageBreak/>
              <w:t>101·28 (95·07)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76·69 (49·42,117·28) </w:t>
            </w:r>
            <w:r w:rsidRPr="0053765E">
              <w:rPr>
                <w:sz w:val="16"/>
                <w:szCs w:val="16"/>
              </w:rPr>
              <w:br/>
            </w:r>
            <w:r w:rsidRPr="0053765E">
              <w:rPr>
                <w:rFonts w:ascii="Cambria" w:hAnsi="Cambria"/>
                <w:sz w:val="16"/>
                <w:szCs w:val="16"/>
              </w:rPr>
              <w:lastRenderedPageBreak/>
              <w:t> </w:t>
            </w:r>
            <w:r w:rsidRPr="0053765E">
              <w:rPr>
                <w:rFonts w:ascii="Cambria" w:hAnsi="Cambria"/>
                <w:sz w:val="16"/>
                <w:szCs w:val="16"/>
              </w:rPr>
              <w:br/>
            </w:r>
            <w:r w:rsidRPr="0053765E">
              <w:rPr>
                <w:sz w:val="16"/>
                <w:szCs w:val="16"/>
              </w:rPr>
              <w:t>1947 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lastRenderedPageBreak/>
              <w:t>96·41 (73·98)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76·57 (50·86,113·73) </w:t>
            </w:r>
            <w:r w:rsidRPr="0053765E">
              <w:rPr>
                <w:sz w:val="16"/>
                <w:szCs w:val="16"/>
              </w:rPr>
              <w:br/>
            </w:r>
            <w:r w:rsidRPr="0053765E">
              <w:rPr>
                <w:rFonts w:ascii="Cambria" w:hAnsi="Cambria"/>
                <w:sz w:val="16"/>
                <w:szCs w:val="16"/>
              </w:rPr>
              <w:lastRenderedPageBreak/>
              <w:t> </w:t>
            </w:r>
            <w:r w:rsidRPr="0053765E">
              <w:rPr>
                <w:rFonts w:ascii="Cambria" w:hAnsi="Cambria"/>
                <w:sz w:val="16"/>
                <w:szCs w:val="16"/>
              </w:rPr>
              <w:br/>
            </w:r>
            <w:r w:rsidRPr="0053765E">
              <w:rPr>
                <w:sz w:val="16"/>
                <w:szCs w:val="16"/>
              </w:rPr>
              <w:t>1554 </w:t>
            </w:r>
          </w:p>
        </w:tc>
        <w:tc>
          <w:tcPr>
            <w:tcW w:w="234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lastRenderedPageBreak/>
              <w:t>120·51 (150·73) </w:t>
            </w:r>
            <w:r w:rsidRPr="0053765E">
              <w:rPr>
                <w:sz w:val="16"/>
                <w:szCs w:val="16"/>
              </w:rPr>
              <w:br/>
            </w:r>
            <w:r w:rsidRPr="0053765E">
              <w:rPr>
                <w:rFonts w:ascii="Cambria" w:hAnsi="Cambria"/>
                <w:sz w:val="16"/>
                <w:szCs w:val="16"/>
              </w:rPr>
              <w:t> </w:t>
            </w:r>
            <w:r w:rsidRPr="0053765E">
              <w:rPr>
                <w:rFonts w:ascii="Cambria" w:hAnsi="Cambria"/>
                <w:sz w:val="16"/>
                <w:szCs w:val="16"/>
              </w:rPr>
              <w:br/>
            </w:r>
            <w:r w:rsidRPr="0053765E">
              <w:rPr>
                <w:sz w:val="16"/>
                <w:szCs w:val="16"/>
              </w:rPr>
              <w:t>77·73 (44·13,135·09) </w:t>
            </w:r>
            <w:r w:rsidRPr="0053765E">
              <w:rPr>
                <w:sz w:val="16"/>
                <w:szCs w:val="16"/>
              </w:rPr>
              <w:br/>
            </w:r>
            <w:r w:rsidRPr="0053765E">
              <w:rPr>
                <w:rFonts w:ascii="Cambria" w:hAnsi="Cambria"/>
                <w:sz w:val="16"/>
                <w:szCs w:val="16"/>
              </w:rPr>
              <w:lastRenderedPageBreak/>
              <w:t> </w:t>
            </w:r>
            <w:r w:rsidRPr="0053765E">
              <w:rPr>
                <w:rFonts w:ascii="Cambria" w:hAnsi="Cambria"/>
                <w:sz w:val="16"/>
                <w:szCs w:val="16"/>
              </w:rPr>
              <w:br/>
            </w:r>
            <w:r w:rsidRPr="0053765E">
              <w:rPr>
                <w:sz w:val="16"/>
                <w:szCs w:val="16"/>
              </w:rPr>
              <w:t>393 </w:t>
            </w:r>
          </w:p>
        </w:tc>
      </w:tr>
    </w:tbl>
    <w:p w:rsidR="00C175FF" w:rsidRPr="0053765E" w:rsidRDefault="00C175FF" w:rsidP="00C175FF">
      <w:pPr>
        <w:textAlignment w:val="baseline"/>
        <w:rPr>
          <w:rFonts w:ascii="Segoe UI" w:hAnsi="Segoe UI" w:cs="Segoe UI"/>
          <w:sz w:val="18"/>
          <w:szCs w:val="18"/>
        </w:rPr>
      </w:pPr>
      <w:r w:rsidRPr="0053765E">
        <w:rPr>
          <w:sz w:val="16"/>
          <w:szCs w:val="16"/>
        </w:rPr>
        <w:lastRenderedPageBreak/>
        <w:t> </w:t>
      </w:r>
    </w:p>
    <w:p w:rsidR="00C175FF" w:rsidRPr="0053765E" w:rsidRDefault="00C175FF" w:rsidP="00C175FF">
      <w:pPr>
        <w:textAlignment w:val="baseline"/>
        <w:rPr>
          <w:rFonts w:ascii="Segoe UI" w:hAnsi="Segoe UI" w:cs="Segoe UI"/>
          <w:sz w:val="18"/>
          <w:szCs w:val="18"/>
        </w:rPr>
      </w:pPr>
      <w:r w:rsidRPr="0053765E">
        <w:rPr>
          <w:sz w:val="16"/>
          <w:szCs w:val="16"/>
        </w:rPr>
        <w:t> </w:t>
      </w:r>
    </w:p>
    <w:p w:rsidR="00C175FF" w:rsidRPr="0053765E" w:rsidRDefault="00C175FF" w:rsidP="00C175FF">
      <w:pPr>
        <w:textAlignment w:val="baseline"/>
        <w:rPr>
          <w:rFonts w:ascii="Segoe UI" w:hAnsi="Segoe UI" w:cs="Segoe UI"/>
          <w:sz w:val="18"/>
          <w:szCs w:val="18"/>
        </w:rPr>
      </w:pPr>
      <w:r w:rsidRPr="0053765E">
        <w:rPr>
          <w:sz w:val="16"/>
          <w:szCs w:val="16"/>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0"/>
        <w:gridCol w:w="2700"/>
        <w:gridCol w:w="2700"/>
      </w:tblGrid>
      <w:tr w:rsidR="00C175FF" w:rsidRPr="0053765E" w:rsidTr="0025437E">
        <w:trPr>
          <w:trHeight w:val="360"/>
        </w:trPr>
        <w:tc>
          <w:tcPr>
            <w:tcW w:w="2700" w:type="dxa"/>
            <w:tcBorders>
              <w:top w:val="single" w:sz="6" w:space="0" w:color="auto"/>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 </w:t>
            </w:r>
          </w:p>
        </w:tc>
        <w:tc>
          <w:tcPr>
            <w:tcW w:w="270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Total N=1979</w:t>
            </w:r>
            <w:r w:rsidRPr="0053765E">
              <w:rPr>
                <w:sz w:val="16"/>
                <w:szCs w:val="16"/>
              </w:rPr>
              <w:t> </w:t>
            </w:r>
          </w:p>
        </w:tc>
        <w:tc>
          <w:tcPr>
            <w:tcW w:w="2700" w:type="dxa"/>
            <w:tcBorders>
              <w:top w:val="single" w:sz="6" w:space="0" w:color="auto"/>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No reliable compliance n=425</w:t>
            </w:r>
            <w:r w:rsidRPr="0053765E">
              <w:rPr>
                <w:sz w:val="16"/>
                <w:szCs w:val="16"/>
              </w:rPr>
              <w:t> </w:t>
            </w:r>
          </w:p>
        </w:tc>
      </w:tr>
      <w:tr w:rsidR="00C175FF" w:rsidRPr="0053765E" w:rsidTr="0025437E">
        <w:trPr>
          <w:trHeight w:val="360"/>
        </w:trPr>
        <w:tc>
          <w:tcPr>
            <w:tcW w:w="270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Deceased </w:t>
            </w:r>
            <w:r w:rsidRPr="0053765E">
              <w:rPr>
                <w:sz w:val="16"/>
                <w:szCs w:val="16"/>
              </w:rPr>
              <w:t>% (n)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69·48% (1375)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76·71% (326) </w:t>
            </w:r>
          </w:p>
        </w:tc>
      </w:tr>
      <w:tr w:rsidR="00C175FF" w:rsidRPr="0053765E" w:rsidTr="0025437E">
        <w:trPr>
          <w:trHeight w:val="360"/>
        </w:trPr>
        <w:tc>
          <w:tcPr>
            <w:tcW w:w="270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Survived </w:t>
            </w:r>
            <w:r w:rsidRPr="0053765E">
              <w:rPr>
                <w:sz w:val="16"/>
                <w:szCs w:val="16"/>
              </w:rPr>
              <w:t>% (n)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30·52% (604)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23·29% (99) </w:t>
            </w:r>
          </w:p>
        </w:tc>
      </w:tr>
      <w:tr w:rsidR="00C175FF" w:rsidRPr="0053765E" w:rsidTr="0025437E">
        <w:trPr>
          <w:trHeight w:val="360"/>
        </w:trPr>
        <w:tc>
          <w:tcPr>
            <w:tcW w:w="270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Discharged while on mechanical ventilator, </w:t>
            </w:r>
            <w:r w:rsidRPr="0053765E">
              <w:rPr>
                <w:sz w:val="16"/>
                <w:szCs w:val="16"/>
              </w:rPr>
              <w:t>% of the survivors (n)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20·20% (122)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22·22% (22) </w:t>
            </w:r>
          </w:p>
        </w:tc>
      </w:tr>
      <w:tr w:rsidR="00C175FF" w:rsidRPr="0053765E" w:rsidTr="0025437E">
        <w:trPr>
          <w:trHeight w:val="360"/>
        </w:trPr>
        <w:tc>
          <w:tcPr>
            <w:tcW w:w="270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Discharged home, </w:t>
            </w:r>
            <w:r w:rsidRPr="0053765E">
              <w:rPr>
                <w:sz w:val="16"/>
                <w:szCs w:val="16"/>
              </w:rPr>
              <w:t>% of the survivors (n)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43·54% (263)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39·39% (39) </w:t>
            </w:r>
          </w:p>
        </w:tc>
      </w:tr>
      <w:tr w:rsidR="00C175FF" w:rsidRPr="0053765E" w:rsidTr="0025437E">
        <w:trPr>
          <w:trHeight w:val="360"/>
        </w:trPr>
        <w:tc>
          <w:tcPr>
            <w:tcW w:w="2700" w:type="dxa"/>
            <w:tcBorders>
              <w:top w:val="nil"/>
              <w:left w:val="single" w:sz="6" w:space="0" w:color="auto"/>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b/>
                <w:bCs/>
                <w:sz w:val="16"/>
                <w:szCs w:val="16"/>
              </w:rPr>
              <w:t>Discharged to another facility including acute care and longer-term rehabilitation, </w:t>
            </w:r>
            <w:r w:rsidRPr="0053765E">
              <w:rPr>
                <w:sz w:val="16"/>
                <w:szCs w:val="16"/>
              </w:rPr>
              <w:t>% of the survivors (n)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56·13% (339) </w:t>
            </w:r>
          </w:p>
        </w:tc>
        <w:tc>
          <w:tcPr>
            <w:tcW w:w="2700" w:type="dxa"/>
            <w:tcBorders>
              <w:top w:val="nil"/>
              <w:left w:val="nil"/>
              <w:bottom w:val="single" w:sz="6" w:space="0" w:color="auto"/>
              <w:right w:val="single" w:sz="6" w:space="0" w:color="auto"/>
            </w:tcBorders>
            <w:shd w:val="clear" w:color="auto" w:fill="auto"/>
            <w:hideMark/>
          </w:tcPr>
          <w:p w:rsidR="00C175FF" w:rsidRPr="0053765E" w:rsidRDefault="00C175FF" w:rsidP="0025437E">
            <w:pPr>
              <w:textAlignment w:val="baseline"/>
            </w:pPr>
            <w:r w:rsidRPr="0053765E">
              <w:rPr>
                <w:sz w:val="16"/>
                <w:szCs w:val="16"/>
              </w:rPr>
              <w:t>60·61% (60) </w:t>
            </w:r>
          </w:p>
        </w:tc>
      </w:tr>
    </w:tbl>
    <w:p w:rsidR="00C175FF" w:rsidRPr="0053765E" w:rsidRDefault="00C175FF" w:rsidP="00C175FF">
      <w:pPr>
        <w:textAlignment w:val="baseline"/>
        <w:rPr>
          <w:rFonts w:ascii="Segoe UI" w:hAnsi="Segoe UI" w:cs="Segoe UI"/>
          <w:sz w:val="18"/>
          <w:szCs w:val="18"/>
        </w:rPr>
      </w:pPr>
    </w:p>
    <w:p w:rsidR="00C175FF" w:rsidRPr="0053765E" w:rsidRDefault="00C175FF" w:rsidP="00C175FF">
      <w:pPr>
        <w:textAlignment w:val="baseline"/>
        <w:rPr>
          <w:rFonts w:ascii="Segoe UI" w:hAnsi="Segoe UI" w:cs="Segoe UI"/>
          <w:sz w:val="18"/>
          <w:szCs w:val="18"/>
        </w:rPr>
      </w:pPr>
      <w:r w:rsidRPr="0053765E">
        <w:rPr>
          <w:b/>
          <w:bCs/>
          <w:sz w:val="20"/>
          <w:szCs w:val="20"/>
          <w:lang w:val="en"/>
        </w:rPr>
        <w:t>Figure S1.</w:t>
      </w:r>
      <w:r w:rsidRPr="0053765E">
        <w:rPr>
          <w:sz w:val="20"/>
          <w:szCs w:val="20"/>
          <w:lang w:val="en"/>
        </w:rPr>
        <w:t> Trend calculation method for P/F ratio. First, we use exponential smoothing to reduce the noise in data (red diamond points). We then find OLS regression line passing through the smoothed points. Trend is the slope of the line (i.e., 74·29).</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color w:val="00B050"/>
          <w:sz w:val="20"/>
          <w:szCs w:val="20"/>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drawing>
          <wp:inline distT="0" distB="0" distL="0" distR="0" wp14:anchorId="6445E3F0" wp14:editId="6846689E">
            <wp:extent cx="4614545" cy="2455545"/>
            <wp:effectExtent l="0" t="0" r="0" b="0"/>
            <wp:docPr id="19" name="Picture 1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scatter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14545" cy="2455545"/>
                    </a:xfrm>
                    <a:prstGeom prst="rect">
                      <a:avLst/>
                    </a:prstGeom>
                    <a:noFill/>
                    <a:ln>
                      <a:noFill/>
                    </a:ln>
                  </pic:spPr>
                </pic:pic>
              </a:graphicData>
            </a:graphic>
          </wp:inline>
        </w:drawing>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Figure S2.</w:t>
      </w:r>
      <w:r w:rsidRPr="0053765E">
        <w:rPr>
          <w:sz w:val="20"/>
          <w:szCs w:val="20"/>
          <w:lang w:val="en"/>
        </w:rPr>
        <w:t> Comparison of derived P/F and ABG based P/F ratios. </w:t>
      </w:r>
      <w:r w:rsidRPr="0053765E">
        <w:rPr>
          <w:sz w:val="20"/>
          <w:szCs w:val="20"/>
        </w:rPr>
        <w:t> </w:t>
      </w:r>
    </w:p>
    <w:p w:rsidR="00C175FF" w:rsidRPr="0053765E" w:rsidRDefault="00C175FF" w:rsidP="00C175FF">
      <w:pPr>
        <w:jc w:val="both"/>
        <w:textAlignment w:val="baseline"/>
        <w:rPr>
          <w:rFonts w:ascii="Segoe UI" w:hAnsi="Segoe UI" w:cs="Segoe UI"/>
          <w:sz w:val="18"/>
          <w:szCs w:val="18"/>
        </w:rPr>
      </w:pPr>
      <w:r w:rsidRPr="0053765E">
        <w:rPr>
          <w:sz w:val="20"/>
          <w:szCs w:val="20"/>
          <w:lang w:val="en"/>
        </w:rPr>
        <w:t>(</w:t>
      </w:r>
      <w:r w:rsidRPr="0053765E">
        <w:rPr>
          <w:b/>
          <w:bCs/>
          <w:sz w:val="20"/>
          <w:szCs w:val="20"/>
          <w:lang w:val="en"/>
        </w:rPr>
        <w:t>a</w:t>
      </w:r>
      <w:r w:rsidRPr="0053765E">
        <w:rPr>
          <w:sz w:val="20"/>
          <w:szCs w:val="20"/>
          <w:lang w:val="en"/>
        </w:rPr>
        <w:t>) Trends appear similar over time in very low and low-normal categories of lung compliance, and with ABG P/F (top), derived P/F from SpO2 (middle) and combining both methods with preference for ABG P/F (bottom). The ABG derived P/F has large variation due to fewer datapoints. The very low compliance category consistently has lower P/F ratio which is more pronounced pre–intubation. </w:t>
      </w:r>
      <w:r w:rsidRPr="0053765E">
        <w:rPr>
          <w:sz w:val="20"/>
          <w:szCs w:val="20"/>
        </w:rPr>
        <w:t> </w:t>
      </w:r>
    </w:p>
    <w:p w:rsidR="00C175FF" w:rsidRPr="0053765E" w:rsidRDefault="00C175FF" w:rsidP="00C175FF">
      <w:pPr>
        <w:jc w:val="both"/>
        <w:textAlignment w:val="baseline"/>
        <w:rPr>
          <w:rFonts w:ascii="Segoe UI" w:hAnsi="Segoe UI" w:cs="Segoe UI"/>
          <w:sz w:val="18"/>
          <w:szCs w:val="18"/>
        </w:rPr>
      </w:pPr>
      <w:r w:rsidRPr="0053765E">
        <w:rPr>
          <w:sz w:val="20"/>
          <w:szCs w:val="20"/>
          <w:lang w:val="en"/>
        </w:rPr>
        <w:t>(</w:t>
      </w:r>
      <w:r w:rsidRPr="0053765E">
        <w:rPr>
          <w:b/>
          <w:bCs/>
          <w:sz w:val="20"/>
          <w:szCs w:val="20"/>
          <w:lang w:val="en"/>
        </w:rPr>
        <w:t>b</w:t>
      </w:r>
      <w:r w:rsidRPr="0053765E">
        <w:rPr>
          <w:sz w:val="20"/>
          <w:szCs w:val="20"/>
          <w:lang w:val="en"/>
        </w:rPr>
        <w:t>) P/F ratios in the first 24 hours of intubation are higher with ABG P/F (top) compared to derived ABG (bottom). Derived P/F underestimates the ratio (due to lower derived PaO2) due to oxygen dissociation curve where there is a greater range of PaO2 for a given SpO2, and the fixed upper limit of SpO2 at 100%.</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70286DF5" wp14:editId="5A0F33CF">
            <wp:extent cx="321945" cy="1695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1945" cy="169545"/>
                    </a:xfrm>
                    <a:prstGeom prst="rect">
                      <a:avLst/>
                    </a:prstGeom>
                    <a:noFill/>
                    <a:ln>
                      <a:noFill/>
                    </a:ln>
                  </pic:spPr>
                </pic:pic>
              </a:graphicData>
            </a:graphic>
          </wp:inline>
        </w:drawing>
      </w:r>
      <w:r w:rsidRPr="0053765E">
        <w:rPr>
          <w:rFonts w:ascii="Arial" w:hAnsi="Arial" w:cs="Arial"/>
          <w:noProof/>
          <w:sz w:val="22"/>
          <w:szCs w:val="22"/>
        </w:rPr>
        <w:drawing>
          <wp:inline distT="0" distB="0" distL="0" distR="0" wp14:anchorId="144363F1" wp14:editId="785DE2EC">
            <wp:extent cx="321945" cy="1695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1945" cy="169545"/>
                    </a:xfrm>
                    <a:prstGeom prst="rect">
                      <a:avLst/>
                    </a:prstGeom>
                    <a:noFill/>
                    <a:ln>
                      <a:noFill/>
                    </a:ln>
                  </pic:spPr>
                </pic:pic>
              </a:graphicData>
            </a:graphic>
          </wp:inline>
        </w:drawing>
      </w:r>
      <w:r w:rsidRPr="0053765E">
        <w:rPr>
          <w:rFonts w:ascii="Arial" w:hAnsi="Arial" w:cs="Arial"/>
          <w:noProof/>
          <w:sz w:val="22"/>
          <w:szCs w:val="22"/>
        </w:rPr>
        <w:drawing>
          <wp:inline distT="0" distB="0" distL="0" distR="0" wp14:anchorId="44D777C9" wp14:editId="191B4432">
            <wp:extent cx="2658745" cy="3657600"/>
            <wp:effectExtent l="0" t="0" r="0" b="0"/>
            <wp:docPr id="16" name="Picture 1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histo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58745" cy="3657600"/>
                    </a:xfrm>
                    <a:prstGeom prst="rect">
                      <a:avLst/>
                    </a:prstGeom>
                    <a:noFill/>
                    <a:ln>
                      <a:noFill/>
                    </a:ln>
                  </pic:spPr>
                </pic:pic>
              </a:graphicData>
            </a:graphic>
          </wp:inline>
        </w:drawing>
      </w:r>
      <w:r w:rsidRPr="0053765E">
        <w:rPr>
          <w:rFonts w:ascii="Arial" w:hAnsi="Arial" w:cs="Arial"/>
          <w:b/>
          <w:bCs/>
          <w:sz w:val="20"/>
          <w:szCs w:val="20"/>
          <w:lang w:val="en"/>
        </w:rPr>
        <w:t>                                                   </w:t>
      </w: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4613F467" wp14:editId="0693DCC7">
            <wp:extent cx="4081145" cy="6019800"/>
            <wp:effectExtent l="0" t="0" r="0" b="0"/>
            <wp:docPr id="15" name="Picture 1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1145" cy="6019800"/>
                    </a:xfrm>
                    <a:prstGeom prst="rect">
                      <a:avLst/>
                    </a:prstGeom>
                    <a:noFill/>
                    <a:ln>
                      <a:noFill/>
                    </a:ln>
                  </pic:spPr>
                </pic:pic>
              </a:graphicData>
            </a:graphic>
          </wp:inline>
        </w:drawing>
      </w:r>
      <w:r w:rsidRPr="0053765E">
        <w:rPr>
          <w:rFonts w:ascii="Segoe UI" w:hAnsi="Segoe UI" w:cs="Segoe UI"/>
          <w:color w:val="666666"/>
          <w:sz w:val="18"/>
          <w:szCs w:val="18"/>
          <w:shd w:val="clear" w:color="auto" w:fill="FFFFFF"/>
        </w:rPr>
        <w:t>Page Break</w:t>
      </w: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Figure S3</w:t>
      </w:r>
      <w:r w:rsidRPr="0053765E">
        <w:rPr>
          <w:sz w:val="20"/>
          <w:szCs w:val="20"/>
          <w:lang w:val="en"/>
        </w:rPr>
        <w:t>. Static versus Dynamic Compliance over time to test the assumption that the dynamic compliance would be continuously lower than static with a relatively fixed difference over time, and regardless of compliance category.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71896B19" wp14:editId="3FDE8FC0">
            <wp:extent cx="4716145" cy="2726055"/>
            <wp:effectExtent l="0" t="0" r="0" b="4445"/>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6145" cy="2726055"/>
                    </a:xfrm>
                    <a:prstGeom prst="rect">
                      <a:avLst/>
                    </a:prstGeom>
                    <a:noFill/>
                    <a:ln>
                      <a:noFill/>
                    </a:ln>
                  </pic:spPr>
                </pic:pic>
              </a:graphicData>
            </a:graphic>
          </wp:inline>
        </w:drawing>
      </w: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b/>
          <w:bCs/>
          <w:sz w:val="20"/>
          <w:szCs w:val="20"/>
        </w:rPr>
        <w:t>Figure S4.</w:t>
      </w:r>
      <w:r w:rsidRPr="0053765E">
        <w:rPr>
          <w:sz w:val="20"/>
          <w:szCs w:val="20"/>
        </w:rPr>
        <w:t> Comparison of Dynamic Compliance change over time (shaded areas represent 95% Confidence Intervals). A steeper trajectory is seen for the high and low–normal categories over time. Large variability seen in the high compliance group secondary to small sample size.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583D815B" wp14:editId="4A985A46">
            <wp:extent cx="4546600" cy="2438400"/>
            <wp:effectExtent l="0" t="0" r="0" b="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46600" cy="2438400"/>
                    </a:xfrm>
                    <a:prstGeom prst="rect">
                      <a:avLst/>
                    </a:prstGeom>
                    <a:noFill/>
                    <a:ln>
                      <a:noFill/>
                    </a:ln>
                  </pic:spPr>
                </pic:pic>
              </a:graphicData>
            </a:graphic>
          </wp:inline>
        </w:drawing>
      </w:r>
      <w:r w:rsidRPr="0053765E">
        <w:rPr>
          <w:rFonts w:ascii="Arial" w:hAnsi="Arial" w:cs="Arial"/>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drawing>
          <wp:inline distT="0" distB="0" distL="0" distR="0" wp14:anchorId="51CBFD94" wp14:editId="19CC01EA">
            <wp:extent cx="4589145" cy="2438400"/>
            <wp:effectExtent l="0" t="0" r="0" b="0"/>
            <wp:docPr id="12" name="Picture 1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9145" cy="2438400"/>
                    </a:xfrm>
                    <a:prstGeom prst="rect">
                      <a:avLst/>
                    </a:prstGeom>
                    <a:noFill/>
                    <a:ln>
                      <a:noFill/>
                    </a:ln>
                  </pic:spPr>
                </pic:pic>
              </a:graphicData>
            </a:graphic>
          </wp:inline>
        </w:drawing>
      </w: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Figure S5.</w:t>
      </w:r>
      <w:r w:rsidRPr="0053765E">
        <w:rPr>
          <w:sz w:val="20"/>
          <w:szCs w:val="20"/>
          <w:lang w:val="en"/>
        </w:rPr>
        <w:t> Distribution of PaO2 and SpO2 </w:t>
      </w:r>
      <w:r w:rsidRPr="0053765E">
        <w:rPr>
          <w:b/>
          <w:bCs/>
          <w:sz w:val="20"/>
          <w:szCs w:val="20"/>
          <w:lang w:val="en"/>
        </w:rPr>
        <w:t>a.</w:t>
      </w:r>
      <w:r w:rsidRPr="0053765E">
        <w:rPr>
          <w:sz w:val="20"/>
          <w:szCs w:val="20"/>
          <w:lang w:val="en"/>
        </w:rPr>
        <w:t> 24 hours before intubation (on left hand side) and after (on the right hand side) intubation (Ti) </w:t>
      </w:r>
      <w:r w:rsidRPr="0053765E">
        <w:rPr>
          <w:b/>
          <w:bCs/>
          <w:sz w:val="20"/>
          <w:szCs w:val="20"/>
          <w:lang w:val="en"/>
        </w:rPr>
        <w:t>b.</w:t>
      </w:r>
      <w:r w:rsidRPr="0053765E">
        <w:rPr>
          <w:sz w:val="20"/>
          <w:szCs w:val="20"/>
          <w:lang w:val="en"/>
        </w:rPr>
        <w:t> mean SpO2 and PaO2 association </w:t>
      </w:r>
      <w:r w:rsidRPr="0053765E">
        <w:rPr>
          <w:b/>
          <w:bCs/>
          <w:sz w:val="20"/>
          <w:szCs w:val="20"/>
          <w:lang w:val="en"/>
        </w:rPr>
        <w:t>c.</w:t>
      </w:r>
      <w:r w:rsidRPr="0053765E">
        <w:rPr>
          <w:sz w:val="20"/>
          <w:szCs w:val="20"/>
          <w:lang w:val="en"/>
        </w:rPr>
        <w:t> trend in SpO2 and PaO2 over the entire hospital course.</w:t>
      </w:r>
      <w:r w:rsidRPr="0053765E">
        <w:rPr>
          <w:sz w:val="20"/>
          <w:szCs w:val="20"/>
        </w:rPr>
        <w:t> </w:t>
      </w:r>
    </w:p>
    <w:p w:rsidR="00C175FF" w:rsidRPr="0053765E" w:rsidRDefault="00C175FF" w:rsidP="00C175FF">
      <w:pPr>
        <w:jc w:val="center"/>
        <w:textAlignment w:val="baseline"/>
        <w:rPr>
          <w:rFonts w:ascii="Segoe UI" w:hAnsi="Segoe UI" w:cs="Segoe UI"/>
          <w:sz w:val="18"/>
          <w:szCs w:val="18"/>
        </w:rPr>
      </w:pP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b/>
          <w:bCs/>
          <w:sz w:val="22"/>
          <w:szCs w:val="22"/>
          <w:lang w:val="en"/>
        </w:rPr>
        <w:lastRenderedPageBreak/>
        <w:t>(a)</w:t>
      </w:r>
      <w:r w:rsidRPr="0053765E">
        <w:rPr>
          <w:sz w:val="22"/>
          <w:szCs w:val="22"/>
        </w:rPr>
        <w:t> </w:t>
      </w:r>
      <w:r w:rsidRPr="0053765E">
        <w:rPr>
          <w:sz w:val="22"/>
          <w:szCs w:val="22"/>
        </w:rPr>
        <w:br/>
      </w:r>
      <w:r w:rsidRPr="0053765E">
        <w:rPr>
          <w:rFonts w:ascii="Arial" w:hAnsi="Arial" w:cs="Arial"/>
          <w:noProof/>
          <w:sz w:val="22"/>
          <w:szCs w:val="22"/>
        </w:rPr>
        <w:drawing>
          <wp:inline distT="0" distB="0" distL="0" distR="0" wp14:anchorId="42723E1B" wp14:editId="33C57251">
            <wp:extent cx="5943600" cy="4757420"/>
            <wp:effectExtent l="0" t="0" r="0" b="5080"/>
            <wp:docPr id="11" name="Picture 1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757420"/>
                    </a:xfrm>
                    <a:prstGeom prst="rect">
                      <a:avLst/>
                    </a:prstGeom>
                    <a:noFill/>
                    <a:ln>
                      <a:noFill/>
                    </a:ln>
                  </pic:spPr>
                </pic:pic>
              </a:graphicData>
            </a:graphic>
          </wp:inline>
        </w:drawing>
      </w: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textAlignment w:val="baseline"/>
        <w:rPr>
          <w:rFonts w:ascii="Segoe UI" w:hAnsi="Segoe UI" w:cs="Segoe UI"/>
          <w:sz w:val="18"/>
          <w:szCs w:val="18"/>
        </w:rPr>
      </w:pP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b/>
          <w:bCs/>
          <w:sz w:val="22"/>
          <w:szCs w:val="22"/>
          <w:lang w:val="en"/>
        </w:rPr>
        <w:t>(b)</w:t>
      </w: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38BF6578" wp14:editId="21A4707B">
            <wp:extent cx="3919855" cy="3107055"/>
            <wp:effectExtent l="0" t="0" r="4445" b="4445"/>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9855" cy="3107055"/>
                    </a:xfrm>
                    <a:prstGeom prst="rect">
                      <a:avLst/>
                    </a:prstGeom>
                    <a:noFill/>
                    <a:ln>
                      <a:noFill/>
                    </a:ln>
                  </pic:spPr>
                </pic:pic>
              </a:graphicData>
            </a:graphic>
          </wp:inline>
        </w:drawing>
      </w: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jc w:val="center"/>
        <w:textAlignment w:val="baseline"/>
        <w:rPr>
          <w:rFonts w:ascii="Segoe UI" w:hAnsi="Segoe UI" w:cs="Segoe UI"/>
          <w:sz w:val="18"/>
          <w:szCs w:val="18"/>
        </w:rPr>
      </w:pPr>
      <w:r w:rsidRPr="0053765E">
        <w:rPr>
          <w:b/>
          <w:bCs/>
          <w:sz w:val="22"/>
          <w:szCs w:val="22"/>
          <w:lang w:val="en"/>
        </w:rPr>
        <w:t>(C)</w:t>
      </w:r>
      <w:r w:rsidRPr="0053765E">
        <w:rPr>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drawing>
          <wp:inline distT="0" distB="0" distL="0" distR="0" wp14:anchorId="3C7BE7E4" wp14:editId="787BDB0F">
            <wp:extent cx="5300345" cy="2116455"/>
            <wp:effectExtent l="0" t="0" r="0" b="4445"/>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00345" cy="2116455"/>
                    </a:xfrm>
                    <a:prstGeom prst="rect">
                      <a:avLst/>
                    </a:prstGeom>
                    <a:noFill/>
                    <a:ln>
                      <a:noFill/>
                    </a:ln>
                  </pic:spPr>
                </pic:pic>
              </a:graphicData>
            </a:graphic>
          </wp:inline>
        </w:drawing>
      </w: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b/>
          <w:bCs/>
          <w:sz w:val="20"/>
          <w:szCs w:val="20"/>
          <w:lang w:val="en"/>
        </w:rPr>
        <w:t>Figure S7</w:t>
      </w:r>
      <w:r w:rsidRPr="0053765E">
        <w:rPr>
          <w:sz w:val="20"/>
          <w:szCs w:val="20"/>
          <w:lang w:val="en"/>
        </w:rPr>
        <w:t>.  Visualization of assumptions made to detect valid respiratory system compliance measurements using a sample patient. The top figure shows all available measurements which could be used to calculate compliance, with green dots indicating when the measurements were deemed to be acceptable by the algorithm based on either being on a continuous paralytic agent or sedative with difference in set versus measured respiratory rate less than 2 breaths per minute (ΔRR &lt;2).  The bottom figure shows the ΔRR which corresponds to each timepoint of valid compliance measurement. A measurement is acceptable (green dots in the top figure) if the patient was deeply sedated and or paralyzed (green lines in the bottom figure), and were breathing at the rate set by the ventilator (ΔRR &lt;2 in the bottom figure). </w:t>
      </w:r>
      <w:r w:rsidRPr="0053765E">
        <w:rPr>
          <w:sz w:val="20"/>
          <w:szCs w:val="20"/>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jc w:val="center"/>
        <w:textAlignment w:val="baseline"/>
        <w:rPr>
          <w:rFonts w:ascii="Segoe UI" w:hAnsi="Segoe UI" w:cs="Segoe UI"/>
          <w:sz w:val="18"/>
          <w:szCs w:val="18"/>
        </w:rPr>
      </w:pPr>
      <w:r w:rsidRPr="0053765E">
        <w:rPr>
          <w:rFonts w:ascii="Arial" w:hAnsi="Arial" w:cs="Arial"/>
          <w:noProof/>
          <w:sz w:val="22"/>
          <w:szCs w:val="22"/>
        </w:rPr>
        <w:lastRenderedPageBreak/>
        <w:drawing>
          <wp:inline distT="0" distB="0" distL="0" distR="0" wp14:anchorId="428FC85C" wp14:editId="21063948">
            <wp:extent cx="5325745" cy="3801745"/>
            <wp:effectExtent l="0" t="0" r="0"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5745" cy="3801745"/>
                    </a:xfrm>
                    <a:prstGeom prst="rect">
                      <a:avLst/>
                    </a:prstGeom>
                    <a:noFill/>
                    <a:ln>
                      <a:noFill/>
                    </a:ln>
                  </pic:spPr>
                </pic:pic>
              </a:graphicData>
            </a:graphic>
          </wp:inline>
        </w:drawing>
      </w: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53765E" w:rsidRDefault="00C175FF" w:rsidP="00C175FF">
      <w:pPr>
        <w:textAlignment w:val="baseline"/>
        <w:rPr>
          <w:rFonts w:ascii="Segoe UI" w:hAnsi="Segoe UI" w:cs="Segoe UI"/>
          <w:sz w:val="18"/>
          <w:szCs w:val="18"/>
        </w:rPr>
      </w:pPr>
      <w:r w:rsidRPr="0053765E">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p>
    <w:p w:rsidR="00C175FF" w:rsidRPr="00BC03FB" w:rsidRDefault="00C175FF" w:rsidP="00C175FF">
      <w:pPr>
        <w:textAlignment w:val="baseline"/>
        <w:rPr>
          <w:rFonts w:ascii="Segoe UI" w:hAnsi="Segoe UI" w:cs="Segoe UI"/>
          <w:sz w:val="18"/>
          <w:szCs w:val="18"/>
        </w:rPr>
      </w:pPr>
      <w:r w:rsidRPr="00BC03FB">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r w:rsidRPr="00BC03FB">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r w:rsidRPr="00BC03FB">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r w:rsidRPr="00BC03FB">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r w:rsidRPr="00BC03FB">
        <w:rPr>
          <w:rFonts w:ascii="Arial" w:hAnsi="Arial" w:cs="Arial"/>
          <w:sz w:val="22"/>
          <w:szCs w:val="22"/>
        </w:rPr>
        <w:t> </w:t>
      </w:r>
    </w:p>
    <w:p w:rsidR="00C175FF" w:rsidRPr="00BC03FB" w:rsidRDefault="00C175FF" w:rsidP="00C175FF">
      <w:pPr>
        <w:textAlignment w:val="baseline"/>
        <w:rPr>
          <w:rFonts w:ascii="Segoe UI" w:hAnsi="Segoe UI" w:cs="Segoe UI"/>
          <w:sz w:val="18"/>
          <w:szCs w:val="18"/>
        </w:rPr>
      </w:pPr>
      <w:r w:rsidRPr="00BC03FB">
        <w:rPr>
          <w:sz w:val="20"/>
          <w:szCs w:val="20"/>
        </w:rPr>
        <w:t> </w:t>
      </w:r>
    </w:p>
    <w:p w:rsidR="00C175FF" w:rsidRDefault="00C175FF" w:rsidP="00C175FF"/>
    <w:p w:rsidR="00B57F37" w:rsidRDefault="00C175FF">
      <w:bookmarkStart w:id="0" w:name="_GoBack"/>
      <w:bookmarkEnd w:id="0"/>
    </w:p>
    <w:sectPr w:rsidR="00B57F37" w:rsidSect="003912E9">
      <w:footerReference w:type="even" r:id="rId16"/>
      <w:footerReference w:type="default" r:id="rId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9883260"/>
      <w:docPartObj>
        <w:docPartGallery w:val="Page Numbers (Bottom of Page)"/>
        <w:docPartUnique/>
      </w:docPartObj>
    </w:sdtPr>
    <w:sdtEndPr/>
    <w:sdtContent>
      <w:p w:rsidR="003912E9" w:rsidRDefault="00C175FF" w:rsidP="00072A52">
        <w:pPr>
          <w:framePr w:wrap="none" w:vAnchor="text" w:hAnchor="margin" w:xAlign="right" w:y="1"/>
        </w:pPr>
        <w:r>
          <w:fldChar w:fldCharType="begin"/>
        </w:r>
        <w:r>
          <w:instrText xml:space="preserve"> PAGE </w:instrText>
        </w:r>
        <w:r>
          <w:fldChar w:fldCharType="end"/>
        </w:r>
      </w:p>
    </w:sdtContent>
  </w:sdt>
  <w:p w:rsidR="003912E9" w:rsidRDefault="00C175FF" w:rsidP="003912E9">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3844190"/>
      <w:docPartObj>
        <w:docPartGallery w:val="Page Numbers (Bottom of Page)"/>
        <w:docPartUnique/>
      </w:docPartObj>
    </w:sdtPr>
    <w:sdtEndPr/>
    <w:sdtContent>
      <w:p w:rsidR="003912E9" w:rsidRDefault="00C175FF" w:rsidP="00072A52">
        <w:pPr>
          <w:framePr w:wrap="none" w:vAnchor="text" w:hAnchor="margin" w:xAlign="right" w:y="1"/>
        </w:pPr>
        <w:r>
          <w:fldChar w:fldCharType="begin"/>
        </w:r>
        <w:r>
          <w:instrText xml:space="preserve"> PAGE </w:instrText>
        </w:r>
        <w:r>
          <w:fldChar w:fldCharType="separate"/>
        </w:r>
        <w:r>
          <w:rPr>
            <w:noProof/>
          </w:rPr>
          <w:t>1</w:t>
        </w:r>
        <w:r>
          <w:fldChar w:fldCharType="end"/>
        </w:r>
      </w:p>
    </w:sdtContent>
  </w:sdt>
  <w:p w:rsidR="003912E9" w:rsidRDefault="00C175FF" w:rsidP="003912E9">
    <w:pP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5FF"/>
    <w:rsid w:val="00935206"/>
    <w:rsid w:val="00953E1B"/>
    <w:rsid w:val="00C175FF"/>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502228-64F3-484F-8389-A5C013608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75F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175F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2230</Words>
  <Characters>12716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2021-08-04T14:10:00Z</dcterms:created>
  <dcterms:modified xsi:type="dcterms:W3CDTF">2021-08-04T14:10:00Z</dcterms:modified>
</cp:coreProperties>
</file>