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040B8" w14:textId="09D53950" w:rsidR="005F0285" w:rsidRDefault="005F0285">
      <w:pPr>
        <w:pStyle w:val="Title"/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APPENDIX</w:t>
      </w:r>
    </w:p>
    <w:p w14:paraId="3BD202A3" w14:textId="20D478F0" w:rsidR="001A464F" w:rsidRDefault="00000000">
      <w:pPr>
        <w:pStyle w:val="Title"/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Tocilizumab versus sarilumab among adults hospitalised with COVID-19: target trial emulation across England and Scotland</w:t>
      </w:r>
    </w:p>
    <w:p w14:paraId="02BBEC14" w14:textId="77777777" w:rsidR="001A464F" w:rsidRDefault="00000000">
      <w:pPr>
        <w:spacing w:line="301" w:lineRule="auto"/>
        <w:jc w:val="both"/>
        <w:rPr>
          <w:sz w:val="18"/>
          <w:szCs w:val="18"/>
          <w:vertAlign w:val="superscript"/>
        </w:rPr>
      </w:pPr>
      <w:r>
        <w:rPr>
          <w:sz w:val="20"/>
          <w:szCs w:val="20"/>
        </w:rPr>
        <w:t>Bang Zheng</w:t>
      </w:r>
      <w:r>
        <w:rPr>
          <w:sz w:val="20"/>
          <w:szCs w:val="20"/>
          <w:vertAlign w:val="superscript"/>
        </w:rPr>
        <w:t>1,</w:t>
      </w:r>
      <w:proofErr w:type="gramStart"/>
      <w:r>
        <w:rPr>
          <w:sz w:val="20"/>
          <w:szCs w:val="20"/>
          <w:vertAlign w:val="superscript"/>
        </w:rPr>
        <w:t>2,</w:t>
      </w:r>
      <w:r>
        <w:rPr>
          <w:sz w:val="18"/>
          <w:szCs w:val="18"/>
          <w:vertAlign w:val="superscript"/>
        </w:rPr>
        <w:t>#</w:t>
      </w:r>
      <w:proofErr w:type="gram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Amanj</w:t>
      </w:r>
      <w:proofErr w:type="spellEnd"/>
      <w:r>
        <w:rPr>
          <w:sz w:val="20"/>
          <w:szCs w:val="20"/>
        </w:rPr>
        <w:t xml:space="preserve"> Kurdi</w:t>
      </w:r>
      <w:r>
        <w:rPr>
          <w:sz w:val="20"/>
          <w:szCs w:val="20"/>
          <w:vertAlign w:val="superscript"/>
        </w:rPr>
        <w:t>3,4,5,6,7,</w:t>
      </w:r>
      <w:r>
        <w:rPr>
          <w:sz w:val="18"/>
          <w:szCs w:val="18"/>
          <w:vertAlign w:val="superscript"/>
        </w:rPr>
        <w:t>#</w:t>
      </w:r>
      <w:r>
        <w:rPr>
          <w:sz w:val="20"/>
          <w:szCs w:val="20"/>
        </w:rPr>
        <w:t>, Alain Amstutz</w:t>
      </w:r>
      <w:r>
        <w:rPr>
          <w:sz w:val="20"/>
          <w:szCs w:val="20"/>
          <w:vertAlign w:val="superscript"/>
        </w:rPr>
        <w:t>8,9,10,</w:t>
      </w:r>
      <w:r>
        <w:rPr>
          <w:sz w:val="18"/>
          <w:szCs w:val="18"/>
          <w:vertAlign w:val="superscript"/>
        </w:rPr>
        <w:t>#</w:t>
      </w:r>
      <w:r>
        <w:rPr>
          <w:sz w:val="20"/>
          <w:szCs w:val="20"/>
        </w:rPr>
        <w:t>, Amelia Green</w:t>
      </w:r>
      <w:r>
        <w:rPr>
          <w:sz w:val="20"/>
          <w:szCs w:val="20"/>
          <w:vertAlign w:val="superscript"/>
        </w:rPr>
        <w:t>11</w:t>
      </w:r>
      <w:r>
        <w:rPr>
          <w:sz w:val="20"/>
          <w:szCs w:val="20"/>
        </w:rPr>
        <w:t>, Emily Herrett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, John Tazare</w:t>
      </w:r>
      <w:r>
        <w:rPr>
          <w:sz w:val="20"/>
          <w:szCs w:val="20"/>
          <w:vertAlign w:val="superscript"/>
        </w:rPr>
        <w:t>12</w:t>
      </w:r>
      <w:r>
        <w:rPr>
          <w:sz w:val="20"/>
          <w:szCs w:val="20"/>
        </w:rPr>
        <w:t>, Qing Wen</w:t>
      </w:r>
      <w:r>
        <w:rPr>
          <w:sz w:val="20"/>
          <w:szCs w:val="20"/>
          <w:vertAlign w:val="superscript"/>
        </w:rPr>
        <w:t>2,13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Viyaasan</w:t>
      </w:r>
      <w:proofErr w:type="spellEnd"/>
      <w:r>
        <w:rPr>
          <w:sz w:val="20"/>
          <w:szCs w:val="20"/>
        </w:rPr>
        <w:t xml:space="preserve"> Mahalingasivam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, Rebecca Smith</w:t>
      </w:r>
      <w:r>
        <w:rPr>
          <w:sz w:val="20"/>
          <w:szCs w:val="20"/>
          <w:vertAlign w:val="superscript"/>
        </w:rPr>
        <w:t>11</w:t>
      </w:r>
      <w:r>
        <w:rPr>
          <w:sz w:val="20"/>
          <w:szCs w:val="20"/>
        </w:rPr>
        <w:t>, The OpenSAFELY Collaborative, Brian MacKenna</w:t>
      </w:r>
      <w:r>
        <w:rPr>
          <w:sz w:val="20"/>
          <w:szCs w:val="20"/>
          <w:vertAlign w:val="superscript"/>
        </w:rPr>
        <w:t>11</w:t>
      </w:r>
      <w:r>
        <w:rPr>
          <w:sz w:val="20"/>
          <w:szCs w:val="20"/>
        </w:rPr>
        <w:t>, Amir Mehrkar</w:t>
      </w:r>
      <w:r>
        <w:rPr>
          <w:sz w:val="20"/>
          <w:szCs w:val="20"/>
          <w:vertAlign w:val="superscript"/>
        </w:rPr>
        <w:t>11</w:t>
      </w:r>
      <w:r>
        <w:rPr>
          <w:sz w:val="20"/>
          <w:szCs w:val="20"/>
        </w:rPr>
        <w:t>, Seb Bacon</w:t>
      </w:r>
      <w:r>
        <w:rPr>
          <w:sz w:val="20"/>
          <w:szCs w:val="20"/>
          <w:vertAlign w:val="superscript"/>
        </w:rPr>
        <w:t>11</w:t>
      </w:r>
      <w:r>
        <w:rPr>
          <w:sz w:val="20"/>
          <w:szCs w:val="20"/>
        </w:rPr>
        <w:t>, Ben Goldacre</w:t>
      </w:r>
      <w:r>
        <w:rPr>
          <w:sz w:val="20"/>
          <w:szCs w:val="20"/>
          <w:vertAlign w:val="superscript"/>
        </w:rPr>
        <w:t>11</w:t>
      </w:r>
      <w:r>
        <w:rPr>
          <w:sz w:val="20"/>
          <w:szCs w:val="20"/>
        </w:rPr>
        <w:t>, Chris Robertson</w:t>
      </w:r>
      <w:r>
        <w:rPr>
          <w:sz w:val="20"/>
          <w:szCs w:val="20"/>
          <w:vertAlign w:val="superscript"/>
        </w:rPr>
        <w:t>14</w:t>
      </w:r>
      <w:r>
        <w:rPr>
          <w:sz w:val="20"/>
          <w:szCs w:val="20"/>
        </w:rPr>
        <w:t>, Aziz Sheikh</w:t>
      </w:r>
      <w:r>
        <w:rPr>
          <w:sz w:val="20"/>
          <w:szCs w:val="20"/>
          <w:vertAlign w:val="superscript"/>
        </w:rPr>
        <w:t>11,15,</w:t>
      </w:r>
      <w:r>
        <w:rPr>
          <w:sz w:val="20"/>
          <w:szCs w:val="20"/>
        </w:rPr>
        <w:t>*, Laurie Tomlinson</w:t>
      </w:r>
      <w:r>
        <w:rPr>
          <w:sz w:val="20"/>
          <w:szCs w:val="20"/>
          <w:vertAlign w:val="superscript"/>
        </w:rPr>
        <w:t>2,</w:t>
      </w:r>
      <w:r>
        <w:rPr>
          <w:sz w:val="20"/>
          <w:szCs w:val="20"/>
        </w:rPr>
        <w:t>*</w:t>
      </w:r>
    </w:p>
    <w:p w14:paraId="7E5C6BF7" w14:textId="77777777" w:rsidR="001A464F" w:rsidRDefault="001A464F">
      <w:pPr>
        <w:spacing w:line="301" w:lineRule="auto"/>
        <w:jc w:val="both"/>
        <w:rPr>
          <w:sz w:val="18"/>
          <w:szCs w:val="18"/>
          <w:vertAlign w:val="superscript"/>
        </w:rPr>
      </w:pPr>
    </w:p>
    <w:p w14:paraId="3AA6E57C" w14:textId="77777777" w:rsidR="001A464F" w:rsidRDefault="00000000">
      <w:pPr>
        <w:spacing w:line="301" w:lineRule="auto"/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#</w:t>
      </w:r>
      <w:r>
        <w:rPr>
          <w:sz w:val="18"/>
          <w:szCs w:val="18"/>
        </w:rPr>
        <w:t xml:space="preserve"> Co-first authors</w:t>
      </w:r>
    </w:p>
    <w:p w14:paraId="2FBE8F1A" w14:textId="77777777" w:rsidR="001A464F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>* Co-corresponding authors</w:t>
      </w:r>
    </w:p>
    <w:p w14:paraId="3C84B61B" w14:textId="77777777" w:rsidR="001A464F" w:rsidRDefault="001A464F">
      <w:pPr>
        <w:jc w:val="both"/>
        <w:rPr>
          <w:b/>
          <w:sz w:val="14"/>
          <w:szCs w:val="14"/>
        </w:rPr>
      </w:pPr>
    </w:p>
    <w:p w14:paraId="4A4B0598" w14:textId="77777777" w:rsidR="001A464F" w:rsidRDefault="00000000">
      <w:pPr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Affiliations:</w:t>
      </w:r>
    </w:p>
    <w:p w14:paraId="3B22859D" w14:textId="77777777" w:rsidR="001A464F" w:rsidRDefault="00000000">
      <w:pP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>1 Department of Epidemiology &amp; Biostatistics, Peking University, Beijing, China</w:t>
      </w:r>
    </w:p>
    <w:p w14:paraId="366CB95E" w14:textId="77777777" w:rsidR="001A464F" w:rsidRDefault="00000000">
      <w:pP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>2 Department of Non-communicable Disease Epidemiology, London School of Hygiene and Tropical Medicine, London, UK</w:t>
      </w:r>
    </w:p>
    <w:p w14:paraId="0410231E" w14:textId="77777777" w:rsidR="001A464F" w:rsidRDefault="00000000">
      <w:pP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>3 Strathclyde Institute of Pharmacy and Biomedical Sciences, University of Strathclyde, Glasgow, UK</w:t>
      </w:r>
    </w:p>
    <w:p w14:paraId="7A1FF2D0" w14:textId="77777777" w:rsidR="001A464F" w:rsidRDefault="00000000">
      <w:pPr>
        <w:pBdr>
          <w:top w:val="nil"/>
          <w:left w:val="nil"/>
          <w:bottom w:val="nil"/>
          <w:right w:val="nil"/>
          <w:between w:val="nil"/>
        </w:pBd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>4 Public Health Scotland, Scotland, UK.</w:t>
      </w:r>
    </w:p>
    <w:p w14:paraId="36B30941" w14:textId="77777777" w:rsidR="001A464F" w:rsidRDefault="00000000">
      <w:pPr>
        <w:pBdr>
          <w:top w:val="nil"/>
          <w:left w:val="nil"/>
          <w:bottom w:val="nil"/>
          <w:right w:val="nil"/>
          <w:between w:val="nil"/>
        </w:pBd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5 College of Pharmacy, </w:t>
      </w:r>
      <w:proofErr w:type="spellStart"/>
      <w:r>
        <w:rPr>
          <w:sz w:val="16"/>
          <w:szCs w:val="16"/>
        </w:rPr>
        <w:t>Hawler</w:t>
      </w:r>
      <w:proofErr w:type="spellEnd"/>
      <w:r>
        <w:rPr>
          <w:sz w:val="16"/>
          <w:szCs w:val="16"/>
        </w:rPr>
        <w:t xml:space="preserve"> Medical University, Erbil, Kurdistan Region, Iraq.</w:t>
      </w:r>
    </w:p>
    <w:p w14:paraId="0D76C77A" w14:textId="77777777" w:rsidR="001A464F" w:rsidRPr="00AB595B" w:rsidRDefault="00000000">
      <w:pPr>
        <w:pBdr>
          <w:top w:val="nil"/>
          <w:left w:val="nil"/>
          <w:bottom w:val="nil"/>
          <w:right w:val="nil"/>
          <w:between w:val="nil"/>
        </w:pBdr>
        <w:spacing w:line="301" w:lineRule="auto"/>
        <w:jc w:val="both"/>
        <w:rPr>
          <w:sz w:val="16"/>
          <w:szCs w:val="16"/>
          <w:lang w:val="de-CH"/>
        </w:rPr>
      </w:pPr>
      <w:r w:rsidRPr="00AB595B">
        <w:rPr>
          <w:sz w:val="16"/>
          <w:szCs w:val="16"/>
          <w:lang w:val="de-CH"/>
        </w:rPr>
        <w:t>6 Al-Kitab University, Kirkuk 36015, Iraq.</w:t>
      </w:r>
    </w:p>
    <w:p w14:paraId="20CF4407" w14:textId="77777777" w:rsidR="001A464F" w:rsidRDefault="00000000">
      <w:pPr>
        <w:pBdr>
          <w:top w:val="nil"/>
          <w:left w:val="nil"/>
          <w:bottom w:val="nil"/>
          <w:right w:val="nil"/>
          <w:between w:val="nil"/>
        </w:pBd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7 Department of Public Health Pharmacy and Management, School of Pharmacy, </w:t>
      </w:r>
      <w:proofErr w:type="spellStart"/>
      <w:r>
        <w:rPr>
          <w:sz w:val="16"/>
          <w:szCs w:val="16"/>
        </w:rPr>
        <w:t>Sefako</w:t>
      </w:r>
      <w:proofErr w:type="spellEnd"/>
      <w:r>
        <w:rPr>
          <w:sz w:val="16"/>
          <w:szCs w:val="16"/>
        </w:rPr>
        <w:t xml:space="preserve"> Makgatho Health Sciences University, Pretoria, South Africa</w:t>
      </w:r>
    </w:p>
    <w:p w14:paraId="4A717691" w14:textId="77777777" w:rsidR="001A464F" w:rsidRDefault="00000000">
      <w:pP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>8 Population Health Sciences, Bristol Medical School, University of Bristol, Bristol, UK</w:t>
      </w:r>
    </w:p>
    <w:p w14:paraId="7DDE7116" w14:textId="77777777" w:rsidR="001A464F" w:rsidRDefault="00000000">
      <w:pP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9 Oslo </w:t>
      </w:r>
      <w:proofErr w:type="spellStart"/>
      <w:r>
        <w:rPr>
          <w:sz w:val="16"/>
          <w:szCs w:val="16"/>
        </w:rPr>
        <w:t>Center</w:t>
      </w:r>
      <w:proofErr w:type="spellEnd"/>
      <w:r>
        <w:rPr>
          <w:sz w:val="16"/>
          <w:szCs w:val="16"/>
        </w:rPr>
        <w:t xml:space="preserve"> for Biostatistics and Epidemiology, Oslo University Hospital, Oslo, Norway</w:t>
      </w:r>
    </w:p>
    <w:p w14:paraId="59A56615" w14:textId="77777777" w:rsidR="001A464F" w:rsidRDefault="00000000">
      <w:pP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>10 Division Clinical Epidemiology, Department of Clinical Research, University Hospital Basel and University of Basel, Basel, Switzerland</w:t>
      </w:r>
    </w:p>
    <w:p w14:paraId="394A0EAB" w14:textId="77777777" w:rsidR="001A464F" w:rsidRDefault="00000000">
      <w:pP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>11 Nuffield Department of Primary Care Health Sciences, University of Oxford, UK</w:t>
      </w:r>
    </w:p>
    <w:p w14:paraId="69218432" w14:textId="77777777" w:rsidR="001A464F" w:rsidRDefault="00000000">
      <w:pP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>12 Department of Medical Statistics, London School of Hygiene and Tropical Medicine, London, UK</w:t>
      </w:r>
    </w:p>
    <w:p w14:paraId="45D95658" w14:textId="77777777" w:rsidR="001A464F" w:rsidRDefault="00000000">
      <w:pP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13 Centre for Public Health, School of Medicine, Dentistry and Biomedical Sciences, Queen’s University Belfast, Belfast, UK </w:t>
      </w:r>
    </w:p>
    <w:p w14:paraId="3DD24230" w14:textId="77777777" w:rsidR="001A464F" w:rsidRDefault="00000000">
      <w:pP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>14 Department of Mathematics and Statistics, University of Strathclyde, Glasgow, UK</w:t>
      </w:r>
    </w:p>
    <w:p w14:paraId="46420B92" w14:textId="77777777" w:rsidR="001A464F" w:rsidRDefault="00000000">
      <w:pPr>
        <w:spacing w:line="301" w:lineRule="auto"/>
        <w:jc w:val="both"/>
        <w:rPr>
          <w:sz w:val="16"/>
          <w:szCs w:val="16"/>
        </w:rPr>
      </w:pPr>
      <w:r>
        <w:rPr>
          <w:sz w:val="16"/>
          <w:szCs w:val="16"/>
        </w:rPr>
        <w:t>15 Usher Institute, University of Edinburgh, Edinburgh, UK</w:t>
      </w:r>
    </w:p>
    <w:p w14:paraId="6EC2BB99" w14:textId="77777777" w:rsidR="001A464F" w:rsidRDefault="001A464F">
      <w:pPr>
        <w:spacing w:line="301" w:lineRule="auto"/>
        <w:jc w:val="both"/>
        <w:rPr>
          <w:sz w:val="14"/>
          <w:szCs w:val="14"/>
        </w:rPr>
      </w:pPr>
    </w:p>
    <w:p w14:paraId="7EFD0F66" w14:textId="77777777" w:rsidR="005F0285" w:rsidRDefault="005F0285">
      <w:pPr>
        <w:pStyle w:val="Heading3"/>
        <w:rPr>
          <w:b/>
          <w:color w:val="000000"/>
          <w:sz w:val="20"/>
          <w:szCs w:val="20"/>
        </w:rPr>
      </w:pPr>
      <w:bookmarkStart w:id="0" w:name="_gjdgxs" w:colFirst="0" w:colLast="0"/>
      <w:bookmarkStart w:id="1" w:name="_1bit2gqjnde1" w:colFirst="0" w:colLast="0"/>
      <w:bookmarkEnd w:id="0"/>
      <w:bookmarkEnd w:id="1"/>
    </w:p>
    <w:p w14:paraId="31A8D39D" w14:textId="77777777" w:rsidR="005F0285" w:rsidRDefault="005F0285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br w:type="page"/>
      </w:r>
    </w:p>
    <w:p w14:paraId="0C4118EE" w14:textId="02BD4265" w:rsidR="001A464F" w:rsidRDefault="00000000">
      <w:pPr>
        <w:pStyle w:val="Heading3"/>
        <w:rPr>
          <w:color w:val="000000"/>
          <w:sz w:val="22"/>
          <w:szCs w:val="22"/>
          <w:u w:val="single"/>
        </w:rPr>
      </w:pPr>
      <w:r>
        <w:rPr>
          <w:b/>
          <w:color w:val="000000"/>
          <w:sz w:val="20"/>
          <w:szCs w:val="20"/>
        </w:rPr>
        <w:lastRenderedPageBreak/>
        <w:t xml:space="preserve">Appendix Table S1: </w:t>
      </w:r>
      <w:r>
        <w:rPr>
          <w:color w:val="000000"/>
          <w:sz w:val="20"/>
          <w:szCs w:val="20"/>
        </w:rPr>
        <w:t>Target trial specification and emulation</w:t>
      </w:r>
    </w:p>
    <w:tbl>
      <w:tblPr>
        <w:tblStyle w:val="a1"/>
        <w:tblW w:w="11445" w:type="dxa"/>
        <w:tblInd w:w="-9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3495"/>
        <w:gridCol w:w="4245"/>
        <w:gridCol w:w="2430"/>
      </w:tblGrid>
      <w:tr w:rsidR="001A464F" w14:paraId="36C83153" w14:textId="77777777">
        <w:trPr>
          <w:trHeight w:val="830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616B0" w14:textId="77777777" w:rsidR="001A464F" w:rsidRDefault="00000000">
            <w:pPr>
              <w:spacing w:line="240" w:lineRule="auto"/>
              <w:ind w:righ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Protocol element</w:t>
            </w:r>
          </w:p>
        </w:tc>
        <w:tc>
          <w:tcPr>
            <w:tcW w:w="34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12891" w14:textId="77777777" w:rsidR="001A464F" w:rsidRDefault="00000000">
            <w:pPr>
              <w:spacing w:line="240" w:lineRule="auto"/>
              <w:ind w:left="140" w:right="1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Hypothetical pragmatic target trial</w:t>
            </w:r>
          </w:p>
        </w:tc>
        <w:tc>
          <w:tcPr>
            <w:tcW w:w="4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E1937" w14:textId="77777777" w:rsidR="001A464F" w:rsidRDefault="00000000">
            <w:pPr>
              <w:spacing w:line="240" w:lineRule="auto"/>
              <w:ind w:left="140" w:right="14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Target trial emulation</w:t>
            </w:r>
            <w:r>
              <w:rPr>
                <w:sz w:val="18"/>
                <w:szCs w:val="18"/>
              </w:rPr>
              <w:t>, done separately for OpenSAFELY and EAVE II</w:t>
            </w:r>
          </w:p>
        </w:tc>
        <w:tc>
          <w:tcPr>
            <w:tcW w:w="2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A4B51" w14:textId="77777777" w:rsidR="001A464F" w:rsidRDefault="00000000">
            <w:pPr>
              <w:spacing w:line="240" w:lineRule="auto"/>
              <w:ind w:left="140" w:right="1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Notes</w:t>
            </w:r>
          </w:p>
        </w:tc>
      </w:tr>
      <w:tr w:rsidR="001A464F" w14:paraId="554DC8E6" w14:textId="77777777">
        <w:trPr>
          <w:trHeight w:val="3300"/>
        </w:trPr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92142" w14:textId="77777777" w:rsidR="001A464F" w:rsidRDefault="00000000">
            <w:pPr>
              <w:spacing w:line="240" w:lineRule="auto"/>
              <w:ind w:righ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Eligibility criteria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DAE3B" w14:textId="77777777" w:rsidR="001A464F" w:rsidRDefault="00000000">
            <w:pPr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Inclusion criteria:</w:t>
            </w:r>
          </w:p>
          <w:p w14:paraId="51B1CB53" w14:textId="77777777" w:rsidR="001A464F" w:rsidRDefault="00000000">
            <w:pPr>
              <w:numPr>
                <w:ilvl w:val="0"/>
                <w:numId w:val="9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Aged 18-110 years at enrolment</w:t>
            </w:r>
          </w:p>
          <w:p w14:paraId="2CD20A57" w14:textId="77777777" w:rsidR="001A464F" w:rsidRDefault="00000000">
            <w:pPr>
              <w:numPr>
                <w:ilvl w:val="0"/>
                <w:numId w:val="9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Hospitalised due to COVID-19</w:t>
            </w:r>
          </w:p>
          <w:p w14:paraId="10E3879F" w14:textId="77777777" w:rsidR="001A464F" w:rsidRDefault="00000000">
            <w:pPr>
              <w:numPr>
                <w:ilvl w:val="0"/>
                <w:numId w:val="9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Receiving dexamethasone or an equivalent corticosteroid unless contraindicated</w:t>
            </w:r>
          </w:p>
          <w:p w14:paraId="03D69457" w14:textId="77777777" w:rsidR="001A464F" w:rsidRDefault="00000000">
            <w:pPr>
              <w:numPr>
                <w:ilvl w:val="0"/>
                <w:numId w:val="9"/>
              </w:numPr>
              <w:spacing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Requiring respiratory support or having hypoxaemia with evidence of inflammation</w:t>
            </w:r>
          </w:p>
          <w:p w14:paraId="5A057C36" w14:textId="77777777" w:rsidR="001A464F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Exclusion criteria:</w:t>
            </w:r>
          </w:p>
          <w:p w14:paraId="1F7AFCB6" w14:textId="77777777" w:rsidR="001A464F" w:rsidRDefault="00000000">
            <w:pPr>
              <w:numPr>
                <w:ilvl w:val="0"/>
                <w:numId w:val="7"/>
              </w:numPr>
              <w:spacing w:line="240" w:lineRule="auto"/>
              <w:rPr>
                <w:color w:val="1F1F1F"/>
                <w:sz w:val="18"/>
                <w:szCs w:val="18"/>
                <w:highlight w:val="white"/>
              </w:rPr>
            </w:pPr>
            <w:r>
              <w:rPr>
                <w:color w:val="212121"/>
                <w:sz w:val="18"/>
                <w:szCs w:val="18"/>
              </w:rPr>
              <w:t>Hypersensitivity to IL-6 inhibitors</w:t>
            </w:r>
          </w:p>
          <w:p w14:paraId="4C3D8478" w14:textId="77777777" w:rsidR="001A464F" w:rsidRDefault="00000000">
            <w:pPr>
              <w:numPr>
                <w:ilvl w:val="0"/>
                <w:numId w:val="7"/>
              </w:numPr>
              <w:spacing w:line="240" w:lineRule="auto"/>
              <w:rPr>
                <w:color w:val="212121"/>
                <w:sz w:val="18"/>
                <w:szCs w:val="18"/>
              </w:rPr>
            </w:pPr>
            <w:r>
              <w:rPr>
                <w:color w:val="212121"/>
                <w:sz w:val="18"/>
                <w:szCs w:val="18"/>
              </w:rPr>
              <w:t>Baseline ALT/AST &gt;5x ULN</w:t>
            </w:r>
          </w:p>
          <w:p w14:paraId="6F0FCBD4" w14:textId="77777777" w:rsidR="001A464F" w:rsidRDefault="00000000">
            <w:pPr>
              <w:numPr>
                <w:ilvl w:val="0"/>
                <w:numId w:val="7"/>
              </w:numPr>
              <w:spacing w:after="240" w:line="240" w:lineRule="auto"/>
              <w:rPr>
                <w:color w:val="212121"/>
                <w:sz w:val="18"/>
                <w:szCs w:val="18"/>
              </w:rPr>
            </w:pPr>
            <w:r>
              <w:rPr>
                <w:color w:val="212121"/>
                <w:sz w:val="18"/>
                <w:szCs w:val="18"/>
              </w:rPr>
              <w:t>Platelet count &lt;150 x 10^3/</w:t>
            </w:r>
            <w:proofErr w:type="spellStart"/>
            <w:r>
              <w:rPr>
                <w:color w:val="212121"/>
                <w:sz w:val="18"/>
                <w:szCs w:val="18"/>
              </w:rPr>
              <w:t>μl</w:t>
            </w:r>
            <w:proofErr w:type="spellEnd"/>
          </w:p>
        </w:tc>
        <w:tc>
          <w:tcPr>
            <w:tcW w:w="42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B74DB" w14:textId="77777777" w:rsidR="001A464F" w:rsidRDefault="00000000">
            <w:pPr>
              <w:spacing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Same as for the target trial, except:</w:t>
            </w:r>
          </w:p>
          <w:p w14:paraId="6E8EE486" w14:textId="77777777" w:rsidR="001A464F" w:rsidRDefault="00000000">
            <w:pPr>
              <w:numPr>
                <w:ilvl w:val="0"/>
                <w:numId w:val="2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OpenSAFELY: COVID-related admissions were directly extracted from the COVID-19 therapeutics dataset</w:t>
            </w:r>
          </w:p>
          <w:p w14:paraId="7AE1E941" w14:textId="77777777" w:rsidR="001A464F" w:rsidRDefault="00000000">
            <w:pPr>
              <w:numPr>
                <w:ilvl w:val="0"/>
                <w:numId w:val="2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 EAVE II: COVID-related admissions were identified as those occurring within 28 days of a positive RT-PCR test or those hospital </w:t>
            </w:r>
            <w:proofErr w:type="gramStart"/>
            <w:r>
              <w:rPr>
                <w:sz w:val="18"/>
                <w:szCs w:val="18"/>
              </w:rPr>
              <w:t>admission  with</w:t>
            </w:r>
            <w:proofErr w:type="gramEnd"/>
            <w:r>
              <w:rPr>
                <w:sz w:val="18"/>
                <w:szCs w:val="18"/>
              </w:rPr>
              <w:t xml:space="preserve"> an ICD-10 code for COVID-19 (U07.1 and U07.2) in their admission record (in SMR01 and/or RAPID)</w:t>
            </w:r>
          </w:p>
          <w:p w14:paraId="47BE5720" w14:textId="77777777" w:rsidR="001A464F" w:rsidRDefault="00000000">
            <w:pPr>
              <w:numPr>
                <w:ilvl w:val="0"/>
                <w:numId w:val="2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Data on respiratory support, corticosteroid </w:t>
            </w:r>
            <w:proofErr w:type="gramStart"/>
            <w:r>
              <w:rPr>
                <w:sz w:val="18"/>
                <w:szCs w:val="18"/>
              </w:rPr>
              <w:t>use</w:t>
            </w:r>
            <w:proofErr w:type="gramEnd"/>
            <w:r>
              <w:rPr>
                <w:sz w:val="18"/>
                <w:szCs w:val="18"/>
              </w:rPr>
              <w:t xml:space="preserve"> and listed exclusion criteria are not consistently available across the two data platforms, but we assumed that receiving an IL-6 indicated there was no contraindication to these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151D8" w14:textId="77777777" w:rsidR="001A464F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addition, we applied data quality assurance criteria: We excluded individuals with a) missing information on sex or region, and b) who received tocilizumab and sarilumab on the same date</w:t>
            </w:r>
          </w:p>
        </w:tc>
      </w:tr>
      <w:tr w:rsidR="001A464F" w14:paraId="69943B27" w14:textId="77777777">
        <w:trPr>
          <w:trHeight w:val="1727"/>
        </w:trPr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0FBF1" w14:textId="77777777" w:rsidR="001A464F" w:rsidRDefault="00000000">
            <w:pPr>
              <w:spacing w:line="240" w:lineRule="auto"/>
              <w:ind w:righ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Treatment strategies</w:t>
            </w:r>
          </w:p>
          <w:p w14:paraId="206E24F8" w14:textId="77777777" w:rsidR="001A464F" w:rsidRDefault="00000000">
            <w:pPr>
              <w:spacing w:line="240" w:lineRule="auto"/>
              <w:ind w:left="140" w:right="1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CFE75" w14:textId="77777777" w:rsidR="001A464F" w:rsidRDefault="00000000">
            <w:p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Eligible participants are randomised to either:</w:t>
            </w:r>
          </w:p>
          <w:p w14:paraId="080AA978" w14:textId="77777777" w:rsidR="001A464F" w:rsidRDefault="00000000">
            <w:pPr>
              <w:numPr>
                <w:ilvl w:val="0"/>
                <w:numId w:val="6"/>
              </w:num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Tocilizumab: a single 60-minute intravenous infusion of 8 mg/kg</w:t>
            </w:r>
          </w:p>
          <w:p w14:paraId="1C1427B4" w14:textId="77777777" w:rsidR="001A464F" w:rsidRDefault="00000000">
            <w:pPr>
              <w:numPr>
                <w:ilvl w:val="0"/>
                <w:numId w:val="6"/>
              </w:num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Sarilumab: a single 60-minute intravenous infusion of 400 mg</w:t>
            </w:r>
          </w:p>
          <w:p w14:paraId="4C43E654" w14:textId="77777777" w:rsidR="001A464F" w:rsidRDefault="001A464F">
            <w:pPr>
              <w:spacing w:line="240" w:lineRule="auto"/>
              <w:ind w:right="14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7F85C" w14:textId="77777777" w:rsidR="001A464F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Same as for the target trial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FC513" w14:textId="77777777" w:rsidR="001A464F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 only considered the first prescription to any of the two treatments.</w:t>
            </w:r>
          </w:p>
          <w:p w14:paraId="24A85A12" w14:textId="77777777" w:rsidR="001A464F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 OpenSAFELY, this was ascertained from the COVID-19 therapeutics dataset based on the national </w:t>
            </w:r>
            <w:proofErr w:type="spellStart"/>
            <w:r>
              <w:rPr>
                <w:sz w:val="18"/>
                <w:szCs w:val="18"/>
              </w:rPr>
              <w:t>Blueteq</w:t>
            </w:r>
            <w:proofErr w:type="spellEnd"/>
            <w:r>
              <w:rPr>
                <w:sz w:val="18"/>
                <w:szCs w:val="18"/>
              </w:rPr>
              <w:t xml:space="preserve"> system, while in EAVE II this was ascertained from HEPMA.</w:t>
            </w:r>
          </w:p>
        </w:tc>
      </w:tr>
      <w:tr w:rsidR="001A464F" w14:paraId="7C1215FC" w14:textId="77777777">
        <w:trPr>
          <w:trHeight w:val="990"/>
        </w:trPr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AE4678" w14:textId="77777777" w:rsidR="001A464F" w:rsidRDefault="00000000">
            <w:pPr>
              <w:spacing w:line="240" w:lineRule="auto"/>
              <w:ind w:right="14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Treatment allocation </w:t>
            </w:r>
          </w:p>
          <w:p w14:paraId="16D25ABD" w14:textId="77777777" w:rsidR="001A464F" w:rsidRDefault="00000000">
            <w:pPr>
              <w:spacing w:line="240" w:lineRule="auto"/>
              <w:ind w:left="140" w:right="14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FC2C7" w14:textId="77777777" w:rsidR="001A464F" w:rsidRDefault="00000000">
            <w:p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Eligible participants are randomly assigned to one of the two </w:t>
            </w:r>
            <w:proofErr w:type="gramStart"/>
            <w:r>
              <w:rPr>
                <w:sz w:val="18"/>
                <w:szCs w:val="18"/>
              </w:rPr>
              <w:t>groups, and</w:t>
            </w:r>
            <w:proofErr w:type="gramEnd"/>
            <w:r>
              <w:rPr>
                <w:sz w:val="18"/>
                <w:szCs w:val="18"/>
              </w:rPr>
              <w:t xml:space="preserve"> are aware of which group they were assigned to (open-label).</w:t>
            </w:r>
          </w:p>
        </w:tc>
        <w:tc>
          <w:tcPr>
            <w:tcW w:w="42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01605" w14:textId="77777777" w:rsidR="001A464F" w:rsidRDefault="00000000">
            <w:pPr>
              <w:spacing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Same as for the target trial, except:</w:t>
            </w:r>
          </w:p>
          <w:p w14:paraId="5729B3D4" w14:textId="77777777" w:rsidR="001A464F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We assumed randomisation conditional on the following baseline covariates: age, sex, region, calendar time, ethnicity (grouped into five broad categories: White, Black or Black British, Asian or Asian British, Mixed, Other), Index of Multiple Deprivation ([IMD], as quintiles derived from the patient’s postcode at lower super output area level), COVID-19 vaccination status (unvaccinated, one vaccination, two vaccinations, or three or more), SARS-CoV-2 re-infection status (positive test or clinical diagnosis code or exposure to COVID-19 drug at least three months prior), body mass index ([BMI], most recent record), previous use of other COVID-19 treatments, diabetes, hypertension, chronic heart diseases, chronic respiratory diseases, moderate/severe renal disease, severe liver disease, solid cancer, </w:t>
            </w:r>
            <w:proofErr w:type="spellStart"/>
            <w:r>
              <w:rPr>
                <w:sz w:val="18"/>
                <w:szCs w:val="18"/>
              </w:rPr>
              <w:t>hematological</w:t>
            </w:r>
            <w:proofErr w:type="spellEnd"/>
            <w:r>
              <w:rPr>
                <w:sz w:val="18"/>
                <w:szCs w:val="18"/>
              </w:rPr>
              <w:t xml:space="preserve"> disease, immunosuppressive disease or treatment, and solid organ transplant.</w:t>
            </w:r>
          </w:p>
          <w:p w14:paraId="75E4A926" w14:textId="77777777" w:rsidR="001A464F" w:rsidRDefault="001A464F">
            <w:pPr>
              <w:spacing w:line="240" w:lineRule="auto"/>
              <w:rPr>
                <w:sz w:val="18"/>
                <w:szCs w:val="18"/>
              </w:rPr>
            </w:pPr>
          </w:p>
          <w:p w14:paraId="603A0E8A" w14:textId="77777777" w:rsidR="001A464F" w:rsidRDefault="001A464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CA803" w14:textId="77777777" w:rsidR="001A464F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Covariates were identified based on previous literature, discussions with domain experts and data availability in each database.</w:t>
            </w:r>
          </w:p>
          <w:p w14:paraId="4DD659CC" w14:textId="77777777" w:rsidR="001A464F" w:rsidRDefault="001A464F">
            <w:pPr>
              <w:spacing w:line="240" w:lineRule="auto"/>
              <w:rPr>
                <w:sz w:val="18"/>
                <w:szCs w:val="18"/>
              </w:rPr>
            </w:pPr>
          </w:p>
          <w:p w14:paraId="333FD7BA" w14:textId="77777777" w:rsidR="001A464F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Comorbidities were extracted through SNOMED CT codes in primary care records and ICD-10 in secondary care records. Ethnicity was extracted through SNOMED CT codes and supplemented with information from secondary care records. </w:t>
            </w:r>
          </w:p>
          <w:p w14:paraId="3343D4A3" w14:textId="77777777" w:rsidR="001A464F" w:rsidRDefault="001A464F">
            <w:pPr>
              <w:spacing w:line="240" w:lineRule="auto"/>
              <w:rPr>
                <w:sz w:val="18"/>
                <w:szCs w:val="18"/>
              </w:rPr>
            </w:pPr>
          </w:p>
          <w:p w14:paraId="4C41316E" w14:textId="77777777" w:rsidR="001A464F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Considering the sample size and data availability in the EAVE II database, the following baseline covariates were excluded in EAVE II: SARS-CoV-2 re-infection status, previous use of other COVID-19 treatments, solid cancer, immunosuppressive disease or treatment, and solid organ transplant</w:t>
            </w:r>
          </w:p>
        </w:tc>
      </w:tr>
      <w:tr w:rsidR="001A464F" w14:paraId="229FC96B" w14:textId="77777777">
        <w:trPr>
          <w:trHeight w:val="1695"/>
        </w:trPr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25A42" w14:textId="77777777" w:rsidR="001A464F" w:rsidRDefault="00000000">
            <w:pPr>
              <w:spacing w:line="240" w:lineRule="auto"/>
              <w:ind w:right="14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Outcomes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D7D9A" w14:textId="77777777" w:rsidR="001A464F" w:rsidRDefault="00000000">
            <w:p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Primary:</w:t>
            </w:r>
          </w:p>
          <w:p w14:paraId="04B85ECE" w14:textId="77777777" w:rsidR="001A464F" w:rsidRDefault="00000000">
            <w:pPr>
              <w:numPr>
                <w:ilvl w:val="0"/>
                <w:numId w:val="8"/>
              </w:num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All-cause mortality within 28 days</w:t>
            </w:r>
          </w:p>
          <w:p w14:paraId="3019C0DB" w14:textId="77777777" w:rsidR="001A464F" w:rsidRDefault="00000000">
            <w:p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Secondary:</w:t>
            </w:r>
          </w:p>
          <w:p w14:paraId="670857FD" w14:textId="77777777" w:rsidR="001A464F" w:rsidRDefault="00000000">
            <w:pPr>
              <w:numPr>
                <w:ilvl w:val="0"/>
                <w:numId w:val="4"/>
              </w:num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All-cause mortality within 90 days</w:t>
            </w:r>
          </w:p>
          <w:p w14:paraId="46247B39" w14:textId="77777777" w:rsidR="001A464F" w:rsidRDefault="00000000">
            <w:pPr>
              <w:numPr>
                <w:ilvl w:val="0"/>
                <w:numId w:val="4"/>
              </w:num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 to hospital discharge within 28 days</w:t>
            </w:r>
          </w:p>
        </w:tc>
        <w:tc>
          <w:tcPr>
            <w:tcW w:w="42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80C48" w14:textId="77777777" w:rsidR="001A464F" w:rsidRDefault="00000000">
            <w:pPr>
              <w:spacing w:line="240" w:lineRule="auto"/>
              <w:rPr>
                <w:color w:val="C00000"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Same as for the target trial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BE013" w14:textId="77777777" w:rsidR="001A464F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Mortality data extracted from the ONS mortality database in OpenSAFELY and from the NRS mortality database in EAVE II.</w:t>
            </w:r>
          </w:p>
          <w:p w14:paraId="1C702268" w14:textId="77777777" w:rsidR="001A464F" w:rsidRDefault="001A464F">
            <w:pPr>
              <w:spacing w:line="240" w:lineRule="auto"/>
              <w:rPr>
                <w:sz w:val="18"/>
                <w:szCs w:val="18"/>
              </w:rPr>
            </w:pPr>
          </w:p>
          <w:p w14:paraId="14E4A522" w14:textId="77777777" w:rsidR="001A464F" w:rsidRDefault="00000000">
            <w:p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 to hospital discharge extracted from the linked secondary care records.</w:t>
            </w:r>
          </w:p>
        </w:tc>
      </w:tr>
      <w:tr w:rsidR="001A464F" w14:paraId="3C374E75" w14:textId="77777777">
        <w:trPr>
          <w:trHeight w:val="2744"/>
        </w:trPr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ECCF5" w14:textId="77777777" w:rsidR="001A464F" w:rsidRDefault="00000000">
            <w:pPr>
              <w:spacing w:line="240" w:lineRule="auto"/>
              <w:ind w:right="14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Follow-up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9D0F5" w14:textId="77777777" w:rsidR="001A464F" w:rsidRDefault="00000000">
            <w:pPr>
              <w:shd w:val="clear" w:color="auto" w:fill="FFFFFF"/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Primary: </w:t>
            </w:r>
          </w:p>
          <w:p w14:paraId="0BA22DCF" w14:textId="77777777" w:rsidR="001A464F" w:rsidRDefault="00000000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 participant will be followed up until death, or end of 28-day follow-up, whichever occurs first.</w:t>
            </w:r>
          </w:p>
          <w:p w14:paraId="67C419C4" w14:textId="77777777" w:rsidR="001A464F" w:rsidRDefault="00000000">
            <w:p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Secondary:</w:t>
            </w:r>
          </w:p>
          <w:p w14:paraId="691D5D8D" w14:textId="77777777" w:rsidR="001A464F" w:rsidRDefault="00000000">
            <w:pPr>
              <w:numPr>
                <w:ilvl w:val="0"/>
                <w:numId w:val="3"/>
              </w:num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90-day mortality: Same as for primary endpoint</w:t>
            </w:r>
          </w:p>
          <w:p w14:paraId="269AD2E6" w14:textId="77777777" w:rsidR="001A464F" w:rsidRDefault="00000000">
            <w:pPr>
              <w:numPr>
                <w:ilvl w:val="0"/>
                <w:numId w:val="3"/>
              </w:numPr>
              <w:spacing w:line="240" w:lineRule="auto"/>
              <w:ind w:right="1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 to hospital discharge: Each participant will be followed up until hospital discharge, death, or end of 28-day follow-up, whichever occurs first.</w:t>
            </w:r>
          </w:p>
        </w:tc>
        <w:tc>
          <w:tcPr>
            <w:tcW w:w="42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991E1" w14:textId="77777777" w:rsidR="001A464F" w:rsidRDefault="00000000">
            <w:pPr>
              <w:spacing w:line="240" w:lineRule="auto"/>
              <w:rPr>
                <w:color w:val="C00000"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Same as for the target trial</w:t>
            </w:r>
          </w:p>
          <w:p w14:paraId="4A7E33CA" w14:textId="77777777" w:rsidR="001A464F" w:rsidRDefault="001A464F">
            <w:pPr>
              <w:shd w:val="clear" w:color="auto" w:fill="FFFFFF"/>
              <w:spacing w:line="240" w:lineRule="auto"/>
              <w:ind w:right="140"/>
              <w:rPr>
                <w:sz w:val="18"/>
                <w:szCs w:val="18"/>
              </w:rPr>
            </w:pPr>
          </w:p>
          <w:p w14:paraId="6695980F" w14:textId="77777777" w:rsidR="001A464F" w:rsidRDefault="001A464F">
            <w:pPr>
              <w:shd w:val="clear" w:color="auto" w:fill="FFFFFF"/>
              <w:spacing w:line="240" w:lineRule="auto"/>
              <w:ind w:right="140"/>
              <w:rPr>
                <w:sz w:val="18"/>
                <w:szCs w:val="18"/>
              </w:rPr>
            </w:pPr>
          </w:p>
          <w:p w14:paraId="13F762D3" w14:textId="77777777" w:rsidR="001A464F" w:rsidRDefault="001A464F">
            <w:pPr>
              <w:shd w:val="clear" w:color="auto" w:fill="FFFFFF"/>
              <w:spacing w:line="240" w:lineRule="auto"/>
              <w:ind w:right="140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6F74C" w14:textId="77777777" w:rsidR="001A464F" w:rsidRDefault="00000000">
            <w:pPr>
              <w:shd w:val="clear" w:color="auto" w:fill="FFFFFF"/>
              <w:spacing w:line="240" w:lineRule="auto"/>
              <w:ind w:right="140"/>
              <w:rPr>
                <w:color w:val="141413"/>
                <w:sz w:val="14"/>
                <w:szCs w:val="14"/>
              </w:rPr>
            </w:pPr>
            <w:r>
              <w:rPr>
                <w:sz w:val="18"/>
                <w:szCs w:val="18"/>
              </w:rPr>
              <w:t>For the time to discharge outcome, deaths will be treated as a censoring event with worst outcome imputation, to account for the competing risk.</w:t>
            </w:r>
          </w:p>
          <w:p w14:paraId="7E99CC63" w14:textId="77777777" w:rsidR="001A464F" w:rsidRDefault="001A464F">
            <w:pPr>
              <w:shd w:val="clear" w:color="auto" w:fill="FFFFFF"/>
              <w:spacing w:line="240" w:lineRule="auto"/>
              <w:ind w:right="140"/>
              <w:rPr>
                <w:sz w:val="18"/>
                <w:szCs w:val="18"/>
              </w:rPr>
            </w:pPr>
          </w:p>
          <w:p w14:paraId="6D42F17E" w14:textId="77777777" w:rsidR="001A464F" w:rsidRDefault="001A464F">
            <w:pPr>
              <w:shd w:val="clear" w:color="auto" w:fill="FFFFFF"/>
              <w:spacing w:line="240" w:lineRule="auto"/>
              <w:ind w:right="140"/>
              <w:rPr>
                <w:sz w:val="18"/>
                <w:szCs w:val="18"/>
              </w:rPr>
            </w:pPr>
          </w:p>
        </w:tc>
      </w:tr>
      <w:tr w:rsidR="001A464F" w14:paraId="5734A8BD" w14:textId="77777777">
        <w:trPr>
          <w:trHeight w:val="1905"/>
        </w:trPr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9B6B2" w14:textId="77777777" w:rsidR="001A464F" w:rsidRDefault="00000000">
            <w:pPr>
              <w:spacing w:line="240" w:lineRule="auto"/>
              <w:ind w:right="14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Causal contrast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29C7C" w14:textId="77777777" w:rsidR="001A464F" w:rsidRDefault="00000000">
            <w:pPr>
              <w:shd w:val="clear" w:color="auto" w:fill="FFFFFF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Intention-to-treat effect</w:t>
            </w:r>
          </w:p>
          <w:p w14:paraId="58EA285F" w14:textId="77777777" w:rsidR="001A464F" w:rsidRDefault="001A464F">
            <w:pPr>
              <w:shd w:val="clear" w:color="auto" w:fill="FFFFFF"/>
              <w:spacing w:line="240" w:lineRule="auto"/>
              <w:rPr>
                <w:sz w:val="18"/>
                <w:szCs w:val="18"/>
              </w:rPr>
            </w:pPr>
          </w:p>
          <w:p w14:paraId="2A1BB0DC" w14:textId="77777777" w:rsidR="001A464F" w:rsidRDefault="00000000">
            <w:pPr>
              <w:shd w:val="clear" w:color="auto" w:fill="FFFFFF"/>
              <w:spacing w:line="240" w:lineRule="auto"/>
              <w:rPr>
                <w:sz w:val="15"/>
                <w:szCs w:val="15"/>
              </w:rPr>
            </w:pPr>
            <w:r>
              <w:rPr>
                <w:sz w:val="18"/>
                <w:szCs w:val="18"/>
              </w:rPr>
              <w:t xml:space="preserve">Per-protocol effect, i.e., the effect if all individuals had received the treatment they were assigned/prescribed to at baseline. </w:t>
            </w:r>
          </w:p>
          <w:p w14:paraId="035CB46D" w14:textId="77777777" w:rsidR="001A464F" w:rsidRDefault="001A464F">
            <w:pPr>
              <w:shd w:val="clear" w:color="auto" w:fill="FFFFFF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27E89" w14:textId="77777777" w:rsidR="001A464F" w:rsidRDefault="001A464F">
            <w:pPr>
              <w:shd w:val="clear" w:color="auto" w:fill="FFFFFF"/>
              <w:spacing w:line="240" w:lineRule="auto"/>
              <w:rPr>
                <w:sz w:val="18"/>
                <w:szCs w:val="18"/>
              </w:rPr>
            </w:pPr>
          </w:p>
          <w:p w14:paraId="273D0571" w14:textId="77777777" w:rsidR="001A464F" w:rsidRDefault="001A464F">
            <w:pPr>
              <w:shd w:val="clear" w:color="auto" w:fill="FFFFFF"/>
              <w:spacing w:line="240" w:lineRule="auto"/>
              <w:rPr>
                <w:sz w:val="18"/>
                <w:szCs w:val="18"/>
              </w:rPr>
            </w:pPr>
          </w:p>
          <w:p w14:paraId="6B069850" w14:textId="77777777" w:rsidR="001A464F" w:rsidRDefault="00000000">
            <w:pPr>
              <w:shd w:val="clear" w:color="auto" w:fill="FFFFFF"/>
              <w:spacing w:line="240" w:lineRule="auto"/>
            </w:pPr>
            <w:r>
              <w:rPr>
                <w:sz w:val="18"/>
                <w:szCs w:val="18"/>
              </w:rPr>
              <w:t xml:space="preserve">Observational analogue of the </w:t>
            </w:r>
            <w:r>
              <w:rPr>
                <w:sz w:val="18"/>
                <w:szCs w:val="18"/>
                <w:u w:val="single"/>
              </w:rPr>
              <w:t>per-protocol effect</w:t>
            </w:r>
            <w:r>
              <w:rPr>
                <w:sz w:val="18"/>
                <w:szCs w:val="18"/>
              </w:rPr>
              <w:t xml:space="preserve">: “Effect of receiving 1 dose of tocilizumab vs receiving 1 dose of sarilumab among adults hospitalised due to COVID-19 between July 1, </w:t>
            </w:r>
            <w:proofErr w:type="gramStart"/>
            <w:r>
              <w:rPr>
                <w:sz w:val="18"/>
                <w:szCs w:val="18"/>
              </w:rPr>
              <w:t>2021</w:t>
            </w:r>
            <w:proofErr w:type="gramEnd"/>
            <w:r>
              <w:rPr>
                <w:sz w:val="18"/>
                <w:szCs w:val="18"/>
              </w:rPr>
              <w:t xml:space="preserve"> and February 28, 2022”</w:t>
            </w:r>
          </w:p>
          <w:p w14:paraId="770E3436" w14:textId="77777777" w:rsidR="001A464F" w:rsidRDefault="001A464F">
            <w:pPr>
              <w:shd w:val="clear" w:color="auto" w:fill="FFFFFF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60542" w14:textId="77777777" w:rsidR="001A464F" w:rsidRDefault="00000000">
            <w:pPr>
              <w:shd w:val="clear" w:color="auto" w:fill="FFFFFF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Only information on treatment prescription is available, therefore, we estimate a per-protocol effect. However, in the case of an intravenous in-hospital treatment among severely ill patients it is reasonable to assume that everyone received the intended treatment and thus this closely corresponds to an intention-to-treat effect.</w:t>
            </w:r>
          </w:p>
        </w:tc>
      </w:tr>
      <w:tr w:rsidR="001A464F" w14:paraId="4CE030D6" w14:textId="77777777">
        <w:trPr>
          <w:trHeight w:val="1785"/>
        </w:trPr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A4CEE" w14:textId="77777777" w:rsidR="001A464F" w:rsidRDefault="00000000">
            <w:pPr>
              <w:spacing w:line="240" w:lineRule="auto"/>
              <w:ind w:right="14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Statistical analysis</w:t>
            </w:r>
          </w:p>
        </w:tc>
        <w:tc>
          <w:tcPr>
            <w:tcW w:w="34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5FA03" w14:textId="77777777" w:rsidR="001A464F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Hazard ratios comparing the two groups, using a Cox model with follow-up time as the time scale and stratified by region. </w:t>
            </w:r>
          </w:p>
          <w:p w14:paraId="7F751DBA" w14:textId="77777777" w:rsidR="001A464F" w:rsidRDefault="001A464F">
            <w:pPr>
              <w:spacing w:line="240" w:lineRule="auto"/>
              <w:rPr>
                <w:sz w:val="18"/>
                <w:szCs w:val="18"/>
              </w:rPr>
            </w:pPr>
          </w:p>
          <w:p w14:paraId="4B026434" w14:textId="77777777" w:rsidR="001A464F" w:rsidRDefault="00000000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Subgroup analyses to assess treatment interactions: Dominant circulating variant of concern (delta variant before December 6, 2021, versus omicron BA.1 variant thereafter), COVID-19 vaccination status (none versus one or more vaccinations), age group (below 60 vs 60 years and above), sex (female versus male), ethnicity (white versus non-white), BMI (below 30 versus 30 or above), and presence versus absence of comorbidities (solid cancer, </w:t>
            </w:r>
            <w:proofErr w:type="spellStart"/>
            <w:r>
              <w:rPr>
                <w:sz w:val="18"/>
                <w:szCs w:val="18"/>
              </w:rPr>
              <w:t>hematological</w:t>
            </w:r>
            <w:proofErr w:type="spellEnd"/>
            <w:r>
              <w:rPr>
                <w:sz w:val="18"/>
                <w:szCs w:val="18"/>
              </w:rPr>
              <w:t xml:space="preserve"> disease, immunosuppressive treatment, diabetes, hypertension, chronic cardiac disease, and chronic respiratory disease).</w:t>
            </w:r>
          </w:p>
        </w:tc>
        <w:tc>
          <w:tcPr>
            <w:tcW w:w="42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AED7E" w14:textId="77777777" w:rsidR="001A464F" w:rsidRDefault="00000000">
            <w:pPr>
              <w:shd w:val="clear" w:color="auto" w:fill="FFFFFF"/>
              <w:spacing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Same as for the target trial, except:</w:t>
            </w:r>
          </w:p>
          <w:p w14:paraId="4505C301" w14:textId="77777777" w:rsidR="001A464F" w:rsidRDefault="00000000">
            <w:pPr>
              <w:shd w:val="clear" w:color="auto" w:fill="FFFFFF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adjusting for the above-mentioned covariates in the Cox model.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6DB1A" w14:textId="77777777" w:rsidR="001A464F" w:rsidRDefault="001A464F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14:paraId="4FBE6B04" w14:textId="77777777" w:rsidR="001A464F" w:rsidRDefault="00000000">
      <w:pPr>
        <w:pStyle w:val="Heading3"/>
        <w:rPr>
          <w:b/>
          <w:color w:val="000000"/>
          <w:sz w:val="20"/>
          <w:szCs w:val="20"/>
        </w:rPr>
      </w:pPr>
      <w:bookmarkStart w:id="2" w:name="_u3kqdvnphti6" w:colFirst="0" w:colLast="0"/>
      <w:bookmarkEnd w:id="2"/>
      <w:r>
        <w:br w:type="page"/>
      </w:r>
    </w:p>
    <w:p w14:paraId="571C5A29" w14:textId="77777777" w:rsidR="001A464F" w:rsidRDefault="00000000">
      <w:pPr>
        <w:pStyle w:val="Heading3"/>
        <w:rPr>
          <w:i/>
          <w:sz w:val="20"/>
          <w:szCs w:val="20"/>
        </w:rPr>
      </w:pPr>
      <w:bookmarkStart w:id="3" w:name="_4q5zajbjjo7y" w:colFirst="0" w:colLast="0"/>
      <w:bookmarkEnd w:id="3"/>
      <w:r>
        <w:rPr>
          <w:b/>
          <w:color w:val="000000"/>
          <w:sz w:val="20"/>
          <w:szCs w:val="20"/>
        </w:rPr>
        <w:lastRenderedPageBreak/>
        <w:t xml:space="preserve">Appendix Figure S1: </w:t>
      </w:r>
      <w:r>
        <w:rPr>
          <w:color w:val="000000"/>
          <w:sz w:val="20"/>
          <w:szCs w:val="20"/>
        </w:rPr>
        <w:t>Love Plot: Standardized mean differences before and after weighting</w:t>
      </w:r>
    </w:p>
    <w:p w14:paraId="75BBAB56" w14:textId="77777777" w:rsidR="001A464F" w:rsidRDefault="00000000">
      <w:pPr>
        <w:jc w:val="both"/>
        <w:rPr>
          <w:sz w:val="20"/>
          <w:szCs w:val="20"/>
        </w:rPr>
      </w:pPr>
      <w:bookmarkStart w:id="4" w:name="_ldl5kjo4jwhw" w:colFirst="0" w:colLast="0"/>
      <w:bookmarkEnd w:id="4"/>
      <w:r>
        <w:rPr>
          <w:noProof/>
          <w:sz w:val="20"/>
          <w:szCs w:val="20"/>
        </w:rPr>
        <w:drawing>
          <wp:inline distT="114300" distB="114300" distL="114300" distR="114300" wp14:anchorId="6BB58EB1" wp14:editId="2F300607">
            <wp:extent cx="6548438" cy="4361999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8438" cy="4361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A8F748" w14:textId="77777777" w:rsidR="001A464F" w:rsidRDefault="001A464F">
      <w:pPr>
        <w:jc w:val="both"/>
        <w:rPr>
          <w:sz w:val="20"/>
          <w:szCs w:val="20"/>
        </w:rPr>
      </w:pPr>
      <w:bookmarkStart w:id="5" w:name="_yxztcejbe2ez" w:colFirst="0" w:colLast="0"/>
      <w:bookmarkEnd w:id="5"/>
    </w:p>
    <w:p w14:paraId="5C23545B" w14:textId="77777777" w:rsidR="001A464F" w:rsidRDefault="001A464F">
      <w:pPr>
        <w:pStyle w:val="Heading1"/>
        <w:keepNext w:val="0"/>
        <w:keepLines w:val="0"/>
        <w:spacing w:before="480" w:line="239" w:lineRule="auto"/>
        <w:jc w:val="both"/>
        <w:rPr>
          <w:b/>
          <w:sz w:val="32"/>
          <w:szCs w:val="32"/>
        </w:rPr>
      </w:pPr>
      <w:bookmarkStart w:id="6" w:name="_x882ixlibbn" w:colFirst="0" w:colLast="0"/>
      <w:bookmarkEnd w:id="6"/>
    </w:p>
    <w:p w14:paraId="45142871" w14:textId="4CD5F1A6" w:rsidR="001A464F" w:rsidRPr="005F0285" w:rsidRDefault="001A464F" w:rsidP="005F0285">
      <w:pPr>
        <w:pStyle w:val="Heading1"/>
        <w:keepNext w:val="0"/>
        <w:keepLines w:val="0"/>
        <w:spacing w:before="480" w:line="239" w:lineRule="auto"/>
        <w:jc w:val="both"/>
        <w:rPr>
          <w:b/>
          <w:sz w:val="32"/>
          <w:szCs w:val="32"/>
        </w:rPr>
      </w:pPr>
      <w:bookmarkStart w:id="7" w:name="_xh5i0tmoomzf" w:colFirst="0" w:colLast="0"/>
      <w:bookmarkStart w:id="8" w:name="_5o7yoeq7eyi7" w:colFirst="0" w:colLast="0"/>
      <w:bookmarkEnd w:id="7"/>
      <w:bookmarkEnd w:id="8"/>
    </w:p>
    <w:sectPr w:rsidR="001A464F" w:rsidRPr="005F0285"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07D774-3C18-9344-B489-6E79A5C7D0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A0F7276-BA8F-5A4E-8CA3-6ADFA4FCD87F}"/>
    <w:embedBold r:id="rId3" w:fontKey="{7EAD4B19-C141-CB40-B66D-F56889047707}"/>
    <w:embedItalic r:id="rId4" w:fontKey="{56E006C0-EB14-F747-B56D-35DD2B988AA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9BB13F7B-9310-674D-A716-6B045E26E6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479E463-1DBD-8F40-96EC-1A6FB41F1F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0343"/>
    <w:multiLevelType w:val="multilevel"/>
    <w:tmpl w:val="AA5619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4C0AF1"/>
    <w:multiLevelType w:val="multilevel"/>
    <w:tmpl w:val="D5EAF3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64D3A98"/>
    <w:multiLevelType w:val="multilevel"/>
    <w:tmpl w:val="2E8AAD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DA0724"/>
    <w:multiLevelType w:val="multilevel"/>
    <w:tmpl w:val="35F0B8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DD72CD"/>
    <w:multiLevelType w:val="multilevel"/>
    <w:tmpl w:val="031C8F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7662DF"/>
    <w:multiLevelType w:val="multilevel"/>
    <w:tmpl w:val="A0EAA1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805926"/>
    <w:multiLevelType w:val="multilevel"/>
    <w:tmpl w:val="8AB6062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86D4726"/>
    <w:multiLevelType w:val="multilevel"/>
    <w:tmpl w:val="7856D63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A297422"/>
    <w:multiLevelType w:val="multilevel"/>
    <w:tmpl w:val="388480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96625452">
    <w:abstractNumId w:val="1"/>
  </w:num>
  <w:num w:numId="2" w16cid:durableId="582180932">
    <w:abstractNumId w:val="4"/>
  </w:num>
  <w:num w:numId="3" w16cid:durableId="1980957809">
    <w:abstractNumId w:val="2"/>
  </w:num>
  <w:num w:numId="4" w16cid:durableId="875771807">
    <w:abstractNumId w:val="3"/>
  </w:num>
  <w:num w:numId="5" w16cid:durableId="1029329721">
    <w:abstractNumId w:val="5"/>
  </w:num>
  <w:num w:numId="6" w16cid:durableId="500707045">
    <w:abstractNumId w:val="8"/>
  </w:num>
  <w:num w:numId="7" w16cid:durableId="1633367030">
    <w:abstractNumId w:val="7"/>
  </w:num>
  <w:num w:numId="8" w16cid:durableId="1477184122">
    <w:abstractNumId w:val="0"/>
  </w:num>
  <w:num w:numId="9" w16cid:durableId="4916070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64F"/>
    <w:rsid w:val="001A464F"/>
    <w:rsid w:val="005F0285"/>
    <w:rsid w:val="00AB595B"/>
    <w:rsid w:val="00BC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8DFF2D"/>
  <w15:docId w15:val="{419AEC60-3B66-B948-926E-25BDDF2B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1189</Words>
  <Characters>6782</Characters>
  <Application>Microsoft Office Word</Application>
  <DocSecurity>0</DocSecurity>
  <Lines>56</Lines>
  <Paragraphs>15</Paragraphs>
  <ScaleCrop>false</ScaleCrop>
  <Company/>
  <LinksUpToDate>false</LinksUpToDate>
  <CharactersWithSpaces>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Alain Amstutz</cp:lastModifiedBy>
  <cp:revision>3</cp:revision>
  <dcterms:created xsi:type="dcterms:W3CDTF">2025-09-24T10:18:00Z</dcterms:created>
  <dcterms:modified xsi:type="dcterms:W3CDTF">2025-09-24T10:20:00Z</dcterms:modified>
</cp:coreProperties>
</file>