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6010A" w14:textId="77777777" w:rsidR="00DA6E57" w:rsidRDefault="00DA6E57" w:rsidP="00DA6E57">
      <w:pPr>
        <w:widowControl/>
        <w:spacing w:beforeLines="50" w:before="156" w:afterLines="50" w:after="156" w:line="360" w:lineRule="auto"/>
        <w:jc w:val="left"/>
        <w:rPr>
          <w:rFonts w:ascii="Times New Roman" w:hAnsi="Times New Roman" w:cs="Times New Roman"/>
          <w:b/>
          <w:bCs/>
          <w:sz w:val="28"/>
          <w:szCs w:val="28"/>
        </w:rPr>
      </w:pPr>
      <w:r>
        <w:rPr>
          <w:rFonts w:ascii="Times New Roman" w:hAnsi="Times New Roman" w:cs="Times New Roman" w:hint="eastAsia"/>
          <w:b/>
          <w:bCs/>
          <w:sz w:val="28"/>
          <w:szCs w:val="28"/>
        </w:rPr>
        <w:t>Supplementary information</w:t>
      </w:r>
    </w:p>
    <w:p w14:paraId="7B32B3C5"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1</w:t>
      </w:r>
      <w:r>
        <w:rPr>
          <w:rFonts w:ascii="Times New Roman" w:hAnsi="Times New Roman" w:cs="Times New Roman"/>
          <w:b/>
          <w:bCs/>
          <w:sz w:val="24"/>
          <w:szCs w:val="24"/>
        </w:rPr>
        <w:t>.</w:t>
      </w:r>
      <w:r>
        <w:rPr>
          <w:rFonts w:ascii="Times New Roman" w:hAnsi="Times New Roman" w:cs="Times New Roman" w:hint="eastAsia"/>
          <w:b/>
          <w:bCs/>
          <w:sz w:val="24"/>
          <w:szCs w:val="24"/>
        </w:rPr>
        <w:t xml:space="preserve"> Sequences of 246 AhR2R3-MYB proteins</w:t>
      </w:r>
    </w:p>
    <w:p w14:paraId="63279648" w14:textId="77777777" w:rsidR="00DA6E57" w:rsidRDefault="00DA6E57" w:rsidP="00DA6E57">
      <w:pPr>
        <w:widowControl/>
        <w:spacing w:line="360" w:lineRule="auto"/>
        <w:jc w:val="left"/>
        <w:rPr>
          <w:rFonts w:ascii="Times New Roman" w:hAnsi="Times New Roman" w:cs="Times New Roman"/>
          <w:b/>
          <w:bCs/>
          <w:sz w:val="24"/>
          <w:szCs w:val="24"/>
        </w:rPr>
      </w:pPr>
    </w:p>
    <w:p w14:paraId="00BD42F8" w14:textId="77777777" w:rsidR="00DA6E57" w:rsidRDefault="00DA6E57" w:rsidP="00DA6E57">
      <w:pPr>
        <w:widowControl/>
        <w:spacing w:line="360" w:lineRule="auto"/>
        <w:jc w:val="left"/>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2</w:t>
      </w:r>
      <w:r>
        <w:rPr>
          <w:rFonts w:ascii="Times New Roman" w:hAnsi="Times New Roman" w:cs="Times New Roman"/>
          <w:b/>
          <w:bCs/>
          <w:sz w:val="24"/>
          <w:szCs w:val="24"/>
        </w:rPr>
        <w:t>.</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 xml:space="preserve">Consistent sequence alignment of the 246 R2R3-MYB domains in </w:t>
      </w:r>
      <w:r>
        <w:rPr>
          <w:rFonts w:ascii="Times New Roman" w:hAnsi="Times New Roman" w:cs="Times New Roman"/>
          <w:b/>
          <w:bCs/>
          <w:i/>
          <w:iCs/>
          <w:sz w:val="24"/>
          <w:szCs w:val="24"/>
        </w:rPr>
        <w:t>Arachis hypogaea</w:t>
      </w:r>
      <w:r>
        <w:rPr>
          <w:rFonts w:ascii="Times New Roman" w:hAnsi="Times New Roman" w:cs="Times New Roman"/>
          <w:b/>
          <w:bCs/>
          <w:sz w:val="24"/>
          <w:szCs w:val="24"/>
        </w:rPr>
        <w:t>.</w:t>
      </w:r>
    </w:p>
    <w:p w14:paraId="77BECC67" w14:textId="77777777" w:rsidR="00DA6E57" w:rsidRDefault="00DA6E57" w:rsidP="00DA6E57">
      <w:pPr>
        <w:widowControl/>
        <w:spacing w:line="360" w:lineRule="auto"/>
        <w:jc w:val="left"/>
        <w:rPr>
          <w:rFonts w:ascii="Times New Roman" w:hAnsi="Times New Roman" w:cs="Times New Roman"/>
          <w:b/>
          <w:bCs/>
          <w:sz w:val="24"/>
          <w:szCs w:val="24"/>
        </w:rPr>
      </w:pPr>
    </w:p>
    <w:p w14:paraId="6DB480FB" w14:textId="77777777" w:rsidR="00DA6E57" w:rsidRDefault="00DA6E57" w:rsidP="00DA6E57">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3</w:t>
      </w:r>
      <w:r>
        <w:rPr>
          <w:rFonts w:ascii="Times New Roman" w:hAnsi="Times New Roman" w:cs="Times New Roman"/>
          <w:b/>
          <w:bCs/>
          <w:sz w:val="24"/>
          <w:szCs w:val="24"/>
        </w:rPr>
        <w:t>.</w:t>
      </w:r>
      <w:r>
        <w:rPr>
          <w:rFonts w:ascii="Times New Roman" w:hAnsi="Times New Roman" w:cs="Times New Roman" w:hint="eastAsia"/>
          <w:b/>
          <w:bCs/>
          <w:sz w:val="24"/>
          <w:szCs w:val="24"/>
        </w:rPr>
        <w:t xml:space="preserve"> </w:t>
      </w:r>
      <w:r>
        <w:rPr>
          <w:rFonts w:ascii="Times New Roman" w:hAnsi="Times New Roman" w:cs="Times New Roman" w:hint="eastAsia"/>
          <w:sz w:val="24"/>
          <w:szCs w:val="24"/>
        </w:rPr>
        <w:t>Sequences of 11 AtR2R3-MYB proteins.</w:t>
      </w:r>
    </w:p>
    <w:p w14:paraId="40C50269" w14:textId="77777777" w:rsidR="00DA6E57" w:rsidRDefault="00DA6E57" w:rsidP="00DA6E57">
      <w:pPr>
        <w:autoSpaceDE w:val="0"/>
        <w:autoSpaceDN w:val="0"/>
        <w:adjustRightInd w:val="0"/>
        <w:spacing w:line="360" w:lineRule="auto"/>
        <w:rPr>
          <w:rFonts w:ascii="Times New Roman" w:hAnsi="Times New Roman" w:cs="Times New Roman"/>
          <w:sz w:val="24"/>
          <w:szCs w:val="24"/>
        </w:rPr>
      </w:pPr>
    </w:p>
    <w:p w14:paraId="60FA5F44" w14:textId="77777777" w:rsidR="00DA6E57" w:rsidRDefault="00DA6E57" w:rsidP="00DA6E57">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4</w:t>
      </w:r>
      <w:r>
        <w:rPr>
          <w:rFonts w:ascii="Times New Roman" w:hAnsi="Times New Roman" w:cs="Times New Roman"/>
          <w:b/>
          <w:bCs/>
          <w:sz w:val="24"/>
          <w:szCs w:val="24"/>
        </w:rPr>
        <w:t>.</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 xml:space="preserve">Phylogenetic NJ tree constructed with 126 </w:t>
      </w:r>
      <w:r>
        <w:rPr>
          <w:rFonts w:ascii="Times New Roman" w:hAnsi="Times New Roman" w:cs="Times New Roman"/>
          <w:b/>
          <w:bCs/>
          <w:i/>
          <w:iCs/>
          <w:sz w:val="24"/>
          <w:szCs w:val="24"/>
        </w:rPr>
        <w:t>Arabidopsis</w:t>
      </w:r>
      <w:r>
        <w:rPr>
          <w:rFonts w:ascii="Times New Roman" w:hAnsi="Times New Roman" w:cs="Times New Roman"/>
          <w:b/>
          <w:bCs/>
          <w:sz w:val="24"/>
          <w:szCs w:val="24"/>
        </w:rPr>
        <w:t xml:space="preserve"> and 196 peanut R2R3- MYB proteins.</w:t>
      </w:r>
      <w:r>
        <w:rPr>
          <w:rFonts w:ascii="Times New Roman" w:hAnsi="Times New Roman" w:cs="Times New Roman"/>
          <w:sz w:val="24"/>
          <w:szCs w:val="24"/>
        </w:rPr>
        <w:t xml:space="preserve"> Bootstrap values were on the branch node. Blue highlights indicate branches that are highly homologous to the </w:t>
      </w:r>
      <w:r>
        <w:rPr>
          <w:rFonts w:ascii="Times New Roman" w:hAnsi="Times New Roman" w:cs="Times New Roman"/>
          <w:i/>
          <w:iCs/>
          <w:sz w:val="24"/>
          <w:szCs w:val="24"/>
        </w:rPr>
        <w:t>Arabidopsis</w:t>
      </w:r>
      <w:r>
        <w:rPr>
          <w:rFonts w:ascii="Times New Roman" w:hAnsi="Times New Roman" w:cs="Times New Roman"/>
          <w:sz w:val="24"/>
          <w:szCs w:val="24"/>
        </w:rPr>
        <w:t xml:space="preserve"> R2R3-MYB protein.</w:t>
      </w:r>
    </w:p>
    <w:p w14:paraId="0025ADD7"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p>
    <w:p w14:paraId="408AC76E"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 xml:space="preserve">5. </w:t>
      </w:r>
      <w:r>
        <w:rPr>
          <w:rFonts w:ascii="Times New Roman" w:hAnsi="Times New Roman" w:cs="Times New Roman"/>
          <w:b/>
          <w:bCs/>
          <w:sz w:val="24"/>
          <w:szCs w:val="24"/>
        </w:rPr>
        <w:t>Molecular verification of transgenic plants.</w:t>
      </w:r>
      <w:r>
        <w:rPr>
          <w:rFonts w:ascii="Times New Roman" w:hAnsi="Times New Roman" w:cs="Times New Roman"/>
          <w:sz w:val="24"/>
          <w:szCs w:val="24"/>
        </w:rPr>
        <w:t>(A) PCR genotyping of</w:t>
      </w:r>
      <w:r>
        <w:rPr>
          <w:rFonts w:ascii="Times New Roman" w:hAnsi="Times New Roman" w:cs="Times New Roman"/>
          <w:i/>
          <w:iCs/>
          <w:sz w:val="24"/>
          <w:szCs w:val="24"/>
        </w:rPr>
        <w:t>AhDTF1</w:t>
      </w:r>
      <w:r>
        <w:rPr>
          <w:rFonts w:ascii="Times New Roman" w:hAnsi="Times New Roman" w:cs="Times New Roman"/>
          <w:sz w:val="24"/>
          <w:szCs w:val="24"/>
        </w:rPr>
        <w:t>-overexpressing </w:t>
      </w:r>
      <w:r>
        <w:rPr>
          <w:rFonts w:ascii="Times New Roman" w:hAnsi="Times New Roman" w:cs="Times New Roman"/>
          <w:i/>
          <w:iCs/>
          <w:sz w:val="24"/>
          <w:szCs w:val="24"/>
        </w:rPr>
        <w:t>Arabidopsis</w:t>
      </w:r>
      <w:r>
        <w:rPr>
          <w:rFonts w:ascii="Times New Roman" w:hAnsi="Times New Roman" w:cs="Times New Roman" w:hint="eastAsia"/>
          <w:i/>
          <w:iCs/>
          <w:sz w:val="24"/>
          <w:szCs w:val="24"/>
        </w:rPr>
        <w:t xml:space="preserve"> </w:t>
      </w:r>
      <w:r>
        <w:rPr>
          <w:rFonts w:ascii="Times New Roman" w:hAnsi="Times New Roman" w:cs="Times New Roman"/>
          <w:sz w:val="24"/>
          <w:szCs w:val="24"/>
        </w:rPr>
        <w:t>lines.(B) PCR detection of </w:t>
      </w:r>
      <w:r>
        <w:rPr>
          <w:rFonts w:ascii="Times New Roman" w:hAnsi="Times New Roman" w:cs="Times New Roman"/>
          <w:i/>
          <w:iCs/>
          <w:sz w:val="24"/>
          <w:szCs w:val="24"/>
        </w:rPr>
        <w:t>AhDTF1</w:t>
      </w:r>
      <w:r>
        <w:rPr>
          <w:rFonts w:ascii="Times New Roman" w:hAnsi="Times New Roman" w:cs="Times New Roman"/>
          <w:sz w:val="24"/>
          <w:szCs w:val="24"/>
        </w:rPr>
        <w:t>transgenes in tobacco transformants.</w:t>
      </w:r>
      <w:r>
        <w:rPr>
          <w:rFonts w:ascii="Times New Roman" w:hAnsi="Times New Roman" w:cs="Times New Roman" w:hint="eastAsia"/>
          <w:sz w:val="24"/>
          <w:szCs w:val="24"/>
        </w:rPr>
        <w:t xml:space="preserve"> </w:t>
      </w:r>
      <w:r>
        <w:rPr>
          <w:rFonts w:ascii="Times New Roman" w:hAnsi="Times New Roman" w:cs="Times New Roman"/>
          <w:sz w:val="24"/>
          <w:szCs w:val="24"/>
        </w:rPr>
        <w:t>(C) RT-PCR analysis of </w:t>
      </w:r>
      <w:r>
        <w:rPr>
          <w:rFonts w:ascii="Times New Roman" w:hAnsi="Times New Roman" w:cs="Times New Roman"/>
          <w:i/>
          <w:iCs/>
          <w:sz w:val="24"/>
          <w:szCs w:val="24"/>
        </w:rPr>
        <w:t>AhDTF1</w:t>
      </w:r>
      <w:r>
        <w:rPr>
          <w:rFonts w:ascii="Times New Roman" w:hAnsi="Times New Roman" w:cs="Times New Roman"/>
          <w:sz w:val="24"/>
          <w:szCs w:val="24"/>
        </w:rPr>
        <w:t>expression in transgenic tobacco.</w:t>
      </w:r>
    </w:p>
    <w:p w14:paraId="271194E4" w14:textId="77777777" w:rsidR="00DA6E57" w:rsidRDefault="00DA6E57" w:rsidP="00DA6E57">
      <w:pPr>
        <w:autoSpaceDE w:val="0"/>
        <w:autoSpaceDN w:val="0"/>
        <w:adjustRightInd w:val="0"/>
        <w:spacing w:line="360" w:lineRule="auto"/>
        <w:rPr>
          <w:rFonts w:ascii="Times New Roman" w:hAnsi="Times New Roman" w:cs="Times New Roman"/>
          <w:sz w:val="24"/>
          <w:szCs w:val="24"/>
        </w:rPr>
      </w:pPr>
    </w:p>
    <w:p w14:paraId="6889AD17"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 xml:space="preserve">6. </w:t>
      </w:r>
      <w:r>
        <w:rPr>
          <w:rFonts w:ascii="Times New Roman" w:hAnsi="Times New Roman" w:cs="Times New Roman"/>
          <w:b/>
          <w:bCs/>
          <w:sz w:val="24"/>
          <w:szCs w:val="24"/>
        </w:rPr>
        <w:t xml:space="preserve">Horizontal and vertical root growth of </w:t>
      </w:r>
      <w:r>
        <w:rPr>
          <w:rFonts w:ascii="Times New Roman" w:hAnsi="Times New Roman" w:cs="Times New Roman"/>
          <w:b/>
          <w:bCs/>
          <w:i/>
          <w:iCs/>
          <w:sz w:val="24"/>
          <w:szCs w:val="24"/>
        </w:rPr>
        <w:t>AhDTF1</w:t>
      </w:r>
      <w:r>
        <w:rPr>
          <w:rFonts w:ascii="Times New Roman" w:hAnsi="Times New Roman" w:cs="Times New Roman"/>
          <w:b/>
          <w:bCs/>
          <w:sz w:val="24"/>
          <w:szCs w:val="24"/>
        </w:rPr>
        <w:t>-OE tobacco and wild type under 100 mM mannitol stress for 14 days.</w:t>
      </w:r>
    </w:p>
    <w:p w14:paraId="04C24964" w14:textId="77777777" w:rsidR="00DA6E57" w:rsidRDefault="00DA6E57" w:rsidP="00DA6E57">
      <w:pPr>
        <w:autoSpaceDE w:val="0"/>
        <w:autoSpaceDN w:val="0"/>
        <w:adjustRightInd w:val="0"/>
        <w:spacing w:line="360" w:lineRule="auto"/>
        <w:rPr>
          <w:rFonts w:ascii="Times New Roman" w:hAnsi="Times New Roman" w:cs="Times New Roman"/>
          <w:sz w:val="24"/>
          <w:szCs w:val="24"/>
        </w:rPr>
      </w:pPr>
    </w:p>
    <w:p w14:paraId="2C86225F"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 xml:space="preserve">7. Seed coat color of </w:t>
      </w:r>
      <w:r>
        <w:rPr>
          <w:rFonts w:ascii="Times New Roman" w:hAnsi="Times New Roman" w:cs="Times New Roman"/>
          <w:b/>
          <w:bCs/>
          <w:i/>
          <w:iCs/>
          <w:sz w:val="24"/>
          <w:szCs w:val="24"/>
        </w:rPr>
        <w:t>AhDTF1</w:t>
      </w:r>
      <w:r>
        <w:rPr>
          <w:rFonts w:ascii="Times New Roman" w:hAnsi="Times New Roman" w:cs="Times New Roman"/>
          <w:b/>
          <w:bCs/>
          <w:sz w:val="24"/>
          <w:szCs w:val="24"/>
        </w:rPr>
        <w:t>-OE tobacco and wild type</w:t>
      </w:r>
      <w:r>
        <w:rPr>
          <w:rFonts w:ascii="Times New Roman" w:hAnsi="Times New Roman" w:cs="Times New Roman" w:hint="eastAsia"/>
          <w:b/>
          <w:bCs/>
          <w:sz w:val="24"/>
          <w:szCs w:val="24"/>
        </w:rPr>
        <w:t>.</w:t>
      </w:r>
    </w:p>
    <w:p w14:paraId="30E17453"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p>
    <w:p w14:paraId="54385783" w14:textId="77777777" w:rsidR="00DA6E57" w:rsidRDefault="00DA6E57" w:rsidP="00DA6E57">
      <w:pPr>
        <w:autoSpaceDE w:val="0"/>
        <w:autoSpaceDN w:val="0"/>
        <w:adjustRightInd w:val="0"/>
        <w:spacing w:line="360" w:lineRule="auto"/>
        <w:rPr>
          <w:rFonts w:ascii="Times New Roman" w:eastAsia="SimSun" w:hAnsi="Times New Roman" w:cs="Times New Roman"/>
          <w:b/>
          <w:bCs/>
          <w:szCs w:val="21"/>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 xml:space="preserve">8. Drought tolerant phenotype of transiently over-expressing </w:t>
      </w:r>
      <w:r>
        <w:rPr>
          <w:rFonts w:ascii="Times New Roman" w:hAnsi="Times New Roman" w:cs="Times New Roman"/>
          <w:b/>
          <w:bCs/>
          <w:i/>
          <w:iCs/>
          <w:sz w:val="24"/>
          <w:szCs w:val="24"/>
        </w:rPr>
        <w:t>AhDTF1</w:t>
      </w:r>
      <w:r>
        <w:rPr>
          <w:rFonts w:ascii="Times New Roman" w:hAnsi="Times New Roman" w:cs="Times New Roman" w:hint="eastAsia"/>
          <w:b/>
          <w:bCs/>
          <w:i/>
          <w:iCs/>
          <w:sz w:val="24"/>
          <w:szCs w:val="24"/>
        </w:rPr>
        <w:t xml:space="preserve"> </w:t>
      </w:r>
      <w:r>
        <w:rPr>
          <w:rFonts w:ascii="Times New Roman" w:hAnsi="Times New Roman" w:cs="Times New Roman" w:hint="eastAsia"/>
          <w:b/>
          <w:bCs/>
          <w:sz w:val="24"/>
          <w:szCs w:val="24"/>
        </w:rPr>
        <w:t>peanut</w:t>
      </w:r>
      <w:r>
        <w:rPr>
          <w:rFonts w:ascii="Times New Roman" w:eastAsia="SimSun" w:hAnsi="Times New Roman" w:cs="Times New Roman"/>
          <w:b/>
          <w:bCs/>
          <w:szCs w:val="21"/>
        </w:rPr>
        <w:t>.</w:t>
      </w:r>
    </w:p>
    <w:p w14:paraId="108221BF" w14:textId="77777777" w:rsidR="00DA6E57" w:rsidRDefault="00DA6E57" w:rsidP="00DA6E57">
      <w:pPr>
        <w:autoSpaceDE w:val="0"/>
        <w:autoSpaceDN w:val="0"/>
        <w:adjustRightInd w:val="0"/>
        <w:spacing w:line="360" w:lineRule="auto"/>
        <w:rPr>
          <w:rFonts w:ascii="Times New Roman" w:eastAsia="SimSun" w:hAnsi="Times New Roman" w:cs="Times New Roman"/>
          <w:b/>
          <w:bCs/>
          <w:szCs w:val="21"/>
        </w:rPr>
      </w:pPr>
    </w:p>
    <w:p w14:paraId="6B55581A"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 xml:space="preserve">9. </w:t>
      </w:r>
      <w:r>
        <w:rPr>
          <w:rFonts w:ascii="Times New Roman" w:hAnsi="Times New Roman" w:cs="Times New Roman"/>
          <w:b/>
          <w:bCs/>
          <w:sz w:val="24"/>
          <w:szCs w:val="24"/>
        </w:rPr>
        <w:t>Protein sequence alignment of AhDTF1 and AtMYB15</w:t>
      </w:r>
      <w:r>
        <w:rPr>
          <w:rFonts w:ascii="Times New Roman" w:hAnsi="Times New Roman" w:cs="Times New Roman" w:hint="eastAsia"/>
          <w:b/>
          <w:bCs/>
          <w:sz w:val="24"/>
          <w:szCs w:val="24"/>
        </w:rPr>
        <w:t>.</w:t>
      </w:r>
    </w:p>
    <w:p w14:paraId="4421D4BB"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p>
    <w:p w14:paraId="60EAEA5D" w14:textId="77777777" w:rsidR="00DA6E57" w:rsidRDefault="00DA6E57" w:rsidP="00DA6E57">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 xml:space="preserve">10. </w:t>
      </w:r>
      <w:r>
        <w:rPr>
          <w:rFonts w:ascii="Times New Roman" w:hAnsi="Times New Roman" w:cs="Times New Roman"/>
          <w:b/>
          <w:bCs/>
          <w:sz w:val="24"/>
          <w:szCs w:val="24"/>
        </w:rPr>
        <w:t xml:space="preserve">Expression patterns of </w:t>
      </w:r>
      <w:r>
        <w:rPr>
          <w:rFonts w:ascii="Times New Roman" w:hAnsi="Times New Roman" w:cs="Times New Roman"/>
          <w:b/>
          <w:bCs/>
          <w:i/>
          <w:iCs/>
          <w:sz w:val="24"/>
          <w:szCs w:val="24"/>
        </w:rPr>
        <w:t>AtMYB15</w:t>
      </w:r>
      <w:r>
        <w:rPr>
          <w:rFonts w:ascii="Times New Roman" w:hAnsi="Times New Roman" w:cs="Times New Roman"/>
          <w:b/>
          <w:bCs/>
          <w:sz w:val="24"/>
          <w:szCs w:val="24"/>
        </w:rPr>
        <w:t xml:space="preserve"> in 18 </w:t>
      </w:r>
      <w:r>
        <w:rPr>
          <w:rFonts w:ascii="Times New Roman" w:hAnsi="Times New Roman" w:cs="Times New Roman"/>
          <w:b/>
          <w:bCs/>
          <w:i/>
          <w:iCs/>
          <w:sz w:val="24"/>
          <w:szCs w:val="24"/>
        </w:rPr>
        <w:t>Arabidopsis</w:t>
      </w:r>
      <w:r>
        <w:rPr>
          <w:rFonts w:ascii="Times New Roman" w:hAnsi="Times New Roman" w:cs="Times New Roman"/>
          <w:b/>
          <w:bCs/>
          <w:sz w:val="24"/>
          <w:szCs w:val="24"/>
        </w:rPr>
        <w:t xml:space="preserve"> tissues. </w:t>
      </w:r>
      <w:r>
        <w:rPr>
          <w:rFonts w:ascii="Times New Roman" w:hAnsi="Times New Roman" w:cs="Times New Roman"/>
          <w:sz w:val="24"/>
          <w:szCs w:val="24"/>
        </w:rPr>
        <w:t xml:space="preserve">The </w:t>
      </w:r>
      <w:r>
        <w:rPr>
          <w:rFonts w:ascii="Times New Roman" w:hAnsi="Times New Roman" w:cs="Times New Roman"/>
          <w:sz w:val="24"/>
          <w:szCs w:val="24"/>
        </w:rPr>
        <w:lastRenderedPageBreak/>
        <w:t>meanings of the abbreviations of the 18 tissues were as follows: leaves 1 + 2 (7-day first and second leaves), rosette leaf # 6 (17-day sixth rosette leaf), cauline leaf (Cauline leaf over 21 days old), shoot apex, transition (14-day shoot apex, transition (before bolting)), shoot apex, inflorescence (21-day shoot apex, inflorescence (after bolting)), root (7-day root), flower, stage 15, sepals (sepals over 21 days old), flower, stage 15, petals (petals over 21 days old), flower, stage 15, stamen (stamen over 21 days old), flower, stage 15, carpels (carpels over 21 days old), silique, with seeds stage 3 (8-week silique, with seeds that mid globular to early heart embryo), silique, with seeds stage 4 (8-week silique, with seeds that early to late heart embryo), silique, with seeds stage 5 (8-week silique, with seeds that late heart to mid torpedo embryo), seed, stage 6 (8-week seed that mid to late torpedo embryos), seed, stage 7 (8-week seed that late torpedo to early walking-stick embryo), seed, stage 8 (8-week seed that walking-stick to early curled-cotyledons embryo), seed, stage 9 (8-week seed that curled-cotyledons to early green-cotyledons embryo), seed, stage 10 (8-week seed that green-cotyledons embryo). TPM values (normalized) as the gene expression levels.</w:t>
      </w:r>
    </w:p>
    <w:p w14:paraId="2F2DE939" w14:textId="77777777" w:rsidR="00DA6E57" w:rsidRDefault="00DA6E57" w:rsidP="00DA6E57">
      <w:pPr>
        <w:autoSpaceDE w:val="0"/>
        <w:autoSpaceDN w:val="0"/>
        <w:adjustRightInd w:val="0"/>
        <w:spacing w:line="360" w:lineRule="auto"/>
        <w:rPr>
          <w:rFonts w:ascii="Times New Roman" w:hAnsi="Times New Roman" w:cs="Times New Roman"/>
          <w:sz w:val="24"/>
          <w:szCs w:val="24"/>
        </w:rPr>
      </w:pPr>
    </w:p>
    <w:p w14:paraId="0F58F7B7"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11. Differentially expressed genes from two transcriptome under drought stress in peanut.</w:t>
      </w:r>
    </w:p>
    <w:p w14:paraId="6323F04F"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p>
    <w:p w14:paraId="74C6F5D1"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 xml:space="preserve">12. Primers for </w:t>
      </w:r>
      <w:proofErr w:type="spellStart"/>
      <w:r>
        <w:rPr>
          <w:rFonts w:ascii="Times New Roman" w:hAnsi="Times New Roman" w:cs="Times New Roman" w:hint="eastAsia"/>
          <w:b/>
          <w:bCs/>
          <w:sz w:val="24"/>
          <w:szCs w:val="24"/>
        </w:rPr>
        <w:t>qRT</w:t>
      </w:r>
      <w:proofErr w:type="spellEnd"/>
      <w:r>
        <w:rPr>
          <w:rFonts w:ascii="Times New Roman" w:hAnsi="Times New Roman" w:cs="Times New Roman" w:hint="eastAsia"/>
          <w:b/>
          <w:bCs/>
          <w:sz w:val="24"/>
          <w:szCs w:val="24"/>
        </w:rPr>
        <w:t>-PCR.</w:t>
      </w:r>
    </w:p>
    <w:p w14:paraId="0FD13B14"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p>
    <w:p w14:paraId="68D43452" w14:textId="77777777" w:rsidR="00DA6E57" w:rsidRDefault="00DA6E57" w:rsidP="00DA6E57">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hint="eastAsia"/>
          <w:b/>
          <w:bCs/>
          <w:sz w:val="24"/>
          <w:szCs w:val="24"/>
        </w:rPr>
        <w:t>13. Primers for vector conduction.</w:t>
      </w:r>
    </w:p>
    <w:p w14:paraId="2FE827A0" w14:textId="77777777" w:rsidR="00DA6E57" w:rsidRDefault="00DA6E57" w:rsidP="00DA6E57">
      <w:pPr>
        <w:spacing w:line="360" w:lineRule="auto"/>
        <w:rPr>
          <w:rFonts w:ascii="Times New Roman" w:hAnsi="Times New Roman" w:cs="Times New Roman"/>
          <w:sz w:val="24"/>
          <w:szCs w:val="24"/>
        </w:rPr>
      </w:pPr>
    </w:p>
    <w:p w14:paraId="61BCD7DA" w14:textId="77777777" w:rsidR="008B07A6" w:rsidRDefault="008B07A6"/>
    <w:sectPr w:rsidR="008B07A6" w:rsidSect="00DA6E57">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E57"/>
    <w:rsid w:val="00066677"/>
    <w:rsid w:val="003A4E89"/>
    <w:rsid w:val="00496D91"/>
    <w:rsid w:val="00556784"/>
    <w:rsid w:val="008B07A6"/>
    <w:rsid w:val="00987B63"/>
    <w:rsid w:val="00D31E7D"/>
    <w:rsid w:val="00DA6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C75A8"/>
  <w15:chartTrackingRefBased/>
  <w15:docId w15:val="{07AFE0B4-869F-442E-A6E9-81BB8CB95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E57"/>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DA6E5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A6E5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A6E57"/>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A6E57"/>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DA6E57"/>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DA6E57"/>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DA6E57"/>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DA6E57"/>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DA6E57"/>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E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6E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6E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6E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6E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6E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6E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6E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6E57"/>
    <w:rPr>
      <w:rFonts w:eastAsiaTheme="majorEastAsia" w:cstheme="majorBidi"/>
      <w:color w:val="272727" w:themeColor="text1" w:themeTint="D8"/>
    </w:rPr>
  </w:style>
  <w:style w:type="paragraph" w:styleId="Title">
    <w:name w:val="Title"/>
    <w:basedOn w:val="Normal"/>
    <w:next w:val="Normal"/>
    <w:link w:val="TitleChar"/>
    <w:uiPriority w:val="10"/>
    <w:qFormat/>
    <w:rsid w:val="00DA6E57"/>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A6E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6E57"/>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DA6E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6E57"/>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DA6E57"/>
    <w:rPr>
      <w:i/>
      <w:iCs/>
      <w:color w:val="404040" w:themeColor="text1" w:themeTint="BF"/>
    </w:rPr>
  </w:style>
  <w:style w:type="paragraph" w:styleId="ListParagraph">
    <w:name w:val="List Paragraph"/>
    <w:basedOn w:val="Normal"/>
    <w:uiPriority w:val="34"/>
    <w:qFormat/>
    <w:rsid w:val="00DA6E57"/>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DA6E57"/>
    <w:rPr>
      <w:i/>
      <w:iCs/>
      <w:color w:val="0F4761" w:themeColor="accent1" w:themeShade="BF"/>
    </w:rPr>
  </w:style>
  <w:style w:type="paragraph" w:styleId="IntenseQuote">
    <w:name w:val="Intense Quote"/>
    <w:basedOn w:val="Normal"/>
    <w:next w:val="Normal"/>
    <w:link w:val="IntenseQuoteChar"/>
    <w:uiPriority w:val="30"/>
    <w:qFormat/>
    <w:rsid w:val="00DA6E5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DA6E57"/>
    <w:rPr>
      <w:i/>
      <w:iCs/>
      <w:color w:val="0F4761" w:themeColor="accent1" w:themeShade="BF"/>
    </w:rPr>
  </w:style>
  <w:style w:type="character" w:styleId="IntenseReference">
    <w:name w:val="Intense Reference"/>
    <w:basedOn w:val="DefaultParagraphFont"/>
    <w:uiPriority w:val="32"/>
    <w:qFormat/>
    <w:rsid w:val="00DA6E57"/>
    <w:rPr>
      <w:b/>
      <w:bCs/>
      <w:smallCaps/>
      <w:color w:val="0F4761" w:themeColor="accent1" w:themeShade="BF"/>
      <w:spacing w:val="5"/>
    </w:rPr>
  </w:style>
  <w:style w:type="character" w:styleId="LineNumber">
    <w:name w:val="line number"/>
    <w:basedOn w:val="DefaultParagraphFont"/>
    <w:uiPriority w:val="99"/>
    <w:semiHidden/>
    <w:unhideWhenUsed/>
    <w:rsid w:val="00DA6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395</Words>
  <Characters>2285</Characters>
  <Application>Microsoft Office Word</Application>
  <DocSecurity>0</DocSecurity>
  <Lines>40</Lines>
  <Paragraphs>12</Paragraphs>
  <ScaleCrop>false</ScaleCrop>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2025-12-29T03:38:00Z</dcterms:created>
  <dcterms:modified xsi:type="dcterms:W3CDTF">2025-12-29T03:38:00Z</dcterms:modified>
</cp:coreProperties>
</file>