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3513E" w14:textId="77777777" w:rsidR="00180BE1" w:rsidRDefault="00180BE1" w:rsidP="00180BE1">
      <w:pPr>
        <w:spacing w:before="477" w:line="314" w:lineRule="exact"/>
        <w:ind w:left="144"/>
        <w:textAlignment w:val="baseline"/>
        <w:rPr>
          <w:rFonts w:ascii="Arial" w:eastAsia="Arial" w:hAnsi="Arial"/>
          <w:b/>
          <w:color w:val="000000"/>
          <w:sz w:val="28"/>
        </w:rPr>
      </w:pPr>
      <w:r>
        <w:rPr>
          <w:rFonts w:ascii="Arial" w:eastAsia="Arial" w:hAnsi="Arial"/>
          <w:b/>
          <w:color w:val="000000"/>
          <w:sz w:val="28"/>
        </w:rPr>
        <w:t>Supplementary Figures</w:t>
      </w:r>
    </w:p>
    <w:p w14:paraId="37F0A12C" w14:textId="77777777" w:rsidR="00180BE1" w:rsidRDefault="00180BE1" w:rsidP="00180BE1">
      <w:pPr>
        <w:spacing w:before="168" w:line="272" w:lineRule="exact"/>
        <w:ind w:left="144"/>
        <w:textAlignment w:val="baseline"/>
        <w:rPr>
          <w:rFonts w:ascii="Arial" w:eastAsia="Arial" w:hAnsi="Arial"/>
          <w:b/>
          <w:i/>
          <w:color w:val="000000"/>
          <w:sz w:val="24"/>
        </w:rPr>
      </w:pPr>
      <w:r>
        <w:rPr>
          <w:rFonts w:ascii="Arial" w:eastAsia="Arial" w:hAnsi="Arial"/>
          <w:b/>
          <w:i/>
          <w:color w:val="000000"/>
          <w:sz w:val="24"/>
        </w:rPr>
        <w:t>Figure S1 Phylogenetically conserved differences hallmark the three KDELRs</w:t>
      </w:r>
    </w:p>
    <w:p w14:paraId="2563F352" w14:textId="77777777" w:rsidR="00180BE1" w:rsidRDefault="00180BE1" w:rsidP="00180BE1">
      <w:pPr>
        <w:numPr>
          <w:ilvl w:val="0"/>
          <w:numId w:val="1"/>
        </w:numPr>
        <w:tabs>
          <w:tab w:val="clear" w:pos="576"/>
          <w:tab w:val="left" w:pos="720"/>
        </w:tabs>
        <w:spacing w:before="6" w:line="413" w:lineRule="exact"/>
        <w:ind w:left="720" w:right="144" w:hanging="576"/>
        <w:jc w:val="both"/>
        <w:textAlignment w:val="baseline"/>
        <w:rPr>
          <w:rFonts w:ascii="Arial" w:eastAsia="Arial" w:hAnsi="Arial"/>
          <w:i/>
          <w:color w:val="000000"/>
          <w:spacing w:val="-2"/>
          <w:sz w:val="24"/>
        </w:rPr>
      </w:pPr>
      <w:r>
        <w:rPr>
          <w:rFonts w:ascii="Arial" w:eastAsia="Arial" w:hAnsi="Arial"/>
          <w:i/>
          <w:color w:val="000000"/>
          <w:spacing w:val="-2"/>
          <w:sz w:val="24"/>
        </w:rPr>
        <w:t>Sequence alignment of the amino acid sequence of KDELR1 in different species</w:t>
      </w:r>
      <w:r>
        <w:rPr>
          <w:rFonts w:ascii="Arial" w:eastAsia="Arial" w:hAnsi="Arial"/>
          <w:color w:val="000000"/>
          <w:spacing w:val="-2"/>
          <w:sz w:val="24"/>
        </w:rPr>
        <w:t>. Upper part: the amino acid sequences of KDELR1 in different species (</w:t>
      </w:r>
      <w:r>
        <w:rPr>
          <w:rFonts w:ascii="Arial" w:eastAsia="Arial" w:hAnsi="Arial"/>
          <w:i/>
          <w:color w:val="000000"/>
          <w:spacing w:val="-2"/>
          <w:sz w:val="24"/>
        </w:rPr>
        <w:t>Mus musculus, Homo sapiens, Xenopus laevis, Felis catus, and Saccharomyces cerevisiae ERD2</w:t>
      </w:r>
      <w:r>
        <w:rPr>
          <w:rFonts w:ascii="Arial" w:eastAsia="Arial" w:hAnsi="Arial"/>
          <w:color w:val="000000"/>
          <w:spacing w:val="-2"/>
          <w:sz w:val="24"/>
        </w:rPr>
        <w:t xml:space="preserve">) were aligned with </w:t>
      </w:r>
      <w:r>
        <w:rPr>
          <w:rFonts w:ascii="Arial" w:eastAsia="Arial" w:hAnsi="Arial"/>
          <w:i/>
          <w:color w:val="000000"/>
          <w:spacing w:val="-2"/>
          <w:sz w:val="24"/>
        </w:rPr>
        <w:t>Geneious Prime</w:t>
      </w:r>
      <w:r>
        <w:rPr>
          <w:rFonts w:ascii="Arial" w:eastAsia="Arial" w:hAnsi="Arial"/>
          <w:color w:val="000000"/>
          <w:spacing w:val="-2"/>
          <w:sz w:val="24"/>
        </w:rPr>
        <w:t>. The conserved differences, the residues involved in the KDEL binding, and the TMs are highlighted by the same colour code used in Fig. 1. Bottom part: the three-dimensional structure of the human KDELR1 is predicted using the AI tool Alphafold 3. Its features are explained in Fig. 1.</w:t>
      </w:r>
    </w:p>
    <w:p w14:paraId="067A5E92" w14:textId="77777777" w:rsidR="00180BE1" w:rsidRDefault="00180BE1" w:rsidP="00180BE1">
      <w:pPr>
        <w:numPr>
          <w:ilvl w:val="0"/>
          <w:numId w:val="1"/>
        </w:numPr>
        <w:tabs>
          <w:tab w:val="clear" w:pos="576"/>
          <w:tab w:val="left" w:pos="720"/>
        </w:tabs>
        <w:spacing w:line="412" w:lineRule="exact"/>
        <w:ind w:left="720" w:right="144" w:hanging="576"/>
        <w:jc w:val="both"/>
        <w:textAlignment w:val="baseline"/>
        <w:rPr>
          <w:rFonts w:ascii="Arial" w:eastAsia="Arial" w:hAnsi="Arial"/>
          <w:i/>
          <w:color w:val="000000"/>
          <w:sz w:val="24"/>
        </w:rPr>
      </w:pPr>
      <w:r>
        <w:rPr>
          <w:rFonts w:ascii="Arial" w:eastAsia="Arial" w:hAnsi="Arial"/>
          <w:i/>
          <w:color w:val="000000"/>
          <w:sz w:val="24"/>
        </w:rPr>
        <w:t>Sequence alignment of the amino acid sequence of KDELR2 in different species</w:t>
      </w:r>
      <w:r>
        <w:rPr>
          <w:rFonts w:ascii="Arial" w:eastAsia="Arial" w:hAnsi="Arial"/>
          <w:color w:val="000000"/>
          <w:sz w:val="24"/>
        </w:rPr>
        <w:t>. For KDELR2, the conserved differences are highlighted in green. Additional colour code is as described for panel A and Fig. 1.</w:t>
      </w:r>
    </w:p>
    <w:p w14:paraId="1F8AA8FC" w14:textId="77777777" w:rsidR="00180BE1" w:rsidRDefault="00180BE1" w:rsidP="00180BE1">
      <w:pPr>
        <w:numPr>
          <w:ilvl w:val="0"/>
          <w:numId w:val="1"/>
        </w:numPr>
        <w:tabs>
          <w:tab w:val="clear" w:pos="576"/>
          <w:tab w:val="left" w:pos="720"/>
        </w:tabs>
        <w:spacing w:before="5" w:line="413" w:lineRule="exact"/>
        <w:ind w:left="720" w:right="144" w:hanging="576"/>
        <w:jc w:val="both"/>
        <w:textAlignment w:val="baseline"/>
        <w:rPr>
          <w:rFonts w:ascii="Arial" w:eastAsia="Arial" w:hAnsi="Arial"/>
          <w:i/>
          <w:color w:val="000000"/>
          <w:spacing w:val="-2"/>
          <w:sz w:val="24"/>
        </w:rPr>
      </w:pPr>
      <w:r>
        <w:rPr>
          <w:rFonts w:ascii="Arial" w:eastAsia="Arial" w:hAnsi="Arial"/>
          <w:i/>
          <w:color w:val="000000"/>
          <w:spacing w:val="-2"/>
          <w:sz w:val="24"/>
        </w:rPr>
        <w:t>Sequence alignment of the amino acid sequence of KDELR3 in different species</w:t>
      </w:r>
      <w:r>
        <w:rPr>
          <w:rFonts w:ascii="Arial" w:eastAsia="Arial" w:hAnsi="Arial"/>
          <w:color w:val="000000"/>
          <w:spacing w:val="-2"/>
          <w:sz w:val="24"/>
        </w:rPr>
        <w:t>. For KDELR3, the conserved differences are highlighted in purple—additional colour code as in panels A and B and Fig. 1.</w:t>
      </w:r>
    </w:p>
    <w:p w14:paraId="258189E4" w14:textId="77777777" w:rsidR="00180BE1" w:rsidRDefault="00180BE1" w:rsidP="00180BE1">
      <w:pPr>
        <w:spacing w:before="421" w:line="272" w:lineRule="exact"/>
        <w:ind w:left="144"/>
        <w:textAlignment w:val="baseline"/>
        <w:rPr>
          <w:rFonts w:ascii="Arial" w:eastAsia="Arial" w:hAnsi="Arial"/>
          <w:b/>
          <w:i/>
          <w:color w:val="000000"/>
          <w:sz w:val="24"/>
        </w:rPr>
      </w:pPr>
      <w:r>
        <w:rPr>
          <w:rFonts w:ascii="Arial" w:eastAsia="Arial" w:hAnsi="Arial"/>
          <w:b/>
          <w:i/>
          <w:color w:val="000000"/>
          <w:sz w:val="24"/>
        </w:rPr>
        <w:t>Figure S2 Different expression levels and functions of human KDELRs</w:t>
      </w:r>
    </w:p>
    <w:p w14:paraId="7593A819" w14:textId="77777777" w:rsidR="00180BE1" w:rsidRDefault="00180BE1" w:rsidP="00180BE1">
      <w:pPr>
        <w:numPr>
          <w:ilvl w:val="0"/>
          <w:numId w:val="2"/>
        </w:numPr>
        <w:tabs>
          <w:tab w:val="clear" w:pos="576"/>
          <w:tab w:val="left" w:pos="720"/>
        </w:tabs>
        <w:spacing w:before="141" w:line="413" w:lineRule="exact"/>
        <w:ind w:left="720" w:right="144" w:hanging="576"/>
        <w:jc w:val="both"/>
        <w:textAlignment w:val="baseline"/>
        <w:rPr>
          <w:rFonts w:ascii="Arial" w:eastAsia="Arial" w:hAnsi="Arial"/>
          <w:i/>
          <w:color w:val="000000"/>
          <w:sz w:val="24"/>
        </w:rPr>
      </w:pPr>
      <w:r>
        <w:rPr>
          <w:rFonts w:ascii="Arial" w:eastAsia="Arial" w:hAnsi="Arial"/>
          <w:i/>
          <w:color w:val="000000"/>
          <w:sz w:val="24"/>
        </w:rPr>
        <w:t xml:space="preserve">Knockdown efficiency of siRNA targeting of each KDELR isoform. </w:t>
      </w:r>
      <w:r>
        <w:rPr>
          <w:rFonts w:ascii="Arial" w:eastAsia="Arial" w:hAnsi="Arial"/>
          <w:color w:val="000000"/>
          <w:sz w:val="24"/>
        </w:rPr>
        <w:t>The abundance of mRNAs of each KDELR isoform was quantified by RT-qPCR and normalized relative to untreated controls. Results are means ± SD of at least three independent experiments. Statistical significance was calculated by one-way ANOVA followed by Dunnett's multiple comparison test (ns, not significant; *</w:t>
      </w:r>
      <w:r>
        <w:rPr>
          <w:rFonts w:ascii="Arial" w:eastAsia="Arial" w:hAnsi="Arial"/>
          <w:i/>
          <w:color w:val="000000"/>
          <w:sz w:val="24"/>
        </w:rPr>
        <w:t xml:space="preserve">p </w:t>
      </w:r>
      <w:r>
        <w:rPr>
          <w:rFonts w:ascii="Arial" w:eastAsia="Arial" w:hAnsi="Arial"/>
          <w:color w:val="000000"/>
          <w:sz w:val="24"/>
        </w:rPr>
        <w:t>= 0.0391; ***</w:t>
      </w:r>
      <w:r>
        <w:rPr>
          <w:rFonts w:ascii="Arial" w:eastAsia="Arial" w:hAnsi="Arial"/>
          <w:i/>
          <w:color w:val="000000"/>
          <w:sz w:val="24"/>
        </w:rPr>
        <w:t xml:space="preserve">p </w:t>
      </w:r>
      <w:r>
        <w:rPr>
          <w:rFonts w:ascii="Arial" w:eastAsia="Arial" w:hAnsi="Arial"/>
          <w:color w:val="000000"/>
          <w:sz w:val="24"/>
        </w:rPr>
        <w:t>= 0.0002; ****</w:t>
      </w:r>
      <w:r>
        <w:rPr>
          <w:rFonts w:ascii="Arial" w:eastAsia="Arial" w:hAnsi="Arial"/>
          <w:i/>
          <w:color w:val="000000"/>
          <w:sz w:val="24"/>
        </w:rPr>
        <w:t xml:space="preserve">p </w:t>
      </w:r>
      <w:r>
        <w:rPr>
          <w:rFonts w:ascii="Arial" w:eastAsia="Arial" w:hAnsi="Arial"/>
          <w:color w:val="000000"/>
          <w:sz w:val="24"/>
        </w:rPr>
        <w:t>= 0.0001).</w:t>
      </w:r>
    </w:p>
    <w:p w14:paraId="3CA4B0BB" w14:textId="77777777" w:rsidR="00180BE1" w:rsidRDefault="00180BE1" w:rsidP="00180BE1">
      <w:pPr>
        <w:numPr>
          <w:ilvl w:val="0"/>
          <w:numId w:val="2"/>
        </w:numPr>
        <w:tabs>
          <w:tab w:val="clear" w:pos="576"/>
          <w:tab w:val="left" w:pos="720"/>
        </w:tabs>
        <w:spacing w:before="3" w:line="413" w:lineRule="exact"/>
        <w:ind w:left="720" w:right="144" w:hanging="576"/>
        <w:jc w:val="both"/>
        <w:textAlignment w:val="baseline"/>
        <w:rPr>
          <w:rFonts w:ascii="Arial" w:eastAsia="Arial" w:hAnsi="Arial"/>
          <w:i/>
          <w:color w:val="000000"/>
          <w:spacing w:val="-2"/>
          <w:sz w:val="24"/>
        </w:rPr>
      </w:pPr>
      <w:r>
        <w:rPr>
          <w:rFonts w:ascii="Arial" w:eastAsia="Arial" w:hAnsi="Arial"/>
          <w:i/>
          <w:color w:val="000000"/>
          <w:spacing w:val="-2"/>
          <w:sz w:val="24"/>
        </w:rPr>
        <w:t>Changes in the localization of ERp44 and BiP upon isoform-specific KDELR silencing</w:t>
      </w:r>
      <w:r>
        <w:rPr>
          <w:rFonts w:ascii="Arial" w:eastAsia="Arial" w:hAnsi="Arial"/>
          <w:color w:val="000000"/>
          <w:spacing w:val="-2"/>
          <w:sz w:val="24"/>
        </w:rPr>
        <w:t>. The signal intensities of endogenous ERp44 (left) and BiP (right) under various KDELR</w:t>
      </w:r>
      <w:r>
        <w:rPr>
          <w:rFonts w:ascii="Arial" w:eastAsia="Arial" w:hAnsi="Arial"/>
          <w:color w:val="000000"/>
          <w:spacing w:val="-2"/>
          <w:sz w:val="24"/>
          <w:vertAlign w:val="superscript"/>
        </w:rPr>
        <w:t>KD</w:t>
      </w:r>
      <w:r>
        <w:rPr>
          <w:rFonts w:ascii="Arial" w:eastAsia="Arial" w:hAnsi="Arial"/>
          <w:color w:val="000000"/>
          <w:spacing w:val="-2"/>
          <w:sz w:val="24"/>
        </w:rPr>
        <w:t xml:space="preserve"> conditions were quantified based on the immunofluorescence signals shown in Figures 2C and D. Each dot in the plots corresponds to one cell analysed. Statistical significance was calculated by one-way ANOVA followed by Tukey’s multiple comparison test.</w:t>
      </w:r>
    </w:p>
    <w:p w14:paraId="151CD445" w14:textId="77777777" w:rsidR="00180BE1" w:rsidRDefault="00180BE1" w:rsidP="00180BE1">
      <w:pPr>
        <w:numPr>
          <w:ilvl w:val="0"/>
          <w:numId w:val="2"/>
        </w:numPr>
        <w:tabs>
          <w:tab w:val="clear" w:pos="576"/>
          <w:tab w:val="left" w:pos="720"/>
        </w:tabs>
        <w:spacing w:before="1" w:after="495" w:line="413" w:lineRule="exact"/>
        <w:ind w:left="720" w:right="144" w:hanging="576"/>
        <w:jc w:val="both"/>
        <w:textAlignment w:val="baseline"/>
        <w:rPr>
          <w:rFonts w:ascii="Arial" w:eastAsia="Arial" w:hAnsi="Arial"/>
          <w:i/>
          <w:color w:val="000000"/>
          <w:spacing w:val="-3"/>
          <w:sz w:val="24"/>
        </w:rPr>
      </w:pPr>
      <w:r>
        <w:rPr>
          <w:rFonts w:ascii="Arial" w:eastAsia="Arial" w:hAnsi="Arial"/>
          <w:i/>
          <w:color w:val="000000"/>
          <w:spacing w:val="-3"/>
          <w:sz w:val="24"/>
        </w:rPr>
        <w:t xml:space="preserve">ERp44 proceeds along the secretory pathway upon KDELR silencing. </w:t>
      </w:r>
      <w:r>
        <w:rPr>
          <w:rFonts w:ascii="Arial" w:eastAsia="Arial" w:hAnsi="Arial"/>
          <w:color w:val="000000"/>
          <w:spacing w:val="-3"/>
          <w:sz w:val="24"/>
        </w:rPr>
        <w:t>Pearson’s correlation coefficients of endogenous ERp44 and GM130 under various KDELR</w:t>
      </w:r>
      <w:r>
        <w:rPr>
          <w:rFonts w:ascii="Arial" w:eastAsia="Arial" w:hAnsi="Arial"/>
          <w:color w:val="000000"/>
          <w:spacing w:val="-3"/>
          <w:sz w:val="24"/>
          <w:vertAlign w:val="superscript"/>
        </w:rPr>
        <w:t>KD</w:t>
      </w:r>
      <w:r>
        <w:rPr>
          <w:rFonts w:ascii="Arial" w:eastAsia="Arial" w:hAnsi="Arial"/>
          <w:color w:val="000000"/>
          <w:spacing w:val="-3"/>
          <w:sz w:val="24"/>
        </w:rPr>
        <w:t xml:space="preserve"> conditions were calculated based on the immunofluorescence signals</w:t>
      </w:r>
    </w:p>
    <w:p w14:paraId="0E0828D8" w14:textId="77777777" w:rsidR="00180BE1" w:rsidRDefault="00180BE1" w:rsidP="00180BE1">
      <w:pPr>
        <w:spacing w:before="1" w:after="495" w:line="413" w:lineRule="exact"/>
        <w:sectPr w:rsidR="00180BE1" w:rsidSect="00180BE1">
          <w:pgSz w:w="11904" w:h="16838"/>
          <w:pgMar w:top="720" w:right="1252" w:bottom="602" w:left="1292" w:header="720" w:footer="720" w:gutter="0"/>
          <w:cols w:space="720"/>
        </w:sectPr>
      </w:pPr>
    </w:p>
    <w:p w14:paraId="6A13AEC6" w14:textId="77777777" w:rsidR="00180BE1" w:rsidRDefault="00180BE1" w:rsidP="00180BE1">
      <w:pPr>
        <w:spacing w:before="27" w:line="266" w:lineRule="exact"/>
        <w:textAlignment w:val="baseline"/>
        <w:rPr>
          <w:rFonts w:ascii="Calibri" w:eastAsia="Calibri" w:hAnsi="Calibri"/>
          <w:color w:val="000000"/>
          <w:sz w:val="24"/>
        </w:rPr>
      </w:pPr>
      <w:r>
        <w:rPr>
          <w:rFonts w:ascii="Calibri" w:eastAsia="Calibri" w:hAnsi="Calibri"/>
          <w:color w:val="000000"/>
          <w:sz w:val="24"/>
        </w:rPr>
        <w:t>39</w:t>
      </w:r>
    </w:p>
    <w:p w14:paraId="1024C6A3" w14:textId="77777777" w:rsidR="00180BE1" w:rsidRDefault="00180BE1" w:rsidP="00180BE1">
      <w:pPr>
        <w:sectPr w:rsidR="00180BE1" w:rsidSect="00180BE1">
          <w:type w:val="continuous"/>
          <w:pgSz w:w="11904" w:h="16838"/>
          <w:pgMar w:top="720" w:right="1368" w:bottom="602" w:left="10176" w:header="720" w:footer="720" w:gutter="0"/>
          <w:cols w:space="720"/>
        </w:sectPr>
      </w:pPr>
    </w:p>
    <w:p w14:paraId="6DE5137C" w14:textId="77777777" w:rsidR="00180BE1" w:rsidRDefault="00180BE1" w:rsidP="00180BE1">
      <w:pPr>
        <w:tabs>
          <w:tab w:val="right" w:pos="9216"/>
        </w:tabs>
        <w:spacing w:before="19" w:line="247" w:lineRule="exact"/>
        <w:ind w:left="144"/>
        <w:textAlignment w:val="baseline"/>
        <w:rPr>
          <w:rFonts w:ascii="Arial" w:eastAsia="Arial" w:hAnsi="Arial"/>
          <w:i/>
          <w:color w:val="000000"/>
        </w:rPr>
      </w:pPr>
      <w:r>
        <w:rPr>
          <w:rFonts w:ascii="Arial" w:eastAsia="Arial" w:hAnsi="Arial"/>
          <w:i/>
          <w:color w:val="000000"/>
        </w:rPr>
        <w:lastRenderedPageBreak/>
        <w:t>Palazzo et al.</w:t>
      </w:r>
      <w:r>
        <w:rPr>
          <w:rFonts w:ascii="Arial" w:eastAsia="Arial" w:hAnsi="Arial"/>
          <w:i/>
          <w:color w:val="000000"/>
        </w:rPr>
        <w:tab/>
        <w:t>KDELR-Dependent Control of AGR2 Biogenesis</w:t>
      </w:r>
    </w:p>
    <w:p w14:paraId="082965B3" w14:textId="77777777" w:rsidR="00180BE1" w:rsidRDefault="00180BE1" w:rsidP="00180BE1">
      <w:pPr>
        <w:spacing w:before="335" w:line="413" w:lineRule="exact"/>
        <w:ind w:left="720" w:right="144"/>
        <w:jc w:val="both"/>
        <w:textAlignment w:val="baseline"/>
        <w:rPr>
          <w:rFonts w:ascii="Arial" w:eastAsia="Arial" w:hAnsi="Arial"/>
          <w:color w:val="000000"/>
          <w:spacing w:val="-4"/>
          <w:sz w:val="24"/>
        </w:rPr>
      </w:pPr>
      <w:r>
        <w:rPr>
          <w:rFonts w:ascii="Arial" w:eastAsia="Arial" w:hAnsi="Arial"/>
          <w:color w:val="000000"/>
          <w:spacing w:val="-4"/>
          <w:sz w:val="24"/>
        </w:rPr>
        <w:t>shown in Figure 2C. The ERp44 signals in double KDELR12</w:t>
      </w:r>
      <w:r>
        <w:rPr>
          <w:rFonts w:ascii="Arial" w:eastAsia="Arial" w:hAnsi="Arial"/>
          <w:color w:val="000000"/>
          <w:spacing w:val="-4"/>
          <w:sz w:val="24"/>
          <w:vertAlign w:val="superscript"/>
        </w:rPr>
        <w:t>KD</w:t>
      </w:r>
      <w:r>
        <w:rPr>
          <w:rFonts w:ascii="Arial" w:eastAsia="Arial" w:hAnsi="Arial"/>
          <w:color w:val="000000"/>
          <w:spacing w:val="-4"/>
          <w:sz w:val="24"/>
        </w:rPr>
        <w:t xml:space="preserve"> and KDELR123</w:t>
      </w:r>
      <w:r>
        <w:rPr>
          <w:rFonts w:ascii="Arial" w:eastAsia="Arial" w:hAnsi="Arial"/>
          <w:color w:val="000000"/>
          <w:spacing w:val="-4"/>
          <w:sz w:val="24"/>
          <w:vertAlign w:val="superscript"/>
        </w:rPr>
        <w:t>KD</w:t>
      </w:r>
      <w:r>
        <w:rPr>
          <w:rFonts w:ascii="Arial" w:eastAsia="Arial" w:hAnsi="Arial"/>
          <w:color w:val="000000"/>
          <w:spacing w:val="-4"/>
          <w:sz w:val="17"/>
        </w:rPr>
        <w:t xml:space="preserve"> </w:t>
      </w:r>
      <w:r>
        <w:rPr>
          <w:rFonts w:ascii="Arial" w:eastAsia="Arial" w:hAnsi="Arial"/>
          <w:color w:val="000000"/>
          <w:spacing w:val="-4"/>
          <w:sz w:val="24"/>
        </w:rPr>
        <w:t>cells were too weak to unequivocally localize and quantify. Statistical significance was calculated by one-way ANOVA followed by Tukey's multiple comparison test (****</w:t>
      </w:r>
      <w:r>
        <w:rPr>
          <w:rFonts w:ascii="Arial" w:eastAsia="Arial" w:hAnsi="Arial"/>
          <w:i/>
          <w:color w:val="000000"/>
          <w:spacing w:val="-4"/>
          <w:sz w:val="24"/>
        </w:rPr>
        <w:t xml:space="preserve">p </w:t>
      </w:r>
      <w:r>
        <w:rPr>
          <w:rFonts w:ascii="Arial" w:eastAsia="Arial" w:hAnsi="Arial"/>
          <w:color w:val="000000"/>
          <w:spacing w:val="-4"/>
          <w:sz w:val="24"/>
        </w:rPr>
        <w:t>&lt;0.0001). The experiment was repeated three times independently, and the results were consistent each time.</w:t>
      </w:r>
    </w:p>
    <w:p w14:paraId="372F3C00" w14:textId="77777777" w:rsidR="00180BE1" w:rsidRDefault="00180BE1" w:rsidP="00180BE1">
      <w:pPr>
        <w:spacing w:before="4" w:line="413" w:lineRule="exact"/>
        <w:ind w:left="720" w:right="144" w:hanging="576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D.</w:t>
      </w:r>
      <w:r>
        <w:rPr>
          <w:rFonts w:ascii="Arial" w:eastAsia="Arial" w:hAnsi="Arial"/>
          <w:color w:val="000000"/>
          <w:sz w:val="24"/>
        </w:rPr>
        <w:tab/>
      </w:r>
      <w:r>
        <w:rPr>
          <w:rFonts w:ascii="Arial" w:eastAsia="Arial" w:hAnsi="Arial"/>
          <w:color w:val="000000"/>
          <w:sz w:val="24"/>
        </w:rPr>
        <w:tab/>
      </w:r>
      <w:r>
        <w:rPr>
          <w:rFonts w:ascii="Arial" w:eastAsia="Arial" w:hAnsi="Arial"/>
          <w:i/>
          <w:color w:val="000000"/>
          <w:sz w:val="24"/>
        </w:rPr>
        <w:t xml:space="preserve">Different basal levels of the three KDELRs in HeLa cells. </w:t>
      </w:r>
      <w:r>
        <w:rPr>
          <w:rFonts w:ascii="Arial" w:eastAsia="Arial" w:hAnsi="Arial"/>
          <w:color w:val="000000"/>
          <w:sz w:val="24"/>
        </w:rPr>
        <w:t xml:space="preserve">The average Ct and SD </w:t>
      </w:r>
      <w:r>
        <w:rPr>
          <w:rFonts w:ascii="Arial" w:eastAsia="Arial" w:hAnsi="Arial"/>
          <w:color w:val="000000"/>
          <w:sz w:val="24"/>
        </w:rPr>
        <w:br/>
        <w:t>of 10 different RT-qPCR experiments were calculated. Clearly, KDELR2 is more abundant than KDELRs 1 and 3. Statistical significance was calculated by an unpaired Student's t-test.</w:t>
      </w:r>
    </w:p>
    <w:p w14:paraId="2A1D99C7" w14:textId="77777777" w:rsidR="00180BE1" w:rsidRDefault="00180BE1" w:rsidP="00180BE1">
      <w:pPr>
        <w:spacing w:before="413" w:line="415" w:lineRule="exact"/>
        <w:ind w:left="144" w:right="144"/>
        <w:jc w:val="both"/>
        <w:textAlignment w:val="baseline"/>
        <w:rPr>
          <w:rFonts w:ascii="Arial" w:eastAsia="Arial" w:hAnsi="Arial"/>
          <w:b/>
          <w:color w:val="000000"/>
          <w:sz w:val="24"/>
        </w:rPr>
      </w:pPr>
      <w:r>
        <w:rPr>
          <w:rFonts w:ascii="Arial" w:eastAsia="Arial" w:hAnsi="Arial"/>
          <w:b/>
          <w:color w:val="000000"/>
          <w:sz w:val="24"/>
        </w:rPr>
        <w:t>Figure S3 Proximity networks of KDELR isoforms 1, 2, or 3 identified by BioID2 technology</w:t>
      </w:r>
    </w:p>
    <w:p w14:paraId="4CA12F99" w14:textId="77777777" w:rsidR="00180BE1" w:rsidRDefault="00180BE1" w:rsidP="00180BE1">
      <w:pPr>
        <w:spacing w:before="4" w:line="413" w:lineRule="exact"/>
        <w:ind w:left="720" w:right="144" w:hanging="576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A.</w:t>
      </w:r>
      <w:r>
        <w:rPr>
          <w:rFonts w:ascii="Arial" w:eastAsia="Arial" w:hAnsi="Arial"/>
          <w:color w:val="000000"/>
          <w:sz w:val="24"/>
        </w:rPr>
        <w:tab/>
      </w:r>
      <w:r>
        <w:rPr>
          <w:rFonts w:ascii="Arial" w:eastAsia="Arial" w:hAnsi="Arial"/>
          <w:color w:val="000000"/>
          <w:sz w:val="24"/>
        </w:rPr>
        <w:tab/>
        <w:t xml:space="preserve">Biotinylated proteins recovered from HEK293T cell lysates overexpressing each </w:t>
      </w:r>
      <w:r>
        <w:rPr>
          <w:rFonts w:ascii="Arial" w:eastAsia="Arial" w:hAnsi="Arial"/>
          <w:color w:val="000000"/>
          <w:sz w:val="24"/>
        </w:rPr>
        <w:br/>
        <w:t>BioID2-KDELR1/2/3 were separated by SDS-PAGE and visualized by silver staining. To identify interacting proteins, gel slices were subjected to trypsin digestion and mass spectrometry analysis.</w:t>
      </w:r>
    </w:p>
    <w:p w14:paraId="5EABE549" w14:textId="77777777" w:rsidR="00180BE1" w:rsidRDefault="00180BE1" w:rsidP="00180BE1">
      <w:pPr>
        <w:spacing w:line="413" w:lineRule="exact"/>
        <w:ind w:left="720" w:right="144" w:hanging="576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B.</w:t>
      </w:r>
      <w:r>
        <w:rPr>
          <w:rFonts w:ascii="Arial" w:eastAsia="Arial" w:hAnsi="Arial"/>
          <w:color w:val="000000"/>
          <w:sz w:val="24"/>
        </w:rPr>
        <w:tab/>
      </w:r>
      <w:r>
        <w:rPr>
          <w:rFonts w:ascii="Arial" w:eastAsia="Arial" w:hAnsi="Arial"/>
          <w:color w:val="000000"/>
          <w:sz w:val="24"/>
        </w:rPr>
        <w:tab/>
        <w:t xml:space="preserve">KDEL-like motif-bearing proteins identified by the above method are classified </w:t>
      </w:r>
      <w:r>
        <w:rPr>
          <w:rFonts w:ascii="Arial" w:eastAsia="Arial" w:hAnsi="Arial"/>
          <w:color w:val="000000"/>
          <w:sz w:val="24"/>
        </w:rPr>
        <w:br/>
        <w:t>based on their preferential binding to the different KDELR isoforms, as shown in coloured rectangles.</w:t>
      </w:r>
    </w:p>
    <w:p w14:paraId="03880028" w14:textId="77777777" w:rsidR="00180BE1" w:rsidRDefault="00180BE1" w:rsidP="00180BE1">
      <w:pPr>
        <w:spacing w:before="4" w:line="413" w:lineRule="exact"/>
        <w:ind w:left="720" w:right="144" w:hanging="576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C. The image summarizes the number of KDEL-like motif-bearing proteins associated with each KDELR isoform. Table S1 also shows a list of proteins identified in the BioID2 experiment, as shown in panel A.</w:t>
      </w:r>
    </w:p>
    <w:p w14:paraId="137AC1D2" w14:textId="77777777" w:rsidR="00180BE1" w:rsidRDefault="00180BE1" w:rsidP="00180BE1">
      <w:pPr>
        <w:spacing w:before="413" w:line="415" w:lineRule="exact"/>
        <w:ind w:left="144" w:right="144"/>
        <w:jc w:val="both"/>
        <w:textAlignment w:val="baseline"/>
        <w:rPr>
          <w:rFonts w:ascii="Arial" w:eastAsia="Arial" w:hAnsi="Arial"/>
          <w:b/>
          <w:color w:val="000000"/>
          <w:sz w:val="24"/>
        </w:rPr>
      </w:pPr>
      <w:r>
        <w:rPr>
          <w:rFonts w:ascii="Arial" w:eastAsia="Arial" w:hAnsi="Arial"/>
          <w:b/>
          <w:color w:val="000000"/>
          <w:sz w:val="24"/>
        </w:rPr>
        <w:t>Figure S4 The signalling pathway controlling AGR2 transcript levels is conserved in pancreatic cancer cells and independent from the UPR</w:t>
      </w:r>
    </w:p>
    <w:p w14:paraId="676A4D1C" w14:textId="77777777" w:rsidR="00180BE1" w:rsidRDefault="00180BE1" w:rsidP="00180BE1">
      <w:pPr>
        <w:spacing w:line="413" w:lineRule="exact"/>
        <w:ind w:left="144" w:right="144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The abundance of transcripts originating from the indicated genes was quantified by qRT-PCR experiments with specific oligonucleotides.</w:t>
      </w:r>
    </w:p>
    <w:p w14:paraId="741D115F" w14:textId="77777777" w:rsidR="00180BE1" w:rsidRDefault="00180BE1" w:rsidP="00180BE1">
      <w:pPr>
        <w:numPr>
          <w:ilvl w:val="0"/>
          <w:numId w:val="3"/>
        </w:numPr>
        <w:tabs>
          <w:tab w:val="clear" w:pos="576"/>
          <w:tab w:val="left" w:pos="720"/>
        </w:tabs>
        <w:spacing w:before="4" w:line="413" w:lineRule="exact"/>
        <w:ind w:left="720" w:right="144" w:hanging="576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ERp44, PDI, GRP94, and BIP show an increase, especially under KDELR123 KD (grey bars). Only a slight increase can be observed in these conditions for ERp46. Average of 4 to 10 independent experiments -/+ SEM. An Unpaired T-Test was used for statistical analysis.</w:t>
      </w:r>
    </w:p>
    <w:p w14:paraId="1A30606D" w14:textId="77777777" w:rsidR="00180BE1" w:rsidRDefault="00180BE1" w:rsidP="00180BE1">
      <w:pPr>
        <w:numPr>
          <w:ilvl w:val="0"/>
          <w:numId w:val="3"/>
        </w:numPr>
        <w:tabs>
          <w:tab w:val="clear" w:pos="576"/>
          <w:tab w:val="left" w:pos="720"/>
        </w:tabs>
        <w:spacing w:before="35" w:line="413" w:lineRule="exact"/>
        <w:ind w:left="3456" w:hanging="3312"/>
        <w:jc w:val="right"/>
        <w:textAlignment w:val="baseline"/>
        <w:rPr>
          <w:rFonts w:ascii="Arial" w:eastAsia="Arial" w:hAnsi="Arial"/>
          <w:color w:val="000000"/>
          <w:spacing w:val="-15"/>
          <w:w w:val="95"/>
          <w:sz w:val="24"/>
        </w:rPr>
      </w:pPr>
      <w:r>
        <w:rPr>
          <w:rFonts w:ascii="Arial" w:eastAsia="Arial" w:hAnsi="Arial"/>
          <w:color w:val="000000"/>
          <w:spacing w:val="-15"/>
          <w:w w:val="95"/>
          <w:sz w:val="24"/>
        </w:rPr>
        <w:lastRenderedPageBreak/>
        <w:t xml:space="preserve">Triple KDELR KD induces a general UPR by upregulating almost all genes analysed. Interestingly, CHOP is induced both by KR1 and KR3 silencing, further suggesting that AGR2 regulation (which goes oppositely under KR1KD) is </w:t>
      </w:r>
      <w:r>
        <w:rPr>
          <w:rFonts w:ascii="Calibri" w:eastAsia="Calibri" w:hAnsi="Calibri"/>
          <w:color w:val="000000"/>
          <w:spacing w:val="-15"/>
          <w:w w:val="95"/>
          <w:sz w:val="23"/>
        </w:rPr>
        <w:t>40</w:t>
      </w:r>
    </w:p>
    <w:p w14:paraId="4CEFF343" w14:textId="77777777" w:rsidR="00180BE1" w:rsidRDefault="00180BE1" w:rsidP="00180BE1">
      <w:pPr>
        <w:sectPr w:rsidR="00180BE1" w:rsidSect="00180BE1">
          <w:pgSz w:w="11904" w:h="16838"/>
          <w:pgMar w:top="720" w:right="1257" w:bottom="602" w:left="1287" w:header="720" w:footer="720" w:gutter="0"/>
          <w:cols w:space="720"/>
        </w:sectPr>
      </w:pPr>
    </w:p>
    <w:p w14:paraId="2C543DFD" w14:textId="77777777" w:rsidR="00180BE1" w:rsidRDefault="00180BE1" w:rsidP="00180BE1">
      <w:pPr>
        <w:tabs>
          <w:tab w:val="left" w:pos="4464"/>
        </w:tabs>
        <w:spacing w:before="19" w:line="247" w:lineRule="exact"/>
        <w:ind w:left="144"/>
        <w:jc w:val="both"/>
        <w:textAlignment w:val="baseline"/>
        <w:rPr>
          <w:rFonts w:ascii="Arial" w:eastAsia="Arial" w:hAnsi="Arial"/>
          <w:i/>
          <w:color w:val="000000"/>
        </w:rPr>
      </w:pPr>
      <w:r>
        <w:rPr>
          <w:rFonts w:ascii="Arial" w:eastAsia="Arial" w:hAnsi="Arial"/>
          <w:i/>
          <w:color w:val="000000"/>
        </w:rPr>
        <w:lastRenderedPageBreak/>
        <w:t>Palazzo et al.</w:t>
      </w:r>
      <w:r>
        <w:rPr>
          <w:rFonts w:ascii="Arial" w:eastAsia="Arial" w:hAnsi="Arial"/>
          <w:i/>
          <w:color w:val="000000"/>
        </w:rPr>
        <w:tab/>
        <w:t>KDELR-Dependent Control of AGR2 Biogenesis</w:t>
      </w:r>
    </w:p>
    <w:p w14:paraId="36DAD4EC" w14:textId="77777777" w:rsidR="00180BE1" w:rsidRDefault="00180BE1" w:rsidP="00180BE1">
      <w:pPr>
        <w:spacing w:before="331" w:line="413" w:lineRule="exact"/>
        <w:ind w:left="720" w:right="144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independent from UPR. Average of 3 to 4 independent experiments -/+ SEM. An Unpaired T-Test was used for statistical analysis.</w:t>
      </w:r>
    </w:p>
    <w:p w14:paraId="04273C8D" w14:textId="77777777" w:rsidR="00180BE1" w:rsidRDefault="00180BE1" w:rsidP="00180BE1">
      <w:pPr>
        <w:numPr>
          <w:ilvl w:val="0"/>
          <w:numId w:val="3"/>
        </w:numPr>
        <w:tabs>
          <w:tab w:val="left" w:pos="720"/>
        </w:tabs>
        <w:spacing w:before="4" w:line="413" w:lineRule="exact"/>
        <w:ind w:left="720" w:right="144" w:hanging="504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As indicated, bxPC3 cells were subjected to the downregulation of ERp44 or the single KDELRs. Also in BxPC3, ERp44KD or KDELR3 KD induces an upregulation of AGR2 transcripts. Average of 4 independent experiments +/-SEM. Statistical significance was calculated by a paired Student's t-test.</w:t>
      </w:r>
    </w:p>
    <w:p w14:paraId="704AA664" w14:textId="77777777" w:rsidR="00180BE1" w:rsidRDefault="00180BE1" w:rsidP="00180BE1">
      <w:pPr>
        <w:spacing w:before="560" w:line="271" w:lineRule="exact"/>
        <w:ind w:left="144"/>
        <w:textAlignment w:val="baseline"/>
        <w:rPr>
          <w:rFonts w:ascii="Arial" w:eastAsia="Arial" w:hAnsi="Arial"/>
          <w:b/>
          <w:color w:val="000000"/>
          <w:sz w:val="24"/>
        </w:rPr>
      </w:pPr>
      <w:r>
        <w:rPr>
          <w:rFonts w:ascii="Arial" w:eastAsia="Arial" w:hAnsi="Arial"/>
          <w:b/>
          <w:color w:val="000000"/>
          <w:sz w:val="24"/>
        </w:rPr>
        <w:t>Figure S5 Transcriptional differences after KDELRs or ERp44 downregulation</w:t>
      </w:r>
    </w:p>
    <w:p w14:paraId="7ADE3ADE" w14:textId="77777777" w:rsidR="00180BE1" w:rsidRDefault="00180BE1" w:rsidP="00180BE1">
      <w:pPr>
        <w:numPr>
          <w:ilvl w:val="0"/>
          <w:numId w:val="4"/>
        </w:numPr>
        <w:tabs>
          <w:tab w:val="clear" w:pos="504"/>
          <w:tab w:val="left" w:pos="720"/>
        </w:tabs>
        <w:spacing w:line="412" w:lineRule="exact"/>
        <w:ind w:left="720" w:right="144" w:hanging="504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The image highlights the genes whose differential expression governs the PCA variance in Figure 6A.</w:t>
      </w:r>
    </w:p>
    <w:p w14:paraId="3A855042" w14:textId="77777777" w:rsidR="00180BE1" w:rsidRDefault="00180BE1" w:rsidP="00180BE1">
      <w:pPr>
        <w:numPr>
          <w:ilvl w:val="0"/>
          <w:numId w:val="4"/>
        </w:numPr>
        <w:tabs>
          <w:tab w:val="clear" w:pos="504"/>
          <w:tab w:val="left" w:pos="720"/>
        </w:tabs>
        <w:spacing w:line="412" w:lineRule="exact"/>
        <w:ind w:left="720" w:right="144" w:hanging="504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Gene Ontology Biological Process Enrichment. Dotplot of the top 20 (ordered by FDR) significant biological processes in UP (top panel) and DOWN (bottom panel) regulated genes (FDR &lt; 0.05 and log2FC &gt;1). The panel highlights mainly processes upregulated both upon KDELR3</w:t>
      </w:r>
      <w:r>
        <w:rPr>
          <w:rFonts w:ascii="Arial" w:eastAsia="Arial" w:hAnsi="Arial"/>
          <w:color w:val="000000"/>
          <w:sz w:val="24"/>
          <w:vertAlign w:val="superscript"/>
        </w:rPr>
        <w:t>KD</w:t>
      </w:r>
      <w:r>
        <w:rPr>
          <w:rFonts w:ascii="Arial" w:eastAsia="Arial" w:hAnsi="Arial"/>
          <w:color w:val="000000"/>
          <w:sz w:val="24"/>
        </w:rPr>
        <w:t xml:space="preserve"> and ERp44</w:t>
      </w:r>
      <w:r>
        <w:rPr>
          <w:rFonts w:ascii="Arial" w:eastAsia="Arial" w:hAnsi="Arial"/>
          <w:color w:val="000000"/>
          <w:sz w:val="24"/>
          <w:vertAlign w:val="superscript"/>
        </w:rPr>
        <w:t>KD,</w:t>
      </w:r>
      <w:r>
        <w:rPr>
          <w:rFonts w:ascii="Arial" w:eastAsia="Arial" w:hAnsi="Arial"/>
          <w:color w:val="000000"/>
          <w:sz w:val="24"/>
        </w:rPr>
        <w:t xml:space="preserve"> as well as processes downregulated both upon KDELR2</w:t>
      </w:r>
      <w:r>
        <w:rPr>
          <w:rFonts w:ascii="Arial" w:eastAsia="Arial" w:hAnsi="Arial"/>
          <w:color w:val="000000"/>
          <w:sz w:val="24"/>
          <w:vertAlign w:val="superscript"/>
        </w:rPr>
        <w:t>KD</w:t>
      </w:r>
      <w:r>
        <w:rPr>
          <w:rFonts w:ascii="Arial" w:eastAsia="Arial" w:hAnsi="Arial"/>
          <w:color w:val="000000"/>
          <w:sz w:val="24"/>
        </w:rPr>
        <w:t xml:space="preserve"> and KDELR3</w:t>
      </w:r>
      <w:r>
        <w:rPr>
          <w:rFonts w:ascii="Arial" w:eastAsia="Arial" w:hAnsi="Arial"/>
          <w:color w:val="000000"/>
          <w:sz w:val="24"/>
          <w:vertAlign w:val="superscript"/>
        </w:rPr>
        <w:t>KD</w:t>
      </w:r>
      <w:r>
        <w:rPr>
          <w:rFonts w:ascii="Arial" w:eastAsia="Arial" w:hAnsi="Arial"/>
          <w:color w:val="000000"/>
          <w:sz w:val="24"/>
        </w:rPr>
        <w:t>.</w:t>
      </w:r>
    </w:p>
    <w:p w14:paraId="2764C653" w14:textId="77777777" w:rsidR="00180BE1" w:rsidRDefault="00180BE1" w:rsidP="00180BE1">
      <w:pPr>
        <w:spacing w:before="446" w:line="392" w:lineRule="exact"/>
        <w:ind w:left="720" w:right="144" w:hanging="576"/>
        <w:jc w:val="both"/>
        <w:textAlignment w:val="baseline"/>
        <w:rPr>
          <w:rFonts w:ascii="Arial" w:eastAsia="Arial" w:hAnsi="Arial"/>
          <w:b/>
          <w:color w:val="000000"/>
          <w:sz w:val="24"/>
        </w:rPr>
      </w:pPr>
      <w:r>
        <w:rPr>
          <w:rFonts w:ascii="Arial" w:eastAsia="Arial" w:hAnsi="Arial"/>
          <w:b/>
          <w:color w:val="000000"/>
          <w:sz w:val="24"/>
        </w:rPr>
        <w:t>Figure S6 Transcriptional changes induced upon ERp44 or isoform-specific KDELR</w:t>
      </w:r>
      <w:r>
        <w:rPr>
          <w:rFonts w:ascii="Arial" w:eastAsia="Arial" w:hAnsi="Arial"/>
          <w:b/>
          <w:color w:val="000000"/>
          <w:sz w:val="24"/>
          <w:vertAlign w:val="superscript"/>
        </w:rPr>
        <w:t>KD</w:t>
      </w:r>
      <w:r>
        <w:rPr>
          <w:rFonts w:ascii="Arial" w:eastAsia="Arial" w:hAnsi="Arial"/>
          <w:b/>
          <w:color w:val="000000"/>
          <w:sz w:val="24"/>
        </w:rPr>
        <w:t>.</w:t>
      </w:r>
    </w:p>
    <w:p w14:paraId="60192987" w14:textId="77777777" w:rsidR="00180BE1" w:rsidRDefault="00180BE1" w:rsidP="00180BE1">
      <w:pPr>
        <w:numPr>
          <w:ilvl w:val="0"/>
          <w:numId w:val="5"/>
        </w:numPr>
        <w:tabs>
          <w:tab w:val="clear" w:pos="504"/>
          <w:tab w:val="left" w:pos="720"/>
        </w:tabs>
        <w:spacing w:before="24" w:line="413" w:lineRule="exact"/>
        <w:ind w:left="720" w:right="144" w:hanging="504"/>
        <w:jc w:val="both"/>
        <w:textAlignment w:val="baseline"/>
        <w:rPr>
          <w:rFonts w:ascii="Arial" w:eastAsia="Arial" w:hAnsi="Arial"/>
          <w:color w:val="000000"/>
          <w:spacing w:val="-4"/>
          <w:sz w:val="24"/>
        </w:rPr>
      </w:pPr>
      <w:r>
        <w:rPr>
          <w:rFonts w:ascii="Arial" w:eastAsia="Arial" w:hAnsi="Arial"/>
          <w:color w:val="000000"/>
          <w:spacing w:val="-4"/>
          <w:sz w:val="24"/>
        </w:rPr>
        <w:t>Heatmap of expression levels (log2 Normalized, Z-score scaled) of genes behaving as AGR2 (upregulated in KDELR3</w:t>
      </w:r>
      <w:r>
        <w:rPr>
          <w:rFonts w:ascii="Arial" w:eastAsia="Arial" w:hAnsi="Arial"/>
          <w:color w:val="000000"/>
          <w:spacing w:val="-4"/>
          <w:sz w:val="24"/>
          <w:vertAlign w:val="superscript"/>
        </w:rPr>
        <w:t>KD</w:t>
      </w:r>
      <w:r>
        <w:rPr>
          <w:rFonts w:ascii="Arial" w:eastAsia="Arial" w:hAnsi="Arial"/>
          <w:color w:val="000000"/>
          <w:spacing w:val="-4"/>
          <w:sz w:val="24"/>
        </w:rPr>
        <w:t xml:space="preserve"> and ERp44</w:t>
      </w:r>
      <w:r>
        <w:rPr>
          <w:rFonts w:ascii="Arial" w:eastAsia="Arial" w:hAnsi="Arial"/>
          <w:color w:val="000000"/>
          <w:spacing w:val="-4"/>
          <w:sz w:val="24"/>
          <w:vertAlign w:val="superscript"/>
        </w:rPr>
        <w:t>KD</w:t>
      </w:r>
      <w:r>
        <w:rPr>
          <w:rFonts w:ascii="Arial" w:eastAsia="Arial" w:hAnsi="Arial"/>
          <w:color w:val="000000"/>
          <w:spacing w:val="-4"/>
          <w:sz w:val="24"/>
        </w:rPr>
        <w:t xml:space="preserve"> and downregulated in KDELR1</w:t>
      </w:r>
      <w:r>
        <w:rPr>
          <w:rFonts w:ascii="Arial" w:eastAsia="Arial" w:hAnsi="Arial"/>
          <w:color w:val="000000"/>
          <w:spacing w:val="-4"/>
          <w:sz w:val="24"/>
          <w:vertAlign w:val="superscript"/>
        </w:rPr>
        <w:t>KD</w:t>
      </w:r>
      <w:r>
        <w:rPr>
          <w:rFonts w:ascii="Arial" w:eastAsia="Arial" w:hAnsi="Arial"/>
          <w:color w:val="000000"/>
          <w:spacing w:val="-4"/>
          <w:sz w:val="24"/>
        </w:rPr>
        <w:t xml:space="preserve"> with an FDR ≤0.05) belonging to the indicated lists of Gene Ontology Cellular Compartments (ER, Golgi, Intermediate compartments, and glycosylation). See Methods for further details.</w:t>
      </w:r>
    </w:p>
    <w:p w14:paraId="405B15E8" w14:textId="77777777" w:rsidR="00180BE1" w:rsidRDefault="00180BE1" w:rsidP="00180BE1">
      <w:pPr>
        <w:numPr>
          <w:ilvl w:val="0"/>
          <w:numId w:val="5"/>
        </w:numPr>
        <w:tabs>
          <w:tab w:val="clear" w:pos="504"/>
          <w:tab w:val="left" w:pos="720"/>
        </w:tabs>
        <w:spacing w:before="1" w:line="413" w:lineRule="exact"/>
        <w:ind w:left="720" w:right="144" w:hanging="504"/>
        <w:jc w:val="both"/>
        <w:textAlignment w:val="baseline"/>
        <w:rPr>
          <w:rFonts w:ascii="Arial" w:eastAsia="Arial" w:hAnsi="Arial"/>
          <w:color w:val="000000"/>
          <w:spacing w:val="-3"/>
          <w:sz w:val="24"/>
        </w:rPr>
      </w:pPr>
      <w:r>
        <w:rPr>
          <w:rFonts w:ascii="Arial" w:eastAsia="Arial" w:hAnsi="Arial"/>
          <w:color w:val="000000"/>
          <w:spacing w:val="-3"/>
          <w:sz w:val="24"/>
        </w:rPr>
        <w:t>KDELR3</w:t>
      </w:r>
      <w:r>
        <w:rPr>
          <w:rFonts w:ascii="Arial" w:eastAsia="Arial" w:hAnsi="Arial"/>
          <w:color w:val="000000"/>
          <w:spacing w:val="-3"/>
          <w:sz w:val="24"/>
          <w:vertAlign w:val="superscript"/>
        </w:rPr>
        <w:t>KD</w:t>
      </w:r>
      <w:r>
        <w:rPr>
          <w:rFonts w:ascii="Arial" w:eastAsia="Arial" w:hAnsi="Arial"/>
          <w:color w:val="000000"/>
          <w:spacing w:val="-3"/>
          <w:sz w:val="24"/>
        </w:rPr>
        <w:t xml:space="preserve"> significantly induced the accumulation of MAN1A1, ST6GAL1, FUT8 (glycosylation), ERp29, and -as expected- AGR2 (chaperoning). CD82/KAI1, a tetraspannin involved in tumour progression (Marie et al, 2020; Zhu et al, 2017), was significantly downregulated upon KDELR1</w:t>
      </w:r>
      <w:r>
        <w:rPr>
          <w:rFonts w:ascii="Arial" w:eastAsia="Arial" w:hAnsi="Arial"/>
          <w:color w:val="000000"/>
          <w:spacing w:val="-3"/>
          <w:sz w:val="24"/>
          <w:vertAlign w:val="superscript"/>
        </w:rPr>
        <w:t>KD</w:t>
      </w:r>
      <w:r>
        <w:rPr>
          <w:rFonts w:ascii="Arial" w:eastAsia="Arial" w:hAnsi="Arial"/>
          <w:b/>
          <w:color w:val="000000"/>
          <w:spacing w:val="-3"/>
          <w:sz w:val="24"/>
        </w:rPr>
        <w:t>.</w:t>
      </w:r>
    </w:p>
    <w:p w14:paraId="01643469" w14:textId="77777777" w:rsidR="00180BE1" w:rsidRDefault="00180BE1" w:rsidP="00180BE1">
      <w:pPr>
        <w:spacing w:before="760" w:line="271" w:lineRule="exact"/>
        <w:ind w:left="144"/>
        <w:textAlignment w:val="baseline"/>
        <w:rPr>
          <w:rFonts w:ascii="Arial" w:eastAsia="Arial" w:hAnsi="Arial"/>
          <w:b/>
          <w:color w:val="000000"/>
          <w:sz w:val="24"/>
        </w:rPr>
      </w:pPr>
      <w:r>
        <w:rPr>
          <w:rFonts w:ascii="Arial" w:eastAsia="Arial" w:hAnsi="Arial"/>
          <w:b/>
          <w:color w:val="000000"/>
          <w:sz w:val="24"/>
        </w:rPr>
        <w:t>Table S1 KDEL-like motif-bearing proteins identified by BioID2 technology</w:t>
      </w:r>
    </w:p>
    <w:p w14:paraId="7C3B4C6C" w14:textId="77777777" w:rsidR="00180BE1" w:rsidRDefault="00180BE1" w:rsidP="00180BE1">
      <w:pPr>
        <w:spacing w:before="104" w:line="413" w:lineRule="exact"/>
        <w:ind w:left="144" w:right="144"/>
        <w:jc w:val="both"/>
        <w:textAlignment w:val="baseline"/>
        <w:rPr>
          <w:rFonts w:ascii="Arial" w:eastAsia="Arial" w:hAnsi="Arial"/>
          <w:color w:val="000000"/>
          <w:spacing w:val="-4"/>
          <w:sz w:val="24"/>
        </w:rPr>
      </w:pPr>
      <w:r>
        <w:rPr>
          <w:rFonts w:ascii="Arial" w:eastAsia="Arial" w:hAnsi="Arial"/>
          <w:color w:val="000000"/>
          <w:spacing w:val="-4"/>
          <w:sz w:val="24"/>
        </w:rPr>
        <w:t>KDEL-like motif-bearing proteins identified by BioID2 technology are listed. In case more than three peptides are detected, and emPAI values are &gt;0.03 by mass spectrometry, the proteins are considered to be positive in association with KDELRs. The identified proteins are classified according to the specificity of the KDELR isoforms</w:t>
      </w:r>
    </w:p>
    <w:p w14:paraId="09EFD8DB" w14:textId="77777777" w:rsidR="00180BE1" w:rsidRDefault="00180BE1" w:rsidP="00180BE1">
      <w:pPr>
        <w:spacing w:before="295" w:line="266" w:lineRule="exact"/>
        <w:ind w:right="36"/>
        <w:jc w:val="right"/>
        <w:textAlignment w:val="baseline"/>
        <w:rPr>
          <w:rFonts w:ascii="Calibri" w:eastAsia="Calibri" w:hAnsi="Calibri"/>
          <w:color w:val="000000"/>
          <w:sz w:val="24"/>
        </w:rPr>
      </w:pPr>
      <w:r>
        <w:rPr>
          <w:rFonts w:ascii="Calibri" w:eastAsia="Calibri" w:hAnsi="Calibri"/>
          <w:color w:val="000000"/>
          <w:sz w:val="24"/>
        </w:rPr>
        <w:t>41</w:t>
      </w:r>
    </w:p>
    <w:p w14:paraId="515EEDC0" w14:textId="77777777" w:rsidR="00180BE1" w:rsidRDefault="00180BE1" w:rsidP="00180BE1">
      <w:pPr>
        <w:sectPr w:rsidR="00180BE1" w:rsidSect="00180BE1">
          <w:pgSz w:w="11904" w:h="16838"/>
          <w:pgMar w:top="720" w:right="1260" w:bottom="602" w:left="1284" w:header="720" w:footer="720" w:gutter="0"/>
          <w:cols w:space="720"/>
        </w:sectPr>
      </w:pPr>
    </w:p>
    <w:p w14:paraId="41D3AE53" w14:textId="77777777" w:rsidR="00180BE1" w:rsidRDefault="00180BE1" w:rsidP="00180BE1">
      <w:pPr>
        <w:tabs>
          <w:tab w:val="right" w:pos="9216"/>
        </w:tabs>
        <w:spacing w:before="19" w:line="247" w:lineRule="exact"/>
        <w:ind w:left="144"/>
        <w:jc w:val="both"/>
        <w:textAlignment w:val="baseline"/>
        <w:rPr>
          <w:rFonts w:ascii="Arial" w:eastAsia="Arial" w:hAnsi="Arial"/>
          <w:i/>
          <w:color w:val="000000"/>
        </w:rPr>
      </w:pPr>
      <w:r>
        <w:rPr>
          <w:rFonts w:ascii="Arial" w:eastAsia="Arial" w:hAnsi="Arial"/>
          <w:i/>
          <w:color w:val="000000"/>
        </w:rPr>
        <w:lastRenderedPageBreak/>
        <w:t>Palazzo et al.</w:t>
      </w:r>
      <w:r>
        <w:rPr>
          <w:rFonts w:ascii="Arial" w:eastAsia="Arial" w:hAnsi="Arial"/>
          <w:i/>
          <w:color w:val="000000"/>
        </w:rPr>
        <w:tab/>
        <w:t>KDELR-Dependent Control of AGR2 Biogenesis</w:t>
      </w:r>
    </w:p>
    <w:p w14:paraId="70D37C3E" w14:textId="77777777" w:rsidR="00180BE1" w:rsidRDefault="00180BE1" w:rsidP="00180BE1">
      <w:pPr>
        <w:spacing w:before="336" w:line="413" w:lineRule="exact"/>
        <w:ind w:left="144" w:right="144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and are shown in different colours (orange, common to KDELR1, 2, and 3; green, common to KDELR1 and 2; cyan, common to KDELR1 and 3; purple, common to KDELR2 and 3). Subcellular localizations and functions are assessed based on the UniProt database (</w:t>
      </w:r>
      <w:hyperlink r:id="rId5">
        <w:r>
          <w:rPr>
            <w:rFonts w:ascii="Arial" w:eastAsia="Arial" w:hAnsi="Arial"/>
            <w:color w:val="0000FF"/>
            <w:sz w:val="24"/>
            <w:u w:val="single"/>
          </w:rPr>
          <w:t>https://www.uniprot.org/</w:t>
        </w:r>
      </w:hyperlink>
      <w:hyperlink r:id="rId6">
        <w:r>
          <w:rPr>
            <w:rFonts w:ascii="Arial" w:eastAsia="Arial" w:hAnsi="Arial"/>
            <w:color w:val="0000FF"/>
            <w:sz w:val="24"/>
            <w:u w:val="single"/>
          </w:rPr>
          <w:t>)</w:t>
        </w:r>
      </w:hyperlink>
      <w:r>
        <w:rPr>
          <w:rFonts w:ascii="Arial" w:eastAsia="Arial" w:hAnsi="Arial"/>
          <w:color w:val="000000"/>
          <w:sz w:val="24"/>
        </w:rPr>
        <w:t>. Selected KDEL-like motif-bearing proteins are also shown in Figure S3.</w:t>
      </w:r>
    </w:p>
    <w:p w14:paraId="7C524B69" w14:textId="77777777" w:rsidR="00180BE1" w:rsidRDefault="00180BE1" w:rsidP="00180BE1">
      <w:pPr>
        <w:spacing w:before="243" w:line="271" w:lineRule="exact"/>
        <w:ind w:left="144"/>
        <w:textAlignment w:val="baseline"/>
        <w:rPr>
          <w:rFonts w:ascii="Arial" w:eastAsia="Arial" w:hAnsi="Arial"/>
          <w:b/>
          <w:color w:val="000000"/>
          <w:sz w:val="24"/>
        </w:rPr>
      </w:pPr>
      <w:r>
        <w:rPr>
          <w:rFonts w:ascii="Arial" w:eastAsia="Arial" w:hAnsi="Arial"/>
          <w:b/>
          <w:color w:val="000000"/>
          <w:sz w:val="24"/>
        </w:rPr>
        <w:t>Table S2 Gene Ontology Biological Process Functional Enrichment.</w:t>
      </w:r>
    </w:p>
    <w:p w14:paraId="7C23E2C4" w14:textId="77777777" w:rsidR="00180BE1" w:rsidRDefault="00180BE1" w:rsidP="00180BE1">
      <w:pPr>
        <w:spacing w:before="100" w:after="10710" w:line="413" w:lineRule="exact"/>
        <w:ind w:left="144" w:right="144"/>
        <w:jc w:val="both"/>
        <w:textAlignment w:val="baseline"/>
        <w:rPr>
          <w:rFonts w:ascii="Arial" w:eastAsia="Arial" w:hAnsi="Arial"/>
          <w:color w:val="000000"/>
          <w:sz w:val="24"/>
        </w:rPr>
      </w:pPr>
      <w:r>
        <w:rPr>
          <w:rFonts w:ascii="Arial" w:eastAsia="Arial" w:hAnsi="Arial"/>
          <w:color w:val="000000"/>
          <w:sz w:val="24"/>
        </w:rPr>
        <w:t>GO BP overrepresentation analysis of Differentially Expressed Genes (FDR &lt; 0.05 and log2FC &gt; 1) with ClusterProfiler in the silencing samples.</w:t>
      </w:r>
    </w:p>
    <w:p w14:paraId="07BF8180" w14:textId="77777777" w:rsidR="00180BE1" w:rsidRDefault="00180BE1" w:rsidP="00180BE1">
      <w:pPr>
        <w:spacing w:before="100" w:after="10710" w:line="413" w:lineRule="exact"/>
        <w:sectPr w:rsidR="00180BE1" w:rsidSect="00180BE1">
          <w:pgSz w:w="11904" w:h="16838"/>
          <w:pgMar w:top="720" w:right="1260" w:bottom="602" w:left="1284" w:header="720" w:footer="720" w:gutter="0"/>
          <w:cols w:space="720"/>
        </w:sectPr>
      </w:pPr>
    </w:p>
    <w:p w14:paraId="58D7CE8F" w14:textId="77777777" w:rsidR="00180BE1" w:rsidRDefault="00180BE1" w:rsidP="00180BE1">
      <w:pPr>
        <w:spacing w:before="27" w:line="266" w:lineRule="exact"/>
        <w:jc w:val="right"/>
        <w:textAlignment w:val="baseline"/>
        <w:rPr>
          <w:rFonts w:ascii="Calibri" w:eastAsia="Calibri" w:hAnsi="Calibri"/>
          <w:color w:val="000000"/>
          <w:sz w:val="24"/>
        </w:rPr>
      </w:pPr>
      <w:r>
        <w:rPr>
          <w:rFonts w:ascii="Calibri" w:eastAsia="Calibri" w:hAnsi="Calibri"/>
          <w:color w:val="000000"/>
          <w:sz w:val="24"/>
        </w:rPr>
        <w:t>42</w:t>
      </w:r>
    </w:p>
    <w:p w14:paraId="5EA481D2" w14:textId="77777777" w:rsidR="00865217" w:rsidRDefault="00865217"/>
    <w:sectPr w:rsidR="00865217" w:rsidSect="00180BE1">
      <w:type w:val="continuous"/>
      <w:pgSz w:w="11904" w:h="16838"/>
      <w:pgMar w:top="720" w:right="1409" w:bottom="602" w:left="1013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56825"/>
    <w:multiLevelType w:val="multilevel"/>
    <w:tmpl w:val="5D9CA382"/>
    <w:lvl w:ilvl="0">
      <w:start w:val="1"/>
      <w:numFmt w:val="upperLetter"/>
      <w:lvlText w:val="%1."/>
      <w:lvlJc w:val="left"/>
      <w:pPr>
        <w:tabs>
          <w:tab w:val="left" w:pos="576"/>
        </w:tabs>
      </w:pPr>
      <w:rPr>
        <w:rFonts w:ascii="Arial" w:eastAsia="Arial" w:hAnsi="Arial"/>
        <w:color w:val="000000"/>
        <w:spacing w:val="0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E9A35B5"/>
    <w:multiLevelType w:val="multilevel"/>
    <w:tmpl w:val="300832DC"/>
    <w:lvl w:ilvl="0">
      <w:start w:val="1"/>
      <w:numFmt w:val="upperLetter"/>
      <w:lvlText w:val="%1."/>
      <w:lvlJc w:val="left"/>
      <w:pPr>
        <w:tabs>
          <w:tab w:val="left" w:pos="576"/>
        </w:tabs>
      </w:pPr>
      <w:rPr>
        <w:rFonts w:ascii="Arial" w:eastAsia="Arial" w:hAnsi="Arial"/>
        <w:i/>
        <w:color w:val="000000"/>
        <w:spacing w:val="0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9B55CE"/>
    <w:multiLevelType w:val="multilevel"/>
    <w:tmpl w:val="2FF05C94"/>
    <w:lvl w:ilvl="0">
      <w:start w:val="1"/>
      <w:numFmt w:val="upperLetter"/>
      <w:lvlText w:val="%1."/>
      <w:lvlJc w:val="left"/>
      <w:pPr>
        <w:tabs>
          <w:tab w:val="left" w:pos="504"/>
        </w:tabs>
      </w:pPr>
      <w:rPr>
        <w:rFonts w:ascii="Arial" w:eastAsia="Arial" w:hAnsi="Arial"/>
        <w:color w:val="000000"/>
        <w:spacing w:val="0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54616D9"/>
    <w:multiLevelType w:val="multilevel"/>
    <w:tmpl w:val="89A40222"/>
    <w:lvl w:ilvl="0">
      <w:start w:val="1"/>
      <w:numFmt w:val="upperLetter"/>
      <w:lvlText w:val="%1."/>
      <w:lvlJc w:val="left"/>
      <w:pPr>
        <w:tabs>
          <w:tab w:val="left" w:pos="576"/>
        </w:tabs>
      </w:pPr>
      <w:rPr>
        <w:rFonts w:ascii="Arial" w:eastAsia="Arial" w:hAnsi="Arial"/>
        <w:i/>
        <w:color w:val="000000"/>
        <w:spacing w:val="-2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DB74C89"/>
    <w:multiLevelType w:val="multilevel"/>
    <w:tmpl w:val="E6E8CE06"/>
    <w:lvl w:ilvl="0">
      <w:start w:val="1"/>
      <w:numFmt w:val="upperLetter"/>
      <w:lvlText w:val="%1."/>
      <w:lvlJc w:val="left"/>
      <w:pPr>
        <w:tabs>
          <w:tab w:val="left" w:pos="504"/>
        </w:tabs>
      </w:pPr>
      <w:rPr>
        <w:rFonts w:ascii="Arial" w:eastAsia="Arial" w:hAnsi="Arial"/>
        <w:color w:val="000000"/>
        <w:spacing w:val="-4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032847">
    <w:abstractNumId w:val="3"/>
  </w:num>
  <w:num w:numId="2" w16cid:durableId="1256285968">
    <w:abstractNumId w:val="1"/>
  </w:num>
  <w:num w:numId="3" w16cid:durableId="828522793">
    <w:abstractNumId w:val="0"/>
  </w:num>
  <w:num w:numId="4" w16cid:durableId="853150568">
    <w:abstractNumId w:val="2"/>
  </w:num>
  <w:num w:numId="5" w16cid:durableId="4884013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BE1"/>
    <w:rsid w:val="00180BE1"/>
    <w:rsid w:val="002E281E"/>
    <w:rsid w:val="003201BB"/>
    <w:rsid w:val="007F4CC8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06C0A"/>
  <w15:chartTrackingRefBased/>
  <w15:docId w15:val="{110CFE0A-5024-40AC-992C-498070B39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BE1"/>
    <w:pPr>
      <w:spacing w:after="0" w:line="240" w:lineRule="auto"/>
    </w:pPr>
    <w:rPr>
      <w:rFonts w:ascii="Times New Roman" w:eastAsia="PMingLiU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0B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0B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0B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0B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0B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0B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0B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0B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0B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0B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0B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0B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0B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0B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0B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0B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0B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0B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0B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0B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0B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0B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0B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0B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0B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0B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0B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0B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0B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niprot.org/)" TargetMode="External"/><Relationship Id="rId5" Type="http://schemas.openxmlformats.org/officeDocument/2006/relationships/hyperlink" Target="https://www.uniprot.org/)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1078</Words>
  <Characters>6126</Characters>
  <Application>Microsoft Office Word</Application>
  <DocSecurity>0</DocSecurity>
  <Lines>120</Lines>
  <Paragraphs>46</Paragraphs>
  <ScaleCrop>false</ScaleCrop>
  <Company>Springer Nature</Company>
  <LinksUpToDate>false</LinksUpToDate>
  <CharactersWithSpaces>7158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2025-10-09T23:13:00Z</dcterms:created>
  <dcterms:modified xsi:type="dcterms:W3CDTF">2025-10-09T23:13:00Z</dcterms:modified>
</cp:coreProperties>
</file>