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2E317" w14:textId="77777777" w:rsidR="007C27EE" w:rsidRDefault="007C27EE">
      <w:pPr>
        <w:rPr>
          <w:lang w:val="en-US"/>
        </w:rPr>
      </w:pPr>
      <w:r>
        <w:rPr>
          <w:noProof/>
        </w:rPr>
        <w:drawing>
          <wp:inline distT="0" distB="0" distL="0" distR="0" wp14:anchorId="426DA0E2" wp14:editId="52576FB2">
            <wp:extent cx="5731510" cy="4298950"/>
            <wp:effectExtent l="0" t="0" r="0" b="0"/>
            <wp:docPr id="992492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92349" name="Picture 9924923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60B8" w14:textId="52DB98ED" w:rsidR="007C27EE" w:rsidRPr="00982543" w:rsidRDefault="007C27EE" w:rsidP="00982543">
      <w:pPr>
        <w:pStyle w:val="Caption"/>
        <w:jc w:val="both"/>
        <w:rPr>
          <w:rFonts w:asciiTheme="majorBidi" w:hAnsiTheme="majorBidi" w:cstheme="majorBidi"/>
          <w:lang w:val="en-US"/>
        </w:rPr>
      </w:pPr>
      <w:r w:rsidRPr="00982543">
        <w:rPr>
          <w:rFonts w:asciiTheme="majorBidi" w:hAnsiTheme="majorBidi" w:cstheme="majorBidi"/>
        </w:rPr>
        <w:t>Figure S</w:t>
      </w:r>
      <w:r w:rsidRPr="00982543">
        <w:rPr>
          <w:rFonts w:asciiTheme="majorBidi" w:hAnsiTheme="majorBidi" w:cstheme="majorBidi"/>
        </w:rPr>
        <w:fldChar w:fldCharType="begin"/>
      </w:r>
      <w:r w:rsidRPr="00982543">
        <w:rPr>
          <w:rFonts w:asciiTheme="majorBidi" w:hAnsiTheme="majorBidi" w:cstheme="majorBidi"/>
        </w:rPr>
        <w:instrText xml:space="preserve"> SEQ Figure \* ARABIC </w:instrText>
      </w:r>
      <w:r w:rsidRPr="00982543">
        <w:rPr>
          <w:rFonts w:asciiTheme="majorBidi" w:hAnsiTheme="majorBidi" w:cstheme="majorBidi"/>
        </w:rPr>
        <w:fldChar w:fldCharType="separate"/>
      </w:r>
      <w:r w:rsidRPr="00982543">
        <w:rPr>
          <w:rFonts w:asciiTheme="majorBidi" w:hAnsiTheme="majorBidi" w:cstheme="majorBidi"/>
          <w:noProof/>
        </w:rPr>
        <w:t>1</w:t>
      </w:r>
      <w:r w:rsidRPr="00982543">
        <w:rPr>
          <w:rFonts w:asciiTheme="majorBidi" w:hAnsiTheme="majorBidi" w:cstheme="majorBidi"/>
        </w:rPr>
        <w:fldChar w:fldCharType="end"/>
      </w:r>
      <w:r w:rsidRPr="00982543">
        <w:rPr>
          <w:rFonts w:asciiTheme="majorBidi" w:hAnsiTheme="majorBidi" w:cstheme="majorBidi"/>
        </w:rPr>
        <w:t xml:space="preserve">. </w:t>
      </w:r>
      <w:r w:rsidR="00982543" w:rsidRPr="00982543">
        <w:rPr>
          <w:rFonts w:asciiTheme="majorBidi" w:hAnsiTheme="majorBidi" w:cstheme="majorBidi"/>
          <w:kern w:val="0"/>
          <w:lang w:val="en-GB"/>
        </w:rPr>
        <w:t xml:space="preserve">Distribution of individual biosurfactant-associated genes across microbial phyla and 21 ecosystem categories. Each panel represents a distinct bacterial or archaeal phylum, with bar plots showing the proportion of genomes harboring each of 18 key biosurfactant genes (e.g., rhl, wza, fen_pps) across all ecosystems. The x-axis corresponds to the 21 predefined ecosystem groups (ordered by index), while the y-axis indicates gene prevalence. </w:t>
      </w:r>
      <w:proofErr w:type="spellStart"/>
      <w:r w:rsidR="00982543" w:rsidRPr="00982543">
        <w:rPr>
          <w:rFonts w:asciiTheme="majorBidi" w:hAnsiTheme="majorBidi" w:cstheme="majorBidi"/>
          <w:kern w:val="0"/>
          <w:lang w:val="en-GB"/>
        </w:rPr>
        <w:t>Colors</w:t>
      </w:r>
      <w:proofErr w:type="spellEnd"/>
      <w:r w:rsidR="00982543" w:rsidRPr="00982543">
        <w:rPr>
          <w:rFonts w:asciiTheme="majorBidi" w:hAnsiTheme="majorBidi" w:cstheme="majorBidi"/>
          <w:kern w:val="0"/>
          <w:lang w:val="en-GB"/>
        </w:rPr>
        <w:t xml:space="preserve"> represent specific genes, with patterns revealing phylum-specific biases in biosurfactant gene distribution. This figure provides a granular view of gene-level functional potential, highlighting which genes are enriched </w:t>
      </w:r>
      <w:proofErr w:type="gramStart"/>
      <w:r w:rsidR="00982543" w:rsidRPr="00982543">
        <w:rPr>
          <w:rFonts w:asciiTheme="majorBidi" w:hAnsiTheme="majorBidi" w:cstheme="majorBidi"/>
          <w:kern w:val="0"/>
          <w:lang w:val="en-GB"/>
        </w:rPr>
        <w:t>in particular environments</w:t>
      </w:r>
      <w:proofErr w:type="gramEnd"/>
      <w:r w:rsidR="00982543" w:rsidRPr="00982543">
        <w:rPr>
          <w:rFonts w:asciiTheme="majorBidi" w:hAnsiTheme="majorBidi" w:cstheme="majorBidi"/>
          <w:kern w:val="0"/>
          <w:lang w:val="en-GB"/>
        </w:rPr>
        <w:t xml:space="preserve"> and lineages.</w:t>
      </w:r>
    </w:p>
    <w:p w14:paraId="67D3F16B" w14:textId="29719737" w:rsidR="00195648" w:rsidRDefault="007C27E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198542F" wp14:editId="06153567">
            <wp:extent cx="5731510" cy="4298950"/>
            <wp:effectExtent l="0" t="0" r="0" b="0"/>
            <wp:docPr id="310161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61894" name="Picture 3101618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657E" w14:textId="017E46C7" w:rsidR="007C27EE" w:rsidRPr="00982543" w:rsidRDefault="007C27EE" w:rsidP="00982543">
      <w:pPr>
        <w:pStyle w:val="Caption"/>
        <w:jc w:val="both"/>
        <w:rPr>
          <w:rFonts w:asciiTheme="majorBidi" w:hAnsiTheme="majorBidi" w:cstheme="majorBidi"/>
          <w:lang w:val="en-US"/>
        </w:rPr>
      </w:pPr>
      <w:r w:rsidRPr="00982543">
        <w:rPr>
          <w:rFonts w:asciiTheme="majorBidi" w:hAnsiTheme="majorBidi" w:cstheme="majorBidi"/>
        </w:rPr>
        <w:t>Figure S</w:t>
      </w:r>
      <w:r w:rsidRPr="00982543">
        <w:rPr>
          <w:rFonts w:asciiTheme="majorBidi" w:hAnsiTheme="majorBidi" w:cstheme="majorBidi"/>
        </w:rPr>
        <w:fldChar w:fldCharType="begin"/>
      </w:r>
      <w:r w:rsidRPr="00982543">
        <w:rPr>
          <w:rFonts w:asciiTheme="majorBidi" w:hAnsiTheme="majorBidi" w:cstheme="majorBidi"/>
        </w:rPr>
        <w:instrText xml:space="preserve"> SEQ Figure \* ARABIC </w:instrText>
      </w:r>
      <w:r w:rsidRPr="00982543">
        <w:rPr>
          <w:rFonts w:asciiTheme="majorBidi" w:hAnsiTheme="majorBidi" w:cstheme="majorBidi"/>
        </w:rPr>
        <w:fldChar w:fldCharType="separate"/>
      </w:r>
      <w:r w:rsidRPr="00982543">
        <w:rPr>
          <w:rFonts w:asciiTheme="majorBidi" w:hAnsiTheme="majorBidi" w:cstheme="majorBidi"/>
          <w:noProof/>
        </w:rPr>
        <w:t>2</w:t>
      </w:r>
      <w:r w:rsidRPr="00982543">
        <w:rPr>
          <w:rFonts w:asciiTheme="majorBidi" w:hAnsiTheme="majorBidi" w:cstheme="majorBidi"/>
        </w:rPr>
        <w:fldChar w:fldCharType="end"/>
      </w:r>
      <w:r w:rsidRPr="00982543">
        <w:rPr>
          <w:rFonts w:asciiTheme="majorBidi" w:hAnsiTheme="majorBidi" w:cstheme="majorBidi"/>
        </w:rPr>
        <w:t xml:space="preserve">. </w:t>
      </w:r>
      <w:r w:rsidR="00982543" w:rsidRPr="00982543">
        <w:rPr>
          <w:rFonts w:asciiTheme="majorBidi" w:hAnsiTheme="majorBidi" w:cstheme="majorBidi"/>
          <w:kern w:val="0"/>
          <w:lang w:val="en-GB"/>
        </w:rPr>
        <w:t xml:space="preserve">Distribution of functional biosurfactant classes across microbial phyla and 21 ecosystem categories. Each panel shows the proportion of genomes encoding at least one gene from a given biosurfactant class (e.g., Rhamnolipids, Emulsan, Surfactin) within a specific phylum. The x-axis represents the 21 ecosystem groups, and the y-axis indicates the frequency of class presence. </w:t>
      </w:r>
      <w:proofErr w:type="spellStart"/>
      <w:r w:rsidR="00982543" w:rsidRPr="00982543">
        <w:rPr>
          <w:rFonts w:asciiTheme="majorBidi" w:hAnsiTheme="majorBidi" w:cstheme="majorBidi"/>
          <w:kern w:val="0"/>
          <w:lang w:val="en-GB"/>
        </w:rPr>
        <w:t>Colors</w:t>
      </w:r>
      <w:proofErr w:type="spellEnd"/>
      <w:r w:rsidR="00982543" w:rsidRPr="00982543">
        <w:rPr>
          <w:rFonts w:asciiTheme="majorBidi" w:hAnsiTheme="majorBidi" w:cstheme="majorBidi"/>
          <w:kern w:val="0"/>
          <w:lang w:val="en-GB"/>
        </w:rPr>
        <w:t xml:space="preserve"> denote different biosurfactant types, allowing comparison of functional diversity across phylogenetic and environmental gradients. This visualization reveals how biosynthetic pathways are distributed across microbial communities, emphasizing the co-occurrence of multiple biosurfactant classes in certain habitats and phyla</w:t>
      </w:r>
    </w:p>
    <w:p w14:paraId="1B40D99B" w14:textId="1B5F68C2" w:rsidR="007C27EE" w:rsidRDefault="007C27EE">
      <w:pPr>
        <w:rPr>
          <w:lang w:val="en-US"/>
        </w:rPr>
      </w:pPr>
    </w:p>
    <w:p w14:paraId="021D98CF" w14:textId="0121B3C4" w:rsidR="007C27EE" w:rsidRDefault="007C27EE" w:rsidP="00E37787">
      <w:pPr>
        <w:pStyle w:val="Caption"/>
        <w:jc w:val="both"/>
        <w:rPr>
          <w:rFonts w:asciiTheme="majorBidi" w:hAnsiTheme="majorBidi" w:cstheme="majorBidi"/>
        </w:rPr>
      </w:pPr>
      <w:r>
        <w:rPr>
          <w:noProof/>
          <w:lang w:val="en-US"/>
        </w:rPr>
        <w:lastRenderedPageBreak/>
        <w:drawing>
          <wp:inline distT="0" distB="0" distL="0" distR="0" wp14:anchorId="04FA054D" wp14:editId="00A487A5">
            <wp:extent cx="6253876" cy="6253876"/>
            <wp:effectExtent l="12700" t="12700" r="7620" b="7620"/>
            <wp:docPr id="1261739189" name="Picture 1" descr="A blue and white triangle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39189" name="Picture 1" descr="A blue and white triangle with red lin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980" cy="68979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0A241F" w14:textId="7E739479" w:rsidR="00E37787" w:rsidRDefault="00E37787" w:rsidP="00E37787">
      <w:pPr>
        <w:pStyle w:val="Caption"/>
        <w:jc w:val="both"/>
        <w:rPr>
          <w:rFonts w:asciiTheme="majorBidi" w:hAnsiTheme="majorBidi" w:cstheme="majorBidi"/>
        </w:rPr>
      </w:pPr>
      <w:r w:rsidRPr="00E37787">
        <w:rPr>
          <w:rFonts w:asciiTheme="majorBidi" w:hAnsiTheme="majorBidi" w:cstheme="majorBidi"/>
        </w:rPr>
        <w:t>Figure S</w:t>
      </w:r>
      <w:r w:rsidRPr="00E37787">
        <w:rPr>
          <w:rFonts w:asciiTheme="majorBidi" w:hAnsiTheme="majorBidi" w:cstheme="majorBidi"/>
        </w:rPr>
        <w:fldChar w:fldCharType="begin"/>
      </w:r>
      <w:r w:rsidRPr="00E37787">
        <w:rPr>
          <w:rFonts w:asciiTheme="majorBidi" w:hAnsiTheme="majorBidi" w:cstheme="majorBidi"/>
        </w:rPr>
        <w:instrText xml:space="preserve"> SEQ Figure \* ARABIC </w:instrText>
      </w:r>
      <w:r w:rsidRPr="00E37787">
        <w:rPr>
          <w:rFonts w:asciiTheme="majorBidi" w:hAnsiTheme="majorBidi" w:cstheme="majorBidi"/>
        </w:rPr>
        <w:fldChar w:fldCharType="separate"/>
      </w:r>
      <w:r w:rsidR="007C27EE">
        <w:rPr>
          <w:rFonts w:asciiTheme="majorBidi" w:hAnsiTheme="majorBidi" w:cstheme="majorBidi"/>
          <w:noProof/>
        </w:rPr>
        <w:t>3</w:t>
      </w:r>
      <w:r w:rsidRPr="00E37787">
        <w:rPr>
          <w:rFonts w:asciiTheme="majorBidi" w:hAnsiTheme="majorBidi" w:cstheme="majorBidi"/>
        </w:rPr>
        <w:fldChar w:fldCharType="end"/>
      </w:r>
      <w:r w:rsidRPr="00E37787">
        <w:rPr>
          <w:rFonts w:asciiTheme="majorBidi" w:hAnsiTheme="majorBidi" w:cstheme="majorBidi"/>
        </w:rPr>
        <w:t>. Heatmap of pairwise Spearman’s rank correlation coefficients for biosurfactant gene abundance profiles across microbial genomes. Cells are shaded by the degree and direction of correlation (|ρ| ≥ 0.1, p &lt; 0.05), with hierarchical clustering revealing modular relationships. Prominent correlation blocks correspond to central biosynthetic gene clusters seen in co-occurrence network analysis, while off-diagonal signals illustrate inter-pathway integration and the broader connectivity structure underpinning biosurfactant metabolic potential.</w:t>
      </w:r>
    </w:p>
    <w:p w14:paraId="3167D4B6" w14:textId="26834A36" w:rsidR="007C27EE" w:rsidRDefault="007C27EE" w:rsidP="007C27EE"/>
    <w:p w14:paraId="0B907DDE" w14:textId="10CA13A7" w:rsidR="007C27EE" w:rsidRDefault="007C27EE" w:rsidP="007C27EE"/>
    <w:p w14:paraId="4FCD89F6" w14:textId="77777777" w:rsidR="007C27EE" w:rsidRDefault="007C27EE" w:rsidP="007C27EE"/>
    <w:p w14:paraId="7A1BD733" w14:textId="20A23060" w:rsidR="007C27EE" w:rsidRPr="007C27EE" w:rsidRDefault="007C27EE" w:rsidP="007C27EE"/>
    <w:sectPr w:rsidR="007C27EE" w:rsidRPr="007C2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3FD"/>
    <w:rsid w:val="00023E14"/>
    <w:rsid w:val="001176E5"/>
    <w:rsid w:val="00195648"/>
    <w:rsid w:val="007C27EE"/>
    <w:rsid w:val="00982543"/>
    <w:rsid w:val="00A055E9"/>
    <w:rsid w:val="00B40A99"/>
    <w:rsid w:val="00DD63FD"/>
    <w:rsid w:val="00E37787"/>
    <w:rsid w:val="00E4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2F8CEB"/>
  <w15:chartTrackingRefBased/>
  <w15:docId w15:val="{0A8A4D0E-C7F1-2149-B0A7-4F1460BB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3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3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3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3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3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3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3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3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3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3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3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3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3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3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3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3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3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3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63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3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3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63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63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63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63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63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3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3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63FD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377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C27EE"/>
    <w:pPr>
      <w:spacing w:after="0"/>
    </w:pPr>
    <w:rPr>
      <w:rFonts w:cs="Times New Roman"/>
      <w:i/>
      <w:iCs/>
      <w:sz w:val="20"/>
    </w:rPr>
  </w:style>
  <w:style w:type="character" w:styleId="Hyperlink">
    <w:name w:val="Hyperlink"/>
    <w:basedOn w:val="DefaultParagraphFont"/>
    <w:uiPriority w:val="99"/>
    <w:unhideWhenUsed/>
    <w:rsid w:val="007C27E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BBE65D-4E3B-A940-92D5-E62549C37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</dc:creator>
  <cp:keywords/>
  <dc:description/>
  <cp:lastModifiedBy>Habib</cp:lastModifiedBy>
  <cp:revision>3</cp:revision>
  <dcterms:created xsi:type="dcterms:W3CDTF">2025-07-20T07:24:00Z</dcterms:created>
  <dcterms:modified xsi:type="dcterms:W3CDTF">2025-09-02T13:45:00Z</dcterms:modified>
</cp:coreProperties>
</file>