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17000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Mesalazine-Induced Temporary Remission of Colonic Ulcers in Primary Intestinal NK/T-Cell Lymphoma: A Case Report and Literature Review</w:t>
      </w:r>
    </w:p>
    <w:p w14:paraId="52F29959">
      <w:pPr>
        <w:rPr>
          <w:rFonts w:hint="eastAsia"/>
        </w:rPr>
      </w:pPr>
    </w:p>
    <w:p w14:paraId="3FF1D428">
      <w:pPr>
        <w:pStyle w:val="2"/>
        <w:widowControl/>
        <w:jc w:val="center"/>
        <w:rPr>
          <w:rFonts w:hint="default" w:ascii="Times New Roman" w:hAnsi="Times New Roman"/>
          <w:b w:val="0"/>
          <w:bCs w:val="0"/>
          <w:sz w:val="21"/>
          <w:szCs w:val="21"/>
        </w:rPr>
      </w:pPr>
      <w:r>
        <w:rPr>
          <w:rFonts w:ascii="Times New Roman" w:hAnsi="Times New Roman"/>
          <w:b w:val="0"/>
          <w:bCs w:val="0"/>
          <w:sz w:val="21"/>
          <w:szCs w:val="21"/>
        </w:rPr>
        <w:t xml:space="preserve">Feifei Ding </w:t>
      </w:r>
      <w:r>
        <w:rPr>
          <w:rFonts w:ascii="Times New Roman" w:hAnsi="Times New Roman"/>
          <w:b w:val="0"/>
          <w:bCs w:val="0"/>
          <w:sz w:val="21"/>
          <w:szCs w:val="21"/>
          <w:vertAlign w:val="superscript"/>
        </w:rPr>
        <w:t>1</w:t>
      </w:r>
      <w:r>
        <w:rPr>
          <w:rFonts w:ascii="Times New Roman" w:hAnsi="Times New Roman"/>
          <w:b w:val="0"/>
          <w:bCs w:val="0"/>
          <w:sz w:val="21"/>
          <w:szCs w:val="21"/>
        </w:rPr>
        <w:t xml:space="preserve"> , Yinhua Feng </w:t>
      </w:r>
      <w:r>
        <w:rPr>
          <w:rFonts w:ascii="Times New Roman" w:hAnsi="Times New Roman"/>
          <w:b w:val="0"/>
          <w:bCs w:val="0"/>
          <w:sz w:val="21"/>
          <w:szCs w:val="21"/>
          <w:vertAlign w:val="superscript"/>
        </w:rPr>
        <w:t>1</w:t>
      </w:r>
      <w:r>
        <w:rPr>
          <w:rFonts w:ascii="Times New Roman" w:hAnsi="Times New Roman"/>
          <w:b w:val="0"/>
          <w:bCs w:val="0"/>
          <w:sz w:val="21"/>
          <w:szCs w:val="21"/>
        </w:rPr>
        <w:t xml:space="preserve"> , Xiang Wang</w:t>
      </w:r>
      <w:r>
        <w:rPr>
          <w:rFonts w:ascii="Times New Roman" w:hAnsi="Times New Roman"/>
          <w:b w:val="0"/>
          <w:bCs w:val="0"/>
          <w:sz w:val="21"/>
          <w:szCs w:val="21"/>
          <w:vertAlign w:val="superscript"/>
        </w:rPr>
        <w:t>1</w:t>
      </w:r>
      <w:r>
        <w:rPr>
          <w:rFonts w:ascii="Times New Roman" w:hAnsi="Times New Roman"/>
          <w:b w:val="0"/>
          <w:bCs w:val="0"/>
          <w:sz w:val="21"/>
          <w:szCs w:val="21"/>
        </w:rPr>
        <w:t xml:space="preserve"> </w:t>
      </w:r>
      <w:r>
        <w:rPr>
          <w:rFonts w:ascii="Times New Roman" w:hAnsi="Times New Roman"/>
          <w:b w:val="0"/>
          <w:bCs w:val="0"/>
          <w:sz w:val="21"/>
          <w:szCs w:val="21"/>
          <w:vertAlign w:val="superscript"/>
        </w:rPr>
        <w:t>#</w:t>
      </w:r>
    </w:p>
    <w:p w14:paraId="3B64E0CB">
      <w:pPr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cs="Times New Roman"/>
          <w:szCs w:val="21"/>
          <w:vertAlign w:val="superscript"/>
        </w:rPr>
        <w:t>1</w:t>
      </w:r>
      <w:r>
        <w:rPr>
          <w:rFonts w:hint="eastAsia" w:ascii="Times New Roman" w:hAnsi="Times New Roman" w:cs="Times New Roman"/>
          <w:szCs w:val="21"/>
        </w:rPr>
        <w:t xml:space="preserve"> The Second Hospital &amp; Clinical Medical School, Lanzhou University, Lanzhou, Gansu, China.</w:t>
      </w:r>
    </w:p>
    <w:p w14:paraId="2810928E">
      <w:pPr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szCs w:val="21"/>
          <w:vertAlign w:val="superscript"/>
        </w:rPr>
        <w:t>#</w:t>
      </w:r>
      <w:r>
        <w:rPr>
          <w:rFonts w:hint="eastAsia" w:ascii="Times New Roman" w:hAnsi="Times New Roman" w:cs="Times New Roman"/>
          <w:szCs w:val="21"/>
        </w:rPr>
        <w:t xml:space="preserve"> Corresponding author: </w:t>
      </w:r>
      <w:r>
        <w:rPr>
          <w:rFonts w:hint="eastAsia" w:ascii="Times New Roman" w:hAnsi="Times New Roman"/>
          <w:szCs w:val="21"/>
        </w:rPr>
        <w:t>Xiang Wang</w:t>
      </w:r>
      <w:r>
        <w:rPr>
          <w:rFonts w:hint="eastAsia" w:ascii="Times New Roman" w:hAnsi="Times New Roman" w:cs="Times New Roman"/>
          <w:szCs w:val="21"/>
        </w:rPr>
        <w:t>, E-mail: wangxiang@lzu.edu.cn.</w:t>
      </w:r>
    </w:p>
    <w:p w14:paraId="3408AA7C">
      <w:pPr>
        <w:ind w:firstLine="420" w:firstLineChars="200"/>
        <w:rPr>
          <w:rFonts w:hint="eastAsia" w:eastAsiaTheme="minorEastAsia"/>
          <w:lang w:eastAsia="zh-CN"/>
        </w:rPr>
      </w:pPr>
      <w:bookmarkStart w:id="0" w:name="_GoBack"/>
      <w:bookmarkEnd w:id="0"/>
    </w:p>
    <w:p w14:paraId="4F84C6AC">
      <w:pPr>
        <w:ind w:firstLine="420" w:firstLineChars="200"/>
        <w:rPr>
          <w:rFonts w:hint="eastAsia" w:eastAsiaTheme="minorEastAsia"/>
          <w:lang w:eastAsia="zh-CN"/>
        </w:rPr>
      </w:pPr>
    </w:p>
    <w:p w14:paraId="68FE3114">
      <w:pPr>
        <w:ind w:firstLine="420" w:firstLineChars="200"/>
        <w:rPr>
          <w:rFonts w:hint="eastAsia" w:eastAsiaTheme="minorEastAsia"/>
          <w:lang w:eastAsia="zh-CN"/>
        </w:rPr>
      </w:pPr>
    </w:p>
    <w:p w14:paraId="7CFA4E36"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00650" cy="2457450"/>
            <wp:effectExtent l="0" t="0" r="0" b="0"/>
            <wp:docPr id="1" name="图片 1" descr="PPT组图_01(1),调整大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PT组图_01(1),调整大小"/>
                    <pic:cNvPicPr>
                      <a:picLocks noChangeAspect="1"/>
                    </pic:cNvPicPr>
                  </pic:nvPicPr>
                  <pic:blipFill>
                    <a:blip r:embed="rId4"/>
                    <a:srcRect t="6751" r="1254" b="31040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sz w:val="20"/>
          <w:szCs w:val="20"/>
        </w:rPr>
        <w:t xml:space="preserve">. </w:t>
      </w:r>
      <w:r>
        <w:rPr>
          <w:rFonts w:hint="eastAsia" w:eastAsiaTheme="minorEastAsia"/>
          <w:lang w:eastAsia="zh-CN"/>
        </w:rPr>
        <w:t>Immunohistochemical staining of the nasal mass shows tumor cells positive for CD3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t>(a), CD56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t>(b), EBER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t>(c), Granzyme B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t>(d), and cytotoxic granule-associated protein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t>(TIA-1)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t>(f), with an elevated Ki-67 proliferation index of 80%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Theme="minorEastAsia"/>
          <w:lang w:eastAsia="zh-CN"/>
        </w:rPr>
        <w:t xml:space="preserve">(e).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0678A"/>
    <w:rsid w:val="06F35CC1"/>
    <w:rsid w:val="0F5F5CA1"/>
    <w:rsid w:val="11E42DD6"/>
    <w:rsid w:val="12665599"/>
    <w:rsid w:val="1AB15BD6"/>
    <w:rsid w:val="2AAA6513"/>
    <w:rsid w:val="36394BEF"/>
    <w:rsid w:val="389425B0"/>
    <w:rsid w:val="420662CD"/>
    <w:rsid w:val="52C8137C"/>
    <w:rsid w:val="56F40992"/>
    <w:rsid w:val="57F30C49"/>
    <w:rsid w:val="58E6255C"/>
    <w:rsid w:val="599E6993"/>
    <w:rsid w:val="630C2BBF"/>
    <w:rsid w:val="6C3F4006"/>
    <w:rsid w:val="6E5024FA"/>
    <w:rsid w:val="701D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205</Characters>
  <Lines>0</Lines>
  <Paragraphs>0</Paragraphs>
  <TotalTime>0</TotalTime>
  <ScaleCrop>false</ScaleCrop>
  <LinksUpToDate>false</LinksUpToDate>
  <CharactersWithSpaces>242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2025-08-04T14:33:00Z</dcterms:created>
  <dc:creator>docto</dc:creator>
  <cp:lastModifiedBy>非雨</cp:lastModifiedBy>
  <dcterms:modified xsi:type="dcterms:W3CDTF">2025-08-20T12:49:35Z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eyJoZGlkIjoiMjNlOTFhMWVlYWZjY2RhYmVhOTA0OTgzNzQ2NmNkYWMiLCJ1c2VySWQiOiIyNDUyODU2NjQifQ==</vt:lpwstr>
  </property>
  <property fmtid="{D5CDD505-2E9C-101B-9397-08002B2CF9AE}" pid="4" name="ICV">
    <vt:lpwstr>3F7B7FAE2603408FA56302381F8EA30E_12</vt:lpwstr>
  </property>
</Properties>
</file>