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8C17B" w14:textId="77777777" w:rsidR="00152E39" w:rsidRDefault="00000000">
      <w:pPr>
        <w:jc w:val="both"/>
        <w:rPr>
          <w:b/>
        </w:rPr>
      </w:pPr>
      <w:r>
        <w:rPr>
          <w:noProof/>
        </w:rPr>
        <w:drawing>
          <wp:inline distT="114300" distB="114300" distL="114300" distR="114300" wp14:anchorId="7B415C66" wp14:editId="1582B124">
            <wp:extent cx="5943600" cy="1981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</w:rPr>
        <w:t>Figure S1. Surrogate analysis of trial-by-trial compensation.</w:t>
      </w:r>
    </w:p>
    <w:p w14:paraId="5F136B11" w14:textId="77777777" w:rsidR="00152E39" w:rsidRDefault="00000000">
      <w:pPr>
        <w:jc w:val="both"/>
      </w:pPr>
      <w:r>
        <w:t>The same analyses as in Figure 3 were performed using surrogate datasets, shuffled 10,000 times within each participant, to confirm that the observed difference between the motor and numeric tasks in trial-by-trial compensation was driven by sequential dynamics.</w:t>
      </w:r>
    </w:p>
    <w:p w14:paraId="06FF4DC9" w14:textId="42403B74" w:rsidR="00152E39" w:rsidRDefault="00000000">
      <w:pPr>
        <w:jc w:val="both"/>
      </w:pPr>
      <w:r>
        <w:rPr>
          <w:b/>
        </w:rPr>
        <w:t>(A)</w:t>
      </w:r>
      <w:r>
        <w:t xml:space="preserve"> The average compensation size plotted against the magnitude of the response error from the previous trial in the surrogate datasets (10,000 iterations per participant). A two-way repeated-measures ANOVA revealed no significant main effects or interaction (Bin: </w:t>
      </w:r>
      <w:proofErr w:type="gramStart"/>
      <w:r>
        <w:rPr>
          <w:i/>
        </w:rPr>
        <w:t>F</w:t>
      </w:r>
      <w:r>
        <w:t>(</w:t>
      </w:r>
      <w:proofErr w:type="gramEnd"/>
      <w:r>
        <w:t xml:space="preserve">3, 331) = 0.24, </w:t>
      </w:r>
      <w:r w:rsidRPr="00257D65">
        <w:rPr>
          <w:i/>
          <w:iCs/>
        </w:rPr>
        <w:t>p</w:t>
      </w:r>
      <w:r>
        <w:t xml:space="preserve"> = 0.866, η² = 0.002; Task: </w:t>
      </w:r>
      <w:proofErr w:type="gramStart"/>
      <w:r>
        <w:rPr>
          <w:i/>
        </w:rPr>
        <w:t>F</w:t>
      </w:r>
      <w:r>
        <w:t>(</w:t>
      </w:r>
      <w:proofErr w:type="gramEnd"/>
      <w:r>
        <w:t xml:space="preserve">1, 331) = 1.09, </w:t>
      </w:r>
      <w:r>
        <w:rPr>
          <w:i/>
        </w:rPr>
        <w:t>p</w:t>
      </w:r>
      <w:r>
        <w:t xml:space="preserve"> = 0.297, η² = 0.003; Interaction:</w:t>
      </w:r>
      <w:r w:rsidR="00257D65">
        <w:rPr>
          <w:rFonts w:hint="eastAsia"/>
        </w:rPr>
        <w:t xml:space="preserve"> </w:t>
      </w:r>
      <w:proofErr w:type="gramStart"/>
      <w:r>
        <w:rPr>
          <w:i/>
        </w:rPr>
        <w:t>F</w:t>
      </w:r>
      <w:r>
        <w:t>(</w:t>
      </w:r>
      <w:proofErr w:type="gramEnd"/>
      <w:r>
        <w:t xml:space="preserve">3, 331) = 0.48, </w:t>
      </w:r>
      <w:r>
        <w:rPr>
          <w:i/>
        </w:rPr>
        <w:t>p</w:t>
      </w:r>
      <w:r>
        <w:t xml:space="preserve"> = 0.697, η² = 0.004).</w:t>
      </w:r>
    </w:p>
    <w:p w14:paraId="0B57CCFF" w14:textId="77777777" w:rsidR="00152E39" w:rsidRDefault="00000000">
      <w:pPr>
        <w:jc w:val="both"/>
      </w:pPr>
      <w:r>
        <w:rPr>
          <w:b/>
        </w:rPr>
        <w:t>(B)</w:t>
      </w:r>
      <w:r>
        <w:t xml:space="preserve"> Individual surrogate data for the motor aiming task. The absolute value of the average compensation size in Bin 4 did not differ significantly from that in Bin 1 (</w:t>
      </w:r>
      <w:proofErr w:type="gramStart"/>
      <w:r>
        <w:rPr>
          <w:i/>
        </w:rPr>
        <w:t>t</w:t>
      </w:r>
      <w:r>
        <w:t>(</w:t>
      </w:r>
      <w:proofErr w:type="gramEnd"/>
      <w:r>
        <w:t xml:space="preserve">35) = -0.1577, </w:t>
      </w:r>
      <w:r>
        <w:rPr>
          <w:i/>
        </w:rPr>
        <w:t>p</w:t>
      </w:r>
      <w:r>
        <w:t xml:space="preserve"> = 0.876, η² = 7.10 × 10</w:t>
      </w:r>
      <w:r>
        <w:rPr>
          <w:vertAlign w:val="superscript"/>
        </w:rPr>
        <w:t>-4</w:t>
      </w:r>
      <w:r>
        <w:t xml:space="preserve">, paired </w:t>
      </w:r>
      <w:r>
        <w:rPr>
          <w:i/>
        </w:rPr>
        <w:t>t</w:t>
      </w:r>
      <w:r>
        <w:t>-test).</w:t>
      </w:r>
    </w:p>
    <w:p w14:paraId="42601639" w14:textId="77777777" w:rsidR="00152E39" w:rsidRDefault="00000000">
      <w:pPr>
        <w:jc w:val="both"/>
      </w:pPr>
      <w:r>
        <w:rPr>
          <w:b/>
        </w:rPr>
        <w:t>(C)</w:t>
      </w:r>
      <w:r>
        <w:t xml:space="preserve"> The same surrogate analysis as in (B) was performed for the numeric aiming task. No significant difference was found between the absolute values of the average compensation size in Bin 1 and Bin 4 (</w:t>
      </w:r>
      <w:proofErr w:type="gramStart"/>
      <w:r>
        <w:rPr>
          <w:i/>
        </w:rPr>
        <w:t>t</w:t>
      </w:r>
      <w:r>
        <w:t>(</w:t>
      </w:r>
      <w:proofErr w:type="gramEnd"/>
      <w:r>
        <w:t xml:space="preserve">47) = -0.1176, </w:t>
      </w:r>
      <w:r>
        <w:rPr>
          <w:i/>
        </w:rPr>
        <w:t>p</w:t>
      </w:r>
      <w:r>
        <w:t xml:space="preserve"> = 0.907, η² = 2.94 × 10</w:t>
      </w:r>
      <w:r>
        <w:rPr>
          <w:vertAlign w:val="superscript"/>
        </w:rPr>
        <w:t>-4</w:t>
      </w:r>
      <w:r>
        <w:t xml:space="preserve">, paired </w:t>
      </w:r>
      <w:r>
        <w:rPr>
          <w:i/>
        </w:rPr>
        <w:t>t</w:t>
      </w:r>
      <w:r>
        <w:t>-test).</w:t>
      </w:r>
    </w:p>
    <w:sectPr w:rsidR="00152E39">
      <w:footerReference w:type="default" r:id="rId7"/>
      <w:pgSz w:w="12240" w:h="15840"/>
      <w:pgMar w:top="1440" w:right="1440" w:bottom="1440" w:left="1440" w:header="720" w:footer="720" w:gutter="0"/>
      <w:lnNumType w:countBy="1" w:restart="continuous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8244D" w14:textId="77777777" w:rsidR="008E783F" w:rsidRDefault="008E783F">
      <w:pPr>
        <w:spacing w:line="240" w:lineRule="auto"/>
      </w:pPr>
      <w:r>
        <w:separator/>
      </w:r>
    </w:p>
  </w:endnote>
  <w:endnote w:type="continuationSeparator" w:id="0">
    <w:p w14:paraId="3120D1C1" w14:textId="77777777" w:rsidR="008E783F" w:rsidRDefault="008E78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52992" w14:textId="77777777" w:rsidR="00152E39" w:rsidRDefault="00152E39">
    <w:pPr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3365A" w14:textId="77777777" w:rsidR="008E783F" w:rsidRDefault="008E783F">
      <w:pPr>
        <w:spacing w:line="240" w:lineRule="auto"/>
      </w:pPr>
      <w:r>
        <w:separator/>
      </w:r>
    </w:p>
  </w:footnote>
  <w:footnote w:type="continuationSeparator" w:id="0">
    <w:p w14:paraId="7E69ECE2" w14:textId="77777777" w:rsidR="008E783F" w:rsidRDefault="008E78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39"/>
    <w:rsid w:val="00152E39"/>
    <w:rsid w:val="00254407"/>
    <w:rsid w:val="00257D65"/>
    <w:rsid w:val="008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F72156"/>
  <w15:docId w15:val="{8491E176-4B40-47BF-906B-4ADF2911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jc w:val="both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240"/>
      <w:jc w:val="both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character" w:styleId="LineNumber">
    <w:name w:val="line number"/>
    <w:basedOn w:val="DefaultParagraphFont"/>
    <w:uiPriority w:val="99"/>
    <w:semiHidden/>
    <w:unhideWhenUsed/>
    <w:rsid w:val="00257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Keisuke Tsunoda</cp:lastModifiedBy>
  <cp:revision>3</cp:revision>
  <dcterms:created xsi:type="dcterms:W3CDTF">2025-09-23T17:39:00Z</dcterms:created>
  <dcterms:modified xsi:type="dcterms:W3CDTF">2025-09-23T17:40:00Z</dcterms:modified>
</cp:coreProperties>
</file>