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Figure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S1 Relative abundances (percent) of dominant classes in all sample. The value above each column was the number of soil samples in each category.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718"/>
    <w:rsid w:val="00260B32"/>
    <w:rsid w:val="00534B23"/>
    <w:rsid w:val="00634718"/>
    <w:rsid w:val="006F7323"/>
    <w:rsid w:val="00770F7B"/>
    <w:rsid w:val="008E10FC"/>
    <w:rsid w:val="009E41D5"/>
    <w:rsid w:val="00EE2E42"/>
    <w:rsid w:val="00F81AEA"/>
    <w:rsid w:val="53044EA7"/>
    <w:rsid w:val="7542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143</Characters>
  <Lines>1</Lines>
  <Paragraphs>1</Paragraphs>
  <TotalTime>0</TotalTime>
  <ScaleCrop>false</ScaleCrop>
  <LinksUpToDate>false</LinksUpToDate>
  <CharactersWithSpaces>167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2021-03-23T00:30:00Z</dcterms:created>
  <dc:creator>w</dc:creator>
  <cp:lastModifiedBy>zeze</cp:lastModifiedBy>
  <dcterms:modified xsi:type="dcterms:W3CDTF">2021-06-06T12:32:36Z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F0F4C452267A4C1BB99BCA1B30B7D783</vt:lpwstr>
  </property>
</Properties>
</file>