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2371" w14:textId="77777777" w:rsidR="002B2512" w:rsidRDefault="002B2512" w:rsidP="002B2512">
      <w:pPr>
        <w:pStyle w:val="Standard"/>
        <w:spacing w:line="276" w:lineRule="auto"/>
        <w:jc w:val="both"/>
        <w:rPr>
          <w:rFonts w:ascii="Arial" w:hAnsi="Arial" w:cs="Arial"/>
          <w:b/>
          <w:bCs/>
          <w:lang w:val="en-US"/>
        </w:rPr>
      </w:pPr>
      <w:r>
        <w:rPr>
          <w:rFonts w:ascii="Arial" w:hAnsi="Arial" w:cs="Arial"/>
          <w:b/>
          <w:bCs/>
          <w:lang w:val="en-US"/>
        </w:rPr>
        <w:t>SUPPLEMENTARY DATA</w:t>
      </w:r>
    </w:p>
    <w:p w14:paraId="56D93F90" w14:textId="77777777" w:rsidR="008672AC" w:rsidRDefault="008672AC" w:rsidP="008672AC">
      <w:pPr>
        <w:pStyle w:val="Standard"/>
        <w:spacing w:line="276" w:lineRule="auto"/>
        <w:jc w:val="both"/>
      </w:pPr>
      <w:r>
        <w:rPr>
          <w:rFonts w:ascii="Arial" w:hAnsi="Arial" w:cs="Arial"/>
          <w:b/>
          <w:bCs/>
          <w:lang w:val="en-US"/>
        </w:rPr>
        <w:t xml:space="preserve">Table S1 </w:t>
      </w:r>
      <w:r>
        <w:rPr>
          <w:rFonts w:ascii="Arial" w:hAnsi="Arial" w:cs="Arial"/>
          <w:lang w:val="en-US"/>
        </w:rPr>
        <w:t>Sequences of CT103a and Nb17</w:t>
      </w:r>
    </w:p>
    <w:tbl>
      <w:tblPr>
        <w:tblStyle w:val="Grilledutableau"/>
        <w:tblW w:w="0" w:type="auto"/>
        <w:tblLook w:val="04A0" w:firstRow="1" w:lastRow="0" w:firstColumn="1" w:lastColumn="0" w:noHBand="0" w:noVBand="1"/>
      </w:tblPr>
      <w:tblGrid>
        <w:gridCol w:w="9062"/>
      </w:tblGrid>
      <w:tr w:rsidR="008672AC" w14:paraId="2B149347" w14:textId="77777777" w:rsidTr="0084400E">
        <w:tc>
          <w:tcPr>
            <w:tcW w:w="9062" w:type="dxa"/>
          </w:tcPr>
          <w:p w14:paraId="676865C1" w14:textId="77777777" w:rsidR="008672AC" w:rsidRPr="002348A4" w:rsidRDefault="008672AC" w:rsidP="0084400E">
            <w:pPr>
              <w:jc w:val="both"/>
              <w:rPr>
                <w:rFonts w:ascii="Arial" w:hAnsi="Arial" w:cs="Arial"/>
                <w:b/>
                <w:bCs/>
              </w:rPr>
            </w:pPr>
            <w:r>
              <w:rPr>
                <w:rFonts w:ascii="Arial" w:hAnsi="Arial" w:cs="Arial"/>
                <w:b/>
                <w:bCs/>
              </w:rPr>
              <w:t>Sequence of CT103a</w:t>
            </w:r>
          </w:p>
        </w:tc>
      </w:tr>
      <w:tr w:rsidR="008672AC" w14:paraId="1CBC7120" w14:textId="77777777" w:rsidTr="0084400E">
        <w:tc>
          <w:tcPr>
            <w:tcW w:w="9062" w:type="dxa"/>
          </w:tcPr>
          <w:p w14:paraId="4F62CF6D" w14:textId="77777777" w:rsidR="008672AC" w:rsidRDefault="008672AC" w:rsidP="0084400E">
            <w:pPr>
              <w:jc w:val="both"/>
              <w:rPr>
                <w:rFonts w:ascii="Arial" w:hAnsi="Arial" w:cs="Arial"/>
              </w:rPr>
            </w:pPr>
            <w:r w:rsidRPr="002348A4">
              <w:rPr>
                <w:rFonts w:ascii="Arial" w:hAnsi="Arial" w:cs="Arial"/>
              </w:rPr>
              <w:t>gccttaccagtgaccgccttgctcctgccgctggccttgctgctccacgccgccaggccgggcaaacccatccctaaccctctgctgggcctggacagcaccgacatccagatgacccagagcccttctagcctgtctgctagcgtgggcgatagagtgacaattacctgcagagcttctcagagcatcagctcttacctgaactggtaccaacaaaagcctggcaaggcccctaagctgctgatctacgccgcctctagcctccagagtggagttccaagccgcttcagcggctctggcagcggaactgacttcaccctgaccatcagctccctgcagcctgaagatttcgctacctactactgccagcagaagtacgacctgctgacattcggcggcggcacaaaggtggaaatcaagggcagcaccagcggaagcggcaaacctggcagcggcgagggcagcacaaagggccaactgcagctgcaggagagcggtcctggcctggtcaagcctagcgagacactgtccttgacatgcacggtgtccggaggaagcatctcaagcagctcttattactggggatggatccggcagcctccaggaaagggcctcgagtggatcggctccatcagctacagcggcagcacctactacaacccaagcctgaagagccgggtgaccatctctgtcgacaccagcaagaatcagtttagcctgaaactgagcagcgtgacagccgctgataccgctgtgtactactgcgccagagacagaggcgacaccatcctggacgtgtggggccagggcaccatggtgacagtgtcctctgcgaagcccaccacgacgccagcgccgcgaccaccaacaccggcgcccaccatcgcgtcgcagcccctgtccctgcgcccagaggcgtgccggccagcggcggggggcgcagtgcacacgagggggctggacttcgcctgtgatatctacatctgggcgcccttggccgggacttgtggggtccttctcctgtcactggttatcaccctttactgcaaacggggcagaaagaaactcctgtatatattcaaacaaccatttatgagaccagtacaaactactcaagaggaagatggctgtagctgccgatttccagaagaagaagaaggaggatgtgaactgagagtgaagttcagcaggagcgcagacgcccccgcgtaccagcagggccagaaccagctctataacgagctcaatctaggacgaagagaggagtacgatgttttggacaagagacgtggccgggaccctgagatggggggaaagccgagaaggaagaaccctcaggaaggcctgtacaatgaactgcagaaagataagatggcggaggcctacagtgagattgggatgaaaggcgagcgccggaggggcaaggggcacgatggcctttaccagggtctcagtacagccaccaaggacacctacgacgcccttcacatgcaggccctgccccctcgc</w:t>
            </w:r>
          </w:p>
        </w:tc>
      </w:tr>
      <w:tr w:rsidR="008672AC" w14:paraId="09E39963" w14:textId="77777777" w:rsidTr="0084400E">
        <w:tc>
          <w:tcPr>
            <w:tcW w:w="9062" w:type="dxa"/>
          </w:tcPr>
          <w:p w14:paraId="044C9B04" w14:textId="77777777" w:rsidR="008672AC" w:rsidRDefault="008672AC" w:rsidP="0084400E">
            <w:pPr>
              <w:jc w:val="both"/>
              <w:rPr>
                <w:rFonts w:ascii="Arial" w:hAnsi="Arial" w:cs="Arial"/>
              </w:rPr>
            </w:pPr>
            <w:r>
              <w:rPr>
                <w:rFonts w:ascii="Arial" w:hAnsi="Arial" w:cs="Arial"/>
                <w:b/>
                <w:bCs/>
              </w:rPr>
              <w:t>Sequence of Nb17</w:t>
            </w:r>
          </w:p>
        </w:tc>
      </w:tr>
      <w:tr w:rsidR="008672AC" w14:paraId="7AE0A075" w14:textId="77777777" w:rsidTr="0084400E">
        <w:tc>
          <w:tcPr>
            <w:tcW w:w="9062" w:type="dxa"/>
          </w:tcPr>
          <w:p w14:paraId="7B800F87" w14:textId="77777777" w:rsidR="008672AC" w:rsidRDefault="008672AC" w:rsidP="0084400E">
            <w:pPr>
              <w:jc w:val="both"/>
              <w:rPr>
                <w:rFonts w:ascii="Arial" w:hAnsi="Arial" w:cs="Arial"/>
              </w:rPr>
            </w:pPr>
            <w:r w:rsidRPr="002348A4">
              <w:rPr>
                <w:rFonts w:ascii="Arial" w:hAnsi="Arial" w:cs="Arial"/>
              </w:rPr>
              <w:t>caggtgcagctgcaggagagcggcggcggtctggttcaagcgggcggtagcctgcgtctgagctgcgcggcgagcggtcgtaccttcacgatgggttggttccgtcaggcgccgggtaaagagcgtgaattcgttgcggcgatcagcctgagcccgaccctggcgtactatgcggagagcgttaagggccgttttaccattagccgtgacaacgcgaaaaacaccgtggttctgcaaatgaacagcctgaagccggaagataccgcgctgta</w:t>
            </w:r>
            <w:r>
              <w:rPr>
                <w:rFonts w:ascii="Arial" w:hAnsi="Arial" w:cs="Arial"/>
              </w:rPr>
              <w:t>c</w:t>
            </w:r>
            <w:r w:rsidRPr="002348A4">
              <w:rPr>
                <w:rFonts w:ascii="Arial" w:hAnsi="Arial" w:cs="Arial"/>
              </w:rPr>
              <w:t>ctattgcgcggcggatcgtaagagcgttatgagcattcgcccggattattggggtcaaggcacccaggtcaccgtctcctca</w:t>
            </w:r>
          </w:p>
        </w:tc>
      </w:tr>
    </w:tbl>
    <w:p w14:paraId="4FF07585" w14:textId="77777777" w:rsidR="008672AC" w:rsidRDefault="008672AC" w:rsidP="00625DBF">
      <w:pPr>
        <w:jc w:val="center"/>
        <w:rPr>
          <w:rFonts w:ascii="Arial" w:hAnsi="Arial" w:cs="Arial"/>
        </w:rPr>
      </w:pPr>
    </w:p>
    <w:p w14:paraId="733BC7EF" w14:textId="76B66FEB" w:rsidR="002B2512" w:rsidRDefault="002B2512" w:rsidP="00625DBF">
      <w:pPr>
        <w:jc w:val="center"/>
        <w:rPr>
          <w:rFonts w:ascii="Arial" w:hAnsi="Arial" w:cs="Arial"/>
        </w:rPr>
      </w:pPr>
      <w:r>
        <w:rPr>
          <w:rFonts w:ascii="Arial" w:hAnsi="Arial" w:cs="Arial"/>
          <w:noProof/>
        </w:rPr>
        <w:lastRenderedPageBreak/>
        <w:drawing>
          <wp:inline distT="0" distB="0" distL="0" distR="0" wp14:anchorId="0F04BB8A" wp14:editId="3FBCAC30">
            <wp:extent cx="5212715" cy="4718685"/>
            <wp:effectExtent l="0" t="0" r="0" b="0"/>
            <wp:docPr id="11463362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2715" cy="4718685"/>
                    </a:xfrm>
                    <a:prstGeom prst="rect">
                      <a:avLst/>
                    </a:prstGeom>
                    <a:noFill/>
                  </pic:spPr>
                </pic:pic>
              </a:graphicData>
            </a:graphic>
          </wp:inline>
        </w:drawing>
      </w:r>
    </w:p>
    <w:p w14:paraId="01109CF9" w14:textId="0810F404" w:rsidR="00625DBF" w:rsidRDefault="0012587B" w:rsidP="00C3494A">
      <w:pPr>
        <w:jc w:val="both"/>
        <w:rPr>
          <w:rFonts w:ascii="Arial" w:hAnsi="Arial" w:cs="Arial"/>
          <w:sz w:val="22"/>
          <w:szCs w:val="22"/>
        </w:rPr>
      </w:pPr>
      <w:r>
        <w:rPr>
          <w:rFonts w:ascii="Arial" w:hAnsi="Arial" w:cs="Arial"/>
          <w:b/>
          <w:bCs/>
          <w:sz w:val="22"/>
          <w:szCs w:val="22"/>
        </w:rPr>
        <w:t>Fig</w:t>
      </w:r>
      <w:r w:rsidR="00625DBF" w:rsidRPr="0093705C">
        <w:rPr>
          <w:rFonts w:ascii="Arial" w:hAnsi="Arial" w:cs="Arial"/>
          <w:b/>
          <w:bCs/>
          <w:sz w:val="22"/>
          <w:szCs w:val="22"/>
        </w:rPr>
        <w:t xml:space="preserve"> </w:t>
      </w:r>
      <w:r w:rsidR="00625DBF">
        <w:rPr>
          <w:rFonts w:ascii="Arial" w:hAnsi="Arial" w:cs="Arial"/>
          <w:b/>
          <w:bCs/>
          <w:sz w:val="22"/>
          <w:szCs w:val="22"/>
        </w:rPr>
        <w:t>I</w:t>
      </w:r>
      <w:r w:rsidR="00625DBF" w:rsidRPr="0093705C">
        <w:rPr>
          <w:rFonts w:ascii="Arial" w:hAnsi="Arial" w:cs="Arial"/>
          <w:sz w:val="22"/>
          <w:szCs w:val="22"/>
        </w:rPr>
        <w:t xml:space="preserve"> In vitro efficacy of CT103a and </w:t>
      </w:r>
      <w:r w:rsidR="00B30D46">
        <w:rPr>
          <w:rFonts w:ascii="Arial" w:hAnsi="Arial" w:cs="Arial"/>
          <w:sz w:val="22"/>
          <w:szCs w:val="22"/>
        </w:rPr>
        <w:t>n</w:t>
      </w:r>
      <w:r w:rsidR="00625DBF" w:rsidRPr="0093705C">
        <w:rPr>
          <w:rFonts w:ascii="Arial" w:hAnsi="Arial" w:cs="Arial"/>
          <w:sz w:val="22"/>
          <w:szCs w:val="22"/>
        </w:rPr>
        <w:t>anoCAR in killing BCMA</w:t>
      </w:r>
      <w:r w:rsidR="00625DBF" w:rsidRPr="0093705C">
        <w:rPr>
          <w:rFonts w:ascii="Arial" w:hAnsi="Arial" w:cs="Arial"/>
          <w:sz w:val="22"/>
          <w:szCs w:val="22"/>
          <w:vertAlign w:val="superscript"/>
        </w:rPr>
        <w:t>+</w:t>
      </w:r>
      <w:r w:rsidR="00625DBF" w:rsidRPr="0093705C">
        <w:rPr>
          <w:rFonts w:ascii="Arial" w:hAnsi="Arial" w:cs="Arial"/>
          <w:sz w:val="22"/>
          <w:szCs w:val="22"/>
        </w:rPr>
        <w:t xml:space="preserve"> MM cell lines. Representative histograms from flow cytometry of </w:t>
      </w:r>
      <w:r w:rsidR="00625DBF">
        <w:rPr>
          <w:rFonts w:ascii="Arial" w:hAnsi="Arial" w:cs="Arial"/>
          <w:sz w:val="22"/>
          <w:szCs w:val="22"/>
        </w:rPr>
        <w:t>i</w:t>
      </w:r>
      <w:r w:rsidR="00625DBF" w:rsidRPr="0093705C">
        <w:rPr>
          <w:rFonts w:ascii="Arial" w:hAnsi="Arial" w:cs="Arial"/>
          <w:sz w:val="22"/>
          <w:szCs w:val="22"/>
        </w:rPr>
        <w:t>n vitro cytotoxicity assays after 48 hours of MM1.S-GFP</w:t>
      </w:r>
      <w:r w:rsidR="00625DBF">
        <w:rPr>
          <w:rFonts w:ascii="Arial" w:hAnsi="Arial" w:cs="Arial"/>
          <w:sz w:val="22"/>
          <w:szCs w:val="22"/>
        </w:rPr>
        <w:t xml:space="preserve"> </w:t>
      </w:r>
      <w:r w:rsidR="00625DBF" w:rsidRPr="0093705C">
        <w:rPr>
          <w:rFonts w:ascii="Arial" w:hAnsi="Arial" w:cs="Arial"/>
          <w:sz w:val="22"/>
          <w:szCs w:val="22"/>
        </w:rPr>
        <w:t>at different effector-to-target (E/T) ratios (1/3, 1/1, 3/1).</w:t>
      </w:r>
    </w:p>
    <w:p w14:paraId="5DBBF84B" w14:textId="77777777" w:rsidR="00625DBF" w:rsidRDefault="00625DBF" w:rsidP="00C3494A">
      <w:pPr>
        <w:jc w:val="both"/>
        <w:rPr>
          <w:rFonts w:ascii="Arial" w:hAnsi="Arial" w:cs="Arial"/>
          <w:sz w:val="22"/>
          <w:szCs w:val="22"/>
        </w:rPr>
      </w:pPr>
    </w:p>
    <w:p w14:paraId="70F0223C" w14:textId="4315864E" w:rsidR="00625DBF" w:rsidRDefault="00CA29BC" w:rsidP="00625DBF">
      <w:pPr>
        <w:jc w:val="center"/>
        <w:rPr>
          <w:rFonts w:ascii="Arial" w:hAnsi="Arial" w:cs="Arial"/>
          <w:sz w:val="22"/>
          <w:szCs w:val="22"/>
        </w:rPr>
      </w:pPr>
      <w:r>
        <w:rPr>
          <w:rFonts w:ascii="Arial" w:hAnsi="Arial" w:cs="Arial"/>
          <w:noProof/>
          <w:sz w:val="22"/>
          <w:szCs w:val="22"/>
        </w:rPr>
        <w:drawing>
          <wp:inline distT="0" distB="0" distL="0" distR="0" wp14:anchorId="10D60848" wp14:editId="6DE0B0A6">
            <wp:extent cx="5814411" cy="2091055"/>
            <wp:effectExtent l="0" t="0" r="0" b="0"/>
            <wp:docPr id="54576565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7468" cy="2092154"/>
                    </a:xfrm>
                    <a:prstGeom prst="rect">
                      <a:avLst/>
                    </a:prstGeom>
                    <a:noFill/>
                  </pic:spPr>
                </pic:pic>
              </a:graphicData>
            </a:graphic>
          </wp:inline>
        </w:drawing>
      </w:r>
    </w:p>
    <w:p w14:paraId="0AB1D60F" w14:textId="4F479A8B" w:rsidR="00625DBF" w:rsidRPr="0093705C" w:rsidRDefault="0012587B" w:rsidP="00625DBF">
      <w:pPr>
        <w:jc w:val="both"/>
        <w:rPr>
          <w:rFonts w:ascii="Arial" w:hAnsi="Arial" w:cs="Arial"/>
          <w:sz w:val="22"/>
          <w:szCs w:val="22"/>
        </w:rPr>
      </w:pPr>
      <w:r>
        <w:rPr>
          <w:rFonts w:ascii="Arial" w:hAnsi="Arial" w:cs="Arial"/>
          <w:b/>
          <w:bCs/>
          <w:sz w:val="22"/>
          <w:szCs w:val="22"/>
        </w:rPr>
        <w:t>Fig</w:t>
      </w:r>
      <w:r w:rsidR="00625DBF" w:rsidRPr="0093705C">
        <w:rPr>
          <w:rFonts w:ascii="Arial" w:hAnsi="Arial" w:cs="Arial"/>
          <w:b/>
          <w:bCs/>
          <w:sz w:val="22"/>
          <w:szCs w:val="22"/>
        </w:rPr>
        <w:t xml:space="preserve"> </w:t>
      </w:r>
      <w:r w:rsidR="00625DBF">
        <w:rPr>
          <w:rFonts w:ascii="Arial" w:hAnsi="Arial" w:cs="Arial"/>
          <w:b/>
          <w:bCs/>
          <w:sz w:val="22"/>
          <w:szCs w:val="22"/>
        </w:rPr>
        <w:t>II</w:t>
      </w:r>
      <w:r w:rsidR="00625DBF" w:rsidRPr="0093705C">
        <w:rPr>
          <w:rFonts w:ascii="Arial" w:hAnsi="Arial" w:cs="Arial"/>
          <w:sz w:val="22"/>
          <w:szCs w:val="22"/>
        </w:rPr>
        <w:t xml:space="preserve"> CT103a and </w:t>
      </w:r>
      <w:r w:rsidR="00B30D46">
        <w:rPr>
          <w:rFonts w:ascii="Arial" w:hAnsi="Arial" w:cs="Arial"/>
          <w:sz w:val="22"/>
          <w:szCs w:val="22"/>
        </w:rPr>
        <w:t>n</w:t>
      </w:r>
      <w:r w:rsidR="00625DBF" w:rsidRPr="0093705C">
        <w:rPr>
          <w:rFonts w:ascii="Arial" w:hAnsi="Arial" w:cs="Arial"/>
          <w:sz w:val="22"/>
          <w:szCs w:val="22"/>
        </w:rPr>
        <w:t xml:space="preserve">anoCAR produce cytokines when co-cultured with MM cell lines </w:t>
      </w:r>
      <w:r w:rsidR="00625DBF" w:rsidRPr="0093705C">
        <w:rPr>
          <w:rFonts w:ascii="Arial" w:hAnsi="Arial" w:cs="Arial"/>
          <w:b/>
          <w:bCs/>
          <w:sz w:val="22"/>
          <w:szCs w:val="22"/>
        </w:rPr>
        <w:t>A.</w:t>
      </w:r>
      <w:r w:rsidR="00625DBF" w:rsidRPr="0093705C">
        <w:rPr>
          <w:rFonts w:ascii="Arial" w:hAnsi="Arial" w:cs="Arial"/>
          <w:sz w:val="22"/>
          <w:szCs w:val="22"/>
        </w:rPr>
        <w:t xml:space="preserve"> Measurements of cytokine production (IL-2, IFNγ, TNFα) after 24 hour co-culture with </w:t>
      </w:r>
      <w:r w:rsidR="00625DBF">
        <w:rPr>
          <w:rFonts w:ascii="Arial" w:hAnsi="Arial" w:cs="Arial"/>
          <w:sz w:val="22"/>
          <w:szCs w:val="22"/>
        </w:rPr>
        <w:t>RPMI-8226</w:t>
      </w:r>
      <w:r w:rsidR="00625DBF" w:rsidRPr="0093705C">
        <w:rPr>
          <w:rFonts w:ascii="Arial" w:hAnsi="Arial" w:cs="Arial"/>
          <w:sz w:val="22"/>
          <w:szCs w:val="22"/>
        </w:rPr>
        <w:t xml:space="preserve"> or </w:t>
      </w:r>
      <w:r w:rsidR="00625DBF">
        <w:rPr>
          <w:rFonts w:ascii="Arial" w:hAnsi="Arial" w:cs="Arial"/>
          <w:sz w:val="22"/>
          <w:szCs w:val="22"/>
        </w:rPr>
        <w:t>LP-1</w:t>
      </w:r>
      <w:r w:rsidR="00625DBF" w:rsidRPr="0093705C">
        <w:rPr>
          <w:rFonts w:ascii="Arial" w:hAnsi="Arial" w:cs="Arial"/>
          <w:sz w:val="22"/>
          <w:szCs w:val="22"/>
        </w:rPr>
        <w:t xml:space="preserve"> cells. The mean value and SD from five independent experiments, utilizing a total of seven different donors in triplicate, are shown (n = 3 for each of the seven donors). **: p &lt; 0.01. ***: p &lt; 0.001. ****: p &lt; 0.0001</w:t>
      </w:r>
      <w:r w:rsidR="00D048FB">
        <w:rPr>
          <w:rFonts w:ascii="Arial" w:hAnsi="Arial" w:cs="Arial"/>
          <w:sz w:val="22"/>
          <w:szCs w:val="22"/>
        </w:rPr>
        <w:t>, determined</w:t>
      </w:r>
      <w:r w:rsidR="00625DBF" w:rsidRPr="0093705C">
        <w:rPr>
          <w:rFonts w:ascii="Arial" w:hAnsi="Arial" w:cs="Arial"/>
          <w:sz w:val="22"/>
          <w:szCs w:val="22"/>
        </w:rPr>
        <w:t xml:space="preserve"> by Mann-Whitney test.</w:t>
      </w:r>
    </w:p>
    <w:p w14:paraId="0CAAACBF" w14:textId="77777777" w:rsidR="00625DBF" w:rsidRDefault="00625DBF" w:rsidP="00625DBF">
      <w:pPr>
        <w:jc w:val="center"/>
        <w:rPr>
          <w:rFonts w:ascii="Arial" w:hAnsi="Arial" w:cs="Arial"/>
          <w:sz w:val="22"/>
          <w:szCs w:val="22"/>
        </w:rPr>
      </w:pPr>
    </w:p>
    <w:p w14:paraId="0DFD489A" w14:textId="0B6BD410" w:rsidR="00274D5F" w:rsidRDefault="00CA29BC" w:rsidP="00625DBF">
      <w:pPr>
        <w:jc w:val="center"/>
        <w:rPr>
          <w:rFonts w:ascii="Arial" w:hAnsi="Arial" w:cs="Arial"/>
          <w:sz w:val="22"/>
          <w:szCs w:val="22"/>
        </w:rPr>
      </w:pPr>
      <w:r>
        <w:rPr>
          <w:rFonts w:ascii="Arial" w:hAnsi="Arial" w:cs="Arial"/>
          <w:noProof/>
          <w:sz w:val="22"/>
          <w:szCs w:val="22"/>
        </w:rPr>
        <w:lastRenderedPageBreak/>
        <w:drawing>
          <wp:inline distT="0" distB="0" distL="0" distR="0" wp14:anchorId="165E84A7" wp14:editId="790D39B5">
            <wp:extent cx="2548255" cy="2115185"/>
            <wp:effectExtent l="0" t="0" r="0" b="0"/>
            <wp:docPr id="116867050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8255" cy="2115185"/>
                    </a:xfrm>
                    <a:prstGeom prst="rect">
                      <a:avLst/>
                    </a:prstGeom>
                    <a:noFill/>
                  </pic:spPr>
                </pic:pic>
              </a:graphicData>
            </a:graphic>
          </wp:inline>
        </w:drawing>
      </w:r>
    </w:p>
    <w:p w14:paraId="05BF8374" w14:textId="7A417BD2" w:rsidR="00274D5F" w:rsidRDefault="0012587B" w:rsidP="00274D5F">
      <w:pPr>
        <w:jc w:val="both"/>
        <w:rPr>
          <w:rFonts w:ascii="Arial" w:hAnsi="Arial" w:cs="Arial"/>
          <w:sz w:val="22"/>
          <w:szCs w:val="22"/>
        </w:rPr>
      </w:pPr>
      <w:r>
        <w:rPr>
          <w:rFonts w:ascii="Arial" w:hAnsi="Arial" w:cs="Arial"/>
          <w:b/>
          <w:bCs/>
          <w:sz w:val="22"/>
          <w:szCs w:val="22"/>
        </w:rPr>
        <w:t>Fig</w:t>
      </w:r>
      <w:r w:rsidR="00274D5F" w:rsidRPr="0093705C">
        <w:rPr>
          <w:rFonts w:ascii="Arial" w:hAnsi="Arial" w:cs="Arial"/>
          <w:b/>
          <w:bCs/>
          <w:sz w:val="22"/>
          <w:szCs w:val="22"/>
        </w:rPr>
        <w:t xml:space="preserve"> </w:t>
      </w:r>
      <w:r w:rsidR="00274D5F">
        <w:rPr>
          <w:rFonts w:ascii="Arial" w:hAnsi="Arial" w:cs="Arial"/>
          <w:b/>
          <w:bCs/>
          <w:sz w:val="22"/>
          <w:szCs w:val="22"/>
        </w:rPr>
        <w:t>I</w:t>
      </w:r>
      <w:r w:rsidR="00CA29BC">
        <w:rPr>
          <w:rFonts w:ascii="Arial" w:hAnsi="Arial" w:cs="Arial"/>
          <w:b/>
          <w:bCs/>
          <w:sz w:val="22"/>
          <w:szCs w:val="22"/>
        </w:rPr>
        <w:t>II</w:t>
      </w:r>
      <w:r w:rsidR="00274D5F" w:rsidRPr="0093705C">
        <w:rPr>
          <w:rFonts w:ascii="Arial" w:hAnsi="Arial" w:cs="Arial"/>
          <w:sz w:val="22"/>
          <w:szCs w:val="22"/>
        </w:rPr>
        <w:t xml:space="preserve"> </w:t>
      </w:r>
      <w:r w:rsidR="00274D5F">
        <w:rPr>
          <w:rFonts w:ascii="Arial" w:hAnsi="Arial" w:cs="Arial"/>
          <w:sz w:val="22"/>
          <w:szCs w:val="22"/>
        </w:rPr>
        <w:t xml:space="preserve">Gene expression studies of CT103a and </w:t>
      </w:r>
      <w:r w:rsidR="00B30D46">
        <w:rPr>
          <w:rFonts w:ascii="Arial" w:hAnsi="Arial" w:cs="Arial"/>
          <w:sz w:val="22"/>
          <w:szCs w:val="22"/>
        </w:rPr>
        <w:t>n</w:t>
      </w:r>
      <w:r w:rsidR="00274D5F">
        <w:rPr>
          <w:rFonts w:ascii="Arial" w:hAnsi="Arial" w:cs="Arial"/>
          <w:sz w:val="22"/>
          <w:szCs w:val="22"/>
        </w:rPr>
        <w:t>anoCAR co-cultured with MM cells. Representative histogram showing the bulk RNA seq analysis were perfomed without any gene contamination from bacteria, viruses, or mycoplamatota.</w:t>
      </w:r>
    </w:p>
    <w:p w14:paraId="5EEDA244" w14:textId="77777777" w:rsidR="00274D5F" w:rsidRDefault="00274D5F" w:rsidP="00274D5F">
      <w:pPr>
        <w:jc w:val="both"/>
        <w:rPr>
          <w:rFonts w:ascii="Arial" w:hAnsi="Arial" w:cs="Arial"/>
          <w:sz w:val="22"/>
          <w:szCs w:val="22"/>
        </w:rPr>
      </w:pPr>
    </w:p>
    <w:p w14:paraId="630BC113" w14:textId="7765BD3D" w:rsidR="00726697" w:rsidRDefault="00726697" w:rsidP="00726697">
      <w:pPr>
        <w:jc w:val="center"/>
        <w:rPr>
          <w:rFonts w:ascii="Arial" w:hAnsi="Arial" w:cs="Arial"/>
          <w:sz w:val="22"/>
          <w:szCs w:val="22"/>
        </w:rPr>
      </w:pPr>
      <w:r>
        <w:rPr>
          <w:rFonts w:ascii="Arial" w:hAnsi="Arial" w:cs="Arial"/>
          <w:noProof/>
          <w:sz w:val="22"/>
          <w:szCs w:val="22"/>
        </w:rPr>
        <w:drawing>
          <wp:inline distT="0" distB="0" distL="0" distR="0" wp14:anchorId="41C0D437" wp14:editId="72F6ADF0">
            <wp:extent cx="5243041" cy="3718822"/>
            <wp:effectExtent l="0" t="0" r="0" b="0"/>
            <wp:docPr id="124673584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52357" cy="3725430"/>
                    </a:xfrm>
                    <a:prstGeom prst="rect">
                      <a:avLst/>
                    </a:prstGeom>
                    <a:noFill/>
                  </pic:spPr>
                </pic:pic>
              </a:graphicData>
            </a:graphic>
          </wp:inline>
        </w:drawing>
      </w:r>
    </w:p>
    <w:p w14:paraId="57D1E103" w14:textId="2F2A54B1" w:rsidR="00726697" w:rsidRDefault="0012587B" w:rsidP="00726697">
      <w:pPr>
        <w:jc w:val="both"/>
        <w:rPr>
          <w:rFonts w:ascii="Arial" w:hAnsi="Arial" w:cs="Arial"/>
          <w:sz w:val="22"/>
          <w:szCs w:val="22"/>
        </w:rPr>
      </w:pPr>
      <w:r>
        <w:rPr>
          <w:rFonts w:ascii="Arial" w:hAnsi="Arial" w:cs="Arial"/>
          <w:b/>
          <w:bCs/>
          <w:sz w:val="22"/>
          <w:szCs w:val="22"/>
        </w:rPr>
        <w:t>Fig</w:t>
      </w:r>
      <w:r w:rsidR="00726697" w:rsidRPr="00726697">
        <w:rPr>
          <w:rFonts w:ascii="Arial" w:hAnsi="Arial" w:cs="Arial"/>
          <w:b/>
          <w:bCs/>
          <w:sz w:val="22"/>
          <w:szCs w:val="22"/>
        </w:rPr>
        <w:t xml:space="preserve"> IV A)</w:t>
      </w:r>
      <w:r w:rsidR="00726697" w:rsidRPr="00726697">
        <w:rPr>
          <w:rFonts w:ascii="Arial" w:hAnsi="Arial" w:cs="Arial"/>
          <w:sz w:val="22"/>
          <w:szCs w:val="22"/>
        </w:rPr>
        <w:t xml:space="preserve"> NanoCAR and CT103a express similar set of genes and pathways (bulk RNA seq) when co-cultured with MM cells. Gene set enrichment analysis in Hallmark to illustrate enriched upregulated and downregulated pathways after of CT103a or nanoCAR compared to the negative control Mock after 0h, 4h and 16h of co-culture with MM1.S cells. Results were shown using three donors (n = 3), grey barrs representing n.s. pathways, significant pathways were represented using a gradient of blue.</w:t>
      </w:r>
    </w:p>
    <w:p w14:paraId="709E6C53" w14:textId="77777777" w:rsidR="00A97F2E" w:rsidRDefault="00A97F2E" w:rsidP="00726697">
      <w:pPr>
        <w:jc w:val="both"/>
        <w:rPr>
          <w:rFonts w:ascii="Arial" w:hAnsi="Arial" w:cs="Arial"/>
          <w:sz w:val="22"/>
          <w:szCs w:val="22"/>
        </w:rPr>
      </w:pPr>
    </w:p>
    <w:p w14:paraId="2D1D3327" w14:textId="14B9FEFF" w:rsidR="00A97F2E" w:rsidRDefault="00A97F2E" w:rsidP="00726697">
      <w:pPr>
        <w:jc w:val="both"/>
        <w:rPr>
          <w:rFonts w:ascii="Arial" w:hAnsi="Arial" w:cs="Arial"/>
          <w:sz w:val="22"/>
          <w:szCs w:val="22"/>
        </w:rPr>
      </w:pPr>
      <w:r>
        <w:rPr>
          <w:rFonts w:ascii="Arial" w:hAnsi="Arial" w:cs="Arial"/>
          <w:noProof/>
          <w:sz w:val="22"/>
          <w:szCs w:val="22"/>
        </w:rPr>
        <w:lastRenderedPageBreak/>
        <w:drawing>
          <wp:inline distT="0" distB="0" distL="0" distR="0" wp14:anchorId="3DCC7F6D" wp14:editId="037D24BA">
            <wp:extent cx="5243010" cy="3718800"/>
            <wp:effectExtent l="0" t="0" r="0" b="0"/>
            <wp:docPr id="179070462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3010" cy="3718800"/>
                    </a:xfrm>
                    <a:prstGeom prst="rect">
                      <a:avLst/>
                    </a:prstGeom>
                    <a:noFill/>
                  </pic:spPr>
                </pic:pic>
              </a:graphicData>
            </a:graphic>
          </wp:inline>
        </w:drawing>
      </w:r>
    </w:p>
    <w:p w14:paraId="5085B791" w14:textId="44E8AA5D" w:rsidR="00A97F2E" w:rsidRDefault="0012587B" w:rsidP="00A97F2E">
      <w:pPr>
        <w:jc w:val="both"/>
        <w:rPr>
          <w:rFonts w:ascii="Arial" w:hAnsi="Arial" w:cs="Arial"/>
          <w:sz w:val="22"/>
          <w:szCs w:val="22"/>
        </w:rPr>
      </w:pPr>
      <w:r>
        <w:rPr>
          <w:rFonts w:ascii="Arial" w:hAnsi="Arial" w:cs="Arial"/>
          <w:b/>
          <w:bCs/>
          <w:sz w:val="22"/>
          <w:szCs w:val="22"/>
        </w:rPr>
        <w:t>Fig</w:t>
      </w:r>
      <w:r w:rsidR="00A97F2E" w:rsidRPr="00726697">
        <w:rPr>
          <w:rFonts w:ascii="Arial" w:hAnsi="Arial" w:cs="Arial"/>
          <w:b/>
          <w:bCs/>
          <w:sz w:val="22"/>
          <w:szCs w:val="22"/>
        </w:rPr>
        <w:t xml:space="preserve"> IV </w:t>
      </w:r>
      <w:r w:rsidR="00A97F2E">
        <w:rPr>
          <w:rFonts w:ascii="Arial" w:hAnsi="Arial" w:cs="Arial"/>
          <w:b/>
          <w:bCs/>
          <w:sz w:val="22"/>
          <w:szCs w:val="22"/>
        </w:rPr>
        <w:t>B</w:t>
      </w:r>
      <w:r w:rsidR="00A97F2E" w:rsidRPr="00726697">
        <w:rPr>
          <w:rFonts w:ascii="Arial" w:hAnsi="Arial" w:cs="Arial"/>
          <w:b/>
          <w:bCs/>
          <w:sz w:val="22"/>
          <w:szCs w:val="22"/>
        </w:rPr>
        <w:t>)</w:t>
      </w:r>
      <w:r w:rsidR="00A97F2E" w:rsidRPr="00726697">
        <w:rPr>
          <w:rFonts w:ascii="Arial" w:hAnsi="Arial" w:cs="Arial"/>
          <w:sz w:val="22"/>
          <w:szCs w:val="22"/>
        </w:rPr>
        <w:t xml:space="preserve"> NanoCAR and CT103a express similar set of genes and pathways (bulk RNA seq) when co-cultured with MM cells. Gene set enrichment analysis in </w:t>
      </w:r>
      <w:r w:rsidR="002F5E23">
        <w:rPr>
          <w:rFonts w:ascii="Arial" w:hAnsi="Arial" w:cs="Arial"/>
          <w:sz w:val="22"/>
          <w:szCs w:val="22"/>
        </w:rPr>
        <w:t>KEGG</w:t>
      </w:r>
      <w:r w:rsidR="00A97F2E" w:rsidRPr="00726697">
        <w:rPr>
          <w:rFonts w:ascii="Arial" w:hAnsi="Arial" w:cs="Arial"/>
          <w:sz w:val="22"/>
          <w:szCs w:val="22"/>
        </w:rPr>
        <w:t xml:space="preserve"> to illustrate enriched upregulated and downregulated pathways after of CT103a or nanoCAR compared to the negative control Mock after 0h, 4h and 16h of co-culture with MM1.S cells. Results were shown using three donors (n = 3), grey barrs representing n.s. pathways, significant pathways were represented using a gradient of blue.</w:t>
      </w:r>
    </w:p>
    <w:p w14:paraId="75DA6E99" w14:textId="77777777" w:rsidR="00726697" w:rsidRDefault="00726697" w:rsidP="00726697">
      <w:pPr>
        <w:jc w:val="center"/>
        <w:rPr>
          <w:rFonts w:ascii="Arial" w:hAnsi="Arial" w:cs="Arial"/>
          <w:sz w:val="22"/>
          <w:szCs w:val="22"/>
        </w:rPr>
      </w:pPr>
    </w:p>
    <w:p w14:paraId="34C5DEB2" w14:textId="4038293C" w:rsidR="00274D5F" w:rsidRPr="0093705C" w:rsidRDefault="00726697" w:rsidP="00274D5F">
      <w:pPr>
        <w:jc w:val="center"/>
        <w:rPr>
          <w:rFonts w:ascii="Arial" w:hAnsi="Arial" w:cs="Arial"/>
          <w:b/>
          <w:bCs/>
        </w:rPr>
      </w:pPr>
      <w:r>
        <w:rPr>
          <w:rFonts w:ascii="Arial" w:hAnsi="Arial" w:cs="Arial"/>
          <w:b/>
          <w:bCs/>
          <w:noProof/>
        </w:rPr>
        <w:lastRenderedPageBreak/>
        <w:drawing>
          <wp:inline distT="0" distB="0" distL="0" distR="0" wp14:anchorId="01B865B4" wp14:editId="55981188">
            <wp:extent cx="5695950" cy="4115408"/>
            <wp:effectExtent l="0" t="0" r="0" b="0"/>
            <wp:docPr id="90010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7813" cy="4116754"/>
                    </a:xfrm>
                    <a:prstGeom prst="rect">
                      <a:avLst/>
                    </a:prstGeom>
                    <a:noFill/>
                  </pic:spPr>
                </pic:pic>
              </a:graphicData>
            </a:graphic>
          </wp:inline>
        </w:drawing>
      </w:r>
    </w:p>
    <w:p w14:paraId="3CF6BA0D" w14:textId="21F9C0EA" w:rsidR="00274D5F" w:rsidRPr="00274D5F" w:rsidRDefault="0012587B" w:rsidP="00274D5F">
      <w:pPr>
        <w:jc w:val="both"/>
        <w:rPr>
          <w:rFonts w:ascii="Arial" w:hAnsi="Arial" w:cs="Arial"/>
          <w:sz w:val="22"/>
          <w:szCs w:val="22"/>
        </w:rPr>
      </w:pPr>
      <w:r>
        <w:rPr>
          <w:rFonts w:ascii="Arial" w:hAnsi="Arial" w:cs="Arial"/>
          <w:b/>
          <w:bCs/>
          <w:sz w:val="22"/>
          <w:szCs w:val="22"/>
        </w:rPr>
        <w:t>Fig</w:t>
      </w:r>
      <w:r w:rsidR="00274D5F" w:rsidRPr="0093705C">
        <w:rPr>
          <w:rFonts w:ascii="Arial" w:hAnsi="Arial" w:cs="Arial"/>
          <w:b/>
          <w:bCs/>
          <w:sz w:val="22"/>
          <w:szCs w:val="22"/>
        </w:rPr>
        <w:t xml:space="preserve"> </w:t>
      </w:r>
      <w:r w:rsidR="00274D5F">
        <w:rPr>
          <w:rFonts w:ascii="Arial" w:hAnsi="Arial" w:cs="Arial"/>
          <w:b/>
          <w:bCs/>
          <w:sz w:val="22"/>
          <w:szCs w:val="22"/>
        </w:rPr>
        <w:t>V</w:t>
      </w:r>
      <w:r w:rsidR="00274D5F" w:rsidRPr="0093705C">
        <w:rPr>
          <w:rFonts w:ascii="Arial" w:hAnsi="Arial" w:cs="Arial"/>
          <w:sz w:val="22"/>
          <w:szCs w:val="22"/>
        </w:rPr>
        <w:t xml:space="preserve"> Gatting strategy of flow cytometry to</w:t>
      </w:r>
      <w:r w:rsidR="00274D5F">
        <w:rPr>
          <w:rFonts w:ascii="Arial" w:hAnsi="Arial" w:cs="Arial"/>
          <w:sz w:val="22"/>
          <w:szCs w:val="22"/>
        </w:rPr>
        <w:t xml:space="preserve"> select only alive human T or CAR-T cells by</w:t>
      </w:r>
      <w:r w:rsidR="00274D5F" w:rsidRPr="0093705C">
        <w:rPr>
          <w:rFonts w:ascii="Arial" w:hAnsi="Arial" w:cs="Arial"/>
          <w:sz w:val="22"/>
          <w:szCs w:val="22"/>
        </w:rPr>
        <w:t xml:space="preserve"> </w:t>
      </w:r>
      <w:r w:rsidR="00274D5F">
        <w:rPr>
          <w:rFonts w:ascii="Arial" w:hAnsi="Arial" w:cs="Arial"/>
          <w:sz w:val="22"/>
          <w:szCs w:val="22"/>
        </w:rPr>
        <w:t>removing murine cells (CD45m</w:t>
      </w:r>
      <w:r w:rsidR="00274D5F">
        <w:rPr>
          <w:rFonts w:ascii="Arial" w:hAnsi="Arial" w:cs="Arial"/>
          <w:sz w:val="22"/>
          <w:szCs w:val="22"/>
          <w:vertAlign w:val="superscript"/>
        </w:rPr>
        <w:t>-</w:t>
      </w:r>
      <w:r w:rsidR="00274D5F">
        <w:rPr>
          <w:rFonts w:ascii="Arial" w:hAnsi="Arial" w:cs="Arial"/>
          <w:sz w:val="22"/>
          <w:szCs w:val="22"/>
        </w:rPr>
        <w:t>), and targeting V5 tag</w:t>
      </w:r>
      <w:r w:rsidR="00274D5F">
        <w:rPr>
          <w:rFonts w:ascii="Arial" w:hAnsi="Arial" w:cs="Arial"/>
          <w:sz w:val="22"/>
          <w:szCs w:val="22"/>
          <w:vertAlign w:val="superscript"/>
        </w:rPr>
        <w:t>+</w:t>
      </w:r>
      <w:r w:rsidR="00274D5F">
        <w:rPr>
          <w:rFonts w:ascii="Arial" w:hAnsi="Arial" w:cs="Arial"/>
          <w:sz w:val="22"/>
          <w:szCs w:val="22"/>
        </w:rPr>
        <w:t xml:space="preserve"> from CD45h</w:t>
      </w:r>
      <w:r w:rsidR="00274D5F">
        <w:rPr>
          <w:rFonts w:ascii="Arial" w:hAnsi="Arial" w:cs="Arial"/>
          <w:sz w:val="22"/>
          <w:szCs w:val="22"/>
          <w:vertAlign w:val="superscript"/>
        </w:rPr>
        <w:t>+</w:t>
      </w:r>
      <w:r w:rsidR="00274D5F">
        <w:rPr>
          <w:rFonts w:ascii="Arial" w:hAnsi="Arial" w:cs="Arial"/>
          <w:sz w:val="22"/>
          <w:szCs w:val="22"/>
        </w:rPr>
        <w:t>-CD3</w:t>
      </w:r>
      <w:r w:rsidR="00274D5F">
        <w:rPr>
          <w:rFonts w:ascii="Arial" w:hAnsi="Arial" w:cs="Arial"/>
          <w:sz w:val="22"/>
          <w:szCs w:val="22"/>
          <w:vertAlign w:val="superscript"/>
        </w:rPr>
        <w:t>+</w:t>
      </w:r>
      <w:r w:rsidR="00274D5F">
        <w:rPr>
          <w:rFonts w:ascii="Arial" w:hAnsi="Arial" w:cs="Arial"/>
          <w:sz w:val="22"/>
          <w:szCs w:val="22"/>
        </w:rPr>
        <w:t xml:space="preserve"> cells.</w:t>
      </w:r>
    </w:p>
    <w:sectPr w:rsidR="00274D5F" w:rsidRPr="00274D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DejaVu Sans">
    <w:altName w:val="Verdana"/>
    <w:panose1 w:val="020B0603030804020204"/>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47F4"/>
    <w:multiLevelType w:val="hybridMultilevel"/>
    <w:tmpl w:val="3C40B1AA"/>
    <w:lvl w:ilvl="0" w:tplc="7152E89A">
      <w:start w:val="1"/>
      <w:numFmt w:val="bullet"/>
      <w:lvlText w:val="•"/>
      <w:lvlJc w:val="left"/>
      <w:pPr>
        <w:tabs>
          <w:tab w:val="num" w:pos="720"/>
        </w:tabs>
        <w:ind w:left="720" w:hanging="360"/>
      </w:pPr>
      <w:rPr>
        <w:rFonts w:ascii="Arial" w:hAnsi="Arial" w:hint="default"/>
      </w:rPr>
    </w:lvl>
    <w:lvl w:ilvl="1" w:tplc="F2E6F5A2">
      <w:numFmt w:val="bullet"/>
      <w:lvlText w:val="•"/>
      <w:lvlJc w:val="left"/>
      <w:pPr>
        <w:tabs>
          <w:tab w:val="num" w:pos="1440"/>
        </w:tabs>
        <w:ind w:left="1440" w:hanging="360"/>
      </w:pPr>
      <w:rPr>
        <w:rFonts w:ascii="Arial" w:hAnsi="Arial" w:hint="default"/>
      </w:rPr>
    </w:lvl>
    <w:lvl w:ilvl="2" w:tplc="DAC2EFC6" w:tentative="1">
      <w:start w:val="1"/>
      <w:numFmt w:val="bullet"/>
      <w:lvlText w:val="•"/>
      <w:lvlJc w:val="left"/>
      <w:pPr>
        <w:tabs>
          <w:tab w:val="num" w:pos="2160"/>
        </w:tabs>
        <w:ind w:left="2160" w:hanging="360"/>
      </w:pPr>
      <w:rPr>
        <w:rFonts w:ascii="Arial" w:hAnsi="Arial" w:hint="default"/>
      </w:rPr>
    </w:lvl>
    <w:lvl w:ilvl="3" w:tplc="1EC6F46A" w:tentative="1">
      <w:start w:val="1"/>
      <w:numFmt w:val="bullet"/>
      <w:lvlText w:val="•"/>
      <w:lvlJc w:val="left"/>
      <w:pPr>
        <w:tabs>
          <w:tab w:val="num" w:pos="2880"/>
        </w:tabs>
        <w:ind w:left="2880" w:hanging="360"/>
      </w:pPr>
      <w:rPr>
        <w:rFonts w:ascii="Arial" w:hAnsi="Arial" w:hint="default"/>
      </w:rPr>
    </w:lvl>
    <w:lvl w:ilvl="4" w:tplc="443E8F52" w:tentative="1">
      <w:start w:val="1"/>
      <w:numFmt w:val="bullet"/>
      <w:lvlText w:val="•"/>
      <w:lvlJc w:val="left"/>
      <w:pPr>
        <w:tabs>
          <w:tab w:val="num" w:pos="3600"/>
        </w:tabs>
        <w:ind w:left="3600" w:hanging="360"/>
      </w:pPr>
      <w:rPr>
        <w:rFonts w:ascii="Arial" w:hAnsi="Arial" w:hint="default"/>
      </w:rPr>
    </w:lvl>
    <w:lvl w:ilvl="5" w:tplc="CE726C34" w:tentative="1">
      <w:start w:val="1"/>
      <w:numFmt w:val="bullet"/>
      <w:lvlText w:val="•"/>
      <w:lvlJc w:val="left"/>
      <w:pPr>
        <w:tabs>
          <w:tab w:val="num" w:pos="4320"/>
        </w:tabs>
        <w:ind w:left="4320" w:hanging="360"/>
      </w:pPr>
      <w:rPr>
        <w:rFonts w:ascii="Arial" w:hAnsi="Arial" w:hint="default"/>
      </w:rPr>
    </w:lvl>
    <w:lvl w:ilvl="6" w:tplc="92CC3EF2" w:tentative="1">
      <w:start w:val="1"/>
      <w:numFmt w:val="bullet"/>
      <w:lvlText w:val="•"/>
      <w:lvlJc w:val="left"/>
      <w:pPr>
        <w:tabs>
          <w:tab w:val="num" w:pos="5040"/>
        </w:tabs>
        <w:ind w:left="5040" w:hanging="360"/>
      </w:pPr>
      <w:rPr>
        <w:rFonts w:ascii="Arial" w:hAnsi="Arial" w:hint="default"/>
      </w:rPr>
    </w:lvl>
    <w:lvl w:ilvl="7" w:tplc="2168EC14" w:tentative="1">
      <w:start w:val="1"/>
      <w:numFmt w:val="bullet"/>
      <w:lvlText w:val="•"/>
      <w:lvlJc w:val="left"/>
      <w:pPr>
        <w:tabs>
          <w:tab w:val="num" w:pos="5760"/>
        </w:tabs>
        <w:ind w:left="5760" w:hanging="360"/>
      </w:pPr>
      <w:rPr>
        <w:rFonts w:ascii="Arial" w:hAnsi="Arial" w:hint="default"/>
      </w:rPr>
    </w:lvl>
    <w:lvl w:ilvl="8" w:tplc="67AA6EB0" w:tentative="1">
      <w:start w:val="1"/>
      <w:numFmt w:val="bullet"/>
      <w:lvlText w:val="•"/>
      <w:lvlJc w:val="left"/>
      <w:pPr>
        <w:tabs>
          <w:tab w:val="num" w:pos="6480"/>
        </w:tabs>
        <w:ind w:left="6480" w:hanging="360"/>
      </w:pPr>
      <w:rPr>
        <w:rFonts w:ascii="Arial" w:hAnsi="Arial" w:hint="default"/>
      </w:rPr>
    </w:lvl>
  </w:abstractNum>
  <w:num w:numId="1" w16cid:durableId="1870335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E5"/>
    <w:rsid w:val="00015030"/>
    <w:rsid w:val="000170E5"/>
    <w:rsid w:val="00032CCE"/>
    <w:rsid w:val="000641CF"/>
    <w:rsid w:val="000A5754"/>
    <w:rsid w:val="000D33DF"/>
    <w:rsid w:val="000D7309"/>
    <w:rsid w:val="001033B2"/>
    <w:rsid w:val="0012094C"/>
    <w:rsid w:val="0012587B"/>
    <w:rsid w:val="001421E9"/>
    <w:rsid w:val="00154064"/>
    <w:rsid w:val="00154951"/>
    <w:rsid w:val="001571D5"/>
    <w:rsid w:val="001618B2"/>
    <w:rsid w:val="0016567C"/>
    <w:rsid w:val="00166B8A"/>
    <w:rsid w:val="00172159"/>
    <w:rsid w:val="00175700"/>
    <w:rsid w:val="00182AD6"/>
    <w:rsid w:val="001859A0"/>
    <w:rsid w:val="001925DC"/>
    <w:rsid w:val="001A26AC"/>
    <w:rsid w:val="001A43B7"/>
    <w:rsid w:val="001B3F1A"/>
    <w:rsid w:val="001C2FEF"/>
    <w:rsid w:val="001D6A08"/>
    <w:rsid w:val="001D7743"/>
    <w:rsid w:val="001E71B7"/>
    <w:rsid w:val="001F0F0D"/>
    <w:rsid w:val="001F1A37"/>
    <w:rsid w:val="00220EEF"/>
    <w:rsid w:val="002409FA"/>
    <w:rsid w:val="00245784"/>
    <w:rsid w:val="00246C05"/>
    <w:rsid w:val="00267D75"/>
    <w:rsid w:val="00274D5F"/>
    <w:rsid w:val="00285271"/>
    <w:rsid w:val="002912D0"/>
    <w:rsid w:val="00292424"/>
    <w:rsid w:val="00295EF4"/>
    <w:rsid w:val="00296D4E"/>
    <w:rsid w:val="002B114B"/>
    <w:rsid w:val="002B2512"/>
    <w:rsid w:val="002B29C5"/>
    <w:rsid w:val="002B43C9"/>
    <w:rsid w:val="002C3EE5"/>
    <w:rsid w:val="002D25A9"/>
    <w:rsid w:val="002F4642"/>
    <w:rsid w:val="002F5E23"/>
    <w:rsid w:val="00300D13"/>
    <w:rsid w:val="003214CF"/>
    <w:rsid w:val="00355639"/>
    <w:rsid w:val="00386E0B"/>
    <w:rsid w:val="0039700A"/>
    <w:rsid w:val="003E7806"/>
    <w:rsid w:val="003F0001"/>
    <w:rsid w:val="00402C92"/>
    <w:rsid w:val="0040713C"/>
    <w:rsid w:val="00442227"/>
    <w:rsid w:val="00451B0C"/>
    <w:rsid w:val="00474117"/>
    <w:rsid w:val="004844A1"/>
    <w:rsid w:val="00485C3E"/>
    <w:rsid w:val="00495AF9"/>
    <w:rsid w:val="004C0A95"/>
    <w:rsid w:val="004C3817"/>
    <w:rsid w:val="004C6C00"/>
    <w:rsid w:val="004F172A"/>
    <w:rsid w:val="00507436"/>
    <w:rsid w:val="00507D16"/>
    <w:rsid w:val="0051544B"/>
    <w:rsid w:val="00517616"/>
    <w:rsid w:val="0054013A"/>
    <w:rsid w:val="00541D97"/>
    <w:rsid w:val="0058756A"/>
    <w:rsid w:val="00590DB7"/>
    <w:rsid w:val="005A041B"/>
    <w:rsid w:val="005C4C4B"/>
    <w:rsid w:val="005F2262"/>
    <w:rsid w:val="006156AE"/>
    <w:rsid w:val="00615896"/>
    <w:rsid w:val="00624F42"/>
    <w:rsid w:val="00625DBF"/>
    <w:rsid w:val="00632EF8"/>
    <w:rsid w:val="00635DC8"/>
    <w:rsid w:val="0063693B"/>
    <w:rsid w:val="0066693D"/>
    <w:rsid w:val="00672435"/>
    <w:rsid w:val="00673F3D"/>
    <w:rsid w:val="00691457"/>
    <w:rsid w:val="00692C93"/>
    <w:rsid w:val="006A2A87"/>
    <w:rsid w:val="006B6FE1"/>
    <w:rsid w:val="006C07A6"/>
    <w:rsid w:val="00703FE2"/>
    <w:rsid w:val="00726697"/>
    <w:rsid w:val="00751A24"/>
    <w:rsid w:val="00787EAA"/>
    <w:rsid w:val="007961C7"/>
    <w:rsid w:val="007A0FDC"/>
    <w:rsid w:val="007C381A"/>
    <w:rsid w:val="007C5CF9"/>
    <w:rsid w:val="007C5F52"/>
    <w:rsid w:val="007D703C"/>
    <w:rsid w:val="007F1EAA"/>
    <w:rsid w:val="00804886"/>
    <w:rsid w:val="008114C5"/>
    <w:rsid w:val="00822787"/>
    <w:rsid w:val="00845D60"/>
    <w:rsid w:val="008516A5"/>
    <w:rsid w:val="0085518E"/>
    <w:rsid w:val="008554CB"/>
    <w:rsid w:val="00860F7F"/>
    <w:rsid w:val="008672AC"/>
    <w:rsid w:val="0087116B"/>
    <w:rsid w:val="00880871"/>
    <w:rsid w:val="008E326F"/>
    <w:rsid w:val="008F13EA"/>
    <w:rsid w:val="008F2890"/>
    <w:rsid w:val="00910482"/>
    <w:rsid w:val="0091125C"/>
    <w:rsid w:val="00920DA9"/>
    <w:rsid w:val="0093178B"/>
    <w:rsid w:val="0093705C"/>
    <w:rsid w:val="00951168"/>
    <w:rsid w:val="009512FF"/>
    <w:rsid w:val="009534CA"/>
    <w:rsid w:val="00962364"/>
    <w:rsid w:val="009A3C37"/>
    <w:rsid w:val="009B2A5F"/>
    <w:rsid w:val="009C1A7E"/>
    <w:rsid w:val="009C5D54"/>
    <w:rsid w:val="009E0C94"/>
    <w:rsid w:val="00A02554"/>
    <w:rsid w:val="00A113A4"/>
    <w:rsid w:val="00A156A1"/>
    <w:rsid w:val="00A5341E"/>
    <w:rsid w:val="00A53B1A"/>
    <w:rsid w:val="00A65869"/>
    <w:rsid w:val="00A773F5"/>
    <w:rsid w:val="00A83DE5"/>
    <w:rsid w:val="00A9226A"/>
    <w:rsid w:val="00A97165"/>
    <w:rsid w:val="00A97F2E"/>
    <w:rsid w:val="00AA2590"/>
    <w:rsid w:val="00AC73BB"/>
    <w:rsid w:val="00AD2AC3"/>
    <w:rsid w:val="00AF541E"/>
    <w:rsid w:val="00B01026"/>
    <w:rsid w:val="00B0340E"/>
    <w:rsid w:val="00B10D86"/>
    <w:rsid w:val="00B1597A"/>
    <w:rsid w:val="00B272C3"/>
    <w:rsid w:val="00B30D46"/>
    <w:rsid w:val="00B33974"/>
    <w:rsid w:val="00B42B4A"/>
    <w:rsid w:val="00B556F6"/>
    <w:rsid w:val="00B66706"/>
    <w:rsid w:val="00B83242"/>
    <w:rsid w:val="00B9502E"/>
    <w:rsid w:val="00BA0562"/>
    <w:rsid w:val="00BB5234"/>
    <w:rsid w:val="00BC512D"/>
    <w:rsid w:val="00BE0686"/>
    <w:rsid w:val="00BF7AA2"/>
    <w:rsid w:val="00C0441B"/>
    <w:rsid w:val="00C04ACF"/>
    <w:rsid w:val="00C10EF8"/>
    <w:rsid w:val="00C3494A"/>
    <w:rsid w:val="00C40892"/>
    <w:rsid w:val="00C47BD2"/>
    <w:rsid w:val="00CA29BC"/>
    <w:rsid w:val="00CB279F"/>
    <w:rsid w:val="00CB3924"/>
    <w:rsid w:val="00CF1199"/>
    <w:rsid w:val="00D048FB"/>
    <w:rsid w:val="00D262B6"/>
    <w:rsid w:val="00D270F9"/>
    <w:rsid w:val="00D34A5C"/>
    <w:rsid w:val="00D357A5"/>
    <w:rsid w:val="00D52393"/>
    <w:rsid w:val="00D52ECF"/>
    <w:rsid w:val="00D53B12"/>
    <w:rsid w:val="00D6524C"/>
    <w:rsid w:val="00D769A6"/>
    <w:rsid w:val="00D812C0"/>
    <w:rsid w:val="00DC6902"/>
    <w:rsid w:val="00DF3D76"/>
    <w:rsid w:val="00E11A25"/>
    <w:rsid w:val="00E23E5F"/>
    <w:rsid w:val="00E5639E"/>
    <w:rsid w:val="00EA09F6"/>
    <w:rsid w:val="00EC32A7"/>
    <w:rsid w:val="00F06704"/>
    <w:rsid w:val="00F27B80"/>
    <w:rsid w:val="00F47F59"/>
    <w:rsid w:val="00F6137D"/>
    <w:rsid w:val="00F6220E"/>
    <w:rsid w:val="00F80808"/>
    <w:rsid w:val="00F84106"/>
    <w:rsid w:val="00F949BB"/>
    <w:rsid w:val="00FC5C72"/>
    <w:rsid w:val="00FC7C67"/>
    <w:rsid w:val="00FE4552"/>
    <w:rsid w:val="00FF77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460C"/>
  <w15:chartTrackingRefBased/>
  <w15:docId w15:val="{F39A6BDE-8C3C-4BB3-8396-BA9ACEE1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FE1"/>
    <w:rPr>
      <w:kern w:val="0"/>
      <w:sz w:val="24"/>
      <w:szCs w:val="24"/>
      <w:lang w:val="fr-FR" w:eastAsia="ja-JP"/>
      <w14:ligatures w14:val="none"/>
    </w:rPr>
  </w:style>
  <w:style w:type="paragraph" w:styleId="Titre1">
    <w:name w:val="heading 1"/>
    <w:basedOn w:val="Normal"/>
    <w:link w:val="Titre1Car"/>
    <w:qFormat/>
    <w:rsid w:val="006B6FE1"/>
    <w:pPr>
      <w:spacing w:before="100" w:beforeAutospacing="1" w:after="100" w:afterAutospacing="1"/>
      <w:outlineLvl w:val="0"/>
    </w:pPr>
    <w:rPr>
      <w:rFonts w:cstheme="majorBidi"/>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B6FE1"/>
    <w:rPr>
      <w:rFonts w:cstheme="majorBidi"/>
      <w:b/>
      <w:bCs/>
      <w:kern w:val="36"/>
      <w:sz w:val="48"/>
      <w:szCs w:val="48"/>
      <w:lang w:val="fr-FR" w:eastAsia="ja-JP"/>
    </w:rPr>
  </w:style>
  <w:style w:type="paragraph" w:customStyle="1" w:styleId="Standard">
    <w:name w:val="Standard"/>
    <w:rsid w:val="003E7806"/>
    <w:pPr>
      <w:widowControl w:val="0"/>
      <w:suppressAutoHyphens/>
      <w:autoSpaceDN w:val="0"/>
      <w:textAlignment w:val="baseline"/>
    </w:pPr>
    <w:rPr>
      <w:rFonts w:ascii="Carlito" w:eastAsia="DejaVu Sans" w:hAnsi="Carlito" w:cs="DejaVu Sans"/>
      <w:kern w:val="3"/>
      <w:sz w:val="24"/>
      <w:szCs w:val="24"/>
      <w:lang w:val="en-GB" w:eastAsia="zh-CN" w:bidi="hi-IN"/>
      <w14:ligatures w14:val="none"/>
    </w:rPr>
  </w:style>
  <w:style w:type="table" w:styleId="Grilledutableau">
    <w:name w:val="Table Grid"/>
    <w:basedOn w:val="TableauNormal"/>
    <w:uiPriority w:val="39"/>
    <w:rsid w:val="003E7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F36DD-6ADF-4A94-B8C1-76F855778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TotalTime>
  <Pages>5</Pages>
  <Words>620</Words>
  <Characters>3412</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Mégane Jassin</dc:creator>
  <cp:keywords/>
  <dc:description/>
  <cp:lastModifiedBy>Mégane Jassin</cp:lastModifiedBy>
  <cp:revision>94</cp:revision>
  <dcterms:created xsi:type="dcterms:W3CDTF">2024-02-21T11:07:00Z</dcterms:created>
  <dcterms:modified xsi:type="dcterms:W3CDTF">2025-09-23T09:58:00Z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4505f6c6-553f-3778-9f3a-e0904dd1859d</vt:lpwstr>
  </property>
  <property fmtid="{D5CDD505-2E9C-101B-9397-08002B2CF9AE}" pid="24" name="Mendeley Citation Style_1">
    <vt:lpwstr>http://www.zotero.org/styles/ieee</vt:lpwstr>
  </property>
</Properties>
</file>