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52B" w:rsidRPr="0077352B" w:rsidRDefault="001979A7" w:rsidP="0077352B">
      <w:pPr>
        <w:rPr>
          <w:rFonts w:ascii="Times New Roman" w:hAnsi="Times New Roman" w:cs="Times New Roman"/>
          <w:b/>
          <w:bCs/>
          <w:color w:val="222222"/>
          <w:shd w:val="clear" w:color="auto" w:fill="FFFFFF"/>
        </w:rPr>
      </w:pPr>
      <w:r w:rsidRPr="0077352B">
        <w:rPr>
          <w:rStyle w:val="Strong"/>
          <w:rFonts w:ascii="Times New Roman" w:hAnsi="Times New Roman" w:cs="Times New Roman"/>
          <w:color w:val="222222"/>
          <w:shd w:val="clear" w:color="auto" w:fill="FFFFFF"/>
        </w:rPr>
        <w:t>Supplementary</w:t>
      </w:r>
      <w:r w:rsidR="0077352B">
        <w:rPr>
          <w:rStyle w:val="Strong"/>
          <w:rFonts w:ascii="Times New Roman" w:hAnsi="Times New Roman" w:cs="Times New Roman"/>
          <w:color w:val="222222"/>
          <w:shd w:val="clear" w:color="auto" w:fill="FFFFFF"/>
        </w:rPr>
        <w:t xml:space="preserve"> </w:t>
      </w:r>
      <w:r w:rsidR="0077352B" w:rsidRPr="0077352B">
        <w:rPr>
          <w:rFonts w:ascii="Times New Roman" w:hAnsi="Times New Roman" w:cs="Times New Roman"/>
          <w:b/>
        </w:rPr>
        <w:t>material</w:t>
      </w:r>
      <w:r w:rsidR="0077352B">
        <w:rPr>
          <w:rFonts w:ascii="Times New Roman" w:hAnsi="Times New Roman" w:cs="Times New Roman"/>
          <w:b/>
        </w:rPr>
        <w:t>s</w:t>
      </w:r>
    </w:p>
    <w:p w:rsidR="0077352B" w:rsidRPr="0077352B" w:rsidRDefault="0077352B" w:rsidP="0077352B">
      <w:pPr>
        <w:rPr>
          <w:rFonts w:ascii="Times New Roman" w:hAnsi="Times New Roman" w:cs="Times New Roman"/>
          <w:b/>
        </w:rPr>
      </w:pPr>
    </w:p>
    <w:p w:rsidR="0077352B" w:rsidRPr="0077352B" w:rsidRDefault="0077352B" w:rsidP="0077352B">
      <w:pPr>
        <w:pStyle w:val="Caption"/>
      </w:pPr>
      <w:r w:rsidRPr="0077352B">
        <w:t>Table S</w:t>
      </w:r>
      <w:r w:rsidRPr="0077352B">
        <w:fldChar w:fldCharType="begin"/>
      </w:r>
      <w:r w:rsidRPr="0077352B">
        <w:instrText xml:space="preserve"> SEQ Table_S \* ARABIC </w:instrText>
      </w:r>
      <w:r w:rsidRPr="0077352B">
        <w:fldChar w:fldCharType="separate"/>
      </w:r>
      <w:r w:rsidRPr="0077352B">
        <w:rPr>
          <w:noProof/>
        </w:rPr>
        <w:t>1</w:t>
      </w:r>
      <w:r w:rsidRPr="0077352B">
        <w:rPr>
          <w:noProof/>
        </w:rPr>
        <w:fldChar w:fldCharType="end"/>
      </w:r>
      <w:r w:rsidRPr="0077352B">
        <w:t>. Coding scheme for blog analysis (Source: Authors own work)</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886"/>
        <w:gridCol w:w="6144"/>
        <w:gridCol w:w="4732"/>
      </w:tblGrid>
      <w:tr w:rsidR="0077352B" w:rsidRPr="0077352B" w:rsidTr="00ED3334">
        <w:tc>
          <w:tcPr>
            <w:tcW w:w="0" w:type="auto"/>
            <w:hideMark/>
          </w:tcPr>
          <w:p w:rsidR="0077352B" w:rsidRPr="0077352B" w:rsidRDefault="0077352B" w:rsidP="00ED3334">
            <w:pPr>
              <w:jc w:val="center"/>
              <w:rPr>
                <w:b/>
                <w:bCs/>
                <w:sz w:val="20"/>
                <w:szCs w:val="20"/>
              </w:rPr>
            </w:pPr>
            <w:r w:rsidRPr="0077352B">
              <w:rPr>
                <w:rStyle w:val="Strong"/>
                <w:sz w:val="20"/>
                <w:szCs w:val="20"/>
              </w:rPr>
              <w:t>Dimension</w:t>
            </w:r>
          </w:p>
        </w:tc>
        <w:tc>
          <w:tcPr>
            <w:tcW w:w="1886" w:type="dxa"/>
            <w:hideMark/>
          </w:tcPr>
          <w:p w:rsidR="0077352B" w:rsidRPr="0077352B" w:rsidRDefault="0077352B" w:rsidP="00ED3334">
            <w:pPr>
              <w:jc w:val="center"/>
              <w:rPr>
                <w:b/>
                <w:bCs/>
                <w:sz w:val="20"/>
                <w:szCs w:val="20"/>
              </w:rPr>
            </w:pPr>
            <w:r w:rsidRPr="0077352B">
              <w:rPr>
                <w:rStyle w:val="Strong"/>
                <w:sz w:val="20"/>
                <w:szCs w:val="20"/>
              </w:rPr>
              <w:t>Sub-elements</w:t>
            </w:r>
          </w:p>
        </w:tc>
        <w:tc>
          <w:tcPr>
            <w:tcW w:w="0" w:type="auto"/>
            <w:hideMark/>
          </w:tcPr>
          <w:p w:rsidR="0077352B" w:rsidRPr="0077352B" w:rsidRDefault="0077352B" w:rsidP="00ED3334">
            <w:pPr>
              <w:jc w:val="center"/>
              <w:rPr>
                <w:b/>
                <w:bCs/>
                <w:sz w:val="20"/>
                <w:szCs w:val="20"/>
              </w:rPr>
            </w:pPr>
            <w:r w:rsidRPr="0077352B">
              <w:rPr>
                <w:rStyle w:val="Strong"/>
                <w:sz w:val="20"/>
                <w:szCs w:val="20"/>
              </w:rPr>
              <w:t>Operational definition</w:t>
            </w:r>
          </w:p>
        </w:tc>
        <w:tc>
          <w:tcPr>
            <w:tcW w:w="0" w:type="auto"/>
            <w:hideMark/>
          </w:tcPr>
          <w:p w:rsidR="0077352B" w:rsidRPr="0077352B" w:rsidRDefault="0077352B" w:rsidP="00ED3334">
            <w:pPr>
              <w:jc w:val="center"/>
              <w:rPr>
                <w:b/>
                <w:bCs/>
                <w:sz w:val="20"/>
                <w:szCs w:val="20"/>
              </w:rPr>
            </w:pPr>
            <w:r w:rsidRPr="0077352B">
              <w:rPr>
                <w:rStyle w:val="Strong"/>
                <w:sz w:val="20"/>
                <w:szCs w:val="20"/>
              </w:rPr>
              <w:t>Examples</w:t>
            </w:r>
          </w:p>
        </w:tc>
      </w:tr>
      <w:tr w:rsidR="0077352B" w:rsidRPr="0077352B" w:rsidTr="00ED3334">
        <w:tc>
          <w:tcPr>
            <w:tcW w:w="0" w:type="auto"/>
            <w:vMerge w:val="restart"/>
            <w:hideMark/>
          </w:tcPr>
          <w:p w:rsidR="0077352B" w:rsidRPr="0077352B" w:rsidRDefault="0077352B" w:rsidP="00ED3334">
            <w:pPr>
              <w:jc w:val="left"/>
              <w:rPr>
                <w:sz w:val="20"/>
                <w:szCs w:val="20"/>
              </w:rPr>
            </w:pPr>
            <w:r w:rsidRPr="0077352B">
              <w:rPr>
                <w:rStyle w:val="Strong"/>
                <w:sz w:val="20"/>
                <w:szCs w:val="20"/>
              </w:rPr>
              <w:t>Blog source</w:t>
            </w:r>
          </w:p>
        </w:tc>
        <w:tc>
          <w:tcPr>
            <w:tcW w:w="1886" w:type="dxa"/>
            <w:hideMark/>
          </w:tcPr>
          <w:p w:rsidR="0077352B" w:rsidRPr="0077352B" w:rsidRDefault="0077352B" w:rsidP="00ED3334">
            <w:pPr>
              <w:rPr>
                <w:sz w:val="20"/>
                <w:szCs w:val="20"/>
              </w:rPr>
            </w:pPr>
            <w:r w:rsidRPr="0077352B">
              <w:rPr>
                <w:sz w:val="20"/>
                <w:szCs w:val="20"/>
              </w:rPr>
              <w:t>Type</w:t>
            </w:r>
          </w:p>
        </w:tc>
        <w:tc>
          <w:tcPr>
            <w:tcW w:w="0" w:type="auto"/>
            <w:hideMark/>
          </w:tcPr>
          <w:p w:rsidR="0077352B" w:rsidRPr="0077352B" w:rsidRDefault="0077352B" w:rsidP="00ED3334">
            <w:pPr>
              <w:rPr>
                <w:sz w:val="20"/>
                <w:szCs w:val="20"/>
              </w:rPr>
            </w:pPr>
            <w:r w:rsidRPr="0077352B">
              <w:rPr>
                <w:sz w:val="20"/>
                <w:szCs w:val="20"/>
              </w:rPr>
              <w:t>Organizational affiliation of the hosting domain, derived from “About Us” pages, metadata, or institutional info.</w:t>
            </w:r>
          </w:p>
        </w:tc>
        <w:tc>
          <w:tcPr>
            <w:tcW w:w="0" w:type="auto"/>
            <w:hideMark/>
          </w:tcPr>
          <w:p w:rsidR="0077352B" w:rsidRPr="0077352B" w:rsidRDefault="0077352B" w:rsidP="00ED3334">
            <w:pPr>
              <w:rPr>
                <w:sz w:val="20"/>
                <w:szCs w:val="20"/>
              </w:rPr>
            </w:pPr>
            <w:r w:rsidRPr="0077352B">
              <w:rPr>
                <w:sz w:val="20"/>
                <w:szCs w:val="20"/>
              </w:rPr>
              <w:t>University blog, Media outlet, Independent platform, NGO site</w:t>
            </w:r>
          </w:p>
        </w:tc>
      </w:tr>
      <w:tr w:rsidR="0077352B" w:rsidRPr="0077352B" w:rsidTr="00ED3334">
        <w:tc>
          <w:tcPr>
            <w:tcW w:w="0" w:type="auto"/>
            <w:vMerge/>
            <w:hideMark/>
          </w:tcPr>
          <w:p w:rsidR="0077352B" w:rsidRPr="0077352B" w:rsidRDefault="0077352B" w:rsidP="00ED3334">
            <w:pPr>
              <w:rPr>
                <w:sz w:val="20"/>
                <w:szCs w:val="20"/>
              </w:rPr>
            </w:pPr>
          </w:p>
        </w:tc>
        <w:tc>
          <w:tcPr>
            <w:tcW w:w="1886" w:type="dxa"/>
            <w:hideMark/>
          </w:tcPr>
          <w:p w:rsidR="0077352B" w:rsidRPr="0077352B" w:rsidRDefault="0077352B" w:rsidP="00ED3334">
            <w:pPr>
              <w:rPr>
                <w:sz w:val="20"/>
                <w:szCs w:val="20"/>
              </w:rPr>
            </w:pPr>
            <w:r w:rsidRPr="0077352B">
              <w:rPr>
                <w:sz w:val="20"/>
                <w:szCs w:val="20"/>
              </w:rPr>
              <w:t>Media style</w:t>
            </w:r>
          </w:p>
        </w:tc>
        <w:tc>
          <w:tcPr>
            <w:tcW w:w="0" w:type="auto"/>
            <w:hideMark/>
          </w:tcPr>
          <w:p w:rsidR="0077352B" w:rsidRPr="0077352B" w:rsidRDefault="0077352B" w:rsidP="00ED3334">
            <w:pPr>
              <w:rPr>
                <w:sz w:val="20"/>
                <w:szCs w:val="20"/>
              </w:rPr>
            </w:pPr>
            <w:r w:rsidRPr="0077352B">
              <w:rPr>
                <w:sz w:val="20"/>
                <w:szCs w:val="20"/>
              </w:rPr>
              <w:t>Nature of the publisher’s communication style.</w:t>
            </w:r>
          </w:p>
        </w:tc>
        <w:tc>
          <w:tcPr>
            <w:tcW w:w="0" w:type="auto"/>
            <w:hideMark/>
          </w:tcPr>
          <w:p w:rsidR="0077352B" w:rsidRPr="0077352B" w:rsidRDefault="0077352B" w:rsidP="00ED3334">
            <w:pPr>
              <w:rPr>
                <w:sz w:val="20"/>
                <w:szCs w:val="20"/>
              </w:rPr>
            </w:pPr>
            <w:r w:rsidRPr="0077352B">
              <w:rPr>
                <w:sz w:val="20"/>
                <w:szCs w:val="20"/>
              </w:rPr>
              <w:t>News reporting, Opinion, Institutional updates</w:t>
            </w:r>
          </w:p>
        </w:tc>
      </w:tr>
      <w:tr w:rsidR="0077352B" w:rsidRPr="0077352B" w:rsidTr="00ED3334">
        <w:tc>
          <w:tcPr>
            <w:tcW w:w="0" w:type="auto"/>
            <w:vMerge/>
            <w:hideMark/>
          </w:tcPr>
          <w:p w:rsidR="0077352B" w:rsidRPr="0077352B" w:rsidRDefault="0077352B" w:rsidP="00ED3334">
            <w:pPr>
              <w:rPr>
                <w:sz w:val="20"/>
                <w:szCs w:val="20"/>
              </w:rPr>
            </w:pPr>
          </w:p>
        </w:tc>
        <w:tc>
          <w:tcPr>
            <w:tcW w:w="1886" w:type="dxa"/>
            <w:hideMark/>
          </w:tcPr>
          <w:p w:rsidR="0077352B" w:rsidRPr="0077352B" w:rsidRDefault="0077352B" w:rsidP="00ED3334">
            <w:pPr>
              <w:rPr>
                <w:sz w:val="20"/>
                <w:szCs w:val="20"/>
              </w:rPr>
            </w:pPr>
            <w:r w:rsidRPr="0077352B">
              <w:rPr>
                <w:sz w:val="20"/>
                <w:szCs w:val="20"/>
              </w:rPr>
              <w:t>Credibility</w:t>
            </w:r>
          </w:p>
        </w:tc>
        <w:tc>
          <w:tcPr>
            <w:tcW w:w="0" w:type="auto"/>
            <w:hideMark/>
          </w:tcPr>
          <w:p w:rsidR="0077352B" w:rsidRPr="0077352B" w:rsidRDefault="0077352B" w:rsidP="00ED3334">
            <w:pPr>
              <w:rPr>
                <w:sz w:val="20"/>
                <w:szCs w:val="20"/>
              </w:rPr>
            </w:pPr>
            <w:r w:rsidRPr="0077352B">
              <w:rPr>
                <w:sz w:val="20"/>
                <w:szCs w:val="20"/>
              </w:rPr>
              <w:t>Categorical judgment (High/Medium/Low), based on affiliation, transparency, and AI-assisted classification (</w:t>
            </w:r>
            <w:proofErr w:type="spellStart"/>
            <w:r w:rsidRPr="0077352B">
              <w:rPr>
                <w:sz w:val="20"/>
                <w:szCs w:val="20"/>
              </w:rPr>
              <w:t>ChatGPT</w:t>
            </w:r>
            <w:proofErr w:type="spellEnd"/>
            <w:r w:rsidRPr="0077352B">
              <w:rPr>
                <w:sz w:val="20"/>
                <w:szCs w:val="20"/>
              </w:rPr>
              <w:t>, cross-checked manually).</w:t>
            </w:r>
          </w:p>
        </w:tc>
        <w:tc>
          <w:tcPr>
            <w:tcW w:w="0" w:type="auto"/>
            <w:hideMark/>
          </w:tcPr>
          <w:p w:rsidR="0077352B" w:rsidRPr="0077352B" w:rsidRDefault="0077352B" w:rsidP="00ED3334">
            <w:pPr>
              <w:rPr>
                <w:sz w:val="20"/>
                <w:szCs w:val="20"/>
              </w:rPr>
            </w:pPr>
            <w:r w:rsidRPr="0077352B">
              <w:rPr>
                <w:rStyle w:val="Emphasis"/>
                <w:sz w:val="20"/>
                <w:szCs w:val="20"/>
              </w:rPr>
              <w:t>High</w:t>
            </w:r>
            <w:r w:rsidRPr="0077352B">
              <w:rPr>
                <w:sz w:val="20"/>
                <w:szCs w:val="20"/>
              </w:rPr>
              <w:t xml:space="preserve">: University or government site; </w:t>
            </w:r>
            <w:r w:rsidRPr="0077352B">
              <w:rPr>
                <w:rStyle w:val="Emphasis"/>
                <w:sz w:val="20"/>
                <w:szCs w:val="20"/>
              </w:rPr>
              <w:t>Medium</w:t>
            </w:r>
            <w:r w:rsidRPr="0077352B">
              <w:rPr>
                <w:sz w:val="20"/>
                <w:szCs w:val="20"/>
              </w:rPr>
              <w:t xml:space="preserve">: NGO; </w:t>
            </w:r>
            <w:r w:rsidRPr="0077352B">
              <w:rPr>
                <w:rStyle w:val="Emphasis"/>
                <w:sz w:val="20"/>
                <w:szCs w:val="20"/>
              </w:rPr>
              <w:t>Low</w:t>
            </w:r>
            <w:r w:rsidRPr="0077352B">
              <w:rPr>
                <w:sz w:val="20"/>
                <w:szCs w:val="20"/>
              </w:rPr>
              <w:t>: anonymous independent blog</w:t>
            </w:r>
          </w:p>
        </w:tc>
      </w:tr>
      <w:tr w:rsidR="0077352B" w:rsidRPr="0077352B" w:rsidTr="00ED3334">
        <w:tc>
          <w:tcPr>
            <w:tcW w:w="0" w:type="auto"/>
            <w:vMerge/>
            <w:hideMark/>
          </w:tcPr>
          <w:p w:rsidR="0077352B" w:rsidRPr="0077352B" w:rsidRDefault="0077352B" w:rsidP="00ED3334">
            <w:pPr>
              <w:rPr>
                <w:sz w:val="20"/>
                <w:szCs w:val="20"/>
              </w:rPr>
            </w:pPr>
          </w:p>
        </w:tc>
        <w:tc>
          <w:tcPr>
            <w:tcW w:w="1886" w:type="dxa"/>
            <w:hideMark/>
          </w:tcPr>
          <w:p w:rsidR="0077352B" w:rsidRPr="0077352B" w:rsidRDefault="0077352B" w:rsidP="00ED3334">
            <w:pPr>
              <w:rPr>
                <w:sz w:val="20"/>
                <w:szCs w:val="20"/>
              </w:rPr>
            </w:pPr>
            <w:r w:rsidRPr="0077352B">
              <w:rPr>
                <w:sz w:val="20"/>
                <w:szCs w:val="20"/>
              </w:rPr>
              <w:t>Country</w:t>
            </w:r>
          </w:p>
        </w:tc>
        <w:tc>
          <w:tcPr>
            <w:tcW w:w="0" w:type="auto"/>
            <w:hideMark/>
          </w:tcPr>
          <w:p w:rsidR="0077352B" w:rsidRPr="0077352B" w:rsidRDefault="0077352B" w:rsidP="00ED3334">
            <w:pPr>
              <w:rPr>
                <w:sz w:val="20"/>
                <w:szCs w:val="20"/>
              </w:rPr>
            </w:pPr>
            <w:r w:rsidRPr="0077352B">
              <w:rPr>
                <w:sz w:val="20"/>
                <w:szCs w:val="20"/>
              </w:rPr>
              <w:t>Geographic location of the blog host, based on metadata/domain registration. Not treated as proxy for credibility.</w:t>
            </w:r>
          </w:p>
        </w:tc>
        <w:tc>
          <w:tcPr>
            <w:tcW w:w="0" w:type="auto"/>
            <w:hideMark/>
          </w:tcPr>
          <w:p w:rsidR="0077352B" w:rsidRPr="0077352B" w:rsidRDefault="0077352B" w:rsidP="00ED3334">
            <w:pPr>
              <w:rPr>
                <w:sz w:val="20"/>
                <w:szCs w:val="20"/>
              </w:rPr>
            </w:pPr>
            <w:r w:rsidRPr="0077352B">
              <w:rPr>
                <w:sz w:val="20"/>
                <w:szCs w:val="20"/>
              </w:rPr>
              <w:t>USA, UK, Brazil</w:t>
            </w:r>
          </w:p>
        </w:tc>
      </w:tr>
      <w:tr w:rsidR="0077352B" w:rsidRPr="0077352B" w:rsidTr="00ED3334">
        <w:tc>
          <w:tcPr>
            <w:tcW w:w="0" w:type="auto"/>
            <w:vMerge w:val="restart"/>
            <w:hideMark/>
          </w:tcPr>
          <w:p w:rsidR="0077352B" w:rsidRPr="0077352B" w:rsidRDefault="0077352B" w:rsidP="00ED3334">
            <w:pPr>
              <w:rPr>
                <w:sz w:val="20"/>
                <w:szCs w:val="20"/>
              </w:rPr>
            </w:pPr>
            <w:r w:rsidRPr="0077352B">
              <w:rPr>
                <w:rStyle w:val="Strong"/>
                <w:sz w:val="20"/>
                <w:szCs w:val="20"/>
              </w:rPr>
              <w:t>Blogger</w:t>
            </w:r>
          </w:p>
        </w:tc>
        <w:tc>
          <w:tcPr>
            <w:tcW w:w="1886" w:type="dxa"/>
            <w:hideMark/>
          </w:tcPr>
          <w:p w:rsidR="0077352B" w:rsidRPr="0077352B" w:rsidRDefault="0077352B" w:rsidP="00ED3334">
            <w:pPr>
              <w:rPr>
                <w:sz w:val="20"/>
                <w:szCs w:val="20"/>
              </w:rPr>
            </w:pPr>
            <w:r w:rsidRPr="0077352B">
              <w:rPr>
                <w:sz w:val="20"/>
                <w:szCs w:val="20"/>
              </w:rPr>
              <w:t>Openness</w:t>
            </w:r>
          </w:p>
        </w:tc>
        <w:tc>
          <w:tcPr>
            <w:tcW w:w="0" w:type="auto"/>
            <w:hideMark/>
          </w:tcPr>
          <w:p w:rsidR="0077352B" w:rsidRPr="0077352B" w:rsidRDefault="0077352B" w:rsidP="00ED3334">
            <w:pPr>
              <w:rPr>
                <w:sz w:val="20"/>
                <w:szCs w:val="20"/>
              </w:rPr>
            </w:pPr>
            <w:r w:rsidRPr="0077352B">
              <w:rPr>
                <w:sz w:val="20"/>
                <w:szCs w:val="20"/>
              </w:rPr>
              <w:t>Degree of publicly available author identification.</w:t>
            </w:r>
          </w:p>
        </w:tc>
        <w:tc>
          <w:tcPr>
            <w:tcW w:w="0" w:type="auto"/>
            <w:hideMark/>
          </w:tcPr>
          <w:p w:rsidR="0077352B" w:rsidRPr="0077352B" w:rsidRDefault="0077352B" w:rsidP="00ED3334">
            <w:pPr>
              <w:rPr>
                <w:sz w:val="20"/>
                <w:szCs w:val="20"/>
              </w:rPr>
            </w:pPr>
            <w:r w:rsidRPr="0077352B">
              <w:rPr>
                <w:sz w:val="20"/>
                <w:szCs w:val="20"/>
              </w:rPr>
              <w:t>Full (name + profile), Partial (limited info), Anonymous</w:t>
            </w:r>
          </w:p>
        </w:tc>
      </w:tr>
      <w:tr w:rsidR="0077352B" w:rsidRPr="0077352B" w:rsidTr="00ED3334">
        <w:tc>
          <w:tcPr>
            <w:tcW w:w="0" w:type="auto"/>
            <w:vMerge/>
            <w:hideMark/>
          </w:tcPr>
          <w:p w:rsidR="0077352B" w:rsidRPr="0077352B" w:rsidRDefault="0077352B" w:rsidP="00ED3334">
            <w:pPr>
              <w:rPr>
                <w:sz w:val="20"/>
                <w:szCs w:val="20"/>
              </w:rPr>
            </w:pPr>
          </w:p>
        </w:tc>
        <w:tc>
          <w:tcPr>
            <w:tcW w:w="1886" w:type="dxa"/>
            <w:hideMark/>
          </w:tcPr>
          <w:p w:rsidR="0077352B" w:rsidRPr="0077352B" w:rsidRDefault="0077352B" w:rsidP="00ED3334">
            <w:pPr>
              <w:rPr>
                <w:sz w:val="20"/>
                <w:szCs w:val="20"/>
              </w:rPr>
            </w:pPr>
            <w:r w:rsidRPr="0077352B">
              <w:rPr>
                <w:sz w:val="20"/>
                <w:szCs w:val="20"/>
              </w:rPr>
              <w:t>Occupation</w:t>
            </w:r>
          </w:p>
        </w:tc>
        <w:tc>
          <w:tcPr>
            <w:tcW w:w="0" w:type="auto"/>
            <w:hideMark/>
          </w:tcPr>
          <w:p w:rsidR="0077352B" w:rsidRPr="0077352B" w:rsidRDefault="0077352B" w:rsidP="00ED3334">
            <w:pPr>
              <w:rPr>
                <w:sz w:val="20"/>
                <w:szCs w:val="20"/>
              </w:rPr>
            </w:pPr>
            <w:r w:rsidRPr="0077352B">
              <w:rPr>
                <w:sz w:val="20"/>
                <w:szCs w:val="20"/>
              </w:rPr>
              <w:t>Professional role of blogger, classified via standard occupational categories.</w:t>
            </w:r>
          </w:p>
        </w:tc>
        <w:tc>
          <w:tcPr>
            <w:tcW w:w="0" w:type="auto"/>
            <w:hideMark/>
          </w:tcPr>
          <w:p w:rsidR="0077352B" w:rsidRPr="0077352B" w:rsidRDefault="0077352B" w:rsidP="00ED3334">
            <w:pPr>
              <w:rPr>
                <w:sz w:val="20"/>
                <w:szCs w:val="20"/>
              </w:rPr>
            </w:pPr>
            <w:r w:rsidRPr="0077352B">
              <w:rPr>
                <w:sz w:val="20"/>
                <w:szCs w:val="20"/>
              </w:rPr>
              <w:t>Researcher, Journalist, Health professional</w:t>
            </w:r>
          </w:p>
        </w:tc>
      </w:tr>
      <w:tr w:rsidR="0077352B" w:rsidRPr="0077352B" w:rsidTr="00ED3334">
        <w:tc>
          <w:tcPr>
            <w:tcW w:w="0" w:type="auto"/>
            <w:vMerge/>
            <w:hideMark/>
          </w:tcPr>
          <w:p w:rsidR="0077352B" w:rsidRPr="0077352B" w:rsidRDefault="0077352B" w:rsidP="00ED3334">
            <w:pPr>
              <w:rPr>
                <w:sz w:val="20"/>
                <w:szCs w:val="20"/>
              </w:rPr>
            </w:pPr>
          </w:p>
        </w:tc>
        <w:tc>
          <w:tcPr>
            <w:tcW w:w="1886" w:type="dxa"/>
            <w:hideMark/>
          </w:tcPr>
          <w:p w:rsidR="0077352B" w:rsidRPr="0077352B" w:rsidRDefault="0077352B" w:rsidP="00ED3334">
            <w:pPr>
              <w:rPr>
                <w:sz w:val="20"/>
                <w:szCs w:val="20"/>
              </w:rPr>
            </w:pPr>
            <w:r w:rsidRPr="0077352B">
              <w:rPr>
                <w:sz w:val="20"/>
                <w:szCs w:val="20"/>
              </w:rPr>
              <w:t>Affiliation</w:t>
            </w:r>
          </w:p>
        </w:tc>
        <w:tc>
          <w:tcPr>
            <w:tcW w:w="0" w:type="auto"/>
            <w:hideMark/>
          </w:tcPr>
          <w:p w:rsidR="0077352B" w:rsidRPr="0077352B" w:rsidRDefault="0077352B" w:rsidP="00ED3334">
            <w:pPr>
              <w:rPr>
                <w:sz w:val="20"/>
                <w:szCs w:val="20"/>
              </w:rPr>
            </w:pPr>
            <w:r w:rsidRPr="0077352B">
              <w:rPr>
                <w:sz w:val="20"/>
                <w:szCs w:val="20"/>
              </w:rPr>
              <w:t>Institutional link of the blogger.</w:t>
            </w:r>
          </w:p>
        </w:tc>
        <w:tc>
          <w:tcPr>
            <w:tcW w:w="0" w:type="auto"/>
            <w:hideMark/>
          </w:tcPr>
          <w:p w:rsidR="0077352B" w:rsidRPr="0077352B" w:rsidRDefault="0077352B" w:rsidP="00ED3334">
            <w:pPr>
              <w:rPr>
                <w:sz w:val="20"/>
                <w:szCs w:val="20"/>
              </w:rPr>
            </w:pPr>
            <w:r w:rsidRPr="0077352B">
              <w:rPr>
                <w:sz w:val="20"/>
                <w:szCs w:val="20"/>
              </w:rPr>
              <w:t>University, Media organization, NGO, Independent</w:t>
            </w:r>
          </w:p>
        </w:tc>
      </w:tr>
      <w:tr w:rsidR="0077352B" w:rsidRPr="0077352B" w:rsidTr="00ED3334">
        <w:tc>
          <w:tcPr>
            <w:tcW w:w="0" w:type="auto"/>
            <w:vMerge/>
            <w:hideMark/>
          </w:tcPr>
          <w:p w:rsidR="0077352B" w:rsidRPr="0077352B" w:rsidRDefault="0077352B" w:rsidP="00ED3334">
            <w:pPr>
              <w:rPr>
                <w:sz w:val="20"/>
                <w:szCs w:val="20"/>
              </w:rPr>
            </w:pPr>
          </w:p>
        </w:tc>
        <w:tc>
          <w:tcPr>
            <w:tcW w:w="1886" w:type="dxa"/>
            <w:hideMark/>
          </w:tcPr>
          <w:p w:rsidR="0077352B" w:rsidRPr="0077352B" w:rsidRDefault="0077352B" w:rsidP="00ED3334">
            <w:pPr>
              <w:rPr>
                <w:sz w:val="20"/>
                <w:szCs w:val="20"/>
              </w:rPr>
            </w:pPr>
            <w:r w:rsidRPr="0077352B">
              <w:rPr>
                <w:sz w:val="20"/>
                <w:szCs w:val="20"/>
              </w:rPr>
              <w:t>Field of activity</w:t>
            </w:r>
          </w:p>
        </w:tc>
        <w:tc>
          <w:tcPr>
            <w:tcW w:w="0" w:type="auto"/>
            <w:hideMark/>
          </w:tcPr>
          <w:p w:rsidR="0077352B" w:rsidRPr="0077352B" w:rsidRDefault="0077352B" w:rsidP="00ED3334">
            <w:pPr>
              <w:rPr>
                <w:sz w:val="20"/>
                <w:szCs w:val="20"/>
              </w:rPr>
            </w:pPr>
            <w:r w:rsidRPr="0077352B">
              <w:rPr>
                <w:sz w:val="20"/>
                <w:szCs w:val="20"/>
              </w:rPr>
              <w:t>Broad thematic or disciplinary area of author.</w:t>
            </w:r>
          </w:p>
        </w:tc>
        <w:tc>
          <w:tcPr>
            <w:tcW w:w="0" w:type="auto"/>
            <w:hideMark/>
          </w:tcPr>
          <w:p w:rsidR="0077352B" w:rsidRPr="0077352B" w:rsidRDefault="0077352B" w:rsidP="00ED3334">
            <w:pPr>
              <w:rPr>
                <w:sz w:val="20"/>
                <w:szCs w:val="20"/>
              </w:rPr>
            </w:pPr>
            <w:r w:rsidRPr="0077352B">
              <w:rPr>
                <w:sz w:val="20"/>
                <w:szCs w:val="20"/>
              </w:rPr>
              <w:t>Public health, Environmental science, Political science</w:t>
            </w:r>
          </w:p>
        </w:tc>
      </w:tr>
      <w:tr w:rsidR="0077352B" w:rsidRPr="0077352B" w:rsidTr="00ED3334">
        <w:tc>
          <w:tcPr>
            <w:tcW w:w="0" w:type="auto"/>
            <w:vMerge w:val="restart"/>
            <w:hideMark/>
          </w:tcPr>
          <w:p w:rsidR="0077352B" w:rsidRPr="0077352B" w:rsidRDefault="0077352B" w:rsidP="00ED3334">
            <w:pPr>
              <w:rPr>
                <w:sz w:val="20"/>
                <w:szCs w:val="20"/>
              </w:rPr>
            </w:pPr>
            <w:r w:rsidRPr="0077352B">
              <w:rPr>
                <w:rStyle w:val="Strong"/>
                <w:sz w:val="20"/>
                <w:szCs w:val="20"/>
              </w:rPr>
              <w:t>Blog title</w:t>
            </w:r>
          </w:p>
        </w:tc>
        <w:tc>
          <w:tcPr>
            <w:tcW w:w="1886" w:type="dxa"/>
            <w:hideMark/>
          </w:tcPr>
          <w:p w:rsidR="0077352B" w:rsidRPr="0077352B" w:rsidRDefault="0077352B" w:rsidP="00ED3334">
            <w:pPr>
              <w:rPr>
                <w:sz w:val="20"/>
                <w:szCs w:val="20"/>
              </w:rPr>
            </w:pPr>
            <w:r w:rsidRPr="0077352B">
              <w:rPr>
                <w:sz w:val="20"/>
                <w:szCs w:val="20"/>
              </w:rPr>
              <w:t>Intent</w:t>
            </w:r>
          </w:p>
        </w:tc>
        <w:tc>
          <w:tcPr>
            <w:tcW w:w="0" w:type="auto"/>
            <w:hideMark/>
          </w:tcPr>
          <w:p w:rsidR="0077352B" w:rsidRPr="0077352B" w:rsidRDefault="0077352B" w:rsidP="00ED3334">
            <w:pPr>
              <w:rPr>
                <w:sz w:val="20"/>
                <w:szCs w:val="20"/>
              </w:rPr>
            </w:pPr>
            <w:r w:rsidRPr="0077352B">
              <w:rPr>
                <w:sz w:val="20"/>
                <w:szCs w:val="20"/>
              </w:rPr>
              <w:t>Communicative aim of title.</w:t>
            </w:r>
          </w:p>
        </w:tc>
        <w:tc>
          <w:tcPr>
            <w:tcW w:w="0" w:type="auto"/>
            <w:hideMark/>
          </w:tcPr>
          <w:p w:rsidR="0077352B" w:rsidRPr="0077352B" w:rsidRDefault="0077352B" w:rsidP="00ED3334">
            <w:pPr>
              <w:rPr>
                <w:sz w:val="20"/>
                <w:szCs w:val="20"/>
              </w:rPr>
            </w:pPr>
            <w:r w:rsidRPr="0077352B">
              <w:rPr>
                <w:sz w:val="20"/>
                <w:szCs w:val="20"/>
              </w:rPr>
              <w:t>Informative (“New study shows…”), Advocative, Critical, Promotional</w:t>
            </w:r>
          </w:p>
        </w:tc>
      </w:tr>
      <w:tr w:rsidR="0077352B" w:rsidRPr="0077352B" w:rsidTr="00ED3334">
        <w:tc>
          <w:tcPr>
            <w:tcW w:w="0" w:type="auto"/>
            <w:vMerge/>
            <w:hideMark/>
          </w:tcPr>
          <w:p w:rsidR="0077352B" w:rsidRPr="0077352B" w:rsidRDefault="0077352B" w:rsidP="00ED3334">
            <w:pPr>
              <w:rPr>
                <w:sz w:val="20"/>
                <w:szCs w:val="20"/>
              </w:rPr>
            </w:pPr>
          </w:p>
        </w:tc>
        <w:tc>
          <w:tcPr>
            <w:tcW w:w="1886" w:type="dxa"/>
            <w:hideMark/>
          </w:tcPr>
          <w:p w:rsidR="0077352B" w:rsidRPr="0077352B" w:rsidRDefault="0077352B" w:rsidP="00ED3334">
            <w:pPr>
              <w:rPr>
                <w:sz w:val="20"/>
                <w:szCs w:val="20"/>
              </w:rPr>
            </w:pPr>
            <w:r w:rsidRPr="0077352B">
              <w:rPr>
                <w:sz w:val="20"/>
                <w:szCs w:val="20"/>
              </w:rPr>
              <w:t>Bias orientation</w:t>
            </w:r>
          </w:p>
        </w:tc>
        <w:tc>
          <w:tcPr>
            <w:tcW w:w="0" w:type="auto"/>
            <w:hideMark/>
          </w:tcPr>
          <w:p w:rsidR="0077352B" w:rsidRPr="0077352B" w:rsidRDefault="0077352B" w:rsidP="00ED3334">
            <w:pPr>
              <w:rPr>
                <w:sz w:val="20"/>
                <w:szCs w:val="20"/>
              </w:rPr>
            </w:pPr>
            <w:r w:rsidRPr="0077352B">
              <w:rPr>
                <w:sz w:val="20"/>
                <w:szCs w:val="20"/>
              </w:rPr>
              <w:t xml:space="preserve">Use of emotional or loaded language. Manually flagged; </w:t>
            </w:r>
            <w:proofErr w:type="spellStart"/>
            <w:r w:rsidRPr="0077352B">
              <w:rPr>
                <w:sz w:val="20"/>
                <w:szCs w:val="20"/>
              </w:rPr>
              <w:t>ChatGPT</w:t>
            </w:r>
            <w:proofErr w:type="spellEnd"/>
            <w:r w:rsidRPr="0077352B">
              <w:rPr>
                <w:sz w:val="20"/>
                <w:szCs w:val="20"/>
              </w:rPr>
              <w:t>-assisted coding (5 runs, consolidated). *</w:t>
            </w:r>
            <w:r w:rsidRPr="0077352B">
              <w:rPr>
                <w:rStyle w:val="Strong"/>
                <w:b w:val="0"/>
                <w:sz w:val="20"/>
                <w:szCs w:val="20"/>
              </w:rPr>
              <w:t>Limitations:</w:t>
            </w:r>
            <w:r w:rsidRPr="0077352B">
              <w:rPr>
                <w:sz w:val="20"/>
                <w:szCs w:val="20"/>
              </w:rPr>
              <w:t xml:space="preserve"> interpretive; sarcasm/irony may be missed.</w:t>
            </w:r>
          </w:p>
        </w:tc>
        <w:tc>
          <w:tcPr>
            <w:tcW w:w="0" w:type="auto"/>
            <w:hideMark/>
          </w:tcPr>
          <w:p w:rsidR="0077352B" w:rsidRPr="0077352B" w:rsidRDefault="0077352B" w:rsidP="00ED3334">
            <w:pPr>
              <w:rPr>
                <w:sz w:val="20"/>
                <w:szCs w:val="20"/>
              </w:rPr>
            </w:pPr>
            <w:r w:rsidRPr="0077352B">
              <w:rPr>
                <w:sz w:val="20"/>
                <w:szCs w:val="20"/>
              </w:rPr>
              <w:t>Neutral (“Update on COVID-19 research”), Negative (“Flawed science misleads public”), Positive (“Breakthrough discovery”), Controversial (“Debate erupts over study”)</w:t>
            </w:r>
          </w:p>
        </w:tc>
      </w:tr>
      <w:tr w:rsidR="0077352B" w:rsidRPr="0077352B" w:rsidTr="00ED3334">
        <w:tc>
          <w:tcPr>
            <w:tcW w:w="0" w:type="auto"/>
            <w:vMerge w:val="restart"/>
            <w:hideMark/>
          </w:tcPr>
          <w:p w:rsidR="0077352B" w:rsidRPr="0077352B" w:rsidRDefault="0077352B" w:rsidP="00ED3334">
            <w:pPr>
              <w:rPr>
                <w:sz w:val="20"/>
                <w:szCs w:val="20"/>
              </w:rPr>
            </w:pPr>
            <w:r w:rsidRPr="0077352B">
              <w:rPr>
                <w:rStyle w:val="Strong"/>
                <w:sz w:val="20"/>
                <w:szCs w:val="20"/>
              </w:rPr>
              <w:t>Blog text</w:t>
            </w:r>
          </w:p>
        </w:tc>
        <w:tc>
          <w:tcPr>
            <w:tcW w:w="1886" w:type="dxa"/>
            <w:hideMark/>
          </w:tcPr>
          <w:p w:rsidR="0077352B" w:rsidRPr="0077352B" w:rsidRDefault="0077352B" w:rsidP="00ED3334">
            <w:pPr>
              <w:rPr>
                <w:sz w:val="20"/>
                <w:szCs w:val="20"/>
              </w:rPr>
            </w:pPr>
            <w:r w:rsidRPr="0077352B">
              <w:rPr>
                <w:sz w:val="20"/>
                <w:szCs w:val="20"/>
              </w:rPr>
              <w:t>Citation context</w:t>
            </w:r>
          </w:p>
        </w:tc>
        <w:tc>
          <w:tcPr>
            <w:tcW w:w="0" w:type="auto"/>
            <w:hideMark/>
          </w:tcPr>
          <w:p w:rsidR="0077352B" w:rsidRPr="0077352B" w:rsidRDefault="0077352B" w:rsidP="00ED3334">
            <w:pPr>
              <w:rPr>
                <w:sz w:val="20"/>
                <w:szCs w:val="20"/>
              </w:rPr>
            </w:pPr>
            <w:r w:rsidRPr="0077352B">
              <w:rPr>
                <w:sz w:val="20"/>
                <w:szCs w:val="20"/>
              </w:rPr>
              <w:t>Textual environment surrounding a cited scientific article (±20–30 words), coded for tone (supportive/neutral/critical), purpose (evidence, argument, critique), and depth (mention vs. extended discussion).</w:t>
            </w:r>
          </w:p>
        </w:tc>
        <w:tc>
          <w:tcPr>
            <w:tcW w:w="0" w:type="auto"/>
            <w:hideMark/>
          </w:tcPr>
          <w:p w:rsidR="0077352B" w:rsidRPr="0077352B" w:rsidRDefault="0077352B" w:rsidP="00ED3334">
            <w:pPr>
              <w:rPr>
                <w:sz w:val="20"/>
                <w:szCs w:val="20"/>
              </w:rPr>
            </w:pPr>
            <w:r w:rsidRPr="0077352B">
              <w:rPr>
                <w:rStyle w:val="Emphasis"/>
                <w:sz w:val="20"/>
                <w:szCs w:val="20"/>
              </w:rPr>
              <w:t>Example</w:t>
            </w:r>
            <w:r w:rsidRPr="0077352B">
              <w:rPr>
                <w:sz w:val="20"/>
                <w:szCs w:val="20"/>
              </w:rPr>
              <w:t>: “As shown in [Smith et al., 2020], mask use significantly reduced…” (evidence, supportive, extended).</w:t>
            </w:r>
          </w:p>
        </w:tc>
      </w:tr>
      <w:tr w:rsidR="0077352B" w:rsidRPr="0077352B" w:rsidTr="00ED3334">
        <w:tc>
          <w:tcPr>
            <w:tcW w:w="0" w:type="auto"/>
            <w:vMerge/>
            <w:hideMark/>
          </w:tcPr>
          <w:p w:rsidR="0077352B" w:rsidRPr="0077352B" w:rsidRDefault="0077352B" w:rsidP="00ED3334">
            <w:pPr>
              <w:rPr>
                <w:sz w:val="20"/>
                <w:szCs w:val="20"/>
              </w:rPr>
            </w:pPr>
          </w:p>
        </w:tc>
        <w:tc>
          <w:tcPr>
            <w:tcW w:w="1886" w:type="dxa"/>
            <w:hideMark/>
          </w:tcPr>
          <w:p w:rsidR="0077352B" w:rsidRPr="0077352B" w:rsidRDefault="0077352B" w:rsidP="00ED3334">
            <w:pPr>
              <w:rPr>
                <w:sz w:val="20"/>
                <w:szCs w:val="20"/>
              </w:rPr>
            </w:pPr>
            <w:r w:rsidRPr="0077352B">
              <w:rPr>
                <w:sz w:val="20"/>
                <w:szCs w:val="20"/>
              </w:rPr>
              <w:t>Citation motivation</w:t>
            </w:r>
          </w:p>
        </w:tc>
        <w:tc>
          <w:tcPr>
            <w:tcW w:w="0" w:type="auto"/>
            <w:hideMark/>
          </w:tcPr>
          <w:p w:rsidR="0077352B" w:rsidRPr="0077352B" w:rsidRDefault="0077352B" w:rsidP="00ED3334">
            <w:pPr>
              <w:rPr>
                <w:sz w:val="20"/>
                <w:szCs w:val="20"/>
              </w:rPr>
            </w:pPr>
            <w:r w:rsidRPr="0077352B">
              <w:rPr>
                <w:sz w:val="20"/>
                <w:szCs w:val="20"/>
              </w:rPr>
              <w:t>Underlying reason for citing the article.</w:t>
            </w:r>
          </w:p>
        </w:tc>
        <w:tc>
          <w:tcPr>
            <w:tcW w:w="0" w:type="auto"/>
            <w:hideMark/>
          </w:tcPr>
          <w:p w:rsidR="0077352B" w:rsidRPr="0077352B" w:rsidRDefault="0077352B" w:rsidP="00ED3334">
            <w:pPr>
              <w:rPr>
                <w:sz w:val="20"/>
                <w:szCs w:val="20"/>
              </w:rPr>
            </w:pPr>
            <w:r w:rsidRPr="0077352B">
              <w:rPr>
                <w:sz w:val="20"/>
                <w:szCs w:val="20"/>
              </w:rPr>
              <w:t>Provide evidence, Support argument, Criticize findings</w:t>
            </w:r>
          </w:p>
        </w:tc>
      </w:tr>
      <w:tr w:rsidR="0077352B" w:rsidRPr="0077352B" w:rsidTr="00ED3334">
        <w:tc>
          <w:tcPr>
            <w:tcW w:w="0" w:type="auto"/>
            <w:vMerge w:val="restart"/>
            <w:hideMark/>
          </w:tcPr>
          <w:p w:rsidR="0077352B" w:rsidRPr="0077352B" w:rsidRDefault="0077352B" w:rsidP="00ED3334">
            <w:pPr>
              <w:rPr>
                <w:sz w:val="20"/>
                <w:szCs w:val="20"/>
              </w:rPr>
            </w:pPr>
            <w:r w:rsidRPr="0077352B">
              <w:rPr>
                <w:rStyle w:val="Strong"/>
                <w:sz w:val="20"/>
                <w:szCs w:val="20"/>
              </w:rPr>
              <w:t>Blog comments</w:t>
            </w:r>
          </w:p>
        </w:tc>
        <w:tc>
          <w:tcPr>
            <w:tcW w:w="1886" w:type="dxa"/>
            <w:hideMark/>
          </w:tcPr>
          <w:p w:rsidR="0077352B" w:rsidRPr="0077352B" w:rsidRDefault="0077352B" w:rsidP="00ED3334">
            <w:pPr>
              <w:rPr>
                <w:sz w:val="20"/>
                <w:szCs w:val="20"/>
              </w:rPr>
            </w:pPr>
            <w:r w:rsidRPr="0077352B">
              <w:rPr>
                <w:sz w:val="20"/>
                <w:szCs w:val="20"/>
              </w:rPr>
              <w:t>Allowed/Disallowed</w:t>
            </w:r>
          </w:p>
        </w:tc>
        <w:tc>
          <w:tcPr>
            <w:tcW w:w="0" w:type="auto"/>
            <w:hideMark/>
          </w:tcPr>
          <w:p w:rsidR="0077352B" w:rsidRPr="0077352B" w:rsidRDefault="0077352B" w:rsidP="00ED3334">
            <w:pPr>
              <w:rPr>
                <w:sz w:val="20"/>
                <w:szCs w:val="20"/>
              </w:rPr>
            </w:pPr>
            <w:r w:rsidRPr="0077352B">
              <w:rPr>
                <w:sz w:val="20"/>
                <w:szCs w:val="20"/>
              </w:rPr>
              <w:t>Whether commenting was technically enabled.</w:t>
            </w:r>
          </w:p>
        </w:tc>
        <w:tc>
          <w:tcPr>
            <w:tcW w:w="0" w:type="auto"/>
            <w:hideMark/>
          </w:tcPr>
          <w:p w:rsidR="0077352B" w:rsidRPr="0077352B" w:rsidRDefault="0077352B" w:rsidP="00ED3334">
            <w:pPr>
              <w:rPr>
                <w:sz w:val="20"/>
                <w:szCs w:val="20"/>
              </w:rPr>
            </w:pPr>
            <w:r w:rsidRPr="0077352B">
              <w:rPr>
                <w:sz w:val="20"/>
                <w:szCs w:val="20"/>
              </w:rPr>
              <w:t>Allowed, Not allowed</w:t>
            </w:r>
          </w:p>
        </w:tc>
      </w:tr>
      <w:tr w:rsidR="0077352B" w:rsidRPr="0077352B" w:rsidTr="00ED3334">
        <w:tc>
          <w:tcPr>
            <w:tcW w:w="0" w:type="auto"/>
            <w:vMerge/>
            <w:hideMark/>
          </w:tcPr>
          <w:p w:rsidR="0077352B" w:rsidRPr="0077352B" w:rsidRDefault="0077352B" w:rsidP="00ED3334">
            <w:pPr>
              <w:rPr>
                <w:sz w:val="20"/>
                <w:szCs w:val="20"/>
              </w:rPr>
            </w:pPr>
          </w:p>
        </w:tc>
        <w:tc>
          <w:tcPr>
            <w:tcW w:w="1886" w:type="dxa"/>
            <w:hideMark/>
          </w:tcPr>
          <w:p w:rsidR="0077352B" w:rsidRPr="0077352B" w:rsidRDefault="0077352B" w:rsidP="00ED3334">
            <w:pPr>
              <w:rPr>
                <w:sz w:val="20"/>
                <w:szCs w:val="20"/>
              </w:rPr>
            </w:pPr>
            <w:r w:rsidRPr="0077352B">
              <w:rPr>
                <w:sz w:val="20"/>
                <w:szCs w:val="20"/>
              </w:rPr>
              <w:t>Commented/Non-commented</w:t>
            </w:r>
          </w:p>
        </w:tc>
        <w:tc>
          <w:tcPr>
            <w:tcW w:w="0" w:type="auto"/>
            <w:hideMark/>
          </w:tcPr>
          <w:p w:rsidR="0077352B" w:rsidRPr="0077352B" w:rsidRDefault="0077352B" w:rsidP="00ED3334">
            <w:pPr>
              <w:rPr>
                <w:sz w:val="20"/>
                <w:szCs w:val="20"/>
              </w:rPr>
            </w:pPr>
            <w:r w:rsidRPr="0077352B">
              <w:rPr>
                <w:sz w:val="20"/>
                <w:szCs w:val="20"/>
              </w:rPr>
              <w:t>If allowed, whether any comments appeared.</w:t>
            </w:r>
          </w:p>
        </w:tc>
        <w:tc>
          <w:tcPr>
            <w:tcW w:w="0" w:type="auto"/>
            <w:hideMark/>
          </w:tcPr>
          <w:p w:rsidR="0077352B" w:rsidRPr="0077352B" w:rsidRDefault="0077352B" w:rsidP="00ED3334">
            <w:pPr>
              <w:rPr>
                <w:sz w:val="20"/>
                <w:szCs w:val="20"/>
              </w:rPr>
            </w:pPr>
            <w:r w:rsidRPr="0077352B">
              <w:rPr>
                <w:sz w:val="20"/>
                <w:szCs w:val="20"/>
              </w:rPr>
              <w:t>Commented (with discussion), Non-commented (no activity)</w:t>
            </w:r>
          </w:p>
        </w:tc>
      </w:tr>
    </w:tbl>
    <w:p w:rsidR="0077352B" w:rsidRPr="0077352B" w:rsidRDefault="0077352B" w:rsidP="0077352B">
      <w:pPr>
        <w:rPr>
          <w:rFonts w:ascii="Times New Roman" w:hAnsi="Times New Roman" w:cs="Times New Roman"/>
          <w:b/>
        </w:rPr>
      </w:pPr>
    </w:p>
    <w:p w:rsidR="0077352B" w:rsidRPr="0077352B" w:rsidRDefault="0077352B" w:rsidP="0077352B">
      <w:pPr>
        <w:pStyle w:val="Caption"/>
        <w:sectPr w:rsidR="0077352B" w:rsidRPr="0077352B" w:rsidSect="00307A1B">
          <w:pgSz w:w="16839" w:h="11907" w:orient="landscape"/>
          <w:pgMar w:top="1418" w:right="1418" w:bottom="1418" w:left="1418" w:header="709" w:footer="709" w:gutter="0"/>
          <w:pgNumType w:start="1"/>
          <w:cols w:space="720"/>
          <w:docGrid w:linePitch="326"/>
        </w:sectPr>
      </w:pPr>
      <w:bookmarkStart w:id="0" w:name="_Hlk206691371"/>
    </w:p>
    <w:p w:rsidR="0077352B" w:rsidRPr="0077352B" w:rsidRDefault="0077352B" w:rsidP="0077352B">
      <w:pPr>
        <w:pStyle w:val="Caption"/>
      </w:pPr>
      <w:r w:rsidRPr="0077352B">
        <w:lastRenderedPageBreak/>
        <w:t>Table S</w:t>
      </w:r>
      <w:r w:rsidRPr="0077352B">
        <w:fldChar w:fldCharType="begin"/>
      </w:r>
      <w:r w:rsidRPr="0077352B">
        <w:instrText xml:space="preserve"> SEQ Table_S \* ARABIC </w:instrText>
      </w:r>
      <w:r w:rsidRPr="0077352B">
        <w:fldChar w:fldCharType="separate"/>
      </w:r>
      <w:r w:rsidRPr="0077352B">
        <w:rPr>
          <w:noProof/>
        </w:rPr>
        <w:t>2</w:t>
      </w:r>
      <w:r w:rsidRPr="0077352B">
        <w:rPr>
          <w:noProof/>
        </w:rPr>
        <w:fldChar w:fldCharType="end"/>
      </w:r>
      <w:r w:rsidRPr="0077352B">
        <w:t xml:space="preserve">. </w:t>
      </w:r>
      <w:bookmarkEnd w:id="0"/>
      <w:r w:rsidRPr="0077352B">
        <w:t>Examples of Terms in Description of Bloggers’ Occupation (Source: Authors own work)</w:t>
      </w:r>
    </w:p>
    <w:tbl>
      <w:tblPr>
        <w:tblW w:w="8790" w:type="dxa"/>
        <w:jc w:val="center"/>
        <w:tblBorders>
          <w:top w:val="nil"/>
          <w:left w:val="nil"/>
          <w:bottom w:val="nil"/>
          <w:right w:val="nil"/>
          <w:insideH w:val="nil"/>
          <w:insideV w:val="nil"/>
        </w:tblBorders>
        <w:tblLayout w:type="fixed"/>
        <w:tblLook w:val="0600" w:firstRow="0" w:lastRow="0" w:firstColumn="0" w:lastColumn="0" w:noHBand="1" w:noVBand="1"/>
      </w:tblPr>
      <w:tblGrid>
        <w:gridCol w:w="2694"/>
        <w:gridCol w:w="6096"/>
      </w:tblGrid>
      <w:tr w:rsidR="0077352B" w:rsidRPr="0077352B" w:rsidTr="00ED3334">
        <w:trPr>
          <w:trHeight w:val="300"/>
          <w:tblHeader/>
          <w:jc w:val="center"/>
        </w:trPr>
        <w:tc>
          <w:tcPr>
            <w:tcW w:w="2694" w:type="dxa"/>
            <w:tcBorders>
              <w:top w:val="single" w:sz="12" w:space="0" w:color="000000"/>
              <w:right w:val="single" w:sz="8" w:space="0" w:color="000000"/>
            </w:tcBorders>
            <w:tcMar>
              <w:top w:w="0" w:type="dxa"/>
              <w:left w:w="80" w:type="dxa"/>
              <w:bottom w:w="0" w:type="dxa"/>
              <w:right w:w="80" w:type="dxa"/>
            </w:tcMar>
            <w:vAlign w:val="center"/>
          </w:tcPr>
          <w:p w:rsidR="0077352B" w:rsidRPr="0077352B" w:rsidRDefault="0077352B" w:rsidP="00ED3334">
            <w:pPr>
              <w:jc w:val="center"/>
              <w:rPr>
                <w:rFonts w:ascii="Times New Roman" w:hAnsi="Times New Roman" w:cs="Times New Roman"/>
                <w:i/>
                <w:sz w:val="20"/>
                <w:szCs w:val="20"/>
              </w:rPr>
            </w:pPr>
            <w:r w:rsidRPr="0077352B">
              <w:rPr>
                <w:rFonts w:ascii="Times New Roman" w:hAnsi="Times New Roman" w:cs="Times New Roman"/>
                <w:i/>
                <w:sz w:val="20"/>
                <w:szCs w:val="20"/>
              </w:rPr>
              <w:t>Blogger Occupation Category</w:t>
            </w:r>
          </w:p>
        </w:tc>
        <w:tc>
          <w:tcPr>
            <w:tcW w:w="6096" w:type="dxa"/>
            <w:tcBorders>
              <w:top w:val="single" w:sz="12" w:space="0" w:color="000000"/>
              <w:right w:val="nil"/>
            </w:tcBorders>
          </w:tcPr>
          <w:p w:rsidR="0077352B" w:rsidRPr="0077352B" w:rsidRDefault="0077352B" w:rsidP="00ED3334">
            <w:pPr>
              <w:jc w:val="center"/>
              <w:rPr>
                <w:rFonts w:ascii="Times New Roman" w:hAnsi="Times New Roman" w:cs="Times New Roman"/>
                <w:i/>
                <w:sz w:val="20"/>
                <w:szCs w:val="20"/>
              </w:rPr>
            </w:pPr>
            <w:r w:rsidRPr="0077352B">
              <w:rPr>
                <w:rFonts w:ascii="Times New Roman" w:hAnsi="Times New Roman" w:cs="Times New Roman"/>
                <w:i/>
                <w:sz w:val="20"/>
                <w:szCs w:val="20"/>
              </w:rPr>
              <w:t>Examples of Terms from Blogger Descriptions</w:t>
            </w:r>
          </w:p>
        </w:tc>
      </w:tr>
      <w:tr w:rsidR="0077352B" w:rsidRPr="0077352B" w:rsidTr="00ED3334">
        <w:trPr>
          <w:trHeight w:val="285"/>
          <w:jc w:val="center"/>
        </w:trPr>
        <w:tc>
          <w:tcPr>
            <w:tcW w:w="2694" w:type="dxa"/>
            <w:tcBorders>
              <w:top w:val="single" w:sz="8" w:space="0" w:color="000000"/>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lang w:val="en-US"/>
              </w:rPr>
            </w:pPr>
            <w:r w:rsidRPr="0077352B">
              <w:rPr>
                <w:rFonts w:ascii="Times New Roman" w:hAnsi="Times New Roman" w:cs="Times New Roman"/>
                <w:sz w:val="20"/>
                <w:szCs w:val="20"/>
              </w:rPr>
              <w:t>Academic &amp; Researcher</w:t>
            </w:r>
          </w:p>
        </w:tc>
        <w:tc>
          <w:tcPr>
            <w:tcW w:w="6096" w:type="dxa"/>
            <w:tcBorders>
              <w:top w:val="single" w:sz="8" w:space="0" w:color="000000"/>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Scientist; Professor; Faculty; Fellow; Lecturer; Policy Advisor; Researcher; Professors; Former Scientist; Assistant Professor; Emeritus Professor; Senior Research Fellow; Principal Economist; Economist; Research Fellow; Academic; Chairholder; Research Associate; Senior Lecturer; Associate Professor; Chair; Professor Emerita; Senior Fellow; Senior Researcher; Professor Emerita; Research Scholar; Reader; Research Scholar Medical Anthropologist; Faculty Fellow; Philosopher; Anthropologist; Biologist; </w:t>
            </w:r>
          </w:p>
        </w:tc>
      </w:tr>
      <w:tr w:rsidR="0077352B" w:rsidRPr="0077352B" w:rsidTr="00ED3334">
        <w:trPr>
          <w:trHeight w:val="285"/>
          <w:jc w:val="center"/>
        </w:trPr>
        <w:tc>
          <w:tcPr>
            <w:tcW w:w="2694"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Media &amp; Communication Professions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Writer; Critic; Blogger; Cartoonist; Author; Communicator; Podcaster; Publisher; Journalist; Poet; Spokesperson; Filmmaker; Science Writer; Speaker; Community Manager; Media Specialist</w:t>
            </w:r>
          </w:p>
        </w:tc>
      </w:tr>
      <w:tr w:rsidR="0077352B" w:rsidRPr="0077352B" w:rsidTr="00ED3334">
        <w:trPr>
          <w:trHeight w:val="285"/>
          <w:jc w:val="center"/>
        </w:trPr>
        <w:tc>
          <w:tcPr>
            <w:tcW w:w="2694"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Executive Leaders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Consultant; Coordinator; President; Director; Associate; Associate Director; CMO; Lab Director; Advisor; Programme Director; Research Director; Project Manager; Deputy Director; Officer; Corporate Finance Advisor; Senior Advisor; Team Contributor</w:t>
            </w:r>
          </w:p>
        </w:tc>
      </w:tr>
      <w:tr w:rsidR="0077352B" w:rsidRPr="0077352B" w:rsidTr="00ED3334">
        <w:trPr>
          <w:trHeight w:val="270"/>
          <w:jc w:val="center"/>
        </w:trPr>
        <w:tc>
          <w:tcPr>
            <w:tcW w:w="2694"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Medical &amp; Health Professions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Psychiatrist; Psychoanalyst; Epidemiologist; Genetic </w:t>
            </w:r>
            <w:proofErr w:type="spellStart"/>
            <w:r w:rsidRPr="0077352B">
              <w:rPr>
                <w:rFonts w:ascii="Times New Roman" w:hAnsi="Times New Roman" w:cs="Times New Roman"/>
                <w:sz w:val="20"/>
                <w:szCs w:val="20"/>
              </w:rPr>
              <w:t>Counselor</w:t>
            </w:r>
            <w:proofErr w:type="spellEnd"/>
            <w:r w:rsidRPr="0077352B">
              <w:rPr>
                <w:rFonts w:ascii="Times New Roman" w:hAnsi="Times New Roman" w:cs="Times New Roman"/>
                <w:sz w:val="20"/>
                <w:szCs w:val="20"/>
              </w:rPr>
              <w:t>; Psychologist; Physician; Social Worker</w:t>
            </w:r>
          </w:p>
        </w:tc>
      </w:tr>
      <w:tr w:rsidR="0077352B" w:rsidRPr="0077352B" w:rsidTr="00ED3334">
        <w:trPr>
          <w:trHeight w:val="270"/>
          <w:jc w:val="center"/>
        </w:trPr>
        <w:tc>
          <w:tcPr>
            <w:tcW w:w="2694"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Editors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Editor; Editor-in-Chief</w:t>
            </w:r>
          </w:p>
        </w:tc>
      </w:tr>
      <w:tr w:rsidR="0077352B" w:rsidRPr="0077352B" w:rsidTr="00ED3334">
        <w:trPr>
          <w:trHeight w:val="270"/>
          <w:jc w:val="center"/>
        </w:trPr>
        <w:tc>
          <w:tcPr>
            <w:tcW w:w="2694"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Educators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Educators</w:t>
            </w:r>
          </w:p>
        </w:tc>
      </w:tr>
      <w:tr w:rsidR="0077352B" w:rsidRPr="0077352B" w:rsidTr="00ED3334">
        <w:trPr>
          <w:trHeight w:val="270"/>
          <w:jc w:val="center"/>
        </w:trPr>
        <w:tc>
          <w:tcPr>
            <w:tcW w:w="2694"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Student / Trainee</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MSc Student; PhD Researcher; Doctoral Fellow; PhD Student</w:t>
            </w:r>
          </w:p>
        </w:tc>
      </w:tr>
      <w:tr w:rsidR="0077352B" w:rsidRPr="0077352B" w:rsidTr="00ED3334">
        <w:trPr>
          <w:trHeight w:val="270"/>
          <w:jc w:val="center"/>
        </w:trPr>
        <w:tc>
          <w:tcPr>
            <w:tcW w:w="2694"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Tech &amp; Engineering Professions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Software Designer; Data Scientist; System Administrator</w:t>
            </w:r>
          </w:p>
        </w:tc>
      </w:tr>
      <w:tr w:rsidR="0077352B" w:rsidRPr="0077352B" w:rsidTr="00ED3334">
        <w:trPr>
          <w:trHeight w:val="270"/>
          <w:jc w:val="center"/>
        </w:trPr>
        <w:tc>
          <w:tcPr>
            <w:tcW w:w="2694"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Legal Professions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Legal Adviser; Attorney</w:t>
            </w:r>
          </w:p>
        </w:tc>
      </w:tr>
      <w:tr w:rsidR="0077352B" w:rsidRPr="0077352B" w:rsidTr="00ED3334">
        <w:trPr>
          <w:trHeight w:val="270"/>
          <w:jc w:val="center"/>
        </w:trPr>
        <w:tc>
          <w:tcPr>
            <w:tcW w:w="2694"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Library &amp; Information Science Specialist</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Librarian</w:t>
            </w:r>
          </w:p>
        </w:tc>
      </w:tr>
      <w:tr w:rsidR="0077352B" w:rsidRPr="0077352B" w:rsidTr="00ED3334">
        <w:trPr>
          <w:trHeight w:val="300"/>
          <w:jc w:val="center"/>
        </w:trPr>
        <w:tc>
          <w:tcPr>
            <w:tcW w:w="2694" w:type="dxa"/>
            <w:tcBorders>
              <w:top w:val="single" w:sz="4" w:space="0" w:color="auto"/>
              <w:left w:val="nil"/>
              <w:bottom w:val="single" w:sz="12" w:space="0" w:color="000000"/>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Other Professions</w:t>
            </w:r>
          </w:p>
        </w:tc>
        <w:tc>
          <w:tcPr>
            <w:tcW w:w="6096" w:type="dxa"/>
            <w:tcBorders>
              <w:top w:val="single" w:sz="4" w:space="0" w:color="auto"/>
              <w:left w:val="nil"/>
              <w:bottom w:val="single" w:sz="12" w:space="0" w:color="000000"/>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Yoga Instructor; Builder; Reiki Practitioner; Registrar</w:t>
            </w:r>
          </w:p>
        </w:tc>
      </w:tr>
    </w:tbl>
    <w:p w:rsidR="0077352B" w:rsidRDefault="0077352B" w:rsidP="0077352B">
      <w:pPr>
        <w:pStyle w:val="Caption"/>
      </w:pPr>
    </w:p>
    <w:p w:rsidR="0077352B" w:rsidRDefault="0077352B">
      <w:pPr>
        <w:rPr>
          <w:rFonts w:ascii="Times New Roman" w:eastAsia="Times New Roman" w:hAnsi="Times New Roman" w:cs="Times New Roman"/>
          <w:b/>
          <w:iCs/>
          <w:sz w:val="20"/>
          <w:szCs w:val="18"/>
          <w:lang w:eastAsia="sv-SE"/>
        </w:rPr>
      </w:pPr>
      <w:r>
        <w:br w:type="page"/>
      </w:r>
    </w:p>
    <w:p w:rsidR="0077352B" w:rsidRPr="0077352B" w:rsidRDefault="0077352B" w:rsidP="0077352B">
      <w:pPr>
        <w:pStyle w:val="Caption"/>
      </w:pPr>
      <w:r w:rsidRPr="0077352B">
        <w:lastRenderedPageBreak/>
        <w:t>Table S</w:t>
      </w:r>
      <w:r w:rsidRPr="0077352B">
        <w:fldChar w:fldCharType="begin"/>
      </w:r>
      <w:r w:rsidRPr="0077352B">
        <w:instrText xml:space="preserve"> SEQ Table_S \* ARABIC </w:instrText>
      </w:r>
      <w:r w:rsidRPr="0077352B">
        <w:fldChar w:fldCharType="separate"/>
      </w:r>
      <w:r w:rsidRPr="0077352B">
        <w:rPr>
          <w:noProof/>
        </w:rPr>
        <w:t>3</w:t>
      </w:r>
      <w:r w:rsidRPr="0077352B">
        <w:rPr>
          <w:noProof/>
        </w:rPr>
        <w:fldChar w:fldCharType="end"/>
      </w:r>
      <w:r w:rsidRPr="0077352B">
        <w:t>. Examples of Terms in Description of Bloggers’ Field of Activity</w:t>
      </w:r>
    </w:p>
    <w:tbl>
      <w:tblPr>
        <w:tblW w:w="8931" w:type="dxa"/>
        <w:jc w:val="center"/>
        <w:tblBorders>
          <w:top w:val="nil"/>
          <w:left w:val="nil"/>
          <w:bottom w:val="nil"/>
          <w:right w:val="nil"/>
          <w:insideH w:val="nil"/>
          <w:insideV w:val="nil"/>
        </w:tblBorders>
        <w:tblLayout w:type="fixed"/>
        <w:tblLook w:val="0600" w:firstRow="0" w:lastRow="0" w:firstColumn="0" w:lastColumn="0" w:noHBand="1" w:noVBand="1"/>
      </w:tblPr>
      <w:tblGrid>
        <w:gridCol w:w="2835"/>
        <w:gridCol w:w="6096"/>
      </w:tblGrid>
      <w:tr w:rsidR="0077352B" w:rsidRPr="0077352B" w:rsidTr="00ED3334">
        <w:trPr>
          <w:trHeight w:val="300"/>
          <w:tblHeader/>
          <w:jc w:val="center"/>
        </w:trPr>
        <w:tc>
          <w:tcPr>
            <w:tcW w:w="2835" w:type="dxa"/>
            <w:tcBorders>
              <w:top w:val="single" w:sz="12" w:space="0" w:color="000000"/>
              <w:right w:val="single" w:sz="8" w:space="0" w:color="000000"/>
            </w:tcBorders>
            <w:tcMar>
              <w:top w:w="0" w:type="dxa"/>
              <w:left w:w="80" w:type="dxa"/>
              <w:bottom w:w="0" w:type="dxa"/>
              <w:right w:w="80" w:type="dxa"/>
            </w:tcMar>
            <w:vAlign w:val="center"/>
          </w:tcPr>
          <w:p w:rsidR="0077352B" w:rsidRPr="0077352B" w:rsidRDefault="0077352B" w:rsidP="00ED3334">
            <w:pPr>
              <w:jc w:val="center"/>
              <w:rPr>
                <w:rFonts w:ascii="Times New Roman" w:hAnsi="Times New Roman" w:cs="Times New Roman"/>
                <w:i/>
                <w:sz w:val="20"/>
                <w:szCs w:val="20"/>
              </w:rPr>
            </w:pPr>
            <w:r w:rsidRPr="0077352B">
              <w:rPr>
                <w:rFonts w:ascii="Times New Roman" w:hAnsi="Times New Roman" w:cs="Times New Roman"/>
                <w:i/>
                <w:sz w:val="20"/>
                <w:szCs w:val="20"/>
              </w:rPr>
              <w:t>Blogger Field of Activity</w:t>
            </w:r>
          </w:p>
        </w:tc>
        <w:tc>
          <w:tcPr>
            <w:tcW w:w="6096" w:type="dxa"/>
            <w:tcBorders>
              <w:top w:val="single" w:sz="12" w:space="0" w:color="000000"/>
              <w:right w:val="nil"/>
            </w:tcBorders>
          </w:tcPr>
          <w:p w:rsidR="0077352B" w:rsidRPr="0077352B" w:rsidRDefault="0077352B" w:rsidP="00ED3334">
            <w:pPr>
              <w:jc w:val="center"/>
              <w:rPr>
                <w:rFonts w:ascii="Times New Roman" w:hAnsi="Times New Roman" w:cs="Times New Roman"/>
                <w:i/>
                <w:sz w:val="20"/>
                <w:szCs w:val="20"/>
              </w:rPr>
            </w:pPr>
            <w:r w:rsidRPr="0077352B">
              <w:rPr>
                <w:rFonts w:ascii="Times New Roman" w:hAnsi="Times New Roman" w:cs="Times New Roman"/>
                <w:i/>
                <w:sz w:val="20"/>
                <w:szCs w:val="20"/>
              </w:rPr>
              <w:t>Examples of Terms from Blogger Descriptions</w:t>
            </w:r>
          </w:p>
        </w:tc>
      </w:tr>
      <w:tr w:rsidR="0077352B" w:rsidRPr="0077352B" w:rsidTr="00ED3334">
        <w:trPr>
          <w:trHeight w:val="285"/>
          <w:jc w:val="center"/>
        </w:trPr>
        <w:tc>
          <w:tcPr>
            <w:tcW w:w="2835" w:type="dxa"/>
            <w:tcBorders>
              <w:top w:val="single" w:sz="8" w:space="0" w:color="000000"/>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lang w:val="en-US"/>
              </w:rPr>
            </w:pPr>
            <w:r w:rsidRPr="0077352B">
              <w:rPr>
                <w:rFonts w:ascii="Times New Roman" w:hAnsi="Times New Roman" w:cs="Times New Roman"/>
                <w:sz w:val="20"/>
                <w:szCs w:val="20"/>
              </w:rPr>
              <w:t>Medical &amp; Health Sciences</w:t>
            </w:r>
          </w:p>
        </w:tc>
        <w:tc>
          <w:tcPr>
            <w:tcW w:w="6096" w:type="dxa"/>
            <w:tcBorders>
              <w:top w:val="single" w:sz="8" w:space="0" w:color="000000"/>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Medicine; Emergency Medicine; Immunology; Food Science; Virology; Genetics; Epidemiology; Public Health; Synthetic Biology; Microbiology; Cell Biology; Health Policy; Drug Discovery; Neuroscience; Vaccinology; Oral Medicine; Infectious Disease; Pharmaceutical Science; Psychedelic Science; Neuroimmunology; ME/CFS; Health Sciences; Internal Medicine; Vaccines; Health; Complementary Medicine; Oncology; Obesity Policy; Dermatology; Infectious Diseases; </w:t>
            </w:r>
            <w:proofErr w:type="spellStart"/>
            <w:r w:rsidRPr="0077352B">
              <w:rPr>
                <w:rFonts w:ascii="Times New Roman" w:hAnsi="Times New Roman" w:cs="Times New Roman"/>
                <w:sz w:val="20"/>
                <w:szCs w:val="20"/>
              </w:rPr>
              <w:t>Pediatrics</w:t>
            </w:r>
            <w:proofErr w:type="spellEnd"/>
            <w:r w:rsidRPr="0077352B">
              <w:rPr>
                <w:rFonts w:ascii="Times New Roman" w:hAnsi="Times New Roman" w:cs="Times New Roman"/>
                <w:sz w:val="20"/>
                <w:szCs w:val="20"/>
              </w:rPr>
              <w:t>; Pathology; Biomedical Engineering; Nutrition; Cardiology; Global Health Metrics; Family Medicine; Medical Technology; Clinical Medicine; Neurology; Medical Microbiology; Global Health; Biomedical Science; biochemistry; COVID-19; Food Security; Palliative Care; Digital Health; Healthcare; Health Advocacy; Diagnostics; Biotech; Vaccine Policy; Kidney Disease; Forensic Science; Genomics; Biomedical Imaging; biosciences; Population Health; social care; Global Health Policy; Emergency Care</w:t>
            </w:r>
          </w:p>
        </w:tc>
      </w:tr>
      <w:tr w:rsidR="0077352B" w:rsidRPr="0077352B" w:rsidTr="00ED3334">
        <w:trPr>
          <w:trHeight w:val="285"/>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Economics &amp; Business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Finance; Economics; Marketing; Global Economy; Human Resources; Business; Health Economics; Commerce; Business &amp; Organizational </w:t>
            </w:r>
            <w:proofErr w:type="spellStart"/>
            <w:r w:rsidRPr="0077352B">
              <w:rPr>
                <w:rFonts w:ascii="Times New Roman" w:hAnsi="Times New Roman" w:cs="Times New Roman"/>
                <w:sz w:val="20"/>
                <w:szCs w:val="20"/>
              </w:rPr>
              <w:t>Behavior</w:t>
            </w:r>
            <w:proofErr w:type="spellEnd"/>
            <w:r w:rsidRPr="0077352B">
              <w:rPr>
                <w:rFonts w:ascii="Times New Roman" w:hAnsi="Times New Roman" w:cs="Times New Roman"/>
                <w:sz w:val="20"/>
                <w:szCs w:val="20"/>
              </w:rPr>
              <w:t>; Corporate Governance; Organizational Behaviour; Entrepreneurship; Management; Operations; development economics; Platform Economy; Economic Geography; Organizational Studies</w:t>
            </w:r>
          </w:p>
        </w:tc>
      </w:tr>
      <w:tr w:rsidR="0077352B" w:rsidRPr="0077352B" w:rsidTr="00ED3334">
        <w:trPr>
          <w:trHeight w:val="285"/>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Education &amp; Communication</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Science Communication; Research Communication; Music Education; Popular Science; Health Communication; Science &amp; Culture; Education; Science and Culture Communication; Educational Research; Educational Studies; Science Comm; </w:t>
            </w:r>
            <w:proofErr w:type="spellStart"/>
            <w:r w:rsidRPr="0077352B">
              <w:rPr>
                <w:rFonts w:ascii="Times New Roman" w:hAnsi="Times New Roman" w:cs="Times New Roman"/>
                <w:sz w:val="20"/>
                <w:szCs w:val="20"/>
              </w:rPr>
              <w:t>SciComm</w:t>
            </w:r>
            <w:proofErr w:type="spellEnd"/>
            <w:r w:rsidRPr="0077352B">
              <w:rPr>
                <w:rFonts w:ascii="Times New Roman" w:hAnsi="Times New Roman" w:cs="Times New Roman"/>
                <w:sz w:val="20"/>
                <w:szCs w:val="20"/>
              </w:rPr>
              <w:t>; STEM Outreach</w:t>
            </w:r>
          </w:p>
        </w:tc>
      </w:tr>
      <w:tr w:rsidR="0077352B" w:rsidRPr="0077352B" w:rsidTr="00ED3334">
        <w:trPr>
          <w:trHeight w:val="270"/>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Political &amp; International Studies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Politics; Political Economy; political science; Public Policy; International &amp; Global Studies; Public Administration; Politics and International Relations; International Relations; Conflict Management; Diplomacy; International Studies; International Affairs; Global Studies; Geopolitics; Governance; Democracy; European Politics</w:t>
            </w:r>
          </w:p>
        </w:tc>
      </w:tr>
      <w:tr w:rsidR="0077352B" w:rsidRPr="0077352B" w:rsidTr="00ED3334">
        <w:trPr>
          <w:trHeight w:val="270"/>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Law &amp; Policy</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Legal Tech; Law; Human Rights; Law (IP; Health Law; Global Health Law; Medical Law and Ethics; Welfare Policy; Criminology; Policy; Disaster Management; Public Law</w:t>
            </w:r>
          </w:p>
        </w:tc>
      </w:tr>
      <w:tr w:rsidR="0077352B" w:rsidRPr="0077352B" w:rsidTr="00ED3334">
        <w:trPr>
          <w:trHeight w:val="270"/>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Social Sciences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Anthropology; Sociology; Applied Sociology; Sexuality; Social Research; Social Work; Men's Issues; Inequalities; </w:t>
            </w:r>
            <w:proofErr w:type="spellStart"/>
            <w:r w:rsidRPr="0077352B">
              <w:rPr>
                <w:rFonts w:ascii="Times New Roman" w:hAnsi="Times New Roman" w:cs="Times New Roman"/>
                <w:sz w:val="20"/>
                <w:szCs w:val="20"/>
              </w:rPr>
              <w:t>Labor</w:t>
            </w:r>
            <w:proofErr w:type="spellEnd"/>
            <w:r w:rsidRPr="0077352B">
              <w:rPr>
                <w:rFonts w:ascii="Times New Roman" w:hAnsi="Times New Roman" w:cs="Times New Roman"/>
                <w:sz w:val="20"/>
                <w:szCs w:val="20"/>
              </w:rPr>
              <w:t xml:space="preserve"> studies; Rural Sociology; Social Justice; Inequality; Demography; Disability Studies; Cultural Studies</w:t>
            </w:r>
          </w:p>
        </w:tc>
      </w:tr>
      <w:tr w:rsidR="0077352B" w:rsidRPr="0077352B" w:rsidTr="00ED3334">
        <w:trPr>
          <w:trHeight w:val="270"/>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Area &amp; Global Studies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Forced Migration; Development Policy; Agrarian Studies; Human Geography; Development Studies; Migration; Geography and Environmental Studies; Development; Planning; Development and Conflict Studies; Peace and Development Studies; Geography; Global Development; Historical Geography; Landscape Architecture; Urban Poverty</w:t>
            </w:r>
          </w:p>
        </w:tc>
      </w:tr>
      <w:tr w:rsidR="0077352B" w:rsidRPr="0077352B" w:rsidTr="00ED3334">
        <w:trPr>
          <w:trHeight w:val="270"/>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Psychology &amp; Neuroscience</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Mental Health; </w:t>
            </w:r>
            <w:proofErr w:type="spellStart"/>
            <w:r w:rsidRPr="0077352B">
              <w:rPr>
                <w:rFonts w:ascii="Times New Roman" w:hAnsi="Times New Roman" w:cs="Times New Roman"/>
                <w:sz w:val="20"/>
                <w:szCs w:val="20"/>
              </w:rPr>
              <w:t>Behavioral</w:t>
            </w:r>
            <w:proofErr w:type="spellEnd"/>
            <w:r w:rsidRPr="0077352B">
              <w:rPr>
                <w:rFonts w:ascii="Times New Roman" w:hAnsi="Times New Roman" w:cs="Times New Roman"/>
                <w:sz w:val="20"/>
                <w:szCs w:val="20"/>
              </w:rPr>
              <w:t xml:space="preserve"> Science; Psychology; Cognitive Science; Neuropsychology; Psychological Science; Stroke; Psychiatry; Brain Health</w:t>
            </w:r>
          </w:p>
        </w:tc>
      </w:tr>
      <w:tr w:rsidR="0077352B" w:rsidRPr="0077352B" w:rsidTr="00ED3334">
        <w:trPr>
          <w:trHeight w:val="270"/>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Media &amp; Culture</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University Communications; Cultural Commentary; Conflict Journalism; Journalism; Communications; Library Science; Media Relations; International Reporting; Science Journalism; Public Media; News; </w:t>
            </w:r>
            <w:r w:rsidRPr="0077352B">
              <w:rPr>
                <w:rFonts w:ascii="Times New Roman" w:hAnsi="Times New Roman" w:cs="Times New Roman"/>
                <w:sz w:val="20"/>
                <w:szCs w:val="20"/>
              </w:rPr>
              <w:lastRenderedPageBreak/>
              <w:t>Public Relations; Public Radio; Information Science; Medical Journalism; Library Sci; Communication; Media</w:t>
            </w:r>
          </w:p>
        </w:tc>
      </w:tr>
      <w:tr w:rsidR="0077352B" w:rsidRPr="0077352B" w:rsidTr="00ED3334">
        <w:trPr>
          <w:trHeight w:val="270"/>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lastRenderedPageBreak/>
              <w:t>Technology &amp; Engineering</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Machine Learning; Bioinformatics; Clinical Data Science; Technology; Artificial Intelligence; Cybersecurity; Statistics; Data Science; Emerging Tech; Emerging Technology; Engineering &amp; Technology; Engineering; AI; Tech; Tech Policy; Construction; Nuclear Engineering</w:t>
            </w:r>
          </w:p>
        </w:tc>
      </w:tr>
      <w:tr w:rsidR="0077352B" w:rsidRPr="0077352B" w:rsidTr="00ED3334">
        <w:trPr>
          <w:trHeight w:val="285"/>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Environment &amp; Sustainability</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Environment; Climate Science; Climate Communication; Climate Science Denialism; Climate </w:t>
            </w:r>
            <w:proofErr w:type="spellStart"/>
            <w:r w:rsidRPr="0077352B">
              <w:rPr>
                <w:rFonts w:ascii="Times New Roman" w:hAnsi="Times New Roman" w:cs="Times New Roman"/>
                <w:sz w:val="20"/>
                <w:szCs w:val="20"/>
              </w:rPr>
              <w:t>Skepticism</w:t>
            </w:r>
            <w:proofErr w:type="spellEnd"/>
            <w:r w:rsidRPr="0077352B">
              <w:rPr>
                <w:rFonts w:ascii="Times New Roman" w:hAnsi="Times New Roman" w:cs="Times New Roman"/>
                <w:sz w:val="20"/>
                <w:szCs w:val="20"/>
              </w:rPr>
              <w:t>; Climate Policy; Ecology; Sustainability; Environmental Justice; Climate Science Communication; Ecology and Evolution; Natural Resources; Environmental Science; Environmental Policy</w:t>
            </w:r>
          </w:p>
        </w:tc>
      </w:tr>
      <w:tr w:rsidR="0077352B" w:rsidRPr="0077352B" w:rsidTr="00ED3334">
        <w:trPr>
          <w:trHeight w:val="285"/>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STS &amp; Interdisciplinary</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General Commentary; Science &amp; Technology; Science; Open Science; Science Studies; Science and Technology; Research Administration; Science Publishing</w:t>
            </w:r>
          </w:p>
        </w:tc>
      </w:tr>
      <w:tr w:rsidR="0077352B" w:rsidRPr="0077352B" w:rsidTr="00ED3334">
        <w:trPr>
          <w:trHeight w:val="285"/>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Humanities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Music Industry; Culture; Music History; Religious Studies; Design; Music; Arts; Photography; Literature; History</w:t>
            </w:r>
          </w:p>
        </w:tc>
      </w:tr>
      <w:tr w:rsidR="0077352B" w:rsidRPr="0077352B" w:rsidTr="00ED3334">
        <w:trPr>
          <w:trHeight w:val="270"/>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Philosophy &amp; Ethics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Philosophy; Bioethics; Ethics</w:t>
            </w:r>
          </w:p>
        </w:tc>
      </w:tr>
      <w:tr w:rsidR="0077352B" w:rsidRPr="0077352B" w:rsidTr="00ED3334">
        <w:trPr>
          <w:trHeight w:val="270"/>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Biological &amp; Agricultural Sciences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Animal Health; Evolutionary Biology; Veterinary Pathology; Biological Sciences; Agriculture; Veterinary Medicine</w:t>
            </w:r>
          </w:p>
        </w:tc>
      </w:tr>
      <w:tr w:rsidR="0077352B" w:rsidRPr="0077352B" w:rsidTr="00ED3334">
        <w:trPr>
          <w:trHeight w:val="270"/>
          <w:jc w:val="center"/>
        </w:trPr>
        <w:tc>
          <w:tcPr>
            <w:tcW w:w="2835" w:type="dxa"/>
            <w:tcBorders>
              <w:top w:val="single" w:sz="4" w:space="0" w:color="auto"/>
              <w:bottom w:val="single" w:sz="4" w:space="0" w:color="auto"/>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Physical Sciences</w:t>
            </w:r>
          </w:p>
        </w:tc>
        <w:tc>
          <w:tcPr>
            <w:tcW w:w="6096" w:type="dxa"/>
            <w:tcBorders>
              <w:top w:val="single" w:sz="4" w:space="0" w:color="auto"/>
              <w:bottom w:val="single" w:sz="4" w:space="0" w:color="auto"/>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Space; Chemistry</w:t>
            </w:r>
          </w:p>
        </w:tc>
      </w:tr>
      <w:tr w:rsidR="0077352B" w:rsidRPr="0077352B" w:rsidTr="00ED3334">
        <w:trPr>
          <w:trHeight w:val="300"/>
          <w:jc w:val="center"/>
        </w:trPr>
        <w:tc>
          <w:tcPr>
            <w:tcW w:w="2835" w:type="dxa"/>
            <w:tcBorders>
              <w:top w:val="single" w:sz="4" w:space="0" w:color="auto"/>
              <w:left w:val="nil"/>
              <w:bottom w:val="single" w:sz="12" w:space="0" w:color="000000"/>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Unclassified and Unknown</w:t>
            </w:r>
          </w:p>
        </w:tc>
        <w:tc>
          <w:tcPr>
            <w:tcW w:w="6096" w:type="dxa"/>
            <w:tcBorders>
              <w:top w:val="single" w:sz="4" w:space="0" w:color="auto"/>
              <w:left w:val="nil"/>
              <w:bottom w:val="single" w:sz="12" w:space="0" w:color="000000"/>
              <w:right w:val="nil"/>
            </w:tcBorders>
          </w:tcPr>
          <w:p w:rsidR="0077352B" w:rsidRPr="0077352B" w:rsidRDefault="0077352B" w:rsidP="00ED3334">
            <w:pPr>
              <w:rPr>
                <w:rFonts w:ascii="Times New Roman" w:hAnsi="Times New Roman" w:cs="Times New Roman"/>
                <w:sz w:val="20"/>
                <w:szCs w:val="20"/>
              </w:rPr>
            </w:pPr>
            <w:proofErr w:type="spellStart"/>
            <w:r w:rsidRPr="0077352B">
              <w:rPr>
                <w:rFonts w:ascii="Times New Roman" w:hAnsi="Times New Roman" w:cs="Times New Roman"/>
                <w:sz w:val="20"/>
                <w:szCs w:val="20"/>
              </w:rPr>
              <w:t>Defense</w:t>
            </w:r>
            <w:proofErr w:type="spellEnd"/>
            <w:r w:rsidRPr="0077352B">
              <w:rPr>
                <w:rFonts w:ascii="Times New Roman" w:hAnsi="Times New Roman" w:cs="Times New Roman"/>
                <w:sz w:val="20"/>
                <w:szCs w:val="20"/>
              </w:rPr>
              <w:t xml:space="preserve"> Studies; </w:t>
            </w:r>
            <w:proofErr w:type="spellStart"/>
            <w:r w:rsidRPr="0077352B">
              <w:rPr>
                <w:rFonts w:ascii="Times New Roman" w:hAnsi="Times New Roman" w:cs="Times New Roman"/>
                <w:sz w:val="20"/>
                <w:szCs w:val="20"/>
              </w:rPr>
              <w:t>Defense</w:t>
            </w:r>
            <w:proofErr w:type="spellEnd"/>
            <w:r w:rsidRPr="0077352B">
              <w:rPr>
                <w:rFonts w:ascii="Times New Roman" w:hAnsi="Times New Roman" w:cs="Times New Roman"/>
                <w:sz w:val="20"/>
                <w:szCs w:val="20"/>
              </w:rPr>
              <w:t>; Gender; Gender Studies; Unknown</w:t>
            </w:r>
          </w:p>
        </w:tc>
      </w:tr>
    </w:tbl>
    <w:p w:rsidR="0077352B" w:rsidRPr="0077352B" w:rsidRDefault="0077352B" w:rsidP="0077352B">
      <w:pPr>
        <w:rPr>
          <w:rFonts w:ascii="Times New Roman" w:hAnsi="Times New Roman" w:cs="Times New Roman"/>
          <w:b/>
        </w:rPr>
      </w:pPr>
    </w:p>
    <w:p w:rsidR="0077352B" w:rsidRPr="0077352B" w:rsidRDefault="0077352B" w:rsidP="0077352B">
      <w:pPr>
        <w:rPr>
          <w:rFonts w:ascii="Times New Roman" w:hAnsi="Times New Roman" w:cs="Times New Roman"/>
          <w:b/>
        </w:rPr>
      </w:pPr>
    </w:p>
    <w:p w:rsidR="0077352B" w:rsidRPr="0077352B" w:rsidRDefault="0077352B" w:rsidP="0077352B">
      <w:pPr>
        <w:rPr>
          <w:rFonts w:ascii="Times New Roman" w:hAnsi="Times New Roman" w:cs="Times New Roman"/>
          <w:b/>
        </w:rPr>
      </w:pPr>
    </w:p>
    <w:p w:rsidR="0077352B" w:rsidRPr="0077352B" w:rsidRDefault="0077352B" w:rsidP="0077352B">
      <w:pPr>
        <w:rPr>
          <w:rFonts w:ascii="Times New Roman" w:hAnsi="Times New Roman" w:cs="Times New Roman"/>
          <w:b/>
        </w:rPr>
      </w:pPr>
    </w:p>
    <w:p w:rsidR="0077352B" w:rsidRPr="0077352B" w:rsidRDefault="0077352B" w:rsidP="0077352B">
      <w:pPr>
        <w:rPr>
          <w:rFonts w:ascii="Times New Roman" w:hAnsi="Times New Roman" w:cs="Times New Roman"/>
          <w:i/>
          <w:iCs/>
          <w:color w:val="44546A" w:themeColor="text2"/>
          <w:sz w:val="18"/>
          <w:szCs w:val="18"/>
        </w:rPr>
      </w:pPr>
      <w:r w:rsidRPr="0077352B">
        <w:rPr>
          <w:rFonts w:ascii="Times New Roman" w:hAnsi="Times New Roman" w:cs="Times New Roman"/>
        </w:rPr>
        <w:br w:type="page"/>
      </w:r>
    </w:p>
    <w:p w:rsidR="0077352B" w:rsidRPr="0077352B" w:rsidRDefault="0077352B" w:rsidP="0077352B">
      <w:pPr>
        <w:pStyle w:val="Caption"/>
      </w:pPr>
      <w:r w:rsidRPr="0077352B">
        <w:lastRenderedPageBreak/>
        <w:t>Table S</w:t>
      </w:r>
      <w:r w:rsidRPr="0077352B">
        <w:fldChar w:fldCharType="begin"/>
      </w:r>
      <w:r w:rsidRPr="0077352B">
        <w:instrText xml:space="preserve"> SEQ Table_S \* ARABIC </w:instrText>
      </w:r>
      <w:r w:rsidRPr="0077352B">
        <w:fldChar w:fldCharType="separate"/>
      </w:r>
      <w:r w:rsidRPr="0077352B">
        <w:rPr>
          <w:noProof/>
        </w:rPr>
        <w:t>4</w:t>
      </w:r>
      <w:r w:rsidRPr="0077352B">
        <w:rPr>
          <w:noProof/>
        </w:rPr>
        <w:fldChar w:fldCharType="end"/>
      </w:r>
      <w:r w:rsidRPr="0077352B">
        <w:t>. Examples of blog post titles that are classified based on various intent and bias orientation. Note some blogs could fit in several categories. (Source: Authors own work)</w:t>
      </w:r>
    </w:p>
    <w:tbl>
      <w:tblPr>
        <w:tblW w:w="8931" w:type="dxa"/>
        <w:jc w:val="center"/>
        <w:tblBorders>
          <w:top w:val="nil"/>
          <w:left w:val="nil"/>
          <w:bottom w:val="nil"/>
          <w:right w:val="nil"/>
          <w:insideH w:val="nil"/>
          <w:insideV w:val="nil"/>
        </w:tblBorders>
        <w:tblLayout w:type="fixed"/>
        <w:tblLook w:val="0600" w:firstRow="0" w:lastRow="0" w:firstColumn="0" w:lastColumn="0" w:noHBand="1" w:noVBand="1"/>
      </w:tblPr>
      <w:tblGrid>
        <w:gridCol w:w="2835"/>
        <w:gridCol w:w="6096"/>
      </w:tblGrid>
      <w:tr w:rsidR="0077352B" w:rsidRPr="0077352B" w:rsidTr="00ED3334">
        <w:trPr>
          <w:trHeight w:val="300"/>
          <w:tblHeader/>
          <w:jc w:val="center"/>
        </w:trPr>
        <w:tc>
          <w:tcPr>
            <w:tcW w:w="2835" w:type="dxa"/>
            <w:vMerge w:val="restart"/>
            <w:tcBorders>
              <w:top w:val="single" w:sz="12" w:space="0" w:color="000000"/>
              <w:right w:val="single" w:sz="8" w:space="0" w:color="000000"/>
            </w:tcBorders>
            <w:tcMar>
              <w:top w:w="0" w:type="dxa"/>
              <w:left w:w="80" w:type="dxa"/>
              <w:bottom w:w="0" w:type="dxa"/>
              <w:right w:w="80" w:type="dxa"/>
            </w:tcMar>
            <w:vAlign w:val="center"/>
          </w:tcPr>
          <w:p w:rsidR="0077352B" w:rsidRPr="0077352B" w:rsidRDefault="0077352B" w:rsidP="00ED3334">
            <w:pPr>
              <w:jc w:val="center"/>
              <w:rPr>
                <w:rFonts w:ascii="Times New Roman" w:hAnsi="Times New Roman" w:cs="Times New Roman"/>
                <w:i/>
                <w:sz w:val="20"/>
                <w:szCs w:val="20"/>
              </w:rPr>
            </w:pPr>
            <w:r w:rsidRPr="0077352B">
              <w:rPr>
                <w:rFonts w:ascii="Times New Roman" w:hAnsi="Times New Roman" w:cs="Times New Roman"/>
                <w:i/>
                <w:sz w:val="20"/>
                <w:szCs w:val="20"/>
              </w:rPr>
              <w:t>Characteristics of Blog Post Title</w:t>
            </w:r>
          </w:p>
        </w:tc>
        <w:tc>
          <w:tcPr>
            <w:tcW w:w="6096" w:type="dxa"/>
            <w:tcBorders>
              <w:top w:val="single" w:sz="12" w:space="0" w:color="000000"/>
              <w:right w:val="nil"/>
            </w:tcBorders>
          </w:tcPr>
          <w:p w:rsidR="0077352B" w:rsidRPr="0077352B" w:rsidRDefault="0077352B" w:rsidP="00ED3334">
            <w:pPr>
              <w:jc w:val="center"/>
              <w:rPr>
                <w:rFonts w:ascii="Times New Roman" w:hAnsi="Times New Roman" w:cs="Times New Roman"/>
                <w:i/>
                <w:sz w:val="20"/>
                <w:szCs w:val="20"/>
              </w:rPr>
            </w:pPr>
            <w:r w:rsidRPr="0077352B">
              <w:rPr>
                <w:rFonts w:ascii="Times New Roman" w:hAnsi="Times New Roman" w:cs="Times New Roman"/>
                <w:i/>
                <w:sz w:val="20"/>
                <w:szCs w:val="20"/>
              </w:rPr>
              <w:t>Examples</w:t>
            </w:r>
          </w:p>
        </w:tc>
      </w:tr>
      <w:tr w:rsidR="0077352B" w:rsidRPr="0077352B" w:rsidTr="00ED3334">
        <w:trPr>
          <w:trHeight w:val="300"/>
          <w:tblHeader/>
          <w:jc w:val="center"/>
        </w:trPr>
        <w:tc>
          <w:tcPr>
            <w:tcW w:w="2835" w:type="dxa"/>
            <w:vMerge/>
            <w:tcBorders>
              <w:bottom w:val="single" w:sz="8" w:space="0" w:color="000000"/>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i/>
                <w:sz w:val="20"/>
                <w:szCs w:val="20"/>
              </w:rPr>
            </w:pPr>
          </w:p>
        </w:tc>
        <w:tc>
          <w:tcPr>
            <w:tcW w:w="6096" w:type="dxa"/>
            <w:tcBorders>
              <w:bottom w:val="single" w:sz="8" w:space="0" w:color="000000"/>
              <w:right w:val="nil"/>
            </w:tcBorders>
          </w:tcPr>
          <w:p w:rsidR="0077352B" w:rsidRPr="0077352B" w:rsidRDefault="0077352B" w:rsidP="00ED3334">
            <w:pPr>
              <w:jc w:val="center"/>
              <w:rPr>
                <w:rFonts w:ascii="Times New Roman" w:hAnsi="Times New Roman" w:cs="Times New Roman"/>
                <w:i/>
                <w:sz w:val="20"/>
                <w:szCs w:val="20"/>
              </w:rPr>
            </w:pPr>
          </w:p>
        </w:tc>
      </w:tr>
      <w:tr w:rsidR="0077352B" w:rsidRPr="0077352B" w:rsidTr="00ED3334">
        <w:trPr>
          <w:trHeight w:val="285"/>
          <w:jc w:val="center"/>
        </w:trPr>
        <w:tc>
          <w:tcPr>
            <w:tcW w:w="2835" w:type="dxa"/>
            <w:tcBorders>
              <w:top w:val="single" w:sz="8" w:space="0" w:color="000000"/>
              <w:bottom w:val="nil"/>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lang w:val="en-US"/>
              </w:rPr>
            </w:pPr>
            <w:r w:rsidRPr="0077352B">
              <w:rPr>
                <w:rFonts w:ascii="Times New Roman" w:hAnsi="Times New Roman" w:cs="Times New Roman"/>
                <w:sz w:val="20"/>
                <w:szCs w:val="20"/>
              </w:rPr>
              <w:t>Intent</w:t>
            </w:r>
            <w:r w:rsidRPr="0077352B">
              <w:rPr>
                <w:rFonts w:ascii="Times New Roman" w:hAnsi="Times New Roman" w:cs="Times New Roman"/>
                <w:sz w:val="20"/>
                <w:szCs w:val="20"/>
                <w:lang w:val="en-US"/>
              </w:rPr>
              <w:t>:</w:t>
            </w:r>
          </w:p>
        </w:tc>
        <w:tc>
          <w:tcPr>
            <w:tcW w:w="6096" w:type="dxa"/>
            <w:tcBorders>
              <w:top w:val="single" w:sz="8" w:space="0" w:color="000000"/>
              <w:bottom w:val="nil"/>
              <w:right w:val="nil"/>
            </w:tcBorders>
          </w:tcPr>
          <w:p w:rsidR="0077352B" w:rsidRPr="0077352B" w:rsidRDefault="0077352B" w:rsidP="00ED3334">
            <w:pPr>
              <w:rPr>
                <w:rFonts w:ascii="Times New Roman" w:hAnsi="Times New Roman" w:cs="Times New Roman"/>
                <w:sz w:val="20"/>
                <w:szCs w:val="20"/>
              </w:rPr>
            </w:pPr>
          </w:p>
        </w:tc>
      </w:tr>
      <w:tr w:rsidR="0077352B" w:rsidRPr="0077352B" w:rsidTr="00ED3334">
        <w:trPr>
          <w:trHeight w:val="285"/>
          <w:jc w:val="center"/>
        </w:trPr>
        <w:tc>
          <w:tcPr>
            <w:tcW w:w="2835" w:type="dxa"/>
            <w:tcBorders>
              <w:top w:val="nil"/>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Educational</w:t>
            </w:r>
          </w:p>
        </w:tc>
        <w:tc>
          <w:tcPr>
            <w:tcW w:w="6096" w:type="dxa"/>
            <w:tcBorders>
              <w:top w:val="nil"/>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“Can misinformation really impact people’s intent to get vaccinated?” </w:t>
            </w:r>
            <w:hyperlink r:id="rId4" w:history="1">
              <w:r w:rsidRPr="0077352B">
                <w:rPr>
                  <w:rStyle w:val="Hyperlink"/>
                  <w:rFonts w:ascii="Times New Roman" w:hAnsi="Times New Roman"/>
                  <w:sz w:val="20"/>
                  <w:szCs w:val="20"/>
                </w:rPr>
                <w:t>http://systems-signals.blogspot.com/2023/01/can-misinformation-really-impact.html</w:t>
              </w:r>
            </w:hyperlink>
            <w:r w:rsidRPr="0077352B">
              <w:rPr>
                <w:rFonts w:ascii="Times New Roman" w:hAnsi="Times New Roman" w:cs="Times New Roman"/>
                <w:sz w:val="20"/>
                <w:szCs w:val="20"/>
              </w:rPr>
              <w:t xml:space="preserve"> </w:t>
            </w:r>
          </w:p>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“Doubts about that article claiming that hydroxychloroquine/chloroquine is killing people” </w:t>
            </w:r>
            <w:hyperlink r:id="rId5" w:history="1">
              <w:r w:rsidRPr="0077352B">
                <w:rPr>
                  <w:rStyle w:val="Hyperlink"/>
                  <w:rFonts w:ascii="Times New Roman" w:hAnsi="Times New Roman"/>
                  <w:sz w:val="20"/>
                  <w:szCs w:val="20"/>
                </w:rPr>
                <w:t>https://statmodeling.stat.columbia.edu/2020/05/24/doubts-about-that-article-claiming-that-hydroxychloroquine-chloroquine-is-killing-people/</w:t>
              </w:r>
            </w:hyperlink>
            <w:r w:rsidRPr="0077352B">
              <w:rPr>
                <w:rFonts w:ascii="Times New Roman" w:hAnsi="Times New Roman" w:cs="Times New Roman"/>
                <w:sz w:val="20"/>
                <w:szCs w:val="20"/>
              </w:rPr>
              <w:t xml:space="preserve"> </w:t>
            </w:r>
          </w:p>
        </w:tc>
      </w:tr>
      <w:tr w:rsidR="0077352B" w:rsidRPr="0077352B" w:rsidTr="00ED3334">
        <w:trPr>
          <w:trHeight w:val="285"/>
          <w:jc w:val="center"/>
        </w:trPr>
        <w:tc>
          <w:tcPr>
            <w:tcW w:w="2835" w:type="dxa"/>
            <w:tcBorders>
              <w:top w:val="nil"/>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News and Reporting</w:t>
            </w:r>
          </w:p>
        </w:tc>
        <w:tc>
          <w:tcPr>
            <w:tcW w:w="6096" w:type="dxa"/>
            <w:tcBorders>
              <w:top w:val="nil"/>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“Local public health professionals report five lessons learned during the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pandemic: the results of guided reflection” </w:t>
            </w:r>
            <w:hyperlink r:id="rId6" w:history="1">
              <w:r w:rsidRPr="0077352B">
                <w:rPr>
                  <w:rStyle w:val="Hyperlink"/>
                  <w:rFonts w:ascii="Times New Roman" w:hAnsi="Times New Roman"/>
                  <w:sz w:val="20"/>
                  <w:szCs w:val="20"/>
                </w:rPr>
                <w:t>https://jphmpdirect.com/local-public-health-professionals-report-five-lessons-learned-during-the-covid-pandemic-the-results-of-guided-reflection/</w:t>
              </w:r>
            </w:hyperlink>
            <w:r w:rsidRPr="0077352B">
              <w:rPr>
                <w:rFonts w:ascii="Times New Roman" w:hAnsi="Times New Roman" w:cs="Times New Roman"/>
                <w:sz w:val="20"/>
                <w:szCs w:val="20"/>
              </w:rPr>
              <w:t xml:space="preserve"> </w:t>
            </w:r>
          </w:p>
        </w:tc>
      </w:tr>
      <w:tr w:rsidR="0077352B" w:rsidRPr="0077352B" w:rsidTr="00ED3334">
        <w:trPr>
          <w:trHeight w:val="270"/>
          <w:jc w:val="center"/>
        </w:trPr>
        <w:tc>
          <w:tcPr>
            <w:tcW w:w="2835" w:type="dxa"/>
            <w:tcBorders>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Critical and Opinion-based</w:t>
            </w:r>
          </w:p>
        </w:tc>
        <w:tc>
          <w:tcPr>
            <w:tcW w:w="6096" w:type="dxa"/>
            <w:tcBorders>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“To wear or not to wear: WHO’s confusing guidance on masks in the covid-19 pandemic” </w:t>
            </w:r>
            <w:hyperlink r:id="rId7" w:history="1">
              <w:r w:rsidRPr="0077352B">
                <w:rPr>
                  <w:rStyle w:val="Hyperlink"/>
                  <w:rFonts w:ascii="Times New Roman" w:hAnsi="Times New Roman"/>
                  <w:sz w:val="20"/>
                  <w:szCs w:val="20"/>
                </w:rPr>
                <w:t>https://blogs.bmj.com/bmj/2020/03/11/whos-confusing-guidance-masks-covid-19-epidemic/</w:t>
              </w:r>
            </w:hyperlink>
            <w:r w:rsidRPr="0077352B">
              <w:rPr>
                <w:rFonts w:ascii="Times New Roman" w:hAnsi="Times New Roman" w:cs="Times New Roman"/>
                <w:sz w:val="20"/>
                <w:szCs w:val="20"/>
              </w:rPr>
              <w:t xml:space="preserve"> </w:t>
            </w:r>
          </w:p>
        </w:tc>
      </w:tr>
      <w:tr w:rsidR="0077352B" w:rsidRPr="0077352B" w:rsidTr="00ED3334">
        <w:trPr>
          <w:trHeight w:val="270"/>
          <w:jc w:val="center"/>
        </w:trPr>
        <w:tc>
          <w:tcPr>
            <w:tcW w:w="2835" w:type="dxa"/>
            <w:tcBorders>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Investigative and Watchdog</w:t>
            </w:r>
          </w:p>
        </w:tc>
        <w:tc>
          <w:tcPr>
            <w:tcW w:w="6096" w:type="dxa"/>
            <w:tcBorders>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“Weekend reads: questions about Russian COVID-19 vaccine data; a p-value pledge; why one author removed her name from a paper” </w:t>
            </w:r>
            <w:hyperlink r:id="rId8" w:history="1">
              <w:r w:rsidRPr="0077352B">
                <w:rPr>
                  <w:rStyle w:val="Hyperlink"/>
                  <w:rFonts w:ascii="Times New Roman" w:hAnsi="Times New Roman"/>
                  <w:sz w:val="20"/>
                  <w:szCs w:val="20"/>
                </w:rPr>
                <w:t>https://retractionwatch.com/2020/09/12/weekend-reads-questions-about-russian-covid-19-vaccine-data-a-p-value-pledge-why-one-author-removed-her-name-from-a-paper/</w:t>
              </w:r>
            </w:hyperlink>
            <w:r w:rsidRPr="0077352B">
              <w:rPr>
                <w:rFonts w:ascii="Times New Roman" w:hAnsi="Times New Roman" w:cs="Times New Roman"/>
                <w:sz w:val="20"/>
                <w:szCs w:val="20"/>
              </w:rPr>
              <w:t xml:space="preserve"> “How The Pandemic Has Exacerbated The Gender Divide In Household </w:t>
            </w:r>
            <w:proofErr w:type="spellStart"/>
            <w:r w:rsidRPr="0077352B">
              <w:rPr>
                <w:rFonts w:ascii="Times New Roman" w:hAnsi="Times New Roman" w:cs="Times New Roman"/>
                <w:sz w:val="20"/>
                <w:szCs w:val="20"/>
              </w:rPr>
              <w:t>Labor</w:t>
            </w:r>
            <w:proofErr w:type="spellEnd"/>
            <w:r w:rsidRPr="0077352B">
              <w:rPr>
                <w:rFonts w:ascii="Times New Roman" w:hAnsi="Times New Roman" w:cs="Times New Roman"/>
                <w:sz w:val="20"/>
                <w:szCs w:val="20"/>
              </w:rPr>
              <w:t xml:space="preserve">” </w:t>
            </w:r>
            <w:hyperlink r:id="rId9" w:history="1">
              <w:r w:rsidRPr="0077352B">
                <w:rPr>
                  <w:rStyle w:val="Hyperlink"/>
                  <w:rFonts w:ascii="Times New Roman" w:hAnsi="Times New Roman"/>
                  <w:sz w:val="20"/>
                  <w:szCs w:val="20"/>
                </w:rPr>
                <w:t>https://www.buzzfeednews.com/article/elaminabdelmahmoud/parenting-dads-gender-gap</w:t>
              </w:r>
            </w:hyperlink>
            <w:r w:rsidRPr="0077352B">
              <w:rPr>
                <w:rFonts w:ascii="Times New Roman" w:hAnsi="Times New Roman" w:cs="Times New Roman"/>
                <w:sz w:val="20"/>
                <w:szCs w:val="20"/>
              </w:rPr>
              <w:t xml:space="preserve"> </w:t>
            </w:r>
          </w:p>
        </w:tc>
      </w:tr>
      <w:tr w:rsidR="0077352B" w:rsidRPr="0077352B" w:rsidTr="00ED3334">
        <w:trPr>
          <w:trHeight w:val="270"/>
          <w:jc w:val="center"/>
        </w:trPr>
        <w:tc>
          <w:tcPr>
            <w:tcW w:w="2835" w:type="dxa"/>
            <w:tcBorders>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Policy Analysis</w:t>
            </w:r>
          </w:p>
        </w:tc>
        <w:tc>
          <w:tcPr>
            <w:tcW w:w="6096" w:type="dxa"/>
            <w:tcBorders>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“COVID-19 and Uncertainties in the Value Per Statistical Life” </w:t>
            </w:r>
            <w:hyperlink r:id="rId10" w:history="1">
              <w:r w:rsidRPr="0077352B">
                <w:rPr>
                  <w:rStyle w:val="Hyperlink"/>
                  <w:rFonts w:ascii="Times New Roman" w:hAnsi="Times New Roman"/>
                  <w:sz w:val="20"/>
                  <w:szCs w:val="20"/>
                </w:rPr>
                <w:t>https://www.theregreview.org/2020/08/05/robinson-covid-19-uncertainties-value-statistical-life/</w:t>
              </w:r>
            </w:hyperlink>
            <w:r w:rsidRPr="0077352B">
              <w:rPr>
                <w:rFonts w:ascii="Times New Roman" w:hAnsi="Times New Roman" w:cs="Times New Roman"/>
                <w:sz w:val="20"/>
                <w:szCs w:val="20"/>
              </w:rPr>
              <w:t xml:space="preserve"> </w:t>
            </w:r>
          </w:p>
        </w:tc>
      </w:tr>
      <w:tr w:rsidR="0077352B" w:rsidRPr="0077352B" w:rsidTr="00ED3334">
        <w:trPr>
          <w:trHeight w:val="270"/>
          <w:jc w:val="center"/>
        </w:trPr>
        <w:tc>
          <w:tcPr>
            <w:tcW w:w="2835" w:type="dxa"/>
            <w:tcBorders>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Advocacy and Activism</w:t>
            </w:r>
          </w:p>
        </w:tc>
        <w:tc>
          <w:tcPr>
            <w:tcW w:w="6096" w:type="dxa"/>
            <w:tcBorders>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“Un-Fake News: Deaths Up by 20 Percent” </w:t>
            </w:r>
            <w:hyperlink r:id="rId11" w:history="1">
              <w:r w:rsidRPr="0077352B">
                <w:rPr>
                  <w:rStyle w:val="Hyperlink"/>
                  <w:rFonts w:ascii="Times New Roman" w:hAnsi="Times New Roman"/>
                  <w:sz w:val="20"/>
                  <w:szCs w:val="20"/>
                </w:rPr>
                <w:t>https://conscienhealth.org/2020/10/un-fake-news-deaths-up-by-20-percent/</w:t>
              </w:r>
            </w:hyperlink>
            <w:r w:rsidRPr="0077352B">
              <w:rPr>
                <w:rFonts w:ascii="Times New Roman" w:hAnsi="Times New Roman" w:cs="Times New Roman"/>
                <w:sz w:val="20"/>
                <w:szCs w:val="20"/>
              </w:rPr>
              <w:t xml:space="preserve"> </w:t>
            </w:r>
          </w:p>
        </w:tc>
      </w:tr>
      <w:tr w:rsidR="0077352B" w:rsidRPr="0077352B" w:rsidTr="00ED3334">
        <w:trPr>
          <w:trHeight w:val="270"/>
          <w:jc w:val="center"/>
        </w:trPr>
        <w:tc>
          <w:tcPr>
            <w:tcW w:w="2835" w:type="dxa"/>
            <w:tcBorders>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Academic Discussion</w:t>
            </w:r>
          </w:p>
        </w:tc>
        <w:tc>
          <w:tcPr>
            <w:tcW w:w="6096" w:type="dxa"/>
            <w:tcBorders>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“Atypical Signs, Symptoms and Testing Methods of COVID-19” </w:t>
            </w:r>
            <w:hyperlink r:id="rId12" w:history="1">
              <w:r w:rsidRPr="0077352B">
                <w:rPr>
                  <w:rStyle w:val="Hyperlink"/>
                  <w:rFonts w:ascii="Times New Roman" w:hAnsi="Times New Roman"/>
                  <w:sz w:val="20"/>
                  <w:szCs w:val="20"/>
                </w:rPr>
                <w:t>https://www.kolabtree.com/blog/atypical-signs-symptoms-and-testing-methods-of-covid-19/</w:t>
              </w:r>
            </w:hyperlink>
            <w:r w:rsidRPr="0077352B">
              <w:rPr>
                <w:rFonts w:ascii="Times New Roman" w:hAnsi="Times New Roman" w:cs="Times New Roman"/>
                <w:sz w:val="20"/>
                <w:szCs w:val="20"/>
              </w:rPr>
              <w:t xml:space="preserve"> </w:t>
            </w:r>
          </w:p>
        </w:tc>
      </w:tr>
      <w:tr w:rsidR="0077352B" w:rsidRPr="0077352B" w:rsidTr="00ED3334">
        <w:trPr>
          <w:trHeight w:val="270"/>
          <w:jc w:val="center"/>
        </w:trPr>
        <w:tc>
          <w:tcPr>
            <w:tcW w:w="2835" w:type="dxa"/>
            <w:tcBorders>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Misinformation Analysis</w:t>
            </w:r>
          </w:p>
        </w:tc>
        <w:tc>
          <w:tcPr>
            <w:tcW w:w="6096" w:type="dxa"/>
            <w:tcBorders>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“There is no COVID-19 “</w:t>
            </w:r>
            <w:proofErr w:type="spellStart"/>
            <w:r w:rsidRPr="0077352B">
              <w:rPr>
                <w:rFonts w:ascii="Times New Roman" w:hAnsi="Times New Roman" w:cs="Times New Roman"/>
                <w:sz w:val="20"/>
                <w:szCs w:val="20"/>
              </w:rPr>
              <w:t>Casedemic</w:t>
            </w:r>
            <w:proofErr w:type="spellEnd"/>
            <w:r w:rsidRPr="0077352B">
              <w:rPr>
                <w:rFonts w:ascii="Times New Roman" w:hAnsi="Times New Roman" w:cs="Times New Roman"/>
                <w:sz w:val="20"/>
                <w:szCs w:val="20"/>
              </w:rPr>
              <w:t xml:space="preserve">.” The pandemic is real and deadly.” </w:t>
            </w:r>
            <w:hyperlink r:id="rId13" w:history="1">
              <w:r w:rsidRPr="0077352B">
                <w:rPr>
                  <w:rStyle w:val="Hyperlink"/>
                  <w:rFonts w:ascii="Times New Roman" w:hAnsi="Times New Roman"/>
                  <w:sz w:val="20"/>
                  <w:szCs w:val="20"/>
                </w:rPr>
                <w:t>https://sciencebasedmedicine.org/no-covid-19-casedemic/</w:t>
              </w:r>
            </w:hyperlink>
            <w:r w:rsidRPr="0077352B">
              <w:rPr>
                <w:rFonts w:ascii="Times New Roman" w:hAnsi="Times New Roman" w:cs="Times New Roman"/>
                <w:sz w:val="20"/>
                <w:szCs w:val="20"/>
              </w:rPr>
              <w:t xml:space="preserve"> </w:t>
            </w:r>
          </w:p>
        </w:tc>
      </w:tr>
      <w:tr w:rsidR="0077352B" w:rsidRPr="0077352B" w:rsidTr="00ED3334">
        <w:trPr>
          <w:trHeight w:val="270"/>
          <w:jc w:val="center"/>
        </w:trPr>
        <w:tc>
          <w:tcPr>
            <w:tcW w:w="2835" w:type="dxa"/>
            <w:tcBorders>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Evidence-based Medicine</w:t>
            </w:r>
          </w:p>
        </w:tc>
        <w:tc>
          <w:tcPr>
            <w:tcW w:w="6096" w:type="dxa"/>
            <w:tcBorders>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Emergency Evidence Updates – January 2023 </w:t>
            </w:r>
            <w:hyperlink r:id="rId14" w:history="1">
              <w:r w:rsidRPr="0077352B">
                <w:rPr>
                  <w:rStyle w:val="Hyperlink"/>
                  <w:rFonts w:ascii="Times New Roman" w:hAnsi="Times New Roman"/>
                  <w:sz w:val="20"/>
                  <w:szCs w:val="20"/>
                </w:rPr>
                <w:t>https://www.thebottomline.org.uk/blog/emergency-evidence-updates-january-2023/</w:t>
              </w:r>
            </w:hyperlink>
            <w:r w:rsidRPr="0077352B">
              <w:rPr>
                <w:rFonts w:ascii="Times New Roman" w:hAnsi="Times New Roman" w:cs="Times New Roman"/>
                <w:sz w:val="20"/>
                <w:szCs w:val="20"/>
              </w:rPr>
              <w:t xml:space="preserve"> </w:t>
            </w:r>
          </w:p>
        </w:tc>
      </w:tr>
      <w:tr w:rsidR="0077352B" w:rsidRPr="0077352B" w:rsidTr="00ED3334">
        <w:trPr>
          <w:trHeight w:val="285"/>
          <w:jc w:val="center"/>
        </w:trPr>
        <w:tc>
          <w:tcPr>
            <w:tcW w:w="2835" w:type="dxa"/>
            <w:tcBorders>
              <w:top w:val="single" w:sz="8" w:space="0" w:color="000000"/>
              <w:right w:val="single" w:sz="8" w:space="0" w:color="000000"/>
            </w:tcBorders>
            <w:tcMar>
              <w:top w:w="0" w:type="dxa"/>
              <w:left w:w="80" w:type="dxa"/>
              <w:bottom w:w="0" w:type="dxa"/>
              <w:right w:w="80" w:type="dxa"/>
            </w:tcMar>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Bias Orientation:</w:t>
            </w:r>
          </w:p>
        </w:tc>
        <w:tc>
          <w:tcPr>
            <w:tcW w:w="6096" w:type="dxa"/>
            <w:tcBorders>
              <w:top w:val="single" w:sz="8" w:space="0" w:color="000000"/>
              <w:right w:val="nil"/>
            </w:tcBorders>
          </w:tcPr>
          <w:p w:rsidR="0077352B" w:rsidRPr="0077352B" w:rsidRDefault="0077352B" w:rsidP="00ED3334">
            <w:pPr>
              <w:rPr>
                <w:rFonts w:ascii="Times New Roman" w:hAnsi="Times New Roman" w:cs="Times New Roman"/>
                <w:sz w:val="20"/>
                <w:szCs w:val="20"/>
              </w:rPr>
            </w:pPr>
          </w:p>
        </w:tc>
      </w:tr>
      <w:tr w:rsidR="0077352B" w:rsidRPr="0077352B" w:rsidTr="00ED3334">
        <w:trPr>
          <w:trHeight w:val="270"/>
          <w:jc w:val="center"/>
        </w:trPr>
        <w:tc>
          <w:tcPr>
            <w:tcW w:w="2835" w:type="dxa"/>
            <w:tcBorders>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Objective &amp; Neutral</w:t>
            </w:r>
          </w:p>
        </w:tc>
        <w:tc>
          <w:tcPr>
            <w:tcW w:w="6096" w:type="dxa"/>
            <w:tcBorders>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“Why telehealth is a complicated option for domestic violence survivors” </w:t>
            </w:r>
            <w:hyperlink r:id="rId15" w:history="1">
              <w:r w:rsidRPr="0077352B">
                <w:rPr>
                  <w:rStyle w:val="Hyperlink"/>
                  <w:rFonts w:ascii="Times New Roman" w:hAnsi="Times New Roman"/>
                  <w:sz w:val="20"/>
                  <w:szCs w:val="20"/>
                </w:rPr>
                <w:t>https://rewire.news/article/2020/05/08/telehealth-domestic-violence/</w:t>
              </w:r>
            </w:hyperlink>
            <w:r w:rsidRPr="0077352B">
              <w:rPr>
                <w:rFonts w:ascii="Times New Roman" w:hAnsi="Times New Roman" w:cs="Times New Roman"/>
                <w:sz w:val="20"/>
                <w:szCs w:val="20"/>
              </w:rPr>
              <w:t xml:space="preserve"> </w:t>
            </w:r>
          </w:p>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lastRenderedPageBreak/>
              <w:t xml:space="preserve">“The art and science of boarding an airplane in a pandemic” </w:t>
            </w:r>
            <w:hyperlink r:id="rId16" w:history="1">
              <w:r w:rsidRPr="0077352B">
                <w:rPr>
                  <w:rStyle w:val="Hyperlink"/>
                  <w:rFonts w:ascii="Times New Roman" w:hAnsi="Times New Roman"/>
                  <w:sz w:val="20"/>
                  <w:szCs w:val="20"/>
                </w:rPr>
                <w:t>https://arstechnica.com/?p=1736971</w:t>
              </w:r>
            </w:hyperlink>
            <w:r w:rsidRPr="0077352B">
              <w:rPr>
                <w:rFonts w:ascii="Times New Roman" w:hAnsi="Times New Roman" w:cs="Times New Roman"/>
                <w:sz w:val="20"/>
                <w:szCs w:val="20"/>
              </w:rPr>
              <w:t xml:space="preserve"> </w:t>
            </w:r>
          </w:p>
        </w:tc>
      </w:tr>
      <w:tr w:rsidR="0077352B" w:rsidRPr="0077352B" w:rsidTr="00ED3334">
        <w:trPr>
          <w:trHeight w:val="270"/>
          <w:jc w:val="center"/>
        </w:trPr>
        <w:tc>
          <w:tcPr>
            <w:tcW w:w="2835" w:type="dxa"/>
            <w:tcBorders>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lastRenderedPageBreak/>
              <w:t>Advocacy &amp; Activist Framing</w:t>
            </w:r>
          </w:p>
        </w:tc>
        <w:tc>
          <w:tcPr>
            <w:tcW w:w="6096" w:type="dxa"/>
            <w:tcBorders>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“Digital tools remain key for women’s activism in Africa despite challenges” </w:t>
            </w:r>
            <w:hyperlink r:id="rId17" w:history="1">
              <w:r w:rsidRPr="0077352B">
                <w:rPr>
                  <w:rStyle w:val="Hyperlink"/>
                  <w:rFonts w:ascii="Times New Roman" w:hAnsi="Times New Roman"/>
                  <w:sz w:val="20"/>
                  <w:szCs w:val="20"/>
                </w:rPr>
                <w:t>https://blogs.lse.ac.uk/africaatlse/2022/11/16/digital-tools-remain-key-for-womens-activism-in-africa-despite-challenges/</w:t>
              </w:r>
            </w:hyperlink>
            <w:r w:rsidRPr="0077352B">
              <w:rPr>
                <w:rFonts w:ascii="Times New Roman" w:hAnsi="Times New Roman" w:cs="Times New Roman"/>
                <w:sz w:val="20"/>
                <w:szCs w:val="20"/>
              </w:rPr>
              <w:t xml:space="preserve"> </w:t>
            </w:r>
          </w:p>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“Secure land rights are now more important than ever” </w:t>
            </w:r>
            <w:hyperlink r:id="rId18" w:history="1">
              <w:r w:rsidRPr="0077352B">
                <w:rPr>
                  <w:rStyle w:val="Hyperlink"/>
                  <w:rFonts w:ascii="Times New Roman" w:hAnsi="Times New Roman"/>
                  <w:sz w:val="20"/>
                  <w:szCs w:val="20"/>
                </w:rPr>
                <w:t>https://www.iied.org/secure-land-rights-are-now-more-important-ever</w:t>
              </w:r>
            </w:hyperlink>
            <w:r w:rsidRPr="0077352B">
              <w:rPr>
                <w:rFonts w:ascii="Times New Roman" w:hAnsi="Times New Roman" w:cs="Times New Roman"/>
                <w:sz w:val="20"/>
                <w:szCs w:val="20"/>
              </w:rPr>
              <w:t xml:space="preserve"> </w:t>
            </w:r>
          </w:p>
        </w:tc>
      </w:tr>
      <w:tr w:rsidR="0077352B" w:rsidRPr="0077352B" w:rsidTr="00ED3334">
        <w:trPr>
          <w:trHeight w:val="270"/>
          <w:jc w:val="center"/>
        </w:trPr>
        <w:tc>
          <w:tcPr>
            <w:tcW w:w="2835" w:type="dxa"/>
            <w:tcBorders>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Sensationalist</w:t>
            </w:r>
          </w:p>
        </w:tc>
        <w:tc>
          <w:tcPr>
            <w:tcW w:w="6096" w:type="dxa"/>
            <w:tcBorders>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“Since Google Suppressed My Post on the CDC, School Reopening, and Aerosols, I’m Re-Posting It” </w:t>
            </w:r>
            <w:hyperlink r:id="rId19" w:history="1">
              <w:r w:rsidRPr="0077352B">
                <w:rPr>
                  <w:rStyle w:val="Hyperlink"/>
                  <w:rFonts w:ascii="Times New Roman" w:hAnsi="Times New Roman"/>
                  <w:sz w:val="20"/>
                  <w:szCs w:val="20"/>
                </w:rPr>
                <w:t>https://www.nakedcapitalism.com/2021/03/since-google-suppressed-my-post-on-the-cdc-school-reopening-and-aerosols-im-re-posting-it.html</w:t>
              </w:r>
            </w:hyperlink>
            <w:r w:rsidRPr="0077352B">
              <w:rPr>
                <w:rFonts w:ascii="Times New Roman" w:hAnsi="Times New Roman" w:cs="Times New Roman"/>
                <w:sz w:val="20"/>
                <w:szCs w:val="20"/>
              </w:rPr>
              <w:t xml:space="preserve"> </w:t>
            </w:r>
          </w:p>
        </w:tc>
      </w:tr>
      <w:tr w:rsidR="0077352B" w:rsidRPr="0077352B" w:rsidTr="00ED3334">
        <w:trPr>
          <w:trHeight w:val="270"/>
          <w:jc w:val="center"/>
        </w:trPr>
        <w:tc>
          <w:tcPr>
            <w:tcW w:w="2835" w:type="dxa"/>
            <w:tcBorders>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Political Bias</w:t>
            </w:r>
          </w:p>
        </w:tc>
        <w:tc>
          <w:tcPr>
            <w:tcW w:w="6096" w:type="dxa"/>
            <w:tcBorders>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“Austerity Raises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Deaths” </w:t>
            </w:r>
            <w:hyperlink r:id="rId20" w:history="1">
              <w:r w:rsidRPr="0077352B">
                <w:rPr>
                  <w:rStyle w:val="Hyperlink"/>
                  <w:rFonts w:ascii="Times New Roman" w:hAnsi="Times New Roman"/>
                  <w:sz w:val="20"/>
                  <w:szCs w:val="20"/>
                </w:rPr>
                <w:t>https://www.nakedcapitalism.com/2021/03/austerity-raises-covid-deaths.html</w:t>
              </w:r>
            </w:hyperlink>
            <w:r w:rsidRPr="0077352B">
              <w:rPr>
                <w:rFonts w:ascii="Times New Roman" w:hAnsi="Times New Roman" w:cs="Times New Roman"/>
                <w:sz w:val="20"/>
                <w:szCs w:val="20"/>
              </w:rPr>
              <w:t xml:space="preserve"> </w:t>
            </w:r>
          </w:p>
        </w:tc>
      </w:tr>
      <w:tr w:rsidR="0077352B" w:rsidRPr="0077352B" w:rsidTr="00ED3334">
        <w:trPr>
          <w:trHeight w:val="300"/>
          <w:jc w:val="center"/>
        </w:trPr>
        <w:tc>
          <w:tcPr>
            <w:tcW w:w="2835" w:type="dxa"/>
            <w:tcBorders>
              <w:top w:val="nil"/>
              <w:left w:val="nil"/>
              <w:bottom w:val="single" w:sz="12" w:space="0" w:color="000000"/>
              <w:right w:val="single" w:sz="8" w:space="0" w:color="000000"/>
            </w:tcBorders>
            <w:tcMar>
              <w:top w:w="0" w:type="dxa"/>
              <w:left w:w="80" w:type="dxa"/>
              <w:bottom w:w="0" w:type="dxa"/>
              <w:right w:w="80" w:type="dxa"/>
            </w:tcMar>
          </w:tcPr>
          <w:p w:rsidR="0077352B" w:rsidRPr="0077352B" w:rsidRDefault="0077352B" w:rsidP="00ED3334">
            <w:pPr>
              <w:ind w:left="204"/>
              <w:rPr>
                <w:rFonts w:ascii="Times New Roman" w:hAnsi="Times New Roman" w:cs="Times New Roman"/>
                <w:sz w:val="20"/>
                <w:szCs w:val="20"/>
              </w:rPr>
            </w:pPr>
            <w:r w:rsidRPr="0077352B">
              <w:rPr>
                <w:rFonts w:ascii="Times New Roman" w:hAnsi="Times New Roman" w:cs="Times New Roman"/>
                <w:sz w:val="20"/>
                <w:szCs w:val="20"/>
              </w:rPr>
              <w:t>Misinformation-Prone</w:t>
            </w:r>
          </w:p>
        </w:tc>
        <w:tc>
          <w:tcPr>
            <w:tcW w:w="6096" w:type="dxa"/>
            <w:tcBorders>
              <w:top w:val="nil"/>
              <w:left w:val="nil"/>
              <w:bottom w:val="single" w:sz="12" w:space="0" w:color="000000"/>
              <w:right w:val="nil"/>
            </w:tcBorders>
          </w:tcPr>
          <w:p w:rsidR="0077352B" w:rsidRPr="0077352B" w:rsidRDefault="0077352B" w:rsidP="00ED3334">
            <w:pPr>
              <w:rPr>
                <w:rFonts w:ascii="Times New Roman" w:hAnsi="Times New Roman" w:cs="Times New Roman"/>
                <w:sz w:val="20"/>
                <w:szCs w:val="20"/>
              </w:rPr>
            </w:pPr>
            <w:r w:rsidRPr="0077352B">
              <w:rPr>
                <w:rFonts w:ascii="Times New Roman" w:hAnsi="Times New Roman" w:cs="Times New Roman"/>
                <w:sz w:val="20"/>
                <w:szCs w:val="20"/>
              </w:rPr>
              <w:t xml:space="preserve">“Coronavirus: No10 accused of “institutional racism” for </w:t>
            </w:r>
            <w:proofErr w:type="spellStart"/>
            <w:r w:rsidRPr="0077352B">
              <w:rPr>
                <w:rFonts w:ascii="Times New Roman" w:hAnsi="Times New Roman" w:cs="Times New Roman"/>
                <w:sz w:val="20"/>
                <w:szCs w:val="20"/>
              </w:rPr>
              <w:t>november</w:t>
            </w:r>
            <w:proofErr w:type="spellEnd"/>
            <w:r w:rsidRPr="0077352B">
              <w:rPr>
                <w:rFonts w:ascii="Times New Roman" w:hAnsi="Times New Roman" w:cs="Times New Roman"/>
                <w:sz w:val="20"/>
                <w:szCs w:val="20"/>
              </w:rPr>
              <w:t xml:space="preserve"> lockdown sacrificing Diwali” </w:t>
            </w:r>
            <w:hyperlink r:id="rId21" w:history="1">
              <w:r w:rsidRPr="0077352B">
                <w:rPr>
                  <w:rStyle w:val="Hyperlink"/>
                  <w:rFonts w:ascii="Times New Roman" w:hAnsi="Times New Roman"/>
                  <w:sz w:val="20"/>
                  <w:szCs w:val="20"/>
                </w:rPr>
                <w:t>https://whatsnew2day.com/coronavirus-no10-accused-of-institutional-racism-for-november-lockdown-sacrificing-diwali/</w:t>
              </w:r>
            </w:hyperlink>
          </w:p>
        </w:tc>
      </w:tr>
    </w:tbl>
    <w:p w:rsidR="0077352B" w:rsidRPr="0077352B" w:rsidRDefault="0077352B" w:rsidP="0077352B">
      <w:pPr>
        <w:rPr>
          <w:rFonts w:ascii="Times New Roman" w:hAnsi="Times New Roman" w:cs="Times New Roman"/>
          <w:b/>
        </w:rPr>
      </w:pPr>
    </w:p>
    <w:p w:rsidR="0077352B" w:rsidRPr="0077352B" w:rsidRDefault="0077352B" w:rsidP="0077352B">
      <w:pPr>
        <w:rPr>
          <w:rFonts w:ascii="Times New Roman" w:hAnsi="Times New Roman" w:cs="Times New Roman"/>
          <w:b/>
          <w:iCs/>
          <w:sz w:val="20"/>
          <w:szCs w:val="18"/>
        </w:rPr>
      </w:pPr>
      <w:r w:rsidRPr="0077352B">
        <w:rPr>
          <w:rFonts w:ascii="Times New Roman" w:hAnsi="Times New Roman" w:cs="Times New Roman"/>
        </w:rPr>
        <w:br w:type="page"/>
      </w:r>
    </w:p>
    <w:p w:rsidR="0077352B" w:rsidRDefault="0077352B" w:rsidP="0077352B">
      <w:pPr>
        <w:pStyle w:val="Caption"/>
      </w:pPr>
      <w:r w:rsidRPr="0077352B">
        <w:lastRenderedPageBreak/>
        <w:t>Table S</w:t>
      </w:r>
      <w:r w:rsidRPr="0077352B">
        <w:fldChar w:fldCharType="begin"/>
      </w:r>
      <w:r w:rsidRPr="0077352B">
        <w:instrText xml:space="preserve"> SEQ Table_S \* ARABIC </w:instrText>
      </w:r>
      <w:r w:rsidRPr="0077352B">
        <w:fldChar w:fldCharType="separate"/>
      </w:r>
      <w:r w:rsidRPr="0077352B">
        <w:rPr>
          <w:noProof/>
        </w:rPr>
        <w:t>5</w:t>
      </w:r>
      <w:r w:rsidRPr="0077352B">
        <w:rPr>
          <w:noProof/>
        </w:rPr>
        <w:fldChar w:fldCharType="end"/>
      </w:r>
      <w:r w:rsidRPr="0077352B">
        <w:t>. Topic themes in Blogs mentioning scientific publications across SS&amp;H and STEM fields. (Source: Authors own work)</w:t>
      </w:r>
    </w:p>
    <w:tbl>
      <w:tblPr>
        <w:tblStyle w:val="TableGrid"/>
        <w:tblW w:w="0" w:type="auto"/>
        <w:tblLook w:val="04A0" w:firstRow="1" w:lastRow="0" w:firstColumn="1" w:lastColumn="0" w:noHBand="0" w:noVBand="1"/>
      </w:tblPr>
      <w:tblGrid>
        <w:gridCol w:w="3210"/>
        <w:gridCol w:w="3209"/>
        <w:gridCol w:w="3209"/>
      </w:tblGrid>
      <w:tr w:rsidR="00132066" w:rsidTr="00132066">
        <w:tc>
          <w:tcPr>
            <w:tcW w:w="3210" w:type="dxa"/>
          </w:tcPr>
          <w:p w:rsidR="00132066" w:rsidRPr="0077352B" w:rsidRDefault="00132066" w:rsidP="00132066">
            <w:pPr>
              <w:keepNext/>
              <w:rPr>
                <w:rFonts w:ascii="Times New Roman" w:hAnsi="Times New Roman" w:cs="Times New Roman"/>
                <w:b/>
                <w:sz w:val="20"/>
                <w:szCs w:val="20"/>
              </w:rPr>
            </w:pPr>
            <w:r w:rsidRPr="0077352B">
              <w:rPr>
                <w:rFonts w:ascii="Times New Roman" w:hAnsi="Times New Roman" w:cs="Times New Roman"/>
                <w:b/>
                <w:sz w:val="20"/>
                <w:szCs w:val="20"/>
              </w:rPr>
              <w:t>Themes</w:t>
            </w:r>
          </w:p>
        </w:tc>
        <w:tc>
          <w:tcPr>
            <w:tcW w:w="3209" w:type="dxa"/>
          </w:tcPr>
          <w:p w:rsidR="00132066" w:rsidRPr="0077352B" w:rsidRDefault="00132066" w:rsidP="00132066">
            <w:pPr>
              <w:keepNext/>
              <w:rPr>
                <w:rFonts w:ascii="Times New Roman" w:hAnsi="Times New Roman" w:cs="Times New Roman"/>
                <w:b/>
                <w:sz w:val="20"/>
                <w:szCs w:val="20"/>
              </w:rPr>
            </w:pPr>
            <w:r w:rsidRPr="0077352B">
              <w:rPr>
                <w:rFonts w:ascii="Times New Roman" w:hAnsi="Times New Roman" w:cs="Times New Roman"/>
                <w:b/>
                <w:sz w:val="20"/>
                <w:szCs w:val="20"/>
              </w:rPr>
              <w:t>STEM</w:t>
            </w:r>
          </w:p>
        </w:tc>
        <w:tc>
          <w:tcPr>
            <w:tcW w:w="3209" w:type="dxa"/>
          </w:tcPr>
          <w:p w:rsidR="00132066" w:rsidRPr="0077352B" w:rsidRDefault="00132066" w:rsidP="00132066">
            <w:pPr>
              <w:keepNext/>
              <w:rPr>
                <w:rFonts w:ascii="Times New Roman" w:hAnsi="Times New Roman" w:cs="Times New Roman"/>
                <w:b/>
                <w:sz w:val="20"/>
                <w:szCs w:val="20"/>
              </w:rPr>
            </w:pPr>
            <w:r w:rsidRPr="0077352B">
              <w:rPr>
                <w:rFonts w:ascii="Times New Roman" w:hAnsi="Times New Roman" w:cs="Times New Roman"/>
                <w:b/>
                <w:sz w:val="20"/>
                <w:szCs w:val="20"/>
              </w:rPr>
              <w:t>SS&amp;H</w:t>
            </w:r>
          </w:p>
        </w:tc>
      </w:tr>
      <w:tr w:rsidR="00132066" w:rsidTr="00132066">
        <w:tc>
          <w:tcPr>
            <w:tcW w:w="3210"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COVID-19 Specific</w:t>
            </w:r>
          </w:p>
        </w:tc>
        <w:tc>
          <w:tcPr>
            <w:tcW w:w="3209"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self-made masks, harms of masks, spreading of coronavirus at workplaces, in different events and different countries, traveling guidelines for vaccinated people, willingness to take vaccine, anti-</w:t>
            </w:r>
            <w:proofErr w:type="spellStart"/>
            <w:r w:rsidRPr="0077352B">
              <w:rPr>
                <w:rFonts w:ascii="Times New Roman" w:hAnsi="Times New Roman" w:cs="Times New Roman"/>
                <w:sz w:val="20"/>
                <w:szCs w:val="20"/>
              </w:rPr>
              <w:t>vacciners</w:t>
            </w:r>
            <w:proofErr w:type="spellEnd"/>
            <w:r w:rsidRPr="0077352B">
              <w:rPr>
                <w:rFonts w:ascii="Times New Roman" w:hAnsi="Times New Roman" w:cs="Times New Roman"/>
                <w:sz w:val="20"/>
                <w:szCs w:val="20"/>
              </w:rPr>
              <w:t>’ claims, contact tracing challenges, special pandemic issue announcements</w:t>
            </w:r>
          </w:p>
        </w:tc>
        <w:tc>
          <w:tcPr>
            <w:tcW w:w="3209"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 xml:space="preserve">social representations during pandemic, vaccine hesitancy, vaccination schedules, mask policies, pandemic era, pandemic policies (in different countries), pandemic restrictions, effects of lockdowns, airplane boarding during pandemic, response to Covid-19 in different countries, communication about coronavirus, comparison of pandemic and plague,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conspiracy theories,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language, covid-19 scams, trust and vaccine intention, cultural differences in crisis management, pandemic healthcare in different countries, effect of pandemic in different careers, crisis leadership,  vaccine distribution, vaccine boosters,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statistics</w:t>
            </w:r>
          </w:p>
        </w:tc>
      </w:tr>
      <w:tr w:rsidR="00132066" w:rsidTr="00132066">
        <w:tc>
          <w:tcPr>
            <w:tcW w:w="3210"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Health &amp; Medical Research</w:t>
            </w:r>
          </w:p>
        </w:tc>
        <w:tc>
          <w:tcPr>
            <w:tcW w:w="3209"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 xml:space="preserve">vaccine risks,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deaths, vaccine trials, omicron variant, effect of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on kidneys,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in flu season, smell test for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stroke care, clinical trials on dietary supplements,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infection, vaccine (complications, doses, effectiveness, for older people, in MS patients, trial results), coronavirus detection from air, in tissues after death, transmission on domestic animals,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and gut microbiome,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immunity</w:t>
            </w:r>
          </w:p>
        </w:tc>
        <w:tc>
          <w:tcPr>
            <w:tcW w:w="3209"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 xml:space="preserve">antibacterial resistance, countries healthcare system, online health care services, global health, evidence-based policy, transmission of coronavirus, parasites and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effects of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vaccination, impacts of omicron variant, palliative care in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context,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vaccine safety</w:t>
            </w:r>
          </w:p>
        </w:tc>
      </w:tr>
      <w:tr w:rsidR="00132066" w:rsidTr="00132066">
        <w:tc>
          <w:tcPr>
            <w:tcW w:w="3210"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General Interest &amp; Media</w:t>
            </w:r>
          </w:p>
        </w:tc>
        <w:tc>
          <w:tcPr>
            <w:tcW w:w="3209"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most read articles, advertisements about music and musicians, latest coronavirus news,</w:t>
            </w:r>
          </w:p>
        </w:tc>
        <w:tc>
          <w:tcPr>
            <w:tcW w:w="3209"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 xml:space="preserve">comics, cheating in media,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discourses in newspapers, (recorder, musical instruments etc.) advertisements, rumours during the pandemic</w:t>
            </w:r>
          </w:p>
        </w:tc>
      </w:tr>
      <w:tr w:rsidR="00132066" w:rsidTr="00132066">
        <w:tc>
          <w:tcPr>
            <w:tcW w:w="3210"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Environment</w:t>
            </w:r>
          </w:p>
        </w:tc>
        <w:tc>
          <w:tcPr>
            <w:tcW w:w="3209"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 xml:space="preserve">climate change, pollution and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in bats, secondary organic aerosols, ocean acidification effects in sharks, wastewater research, emergence of life on earth,</w:t>
            </w:r>
          </w:p>
        </w:tc>
        <w:tc>
          <w:tcPr>
            <w:tcW w:w="3209"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natural resources, GMO products, food waste, benefits of gardening, agrobiodiversity, exoplanets, energy system transformation, clean tech, contract farming</w:t>
            </w:r>
          </w:p>
        </w:tc>
      </w:tr>
      <w:tr w:rsidR="00132066" w:rsidTr="00132066">
        <w:tc>
          <w:tcPr>
            <w:tcW w:w="3210"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Academic &amp; Scholarly</w:t>
            </w:r>
          </w:p>
        </w:tc>
        <w:tc>
          <w:tcPr>
            <w:tcW w:w="3209"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 xml:space="preserve">retracted articles, review of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trials, vaccine research, research ethics, ethical evaluation of vaccine development, latest articles on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genome sequencing, organoids, genes, microbiome</w:t>
            </w:r>
          </w:p>
        </w:tc>
        <w:tc>
          <w:tcPr>
            <w:tcW w:w="3209"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trust in scientists, impact of the pandemic on higher education, science communications, open science, academic Twitter communities, retracted papers, journal article abstracts, journal introduction, journal special issues, current articles, latest publications, candidates for journal article prize</w:t>
            </w:r>
          </w:p>
        </w:tc>
      </w:tr>
      <w:tr w:rsidR="00132066" w:rsidTr="00132066">
        <w:tc>
          <w:tcPr>
            <w:tcW w:w="3210"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Social &amp; Cultural Studies</w:t>
            </w:r>
          </w:p>
        </w:tc>
        <w:tc>
          <w:tcPr>
            <w:tcW w:w="3209"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race and ethnicity</w:t>
            </w:r>
          </w:p>
        </w:tc>
        <w:tc>
          <w:tcPr>
            <w:tcW w:w="3209" w:type="dxa"/>
          </w:tcPr>
          <w:p w:rsidR="00132066" w:rsidRPr="0077352B" w:rsidRDefault="00132066" w:rsidP="00132066">
            <w:pPr>
              <w:keepNext/>
              <w:rPr>
                <w:rFonts w:ascii="Times New Roman" w:hAnsi="Times New Roman" w:cs="Times New Roman"/>
                <w:sz w:val="20"/>
                <w:szCs w:val="20"/>
              </w:rPr>
            </w:pPr>
            <w:r w:rsidRPr="0077352B">
              <w:rPr>
                <w:rFonts w:ascii="Times New Roman" w:hAnsi="Times New Roman" w:cs="Times New Roman"/>
                <w:sz w:val="20"/>
                <w:szCs w:val="20"/>
              </w:rPr>
              <w:t>Medieval France, urban planning, medical anthropology, social stigma, social support discussion, authoritarian views</w:t>
            </w:r>
          </w:p>
        </w:tc>
      </w:tr>
    </w:tbl>
    <w:p w:rsidR="00132066" w:rsidRPr="00132066" w:rsidRDefault="00132066" w:rsidP="00132066">
      <w:pPr>
        <w:rPr>
          <w:lang w:eastAsia="sv-SE"/>
        </w:rPr>
      </w:pPr>
    </w:p>
    <w:tbl>
      <w:tblPr>
        <w:tblW w:w="9060" w:type="dxa"/>
        <w:tblBorders>
          <w:top w:val="nil"/>
          <w:left w:val="nil"/>
          <w:bottom w:val="nil"/>
          <w:right w:val="nil"/>
          <w:insideH w:val="nil"/>
          <w:insideV w:val="nil"/>
        </w:tblBorders>
        <w:tblLayout w:type="fixed"/>
        <w:tblLook w:val="0600" w:firstRow="0" w:lastRow="0" w:firstColumn="0" w:lastColumn="0" w:noHBand="1" w:noVBand="1"/>
      </w:tblPr>
      <w:tblGrid>
        <w:gridCol w:w="1890"/>
        <w:gridCol w:w="2880"/>
        <w:gridCol w:w="4290"/>
      </w:tblGrid>
      <w:tr w:rsidR="0077352B" w:rsidRPr="0077352B" w:rsidTr="00ED3334">
        <w:trPr>
          <w:trHeight w:val="320"/>
          <w:tblHeader/>
        </w:trPr>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b/>
                <w:sz w:val="20"/>
                <w:szCs w:val="20"/>
              </w:rPr>
            </w:pPr>
            <w:bookmarkStart w:id="1" w:name="_GoBack"/>
            <w:bookmarkEnd w:id="1"/>
            <w:r w:rsidRPr="0077352B">
              <w:rPr>
                <w:rFonts w:ascii="Times New Roman" w:hAnsi="Times New Roman" w:cs="Times New Roman"/>
                <w:b/>
                <w:sz w:val="20"/>
                <w:szCs w:val="20"/>
              </w:rPr>
              <w:lastRenderedPageBreak/>
              <w:t>Themes</w:t>
            </w:r>
          </w:p>
        </w:tc>
        <w:tc>
          <w:tcPr>
            <w:tcW w:w="288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b/>
                <w:sz w:val="20"/>
                <w:szCs w:val="20"/>
              </w:rPr>
            </w:pPr>
            <w:r w:rsidRPr="0077352B">
              <w:rPr>
                <w:rFonts w:ascii="Times New Roman" w:hAnsi="Times New Roman" w:cs="Times New Roman"/>
                <w:b/>
                <w:sz w:val="20"/>
                <w:szCs w:val="20"/>
              </w:rPr>
              <w:t>STEM</w:t>
            </w:r>
          </w:p>
        </w:tc>
        <w:tc>
          <w:tcPr>
            <w:tcW w:w="429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b/>
                <w:sz w:val="20"/>
                <w:szCs w:val="20"/>
              </w:rPr>
            </w:pPr>
            <w:r w:rsidRPr="0077352B">
              <w:rPr>
                <w:rFonts w:ascii="Times New Roman" w:hAnsi="Times New Roman" w:cs="Times New Roman"/>
                <w:b/>
                <w:sz w:val="20"/>
                <w:szCs w:val="20"/>
              </w:rPr>
              <w:t>SS&amp;H</w:t>
            </w:r>
          </w:p>
        </w:tc>
      </w:tr>
      <w:tr w:rsidR="0077352B" w:rsidRPr="0077352B" w:rsidTr="00ED3334">
        <w:trPr>
          <w:trHeight w:val="1005"/>
        </w:trPr>
        <w:tc>
          <w:tcPr>
            <w:tcW w:w="189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Technology &amp; Innovation</w:t>
            </w:r>
          </w:p>
        </w:tc>
        <w:tc>
          <w:tcPr>
            <w:tcW w:w="288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 xml:space="preserve">telehealth, medical innovations, detecting coronavirus from wastewater, </w:t>
            </w:r>
            <w:proofErr w:type="spellStart"/>
            <w:r w:rsidRPr="0077352B">
              <w:rPr>
                <w:rFonts w:ascii="Times New Roman" w:hAnsi="Times New Roman" w:cs="Times New Roman"/>
                <w:sz w:val="20"/>
                <w:szCs w:val="20"/>
              </w:rPr>
              <w:t>biofoundries</w:t>
            </w:r>
            <w:proofErr w:type="spellEnd"/>
            <w:r w:rsidRPr="0077352B">
              <w:rPr>
                <w:rFonts w:ascii="Times New Roman" w:hAnsi="Times New Roman" w:cs="Times New Roman"/>
                <w:sz w:val="20"/>
                <w:szCs w:val="20"/>
              </w:rPr>
              <w:t xml:space="preserve"> in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testing, neutron scattering, photometrics, image segmentation, digital contact tracing</w:t>
            </w:r>
          </w:p>
        </w:tc>
        <w:tc>
          <w:tcPr>
            <w:tcW w:w="429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machine learning in decision making, open source projects, genetic information in crime investigation, social media use, virtual reality porn, augmented reality in teaching, chatbots in customer service, customers views on algorithms</w:t>
            </w:r>
          </w:p>
        </w:tc>
      </w:tr>
      <w:tr w:rsidR="0077352B" w:rsidRPr="0077352B" w:rsidTr="00ED3334">
        <w:trPr>
          <w:trHeight w:val="1005"/>
        </w:trPr>
        <w:tc>
          <w:tcPr>
            <w:tcW w:w="189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Social Issues &amp; Advocacy</w:t>
            </w:r>
          </w:p>
        </w:tc>
        <w:tc>
          <w:tcPr>
            <w:tcW w:w="288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vaccine criticism, vaccine hesitancy among minorities, prisons during pandemic</w:t>
            </w:r>
          </w:p>
        </w:tc>
        <w:tc>
          <w:tcPr>
            <w:tcW w:w="429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law, health law, health inequalities, consumer views of scientific claims, social inclusion during the pandemic, questioning official stories, gender roles during remote work, immigration policies, racial diversity of doctors, small communities, trust in institutions, abuse victims, neoliberalism, design of public services, female leadership, healthcare professionals’ antiracism training, ableism in higher education, vaccine policy critics, pandemic disinformation</w:t>
            </w:r>
          </w:p>
        </w:tc>
      </w:tr>
      <w:tr w:rsidR="0077352B" w:rsidRPr="0077352B" w:rsidTr="00ED3334">
        <w:trPr>
          <w:trHeight w:val="1005"/>
        </w:trPr>
        <w:tc>
          <w:tcPr>
            <w:tcW w:w="189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Children &amp; Family</w:t>
            </w:r>
          </w:p>
        </w:tc>
        <w:tc>
          <w:tcPr>
            <w:tcW w:w="288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 xml:space="preserve">vaccine benefits for children and adolescents, vaccine trials for children, children and young people in intensive care, children's immunity to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coronavirus and pregnancy</w:t>
            </w:r>
          </w:p>
        </w:tc>
        <w:tc>
          <w:tcPr>
            <w:tcW w:w="429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 xml:space="preserve">effects of pandemic </w:t>
            </w:r>
            <w:proofErr w:type="gramStart"/>
            <w:r w:rsidRPr="0077352B">
              <w:rPr>
                <w:rFonts w:ascii="Times New Roman" w:hAnsi="Times New Roman" w:cs="Times New Roman"/>
                <w:sz w:val="20"/>
                <w:szCs w:val="20"/>
              </w:rPr>
              <w:t>on  youth</w:t>
            </w:r>
            <w:proofErr w:type="gramEnd"/>
            <w:r w:rsidRPr="0077352B">
              <w:rPr>
                <w:rFonts w:ascii="Times New Roman" w:hAnsi="Times New Roman" w:cs="Times New Roman"/>
                <w:sz w:val="20"/>
                <w:szCs w:val="20"/>
              </w:rPr>
              <w:t xml:space="preserve">, mothers' mental load, parents' wellbeing, adolescents' </w:t>
            </w:r>
            <w:proofErr w:type="spellStart"/>
            <w:r w:rsidRPr="0077352B">
              <w:rPr>
                <w:rFonts w:ascii="Times New Roman" w:hAnsi="Times New Roman" w:cs="Times New Roman"/>
                <w:sz w:val="20"/>
                <w:szCs w:val="20"/>
              </w:rPr>
              <w:t>prosociality</w:t>
            </w:r>
            <w:proofErr w:type="spellEnd"/>
            <w:r w:rsidRPr="0077352B">
              <w:rPr>
                <w:rFonts w:ascii="Times New Roman" w:hAnsi="Times New Roman" w:cs="Times New Roman"/>
                <w:sz w:val="20"/>
                <w:szCs w:val="20"/>
              </w:rPr>
              <w:t xml:space="preserve">, child abuse, working mothers, vaccine trials for children, improving school-family communication, children during lockdowns, </w:t>
            </w:r>
            <w:proofErr w:type="spellStart"/>
            <w:r w:rsidRPr="0077352B">
              <w:rPr>
                <w:rFonts w:ascii="Times New Roman" w:hAnsi="Times New Roman" w:cs="Times New Roman"/>
                <w:sz w:val="20"/>
                <w:szCs w:val="20"/>
              </w:rPr>
              <w:t>childrens</w:t>
            </w:r>
            <w:proofErr w:type="spellEnd"/>
            <w:r w:rsidRPr="0077352B">
              <w:rPr>
                <w:rFonts w:ascii="Times New Roman" w:hAnsi="Times New Roman" w:cs="Times New Roman"/>
                <w:sz w:val="20"/>
                <w:szCs w:val="20"/>
              </w:rPr>
              <w:t xml:space="preserve"> living arrangements</w:t>
            </w:r>
          </w:p>
        </w:tc>
      </w:tr>
      <w:tr w:rsidR="0077352B" w:rsidRPr="0077352B" w:rsidTr="00ED3334">
        <w:trPr>
          <w:trHeight w:val="1005"/>
        </w:trPr>
        <w:tc>
          <w:tcPr>
            <w:tcW w:w="189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Education</w:t>
            </w:r>
          </w:p>
        </w:tc>
        <w:tc>
          <w:tcPr>
            <w:tcW w:w="288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 xml:space="preserve">school reopening,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policy for children</w:t>
            </w:r>
          </w:p>
        </w:tc>
        <w:tc>
          <w:tcPr>
            <w:tcW w:w="429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 xml:space="preserve">tourism students, </w:t>
            </w:r>
            <w:proofErr w:type="gramStart"/>
            <w:r w:rsidRPr="0077352B">
              <w:rPr>
                <w:rFonts w:ascii="Times New Roman" w:hAnsi="Times New Roman" w:cs="Times New Roman"/>
                <w:sz w:val="20"/>
                <w:szCs w:val="20"/>
              </w:rPr>
              <w:t>students</w:t>
            </w:r>
            <w:proofErr w:type="gramEnd"/>
            <w:r w:rsidRPr="0077352B">
              <w:rPr>
                <w:rFonts w:ascii="Times New Roman" w:hAnsi="Times New Roman" w:cs="Times New Roman"/>
                <w:sz w:val="20"/>
                <w:szCs w:val="20"/>
              </w:rPr>
              <w:t xml:space="preserve"> cognitive skills, school interventions during pandemic, student support, teaching intervention, mask use at school, pandemic and student life, education in different countries, effects of pandemic in school children, students' learning challenges, helping students to graduate,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effects on education, criticisms on digital schooling, teacher wellbeing, teachers' anxiety, remote education, augmented reality in teaching, teacher education during pandemic</w:t>
            </w:r>
          </w:p>
        </w:tc>
      </w:tr>
      <w:tr w:rsidR="0077352B" w:rsidRPr="0077352B" w:rsidTr="00ED3334">
        <w:trPr>
          <w:trHeight w:val="1005"/>
        </w:trPr>
        <w:tc>
          <w:tcPr>
            <w:tcW w:w="189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Psychology</w:t>
            </w:r>
          </w:p>
        </w:tc>
        <w:tc>
          <w:tcPr>
            <w:tcW w:w="288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 xml:space="preserve">long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opioid deaths, autoimmune reaction, coping with stress</w:t>
            </w:r>
          </w:p>
        </w:tc>
        <w:tc>
          <w:tcPr>
            <w:tcW w:w="429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 xml:space="preserve">social influence, illusory perception, perceptions of contagion, perceptions of time during pandemic, paranoia, zombies, mental health, long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effects on brain, mental health-related crimes during pandemic, sociopathy and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regulations, prosocial </w:t>
            </w:r>
            <w:proofErr w:type="spellStart"/>
            <w:r w:rsidRPr="0077352B">
              <w:rPr>
                <w:rFonts w:ascii="Times New Roman" w:hAnsi="Times New Roman" w:cs="Times New Roman"/>
                <w:sz w:val="20"/>
                <w:szCs w:val="20"/>
              </w:rPr>
              <w:t>behavior</w:t>
            </w:r>
            <w:proofErr w:type="spellEnd"/>
            <w:r w:rsidRPr="0077352B">
              <w:rPr>
                <w:rFonts w:ascii="Times New Roman" w:hAnsi="Times New Roman" w:cs="Times New Roman"/>
                <w:sz w:val="20"/>
                <w:szCs w:val="20"/>
              </w:rPr>
              <w:t xml:space="preserve"> during pandemic, moral distress of healthcare workers, pandemic behaviour, care work at home, learning inequalities, media psychology, questioning rapid-onset gender dysphoria (ROGD), domestic violence and victim help, animated pornography, life course research, stress and obesity during pandemic, dreams during the pandemic, crisis as mass hysteria, nostalgia, reasons for getting bored, relationships, effect of memes in mental wellbeing, interpersonal trust</w:t>
            </w:r>
          </w:p>
        </w:tc>
      </w:tr>
      <w:tr w:rsidR="0077352B" w:rsidRPr="0077352B" w:rsidTr="00ED3334">
        <w:trPr>
          <w:trHeight w:val="2955"/>
        </w:trPr>
        <w:tc>
          <w:tcPr>
            <w:tcW w:w="189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lastRenderedPageBreak/>
              <w:t>Business &amp; Economic Impacts</w:t>
            </w:r>
          </w:p>
        </w:tc>
        <w:tc>
          <w:tcPr>
            <w:tcW w:w="288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 xml:space="preserve">effect of vaccine certificate to vaccine uptake,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policies</w:t>
            </w:r>
          </w:p>
        </w:tc>
        <w:tc>
          <w:tcPr>
            <w:tcW w:w="429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 xml:space="preserve">small and medium businesses, supply chains, tax policies, vaccination patents, value per statistical life, pay rises, car industry, crisis of global economy, food supply chains, decision making, food insecurity, public economy of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and economics, economics of vaccination, effects of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on labour market, </w:t>
            </w:r>
            <w:proofErr w:type="spellStart"/>
            <w:r w:rsidRPr="0077352B">
              <w:rPr>
                <w:rFonts w:ascii="Times New Roman" w:hAnsi="Times New Roman" w:cs="Times New Roman"/>
                <w:sz w:val="20"/>
                <w:szCs w:val="20"/>
              </w:rPr>
              <w:t>covid</w:t>
            </w:r>
            <w:proofErr w:type="spellEnd"/>
            <w:r w:rsidRPr="0077352B">
              <w:rPr>
                <w:rFonts w:ascii="Times New Roman" w:hAnsi="Times New Roman" w:cs="Times New Roman"/>
                <w:sz w:val="20"/>
                <w:szCs w:val="20"/>
              </w:rPr>
              <w:t xml:space="preserve"> relief funding, corona recovery fund, corporate managers during pandemic</w:t>
            </w:r>
          </w:p>
        </w:tc>
      </w:tr>
      <w:tr w:rsidR="0077352B" w:rsidRPr="0077352B" w:rsidTr="00ED3334">
        <w:trPr>
          <w:trHeight w:val="1005"/>
        </w:trPr>
        <w:tc>
          <w:tcPr>
            <w:tcW w:w="189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Lifestyle &amp; Personal Wellbeing</w:t>
            </w:r>
          </w:p>
        </w:tc>
        <w:tc>
          <w:tcPr>
            <w:tcW w:w="288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mouth washes, dental care during pandemic, consumers’ food choices</w:t>
            </w:r>
          </w:p>
        </w:tc>
        <w:tc>
          <w:tcPr>
            <w:tcW w:w="4290" w:type="dxa"/>
            <w:tcBorders>
              <w:top w:val="nil"/>
              <w:left w:val="nil"/>
              <w:bottom w:val="single" w:sz="8" w:space="0" w:color="000000"/>
              <w:right w:val="single" w:sz="8" w:space="0" w:color="000000"/>
            </w:tcBorders>
            <w:tcMar>
              <w:top w:w="0" w:type="dxa"/>
              <w:left w:w="100" w:type="dxa"/>
              <w:bottom w:w="0" w:type="dxa"/>
              <w:right w:w="100" w:type="dxa"/>
            </w:tcMar>
          </w:tcPr>
          <w:p w:rsidR="0077352B" w:rsidRPr="0077352B" w:rsidRDefault="0077352B" w:rsidP="00ED3334">
            <w:pPr>
              <w:keepNext/>
              <w:rPr>
                <w:rFonts w:ascii="Times New Roman" w:hAnsi="Times New Roman" w:cs="Times New Roman"/>
                <w:sz w:val="20"/>
                <w:szCs w:val="20"/>
              </w:rPr>
            </w:pPr>
            <w:r w:rsidRPr="0077352B">
              <w:rPr>
                <w:rFonts w:ascii="Times New Roman" w:hAnsi="Times New Roman" w:cs="Times New Roman"/>
                <w:sz w:val="20"/>
                <w:szCs w:val="20"/>
              </w:rPr>
              <w:t>art therapy, gig workers, commuting to work, consumption of shared products, food consumption, emergency food programme, farmer markets during pandemic, dairy use, home organizing, health care needs of older adults, traveling with cruise ships, luxury brand consumption, monetization on gaming streams, Electronic Press Kit</w:t>
            </w:r>
          </w:p>
        </w:tc>
      </w:tr>
    </w:tbl>
    <w:p w:rsidR="0077352B" w:rsidRPr="0077352B" w:rsidRDefault="0077352B" w:rsidP="0077352B">
      <w:pPr>
        <w:keepNext/>
        <w:rPr>
          <w:rFonts w:ascii="Times New Roman" w:hAnsi="Times New Roman" w:cs="Times New Roman"/>
        </w:rPr>
      </w:pPr>
    </w:p>
    <w:p w:rsidR="001979A7" w:rsidRPr="0077352B" w:rsidRDefault="001979A7" w:rsidP="001979A7">
      <w:pPr>
        <w:rPr>
          <w:rFonts w:ascii="Times New Roman" w:hAnsi="Times New Roman" w:cs="Times New Roman"/>
        </w:rPr>
      </w:pPr>
    </w:p>
    <w:sectPr w:rsidR="001979A7" w:rsidRPr="0077352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A7"/>
    <w:rsid w:val="00132066"/>
    <w:rsid w:val="0016798D"/>
    <w:rsid w:val="001979A7"/>
    <w:rsid w:val="001A0A51"/>
    <w:rsid w:val="00752692"/>
    <w:rsid w:val="0077352B"/>
    <w:rsid w:val="00797100"/>
    <w:rsid w:val="008C2C50"/>
    <w:rsid w:val="00D553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621C"/>
  <w15:chartTrackingRefBased/>
  <w15:docId w15:val="{02E1F26E-3B26-4641-AD33-3FF320CD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79A7"/>
    <w:rPr>
      <w:b/>
      <w:bCs/>
    </w:rPr>
  </w:style>
  <w:style w:type="character" w:styleId="Hyperlink">
    <w:name w:val="Hyperlink"/>
    <w:uiPriority w:val="99"/>
    <w:rsid w:val="0077352B"/>
    <w:rPr>
      <w:rFonts w:cs="Times New Roman"/>
      <w:color w:val="0000FF"/>
      <w:u w:val="single"/>
    </w:rPr>
  </w:style>
  <w:style w:type="paragraph" w:styleId="Caption">
    <w:name w:val="caption"/>
    <w:basedOn w:val="Normal"/>
    <w:next w:val="Normal"/>
    <w:autoRedefine/>
    <w:uiPriority w:val="35"/>
    <w:unhideWhenUsed/>
    <w:qFormat/>
    <w:rsid w:val="0077352B"/>
    <w:pPr>
      <w:spacing w:after="0" w:line="240" w:lineRule="auto"/>
    </w:pPr>
    <w:rPr>
      <w:rFonts w:ascii="Times New Roman" w:eastAsia="Times New Roman" w:hAnsi="Times New Roman" w:cs="Times New Roman"/>
      <w:b/>
      <w:iCs/>
      <w:sz w:val="20"/>
      <w:szCs w:val="18"/>
      <w:lang w:eastAsia="sv-SE"/>
    </w:rPr>
  </w:style>
  <w:style w:type="table" w:styleId="TableGridLight">
    <w:name w:val="Grid Table Light"/>
    <w:basedOn w:val="TableNormal"/>
    <w:uiPriority w:val="40"/>
    <w:rsid w:val="0077352B"/>
    <w:pPr>
      <w:spacing w:after="0" w:line="240" w:lineRule="auto"/>
      <w:jc w:val="both"/>
    </w:pPr>
    <w:rPr>
      <w:rFonts w:ascii="Times New Roman" w:eastAsia="Times New Roman" w:hAnsi="Times New Roman" w:cs="Times New Roman"/>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77352B"/>
    <w:rPr>
      <w:i/>
      <w:iCs/>
    </w:rPr>
  </w:style>
  <w:style w:type="table" w:styleId="TableGrid">
    <w:name w:val="Table Grid"/>
    <w:basedOn w:val="TableNormal"/>
    <w:uiPriority w:val="39"/>
    <w:rsid w:val="0013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ractionwatch.com/2020/09/12/weekend-reads-questions-about-russian-covid-19-vaccine-data-a-p-value-pledge-why-one-author-removed-her-name-from-a-paper/" TargetMode="External"/><Relationship Id="rId13" Type="http://schemas.openxmlformats.org/officeDocument/2006/relationships/hyperlink" Target="https://sciencebasedmedicine.org/no-covid-19-casedemic/" TargetMode="External"/><Relationship Id="rId18" Type="http://schemas.openxmlformats.org/officeDocument/2006/relationships/hyperlink" Target="https://www.iied.org/secure-land-rights-are-now-more-important-ever" TargetMode="External"/><Relationship Id="rId3" Type="http://schemas.openxmlformats.org/officeDocument/2006/relationships/webSettings" Target="webSettings.xml"/><Relationship Id="rId21" Type="http://schemas.openxmlformats.org/officeDocument/2006/relationships/hyperlink" Target="https://whatsnew2day.com/coronavirus-no10-accused-of-institutional-racism-for-november-lockdown-sacrificing-diwali/" TargetMode="External"/><Relationship Id="rId7" Type="http://schemas.openxmlformats.org/officeDocument/2006/relationships/hyperlink" Target="https://blogs.bmj.com/bmj/2020/03/11/whos-confusing-guidance-masks-covid-19-epidemic/" TargetMode="External"/><Relationship Id="rId12" Type="http://schemas.openxmlformats.org/officeDocument/2006/relationships/hyperlink" Target="https://www.kolabtree.com/blog/atypical-signs-symptoms-and-testing-methods-of-covid-19/" TargetMode="External"/><Relationship Id="rId17" Type="http://schemas.openxmlformats.org/officeDocument/2006/relationships/hyperlink" Target="https://blogs.lse.ac.uk/africaatlse/2022/11/16/digital-tools-remain-key-for-womens-activism-in-africa-despite-challenges/" TargetMode="External"/><Relationship Id="rId2" Type="http://schemas.openxmlformats.org/officeDocument/2006/relationships/settings" Target="settings.xml"/><Relationship Id="rId16" Type="http://schemas.openxmlformats.org/officeDocument/2006/relationships/hyperlink" Target="https://arstechnica.com/?p=1736971" TargetMode="External"/><Relationship Id="rId20" Type="http://schemas.openxmlformats.org/officeDocument/2006/relationships/hyperlink" Target="https://www.nakedcapitalism.com/2021/03/austerity-raises-covid-deaths.html" TargetMode="External"/><Relationship Id="rId1" Type="http://schemas.openxmlformats.org/officeDocument/2006/relationships/styles" Target="styles.xml"/><Relationship Id="rId6" Type="http://schemas.openxmlformats.org/officeDocument/2006/relationships/hyperlink" Target="https://jphmpdirect.com/local-public-health-professionals-report-five-lessons-learned-during-the-covid-pandemic-the-results-of-guided-reflection/" TargetMode="External"/><Relationship Id="rId11" Type="http://schemas.openxmlformats.org/officeDocument/2006/relationships/hyperlink" Target="https://conscienhealth.org/2020/10/un-fake-news-deaths-up-by-20-percent/" TargetMode="External"/><Relationship Id="rId5" Type="http://schemas.openxmlformats.org/officeDocument/2006/relationships/hyperlink" Target="https://statmodeling.stat.columbia.edu/2020/05/24/doubts-about-that-article-claiming-that-hydroxychloroquine-chloroquine-is-killing-people/" TargetMode="External"/><Relationship Id="rId15" Type="http://schemas.openxmlformats.org/officeDocument/2006/relationships/hyperlink" Target="https://rewire.news/article/2020/05/08/telehealth-domestic-violence/" TargetMode="External"/><Relationship Id="rId23" Type="http://schemas.openxmlformats.org/officeDocument/2006/relationships/theme" Target="theme/theme1.xml"/><Relationship Id="rId10" Type="http://schemas.openxmlformats.org/officeDocument/2006/relationships/hyperlink" Target="https://www.theregreview.org/2020/08/05/robinson-covid-19-uncertainties-value-statistical-life/" TargetMode="External"/><Relationship Id="rId19" Type="http://schemas.openxmlformats.org/officeDocument/2006/relationships/hyperlink" Target="https://www.nakedcapitalism.com/2021/03/since-google-suppressed-my-post-on-the-cdc-school-reopening-and-aerosols-im-re-posting-it.html" TargetMode="External"/><Relationship Id="rId4" Type="http://schemas.openxmlformats.org/officeDocument/2006/relationships/hyperlink" Target="http://systems-signals.blogspot.com/2023/01/can-misinformation-really-impact.html" TargetMode="External"/><Relationship Id="rId9" Type="http://schemas.openxmlformats.org/officeDocument/2006/relationships/hyperlink" Target="https://www.buzzfeednews.com/article/elaminabdelmahmoud/parenting-dads-gender-gap" TargetMode="External"/><Relationship Id="rId14" Type="http://schemas.openxmlformats.org/officeDocument/2006/relationships/hyperlink" Target="https://www.thebottomline.org.uk/blog/emergency-evidence-updates-january-20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3185</Words>
  <Characters>18155</Characters>
  <Application>Microsoft Office Word</Application>
  <DocSecurity>0</DocSecurity>
  <Lines>151</Lines>
  <Paragraphs>42</Paragraphs>
  <ScaleCrop>false</ScaleCrop>
  <Company>University of Turku</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2025-09-23T07:23:00Z</dcterms:created>
  <dcterms:modified xsi:type="dcterms:W3CDTF">2025-09-23T07:29:00Z</dcterms:modified>
</cp:coreProperties>
</file>