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9B89D" w14:textId="77777777" w:rsidR="008B1809" w:rsidRPr="00D33A30" w:rsidRDefault="008B1809" w:rsidP="008B1809">
      <w:pPr>
        <w:spacing w:line="360" w:lineRule="auto"/>
        <w:rPr>
          <w:rFonts w:ascii="Times New Roman" w:eastAsia="SimSun" w:hAnsi="Times New Roman" w:cs="Times New Roman"/>
          <w:b/>
          <w:sz w:val="22"/>
        </w:rPr>
      </w:pPr>
      <w:r w:rsidRPr="00D33A30">
        <w:rPr>
          <w:rFonts w:ascii="Times New Roman" w:eastAsia="SimSun" w:hAnsi="Times New Roman" w:cs="Times New Roman" w:hint="eastAsia"/>
          <w:b/>
          <w:sz w:val="22"/>
        </w:rPr>
        <w:t>Appendix</w:t>
      </w:r>
    </w:p>
    <w:p w14:paraId="077C4ED5" w14:textId="77777777" w:rsidR="008B1809" w:rsidRPr="00D33A30" w:rsidRDefault="008B1809" w:rsidP="008B1809">
      <w:pPr>
        <w:spacing w:line="360" w:lineRule="auto"/>
        <w:ind w:firstLineChars="200" w:firstLine="440"/>
        <w:rPr>
          <w:rFonts w:ascii="Times New Roman" w:eastAsia="SimSun" w:hAnsi="Times New Roman" w:cs="Times New Roman"/>
          <w:sz w:val="22"/>
        </w:rPr>
      </w:pPr>
      <w:r w:rsidRPr="00D33A30">
        <w:rPr>
          <w:rFonts w:ascii="Times New Roman" w:eastAsia="SimSun" w:hAnsi="Times New Roman" w:cs="Times New Roman"/>
          <w:sz w:val="22"/>
        </w:rPr>
        <w:t xml:space="preserve">Building on the R&amp;D-based heterogeneity analysis, this </w:t>
      </w:r>
      <w:r w:rsidRPr="00D33A30">
        <w:rPr>
          <w:rFonts w:ascii="Times New Roman" w:eastAsia="SimSun" w:hAnsi="Times New Roman" w:cs="Times New Roman" w:hint="eastAsia"/>
          <w:sz w:val="22"/>
        </w:rPr>
        <w:t>article</w:t>
      </w:r>
      <w:r w:rsidRPr="00D33A30">
        <w:rPr>
          <w:rFonts w:ascii="Times New Roman" w:eastAsia="SimSun" w:hAnsi="Times New Roman" w:cs="Times New Roman"/>
          <w:sz w:val="22"/>
        </w:rPr>
        <w:t xml:space="preserve"> examines innovation output’s role in the </w:t>
      </w:r>
      <w:r w:rsidRPr="00D33A30">
        <w:rPr>
          <w:rFonts w:ascii="Times New Roman" w:eastAsia="SimSun" w:hAnsi="Times New Roman" w:cs="Times New Roman" w:hint="eastAsia"/>
          <w:sz w:val="22"/>
        </w:rPr>
        <w:t>nationalism</w:t>
      </w:r>
      <w:r w:rsidRPr="00D33A30">
        <w:rPr>
          <w:rFonts w:ascii="Times New Roman" w:eastAsia="SimSun" w:hAnsi="Times New Roman" w:cs="Times New Roman"/>
          <w:sz w:val="22"/>
        </w:rPr>
        <w:t>–carbon emission intensity relationship through green patent grouping. Samples are partitioned into low- and high-application groups relative to the green patent application mean.</w:t>
      </w:r>
      <w:r w:rsidRPr="00D33A30">
        <w:rPr>
          <w:rFonts w:ascii="Times New Roman" w:eastAsia="SimSun" w:hAnsi="Times New Roman" w:cs="Times New Roman" w:hint="eastAsia"/>
          <w:sz w:val="22"/>
        </w:rPr>
        <w:t xml:space="preserve"> Specifically, a</w:t>
      </w:r>
      <w:r w:rsidRPr="00D33A30">
        <w:rPr>
          <w:rFonts w:ascii="Times New Roman" w:eastAsia="SimSun" w:hAnsi="Times New Roman" w:cs="Times New Roman"/>
          <w:sz w:val="22"/>
        </w:rPr>
        <w:t xml:space="preserve">ppendix </w:t>
      </w:r>
      <w:r w:rsidRPr="00D33A30">
        <w:rPr>
          <w:rFonts w:ascii="Times New Roman" w:eastAsia="SimSun" w:hAnsi="Times New Roman" w:cs="Times New Roman" w:hint="eastAsia"/>
          <w:sz w:val="22"/>
        </w:rPr>
        <w:t>c</w:t>
      </w:r>
      <w:r w:rsidRPr="00D33A30">
        <w:rPr>
          <w:rFonts w:ascii="Times New Roman" w:eastAsia="SimSun" w:hAnsi="Times New Roman" w:cs="Times New Roman"/>
          <w:sz w:val="22"/>
        </w:rPr>
        <w:t xml:space="preserve">olumns (1)-(2) indicate that the inverted U-shaped relationship between </w:t>
      </w:r>
      <w:r w:rsidRPr="00D33A30">
        <w:rPr>
          <w:rFonts w:ascii="Times New Roman" w:eastAsia="SimSun" w:hAnsi="Times New Roman" w:cs="Times New Roman" w:hint="eastAsia"/>
          <w:sz w:val="22"/>
        </w:rPr>
        <w:t>nationalism</w:t>
      </w:r>
      <w:r w:rsidRPr="00D33A30">
        <w:rPr>
          <w:rFonts w:ascii="Times New Roman" w:eastAsia="SimSun" w:hAnsi="Times New Roman" w:cs="Times New Roman"/>
          <w:sz w:val="22"/>
        </w:rPr>
        <w:t xml:space="preserve"> and carbon emissions exhibits greater statistical significance in low-green-patent groups than in high-application counterparts</w:t>
      </w:r>
      <w:r w:rsidRPr="00D33A30">
        <w:rPr>
          <w:rFonts w:ascii="Times New Roman" w:eastAsia="SimSun" w:hAnsi="Times New Roman" w:cs="Times New Roman" w:hint="eastAsia"/>
          <w:sz w:val="22"/>
        </w:rPr>
        <w:t xml:space="preserve">, which may </w:t>
      </w:r>
      <w:r w:rsidRPr="00D33A30">
        <w:rPr>
          <w:rFonts w:ascii="Times New Roman" w:eastAsia="SimSun" w:hAnsi="Times New Roman" w:cs="Times New Roman"/>
          <w:sz w:val="22"/>
        </w:rPr>
        <w:t>result</w:t>
      </w:r>
      <w:r w:rsidRPr="00D33A30">
        <w:rPr>
          <w:rFonts w:ascii="Times New Roman" w:eastAsia="SimSun" w:hAnsi="Times New Roman" w:cs="Times New Roman" w:hint="eastAsia"/>
          <w:sz w:val="22"/>
        </w:rPr>
        <w:t xml:space="preserve"> from</w:t>
      </w:r>
      <w:r w:rsidRPr="00D33A30">
        <w:rPr>
          <w:rFonts w:ascii="Times New Roman" w:eastAsia="SimSun" w:hAnsi="Times New Roman" w:cs="Times New Roman"/>
          <w:sz w:val="22"/>
        </w:rPr>
        <w:t xml:space="preserve"> their technology-follower position, low-green-patent firms prioritize economic profits in business strategy, inducing early-stage emission increases during expansion. However, their intrinsic policy sensitivity—amplified by </w:t>
      </w:r>
      <w:r w:rsidRPr="00D33A30">
        <w:rPr>
          <w:rFonts w:ascii="Times New Roman" w:eastAsia="SimSun" w:hAnsi="Times New Roman" w:cs="Times New Roman" w:hint="eastAsia"/>
          <w:sz w:val="22"/>
        </w:rPr>
        <w:t>nationalism</w:t>
      </w:r>
      <w:r w:rsidRPr="00D33A30">
        <w:rPr>
          <w:rFonts w:ascii="Times New Roman" w:eastAsia="SimSun" w:hAnsi="Times New Roman" w:cs="Times New Roman"/>
          <w:sz w:val="22"/>
        </w:rPr>
        <w:t xml:space="preserve">—enhances enforcement responsiveness and drives later carbon performance improvements. </w:t>
      </w:r>
      <w:r w:rsidRPr="00D33A30">
        <w:rPr>
          <w:rFonts w:ascii="Times New Roman" w:eastAsia="SimSun" w:hAnsi="Times New Roman" w:cs="Times New Roman" w:hint="eastAsia"/>
          <w:sz w:val="22"/>
        </w:rPr>
        <w:t>Whereas, h</w:t>
      </w:r>
      <w:r w:rsidRPr="00D33A30">
        <w:rPr>
          <w:rFonts w:ascii="Times New Roman" w:eastAsia="SimSun" w:hAnsi="Times New Roman" w:cs="Times New Roman"/>
          <w:sz w:val="22"/>
        </w:rPr>
        <w:t>igh-green-patent counterparts lack such regulatory reactivity.</w:t>
      </w:r>
      <w:r w:rsidRPr="00D33A30">
        <w:rPr>
          <w:rFonts w:ascii="Times New Roman" w:eastAsia="SimSun" w:hAnsi="Times New Roman" w:cs="Times New Roman" w:hint="eastAsia"/>
          <w:sz w:val="22"/>
        </w:rPr>
        <w:t xml:space="preserve"> </w:t>
      </w:r>
      <w:r w:rsidRPr="00D33A30">
        <w:rPr>
          <w:rFonts w:ascii="Times New Roman" w:eastAsia="SimSun" w:hAnsi="Times New Roman" w:cs="Times New Roman"/>
          <w:sz w:val="22"/>
        </w:rPr>
        <w:t xml:space="preserve">To </w:t>
      </w:r>
      <w:r w:rsidRPr="00D33A30">
        <w:rPr>
          <w:rFonts w:ascii="Times New Roman" w:eastAsia="SimSun" w:hAnsi="Times New Roman" w:cs="Times New Roman" w:hint="eastAsia"/>
          <w:sz w:val="22"/>
        </w:rPr>
        <w:t xml:space="preserve">further </w:t>
      </w:r>
      <w:r w:rsidRPr="00D33A30">
        <w:rPr>
          <w:rFonts w:ascii="Times New Roman" w:eastAsia="SimSun" w:hAnsi="Times New Roman" w:cs="Times New Roman"/>
          <w:sz w:val="22"/>
        </w:rPr>
        <w:t xml:space="preserve">examine green patent heterogeneity, </w:t>
      </w:r>
      <w:r w:rsidRPr="00D33A30">
        <w:rPr>
          <w:rFonts w:ascii="Times New Roman" w:eastAsia="SimSun" w:hAnsi="Times New Roman" w:cs="Times New Roman" w:hint="eastAsia"/>
          <w:sz w:val="22"/>
        </w:rPr>
        <w:t>we</w:t>
      </w:r>
      <w:r w:rsidRPr="00D33A30">
        <w:rPr>
          <w:rFonts w:ascii="Times New Roman" w:eastAsia="SimSun" w:hAnsi="Times New Roman" w:cs="Times New Roman"/>
          <w:sz w:val="22"/>
        </w:rPr>
        <w:t xml:space="preserve"> </w:t>
      </w:r>
      <w:r w:rsidRPr="00D33A30">
        <w:rPr>
          <w:rFonts w:ascii="Times New Roman" w:eastAsia="SimSun" w:hAnsi="Times New Roman" w:cs="Times New Roman" w:hint="eastAsia"/>
          <w:sz w:val="22"/>
        </w:rPr>
        <w:t>separate</w:t>
      </w:r>
      <w:r w:rsidRPr="00D33A30">
        <w:rPr>
          <w:rFonts w:ascii="Times New Roman" w:eastAsia="SimSun" w:hAnsi="Times New Roman" w:cs="Times New Roman"/>
          <w:sz w:val="22"/>
        </w:rPr>
        <w:t xml:space="preserve"> samples into low- and high-application groups based on green invention and utility model patent volumes relative to their sample means.</w:t>
      </w:r>
      <w:r w:rsidRPr="00D33A30">
        <w:rPr>
          <w:rFonts w:ascii="Times New Roman" w:eastAsia="SimSun" w:hAnsi="Times New Roman" w:cs="Times New Roman" w:hint="eastAsia"/>
          <w:sz w:val="22"/>
        </w:rPr>
        <w:t xml:space="preserve"> </w:t>
      </w:r>
      <w:r w:rsidRPr="00D33A30">
        <w:rPr>
          <w:rFonts w:ascii="Times New Roman" w:eastAsia="SimSun" w:hAnsi="Times New Roman" w:cs="Times New Roman"/>
          <w:sz w:val="22"/>
        </w:rPr>
        <w:t>Appendix Columns (</w:t>
      </w:r>
      <w:r w:rsidRPr="00D33A30">
        <w:rPr>
          <w:rFonts w:ascii="Times New Roman" w:eastAsia="SimSun" w:hAnsi="Times New Roman" w:cs="Times New Roman" w:hint="eastAsia"/>
          <w:sz w:val="22"/>
        </w:rPr>
        <w:t>3</w:t>
      </w:r>
      <w:r w:rsidRPr="00D33A30">
        <w:rPr>
          <w:rFonts w:ascii="Times New Roman" w:eastAsia="SimSun" w:hAnsi="Times New Roman" w:cs="Times New Roman"/>
          <w:sz w:val="22"/>
        </w:rPr>
        <w:t>)-(</w:t>
      </w:r>
      <w:r w:rsidRPr="00D33A30">
        <w:rPr>
          <w:rFonts w:ascii="Times New Roman" w:eastAsia="SimSun" w:hAnsi="Times New Roman" w:cs="Times New Roman" w:hint="eastAsia"/>
          <w:sz w:val="22"/>
        </w:rPr>
        <w:t>4</w:t>
      </w:r>
      <w:r w:rsidRPr="00D33A30">
        <w:rPr>
          <w:rFonts w:ascii="Times New Roman" w:eastAsia="SimSun" w:hAnsi="Times New Roman" w:cs="Times New Roman"/>
          <w:sz w:val="22"/>
        </w:rPr>
        <w:t xml:space="preserve">) reveal a statistically significant inverted U-shaped relationship between </w:t>
      </w:r>
      <w:r w:rsidRPr="00D33A30">
        <w:rPr>
          <w:rFonts w:ascii="Times New Roman" w:eastAsia="SimSun" w:hAnsi="Times New Roman" w:cs="Times New Roman" w:hint="eastAsia"/>
          <w:sz w:val="22"/>
        </w:rPr>
        <w:t>nationalism</w:t>
      </w:r>
      <w:r w:rsidRPr="00D33A30">
        <w:rPr>
          <w:rFonts w:ascii="Times New Roman" w:eastAsia="SimSun" w:hAnsi="Times New Roman" w:cs="Times New Roman"/>
          <w:sz w:val="22"/>
        </w:rPr>
        <w:t xml:space="preserve"> and carbon emission intensity in low-green-invention groups, while this relationship remains insignificant in high-application counterparts. Similarly, Columns (</w:t>
      </w:r>
      <w:r w:rsidRPr="00D33A30">
        <w:rPr>
          <w:rFonts w:ascii="Times New Roman" w:eastAsia="SimSun" w:hAnsi="Times New Roman" w:cs="Times New Roman" w:hint="eastAsia"/>
          <w:sz w:val="22"/>
        </w:rPr>
        <w:t>5</w:t>
      </w:r>
      <w:r w:rsidRPr="00D33A30">
        <w:rPr>
          <w:rFonts w:ascii="Times New Roman" w:eastAsia="SimSun" w:hAnsi="Times New Roman" w:cs="Times New Roman"/>
          <w:sz w:val="22"/>
        </w:rPr>
        <w:t>)-(</w:t>
      </w:r>
      <w:r w:rsidRPr="00D33A30">
        <w:rPr>
          <w:rFonts w:ascii="Times New Roman" w:eastAsia="SimSun" w:hAnsi="Times New Roman" w:cs="Times New Roman" w:hint="eastAsia"/>
          <w:sz w:val="22"/>
        </w:rPr>
        <w:t>6</w:t>
      </w:r>
      <w:r w:rsidRPr="00D33A30">
        <w:rPr>
          <w:rFonts w:ascii="Times New Roman" w:eastAsia="SimSun" w:hAnsi="Times New Roman" w:cs="Times New Roman"/>
          <w:sz w:val="22"/>
        </w:rPr>
        <w:t xml:space="preserve">) demonstrate a significant inverted U-shaped effect of </w:t>
      </w:r>
      <w:r w:rsidRPr="00D33A30">
        <w:rPr>
          <w:rFonts w:ascii="Times New Roman" w:eastAsia="SimSun" w:hAnsi="Times New Roman" w:cs="Times New Roman" w:hint="eastAsia"/>
          <w:sz w:val="22"/>
        </w:rPr>
        <w:t>nationalism</w:t>
      </w:r>
      <w:r w:rsidRPr="00D33A30">
        <w:rPr>
          <w:rFonts w:ascii="Times New Roman" w:eastAsia="SimSun" w:hAnsi="Times New Roman" w:cs="Times New Roman"/>
          <w:sz w:val="22"/>
        </w:rPr>
        <w:t xml:space="preserve"> on carbon emissions in low-utility-model groups, whereas this nonlinear pattern shows no statistical significance in corresponding high-application groups.</w:t>
      </w:r>
      <w:r w:rsidRPr="00D33A30">
        <w:rPr>
          <w:rFonts w:ascii="Times New Roman" w:eastAsia="SimSun" w:hAnsi="Times New Roman" w:cs="Times New Roman" w:hint="eastAsia"/>
          <w:sz w:val="22"/>
        </w:rPr>
        <w:t xml:space="preserve"> </w:t>
      </w:r>
      <w:r w:rsidRPr="00D33A30">
        <w:rPr>
          <w:rFonts w:ascii="Times New Roman" w:eastAsia="SimSun" w:hAnsi="Times New Roman" w:cs="Times New Roman"/>
          <w:sz w:val="22"/>
        </w:rPr>
        <w:t xml:space="preserve">Collectively, these results demonstrate greater statistical </w:t>
      </w:r>
      <w:r w:rsidRPr="00D33A30">
        <w:rPr>
          <w:rFonts w:ascii="Times New Roman" w:eastAsia="SimSun" w:hAnsi="Times New Roman" w:cs="Times New Roman" w:hint="eastAsia"/>
          <w:sz w:val="22"/>
        </w:rPr>
        <w:t>significance</w:t>
      </w:r>
      <w:r w:rsidRPr="00D33A30">
        <w:rPr>
          <w:rFonts w:ascii="Times New Roman" w:eastAsia="SimSun" w:hAnsi="Times New Roman" w:cs="Times New Roman"/>
          <w:sz w:val="22"/>
        </w:rPr>
        <w:t xml:space="preserve"> in the inverted U-shaped relationship between </w:t>
      </w:r>
      <w:r w:rsidRPr="00D33A30">
        <w:rPr>
          <w:rFonts w:ascii="Times New Roman" w:eastAsia="SimSun" w:hAnsi="Times New Roman" w:cs="Times New Roman" w:hint="eastAsia"/>
          <w:sz w:val="22"/>
        </w:rPr>
        <w:t>nationalism</w:t>
      </w:r>
      <w:r w:rsidRPr="00D33A30">
        <w:rPr>
          <w:rFonts w:ascii="Times New Roman" w:eastAsia="SimSun" w:hAnsi="Times New Roman" w:cs="Times New Roman"/>
          <w:sz w:val="22"/>
        </w:rPr>
        <w:t xml:space="preserve"> and carbon emissions for low-green-patent-application groups relative to high-application counterparts.</w:t>
      </w:r>
      <w:r w:rsidRPr="00D33A30">
        <w:rPr>
          <w:rFonts w:ascii="Times New Roman" w:eastAsia="SimSun" w:hAnsi="Times New Roman" w:cs="Times New Roman" w:hint="eastAsia"/>
          <w:sz w:val="22"/>
        </w:rPr>
        <w:t xml:space="preserve"> Furthermore, a</w:t>
      </w:r>
      <w:r w:rsidRPr="00D33A30">
        <w:rPr>
          <w:rFonts w:ascii="Times New Roman" w:eastAsia="SimSun" w:hAnsi="Times New Roman" w:cs="Times New Roman"/>
          <w:sz w:val="22"/>
        </w:rPr>
        <w:t xml:space="preserve">ppendix results reveal statistically stronger inverted U-shaped relationships between </w:t>
      </w:r>
      <w:r w:rsidRPr="00D33A30">
        <w:rPr>
          <w:rFonts w:ascii="Times New Roman" w:eastAsia="SimSun" w:hAnsi="Times New Roman" w:cs="Times New Roman" w:hint="eastAsia"/>
          <w:sz w:val="22"/>
        </w:rPr>
        <w:t>nationalism</w:t>
      </w:r>
      <w:r w:rsidRPr="00D33A30">
        <w:rPr>
          <w:rFonts w:ascii="Times New Roman" w:eastAsia="SimSun" w:hAnsi="Times New Roman" w:cs="Times New Roman"/>
          <w:sz w:val="22"/>
        </w:rPr>
        <w:t xml:space="preserve"> and carbon emission intensity in low-innovation-output groups. This finding robustly echoes stratified analyses based on innovation input, where low-R&amp;D-investment groups similarly exhibit more pronounced </w:t>
      </w:r>
      <w:r w:rsidRPr="00D33A30">
        <w:rPr>
          <w:rFonts w:ascii="Times New Roman" w:eastAsia="SimSun" w:hAnsi="Times New Roman" w:cs="Times New Roman" w:hint="eastAsia"/>
          <w:sz w:val="22"/>
        </w:rPr>
        <w:t>nationalism</w:t>
      </w:r>
      <w:r w:rsidRPr="00D33A30">
        <w:rPr>
          <w:rFonts w:ascii="Times New Roman" w:eastAsia="SimSun" w:hAnsi="Times New Roman" w:cs="Times New Roman"/>
          <w:sz w:val="22"/>
        </w:rPr>
        <w:t xml:space="preserve">-emission curvilinearity. </w:t>
      </w:r>
      <w:r w:rsidRPr="00D33A30">
        <w:rPr>
          <w:rFonts w:ascii="Times New Roman" w:eastAsia="SimSun" w:hAnsi="Times New Roman" w:cs="Times New Roman" w:hint="eastAsia"/>
          <w:sz w:val="22"/>
        </w:rPr>
        <w:t xml:space="preserve">Hence, </w:t>
      </w:r>
      <w:r w:rsidRPr="00D33A30">
        <w:rPr>
          <w:rFonts w:ascii="Times New Roman" w:eastAsia="SimSun" w:hAnsi="Times New Roman" w:cs="Times New Roman"/>
          <w:sz w:val="22"/>
        </w:rPr>
        <w:t>these patterns demonstrate consistently heightened significance of the inverted U-shaped relationship in low-innovation cohorts across both input and output dimensions.</w:t>
      </w:r>
    </w:p>
    <w:p w14:paraId="46E8F527" w14:textId="77777777" w:rsidR="008B1809" w:rsidRPr="00D33A30" w:rsidRDefault="008B1809" w:rsidP="008B1809">
      <w:pPr>
        <w:rPr>
          <w:rFonts w:ascii="Times New Roman" w:hAnsi="Times New Roman" w:cs="Times New Roman"/>
          <w:sz w:val="22"/>
        </w:rPr>
      </w:pPr>
    </w:p>
    <w:p w14:paraId="7211C6B6" w14:textId="77777777" w:rsidR="008B1809" w:rsidRPr="00D33A30" w:rsidRDefault="008B1809" w:rsidP="008B1809">
      <w:pPr>
        <w:rPr>
          <w:rFonts w:ascii="Times New Roman" w:hAnsi="Times New Roman" w:cs="Times New Roman"/>
          <w:sz w:val="22"/>
        </w:rPr>
      </w:pPr>
      <w:r w:rsidRPr="00D33A30">
        <w:rPr>
          <w:rFonts w:ascii="Times New Roman" w:hAnsi="Times New Roman" w:cs="Times New Roman" w:hint="eastAsia"/>
          <w:sz w:val="22"/>
        </w:rPr>
        <w:t>Appendix Table: Regression results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27"/>
        <w:gridCol w:w="1164"/>
        <w:gridCol w:w="1163"/>
        <w:gridCol w:w="1163"/>
        <w:gridCol w:w="1163"/>
        <w:gridCol w:w="1163"/>
        <w:gridCol w:w="1163"/>
      </w:tblGrid>
      <w:tr w:rsidR="008B1809" w:rsidRPr="00D33A30" w14:paraId="166CDDAB" w14:textId="77777777" w:rsidTr="00B2025F"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1236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75CC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(1)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E8FD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(2)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0ED4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(3)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B327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(4)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B636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(5)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2644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(6)</w:t>
            </w:r>
          </w:p>
        </w:tc>
      </w:tr>
      <w:tr w:rsidR="008B1809" w:rsidRPr="00D33A30" w14:paraId="5B4B4FA8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6980AA9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81DF31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 w:hint="eastAsia"/>
                <w:kern w:val="0"/>
                <w:sz w:val="22"/>
              </w:rPr>
              <w:t>High</w:t>
            </w: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-application in green patent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002CF9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 w:hint="eastAsia"/>
                <w:kern w:val="0"/>
                <w:sz w:val="22"/>
              </w:rPr>
              <w:t>Low</w:t>
            </w: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-application</w:t>
            </w:r>
            <w:r w:rsidRPr="00D33A30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in green patent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6E1688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 w:hint="eastAsia"/>
                <w:kern w:val="0"/>
                <w:sz w:val="22"/>
              </w:rPr>
              <w:t>H</w:t>
            </w:r>
            <w:r w:rsidRPr="00D33A30">
              <w:rPr>
                <w:rFonts w:ascii="Times New Roman" w:hAnsi="Times New Roman" w:cs="Times New Roman"/>
                <w:kern w:val="0"/>
                <w:sz w:val="22"/>
              </w:rPr>
              <w:t xml:space="preserve">igh-application </w:t>
            </w:r>
            <w:r w:rsidRPr="00D33A30">
              <w:rPr>
                <w:rFonts w:ascii="Times New Roman" w:hAnsi="Times New Roman" w:cs="Times New Roman" w:hint="eastAsia"/>
                <w:kern w:val="0"/>
                <w:sz w:val="22"/>
              </w:rPr>
              <w:t>in green invention patent</w:t>
            </w:r>
            <w:r w:rsidRPr="00D33A30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073089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 w:hint="eastAsia"/>
                <w:kern w:val="0"/>
                <w:sz w:val="22"/>
              </w:rPr>
              <w:t>Low</w:t>
            </w: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-application in green invention patent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81E37F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High-application</w:t>
            </w:r>
            <w:r w:rsidRPr="00D33A30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in g</w:t>
            </w: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reen utility model patent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A56B43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 w:hint="eastAsia"/>
                <w:kern w:val="0"/>
                <w:sz w:val="22"/>
              </w:rPr>
              <w:t>Low</w:t>
            </w: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-application in green utility model patent</w:t>
            </w:r>
          </w:p>
        </w:tc>
      </w:tr>
      <w:tr w:rsidR="008B1809" w:rsidRPr="00D33A30" w14:paraId="66521C4C" w14:textId="77777777" w:rsidTr="00B2025F"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BBF0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Nationalism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CC8C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1.1484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EAA7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0.9153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F92D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0.8247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E03D1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0.9404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5253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0.9821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1010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0.8940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</w:tr>
      <w:tr w:rsidR="008B1809" w:rsidRPr="00D33A30" w14:paraId="4C89656E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7714820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8CD0807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(0.4270)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CB9EB7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(0.1779)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38AA51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(0.4362)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8EC6F6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(0.1792)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17A623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(0.3244)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F15A5E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(0.1804)</w:t>
            </w:r>
          </w:p>
        </w:tc>
      </w:tr>
      <w:tr w:rsidR="008B1809" w:rsidRPr="00D33A30" w14:paraId="62FD9425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4E050BB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2A06F9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FE6899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A3A32F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5C2DD6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FB50C9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FB1CC7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B1809" w:rsidRPr="00D33A30" w14:paraId="6E620AC8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3529422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Nationalism</w:t>
            </w: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ADBD5E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-37.0805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EA9721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-37.7994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58B4D5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-25.5946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C2248F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-38.6985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A56D19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-32.3877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FB3C38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-36.1752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</w:tr>
      <w:tr w:rsidR="008B1809" w:rsidRPr="00D33A30" w14:paraId="6025A599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42447F9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8DF6AB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(22.1772)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E0EDF4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(11.1963)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B9881F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(20.8622)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4BF563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(11.5403)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B5A981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(19.9629)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D89F26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(10.8295)</w:t>
            </w:r>
          </w:p>
        </w:tc>
      </w:tr>
      <w:tr w:rsidR="008B1809" w:rsidRPr="00D33A30" w14:paraId="1D732D6B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1F4EB76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9DD9AB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5854B3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5A2D2D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2808BB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87C584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55448A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B1809" w:rsidRPr="00D33A30" w14:paraId="4C9F6589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66A22F0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Dual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6F3BCA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0.0518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F98E53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-0.0604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79FA3E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0.0624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25F1B0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-0.0600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59B992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-0.0268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D504CC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-0.0544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</w:tr>
      <w:tr w:rsidR="008B1809" w:rsidRPr="00D33A30" w14:paraId="5A81B57A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1A07056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A67D31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(0.0452)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C1A889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(0.0207)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0F754F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(0.0441)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B83331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(0.0206)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34CBFE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(0.0403)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26A7E7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(0.0206)</w:t>
            </w:r>
          </w:p>
        </w:tc>
      </w:tr>
      <w:tr w:rsidR="008B1809" w:rsidRPr="00D33A30" w14:paraId="002F3304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3D1BEFE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3CF179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AC87E7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8A8F5F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4F026D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C0F15D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9C4DBC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B1809" w:rsidRPr="00D33A30" w14:paraId="4A8DC512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2DC4C0E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Director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02903F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-0.0209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08AA6E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-0.0196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231A2F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-0.0316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546B13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-0.0194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409FEC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-0.0212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E80B43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-0.0214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</w:tr>
      <w:tr w:rsidR="008B1809" w:rsidRPr="00D33A30" w14:paraId="6DB14DF5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3BCE146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BF0F36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(0.0182)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5B7982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(0.0056)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F54FE3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(0.0198)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AAA3D7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(0.0056)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00570E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(0.0132)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BC9F46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(0.0058)</w:t>
            </w:r>
          </w:p>
        </w:tc>
      </w:tr>
      <w:tr w:rsidR="008B1809" w:rsidRPr="00D33A30" w14:paraId="319644C0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4608A19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42C2C2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DA65EC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28FFD1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8ED700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7EF0B5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891EF4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B1809" w:rsidRPr="00D33A30" w14:paraId="1C9096F3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6CD8432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Lev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F9615D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-0.2313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BD1137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-0.2112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EE4190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-0.3153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FA07A3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-0.2075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A7D0F3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-0.2637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ABE2B5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-0.2038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</w:tr>
      <w:tr w:rsidR="008B1809" w:rsidRPr="00D33A30" w14:paraId="4E1BD5C3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71FB978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BF21407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(0.0823)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0F72AA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(0.0425)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52D42C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(0.0914)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466D58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(0.0416)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81AA01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(0.0639)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07B87F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(0.0439)</w:t>
            </w:r>
          </w:p>
        </w:tc>
      </w:tr>
      <w:tr w:rsidR="008B1809" w:rsidRPr="00D33A30" w14:paraId="3F7FE911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1CE47B2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4561EF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6EE338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B3CC247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4F5E2A7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804F7B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1A0C3A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B1809" w:rsidRPr="00D33A30" w14:paraId="22EE8F8B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291CF89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Cash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77949F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-0.4971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31665E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-0.3141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D5080C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-0.4231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469F43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-0.3205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FC9CCC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-0.5335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BC2958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-0.3065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</w:tr>
      <w:tr w:rsidR="008B1809" w:rsidRPr="00D33A30" w14:paraId="5AFB3D60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35058FF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1704FE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(0.1568)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CB6C0C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(0.0560)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A0DE33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(0.1706)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1D3724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(0.0559)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7D4D75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(0.1192)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B5585D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(0.0579)</w:t>
            </w:r>
          </w:p>
        </w:tc>
      </w:tr>
      <w:tr w:rsidR="008B1809" w:rsidRPr="00D33A30" w14:paraId="3FA54D01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736E6A4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DF0474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5EABFF7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9D32C7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55E956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8952ED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E31981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B1809" w:rsidRPr="00D33A30" w14:paraId="45868425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4387E93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First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00BCD1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-0.0043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FC87FF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-0.0046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9E2FE6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-0.0035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4477CA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-0.0048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5850F0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-0.0080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C9E073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-0.0048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</w:tr>
      <w:tr w:rsidR="008B1809" w:rsidRPr="00D33A30" w14:paraId="0658F402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548852C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CDBDC1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(0.0032)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996D1E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(0.0016)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9FFF85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(0.0033)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BE7F96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(0.0016)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D56BFC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(0.0028)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408F2D7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(0.0016)</w:t>
            </w:r>
          </w:p>
        </w:tc>
      </w:tr>
      <w:tr w:rsidR="008B1809" w:rsidRPr="00D33A30" w14:paraId="4F40410D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1D95924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E1A2F7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D9C01D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4FF302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CE737F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D5AB28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B7EEC6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B1809" w:rsidRPr="00D33A30" w14:paraId="5853C285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6F0C5F8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Inde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8B95C5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-0.0510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A175197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-0.0570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BA1D03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-0.0460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9BEB1D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-0.0592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3B869D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-0.0465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4C1C29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-0.0699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</w:tr>
      <w:tr w:rsidR="008B1809" w:rsidRPr="00D33A30" w14:paraId="0564AF02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205A5F1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5FE584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(0.0389)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98DB01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(0.0218)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BA8B4A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(0.0390)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22725C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(0.0214)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2E175E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(0.0299)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E75B9C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(0.0227)</w:t>
            </w:r>
          </w:p>
        </w:tc>
      </w:tr>
      <w:tr w:rsidR="008B1809" w:rsidRPr="00D33A30" w14:paraId="4558E582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029A9DB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0A0717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62D6D6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7CAAF0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5A86E9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9A7D2C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64DE50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B1809" w:rsidRPr="00D33A30" w14:paraId="2B8796E3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7E69987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F</w:t>
            </w:r>
            <w:r w:rsidRPr="00D33A30">
              <w:rPr>
                <w:rFonts w:ascii="Times New Roman" w:hAnsi="Times New Roman" w:cs="Times New Roman" w:hint="eastAsia"/>
                <w:i/>
                <w:iCs/>
                <w:kern w:val="0"/>
                <w:sz w:val="22"/>
              </w:rPr>
              <w:t>ag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40C2C0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-0.0659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2021E5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-0.0460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65233D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-0.0614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A9A8E5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-0.0479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653D9B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-0.0703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9D495E7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-0.0466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</w:tr>
      <w:tr w:rsidR="008B1809" w:rsidRPr="00D33A30" w14:paraId="6F95157C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0BB43F6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CF05FE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(0.0112)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C9CF25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(0.0030)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C090AD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(0.0120)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1F24FF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(0.0030)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7F1CF5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(0.0078)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2ABB03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(0.0032)</w:t>
            </w:r>
          </w:p>
        </w:tc>
      </w:tr>
      <w:tr w:rsidR="008B1809" w:rsidRPr="00D33A30" w14:paraId="006315D2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4566238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A6D675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221DC5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80E620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AD456E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F16AF2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44AB087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B1809" w:rsidRPr="00D33A30" w14:paraId="601CD5E2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7448C68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Roa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6F5B79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-0.3254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B91C04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-0.2057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18B21A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-0.3240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19657F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-0.1973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FBA3C5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-0.4200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6AA58C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-0.1886</w:t>
            </w:r>
          </w:p>
        </w:tc>
      </w:tr>
      <w:tr w:rsidR="008B1809" w:rsidRPr="00D33A30" w14:paraId="6950B790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4D462827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77F2CF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(0.2529)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4ED06E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(0.1532)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42E997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(0.2822)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AC26A5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(0.1473)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F77161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(0.2412)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698A72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(0.1494)</w:t>
            </w:r>
          </w:p>
        </w:tc>
      </w:tr>
      <w:tr w:rsidR="008B1809" w:rsidRPr="00D33A30" w14:paraId="1FB0C4DC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589F04F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Cons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78DBED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9.7423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3DFDCE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10.2986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E2B7C9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9.7597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557766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10.3135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767688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10.2005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522B61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10.3536</w:t>
            </w:r>
            <w:r w:rsidRPr="00D33A30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***</w:t>
            </w:r>
          </w:p>
        </w:tc>
      </w:tr>
      <w:tr w:rsidR="008B1809" w:rsidRPr="00D33A30" w14:paraId="560FE53E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5B7CF55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3DD57D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(0.3312)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D7F73E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(0.1256)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D8F140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(0.3395)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4FF3A1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(0.1247)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E64420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(0.2253)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745A67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(0.1300)</w:t>
            </w:r>
          </w:p>
        </w:tc>
      </w:tr>
      <w:tr w:rsidR="008B1809" w:rsidRPr="00D33A30" w14:paraId="717F88FA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3ADA565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Firm fixed effect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52F00C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73D9C7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1A8A10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D375A6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F94ADE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5DFB06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</w:tr>
      <w:tr w:rsidR="008B1809" w:rsidRPr="00D33A30" w14:paraId="48E06055" w14:textId="77777777" w:rsidTr="00B2025F">
        <w:tc>
          <w:tcPr>
            <w:tcW w:w="600" w:type="pct"/>
            <w:tcBorders>
              <w:top w:val="nil"/>
              <w:left w:val="nil"/>
              <w:right w:val="nil"/>
            </w:tcBorders>
          </w:tcPr>
          <w:p w14:paraId="44B6E10C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Year fixed effect</w:t>
            </w:r>
          </w:p>
        </w:tc>
        <w:tc>
          <w:tcPr>
            <w:tcW w:w="741" w:type="pct"/>
            <w:tcBorders>
              <w:top w:val="nil"/>
              <w:left w:val="nil"/>
              <w:right w:val="nil"/>
            </w:tcBorders>
          </w:tcPr>
          <w:p w14:paraId="36E45783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726" w:type="pct"/>
            <w:tcBorders>
              <w:top w:val="nil"/>
              <w:left w:val="nil"/>
              <w:right w:val="nil"/>
            </w:tcBorders>
          </w:tcPr>
          <w:p w14:paraId="70FE015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741" w:type="pct"/>
            <w:tcBorders>
              <w:top w:val="nil"/>
              <w:left w:val="nil"/>
              <w:right w:val="nil"/>
            </w:tcBorders>
          </w:tcPr>
          <w:p w14:paraId="5B878FF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726" w:type="pct"/>
            <w:tcBorders>
              <w:top w:val="nil"/>
              <w:left w:val="nil"/>
              <w:right w:val="nil"/>
            </w:tcBorders>
          </w:tcPr>
          <w:p w14:paraId="7AAB2409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741" w:type="pct"/>
            <w:tcBorders>
              <w:top w:val="nil"/>
              <w:left w:val="nil"/>
              <w:right w:val="nil"/>
            </w:tcBorders>
          </w:tcPr>
          <w:p w14:paraId="129272A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726" w:type="pct"/>
            <w:tcBorders>
              <w:top w:val="nil"/>
              <w:left w:val="nil"/>
              <w:right w:val="nil"/>
            </w:tcBorders>
          </w:tcPr>
          <w:p w14:paraId="1744E3B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YES</w:t>
            </w:r>
          </w:p>
        </w:tc>
      </w:tr>
      <w:tr w:rsidR="008B1809" w:rsidRPr="00D33A30" w14:paraId="769173C7" w14:textId="77777777" w:rsidTr="00B2025F">
        <w:tc>
          <w:tcPr>
            <w:tcW w:w="600" w:type="pct"/>
            <w:tcBorders>
              <w:left w:val="nil"/>
              <w:bottom w:val="nil"/>
              <w:right w:val="nil"/>
            </w:tcBorders>
          </w:tcPr>
          <w:p w14:paraId="62DC84F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N</w:t>
            </w:r>
          </w:p>
        </w:tc>
        <w:tc>
          <w:tcPr>
            <w:tcW w:w="741" w:type="pct"/>
            <w:tcBorders>
              <w:left w:val="nil"/>
              <w:bottom w:val="nil"/>
              <w:right w:val="nil"/>
            </w:tcBorders>
          </w:tcPr>
          <w:p w14:paraId="40E569F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3822</w:t>
            </w:r>
          </w:p>
        </w:tc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3C1E3292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22313</w:t>
            </w:r>
          </w:p>
        </w:tc>
        <w:tc>
          <w:tcPr>
            <w:tcW w:w="741" w:type="pct"/>
            <w:tcBorders>
              <w:left w:val="nil"/>
              <w:bottom w:val="nil"/>
              <w:right w:val="nil"/>
            </w:tcBorders>
          </w:tcPr>
          <w:p w14:paraId="6D86D3B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3309</w:t>
            </w:r>
          </w:p>
        </w:tc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68751B0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22826</w:t>
            </w:r>
          </w:p>
        </w:tc>
        <w:tc>
          <w:tcPr>
            <w:tcW w:w="741" w:type="pct"/>
            <w:tcBorders>
              <w:left w:val="nil"/>
              <w:bottom w:val="nil"/>
              <w:right w:val="nil"/>
            </w:tcBorders>
          </w:tcPr>
          <w:p w14:paraId="6F9AA5A5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5424</w:t>
            </w:r>
          </w:p>
        </w:tc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1AD19D6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20711</w:t>
            </w:r>
          </w:p>
        </w:tc>
      </w:tr>
      <w:tr w:rsidR="008B1809" w:rsidRPr="00D33A30" w14:paraId="0B7E330E" w14:textId="77777777" w:rsidTr="00B2025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45138BE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R</w:t>
            </w: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9EC265E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0.1410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388B61F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0.1021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EBF9228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0.1586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6571300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0.1039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580B44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0.1511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58FDF81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0.1013</w:t>
            </w:r>
          </w:p>
        </w:tc>
      </w:tr>
      <w:tr w:rsidR="008B1809" w:rsidRPr="00D33A30" w14:paraId="6C740EFC" w14:textId="77777777" w:rsidTr="00B2025F"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955BD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F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AE93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11.4251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277C4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26.4663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9734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10.0291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8DCF6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27.7004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1A59B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16.4298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AF5CA" w14:textId="77777777" w:rsidR="008B1809" w:rsidRPr="00D33A30" w:rsidRDefault="008B1809" w:rsidP="00B20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33A30">
              <w:rPr>
                <w:rFonts w:ascii="Times New Roman" w:hAnsi="Times New Roman" w:cs="Times New Roman"/>
                <w:kern w:val="0"/>
                <w:sz w:val="22"/>
              </w:rPr>
              <w:t>25.2057</w:t>
            </w:r>
          </w:p>
        </w:tc>
      </w:tr>
    </w:tbl>
    <w:p w14:paraId="3B6FDA20" w14:textId="77777777" w:rsidR="008B1809" w:rsidRPr="001D0531" w:rsidRDefault="008B1809" w:rsidP="008B1809">
      <w:pPr>
        <w:rPr>
          <w:rFonts w:ascii="Times New Roman" w:hAnsi="Times New Roman" w:cs="Times New Roman"/>
          <w:sz w:val="20"/>
          <w:szCs w:val="20"/>
        </w:rPr>
      </w:pPr>
      <w:r w:rsidRPr="001D0531">
        <w:rPr>
          <w:rFonts w:ascii="Times New Roman" w:hAnsi="Times New Roman" w:cs="Times New Roman"/>
          <w:sz w:val="20"/>
          <w:szCs w:val="20"/>
        </w:rPr>
        <w:t xml:space="preserve">Note: The </w:t>
      </w:r>
      <w:r w:rsidRPr="001D0531">
        <w:rPr>
          <w:rFonts w:ascii="Times New Roman" w:hAnsi="Times New Roman" w:cs="Times New Roman" w:hint="eastAsia"/>
          <w:sz w:val="20"/>
          <w:szCs w:val="20"/>
        </w:rPr>
        <w:t>robust standard errors</w:t>
      </w:r>
      <w:r w:rsidRPr="001D0531">
        <w:rPr>
          <w:rFonts w:ascii="Times New Roman" w:hAnsi="Times New Roman" w:cs="Times New Roman"/>
          <w:sz w:val="20"/>
          <w:szCs w:val="20"/>
        </w:rPr>
        <w:t xml:space="preserve"> are reported in the parentheses. ***, **, * are significant at 1%, 5% and 10% levels, respectively.</w:t>
      </w:r>
    </w:p>
    <w:p w14:paraId="4D0FCBC6" w14:textId="77777777" w:rsidR="008B1809" w:rsidRPr="00D33A30" w:rsidRDefault="008B1809" w:rsidP="008B1809">
      <w:pPr>
        <w:rPr>
          <w:rFonts w:ascii="Times New Roman" w:hAnsi="Times New Roman" w:cs="Times New Roman"/>
          <w:sz w:val="22"/>
        </w:rPr>
      </w:pPr>
    </w:p>
    <w:p w14:paraId="72095613" w14:textId="77777777" w:rsidR="008B1809" w:rsidRPr="00D33A30" w:rsidRDefault="008B1809" w:rsidP="008B1809">
      <w:pPr>
        <w:rPr>
          <w:rFonts w:ascii="Times New Roman" w:hAnsi="Times New Roman" w:cs="Times New Roman"/>
          <w:sz w:val="22"/>
        </w:rPr>
      </w:pPr>
    </w:p>
    <w:p w14:paraId="6B380D5D" w14:textId="77777777" w:rsidR="008B1809" w:rsidRPr="00D33A30" w:rsidRDefault="008B1809" w:rsidP="008B1809">
      <w:pPr>
        <w:widowControl/>
        <w:jc w:val="left"/>
        <w:rPr>
          <w:rFonts w:ascii="Times New Roman" w:hAnsi="Times New Roman" w:cs="Times New Roman"/>
          <w:sz w:val="22"/>
        </w:rPr>
      </w:pPr>
    </w:p>
    <w:p w14:paraId="6065895E" w14:textId="77777777" w:rsidR="008B1809" w:rsidRPr="00D33A30" w:rsidRDefault="008B1809" w:rsidP="008B1809">
      <w:pPr>
        <w:rPr>
          <w:rFonts w:ascii="Times New Roman" w:hAnsi="Times New Roman" w:cs="Times New Roman"/>
          <w:sz w:val="22"/>
        </w:rPr>
      </w:pPr>
    </w:p>
    <w:p w14:paraId="457D5ED6" w14:textId="77777777" w:rsidR="00EB4A2D" w:rsidRDefault="00EB4A2D"/>
    <w:sectPr w:rsidR="00EB4A2D" w:rsidSect="008B1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09"/>
    <w:rsid w:val="001153B4"/>
    <w:rsid w:val="005C0D39"/>
    <w:rsid w:val="0070406C"/>
    <w:rsid w:val="00724754"/>
    <w:rsid w:val="008B1809"/>
    <w:rsid w:val="00C321FA"/>
    <w:rsid w:val="00E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EF35C"/>
  <w15:chartTrackingRefBased/>
  <w15:docId w15:val="{6035C087-CB3E-4E62-B22D-C088DDEF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809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80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80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80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80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80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80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80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80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80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8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8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8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8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8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8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80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1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80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1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809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18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809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18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80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8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8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3941</Characters>
  <Application>Microsoft Office Word</Application>
  <DocSecurity>0</DocSecurity>
  <Lines>157</Lines>
  <Paragraphs>86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2025-11-06T04:31:00Z</dcterms:created>
  <dcterms:modified xsi:type="dcterms:W3CDTF">2025-11-06T04:31:00Z</dcterms:modified>
</cp:coreProperties>
</file>