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78880" w14:textId="77777777" w:rsidR="00966E12" w:rsidRPr="009E5030" w:rsidRDefault="00966E12">
      <w:pPr>
        <w:rPr>
          <w:rFonts w:ascii="Cambria" w:hAnsi="Cambria" w:cs="Times New Roman"/>
          <w:sz w:val="22"/>
          <w:szCs w:val="22"/>
        </w:rPr>
      </w:pPr>
    </w:p>
    <w:p w14:paraId="0FEBFD42" w14:textId="77777777" w:rsidR="00C82B65" w:rsidRPr="009E5030" w:rsidRDefault="00C82B65">
      <w:pPr>
        <w:rPr>
          <w:rFonts w:ascii="Cambria" w:hAnsi="Cambria" w:cs="Times New Roman"/>
          <w:sz w:val="22"/>
          <w:szCs w:val="22"/>
        </w:rPr>
      </w:pPr>
    </w:p>
    <w:p w14:paraId="57BD0574" w14:textId="77777777" w:rsidR="0053032B" w:rsidRPr="009E5030" w:rsidRDefault="0053032B" w:rsidP="0053032B">
      <w:pPr>
        <w:rPr>
          <w:rFonts w:ascii="Cambria" w:eastAsia="DengXian" w:hAnsi="Cambria" w:cs="Times New Roman"/>
          <w:b/>
          <w:bCs/>
          <w:sz w:val="22"/>
          <w:szCs w:val="22"/>
          <w:lang w:val="en-GB"/>
        </w:rPr>
      </w:pPr>
      <w:r w:rsidRPr="009E5030">
        <w:rPr>
          <w:rFonts w:ascii="Cambria" w:eastAsia="DengXian" w:hAnsi="Cambria" w:cs="Times New Roman"/>
          <w:b/>
          <w:bCs/>
          <w:sz w:val="22"/>
          <w:szCs w:val="22"/>
          <w:lang w:val="en-GB"/>
        </w:rPr>
        <w:t>Supplementary Figures</w:t>
      </w:r>
    </w:p>
    <w:p w14:paraId="17725EC2" w14:textId="77777777" w:rsidR="00482233" w:rsidRPr="009E5030" w:rsidRDefault="0053032B" w:rsidP="0053032B">
      <w:pPr>
        <w:rPr>
          <w:rFonts w:ascii="Cambria" w:eastAsia="DengXian" w:hAnsi="Cambria" w:cs="Times New Roman"/>
          <w:b/>
          <w:bCs/>
          <w:i/>
          <w:iCs/>
          <w:sz w:val="22"/>
          <w:szCs w:val="22"/>
          <w:lang w:val="en-AU"/>
        </w:rPr>
      </w:pPr>
      <w:r w:rsidRPr="009E5030">
        <w:rPr>
          <w:rFonts w:ascii="Cambria" w:eastAsia="DengXian" w:hAnsi="Cambria" w:cs="Times New Roman"/>
          <w:sz w:val="22"/>
          <w:szCs w:val="22"/>
          <w:lang w:val="en-GB"/>
        </w:rPr>
        <w:t xml:space="preserve">Supplement to: </w:t>
      </w:r>
      <w:r w:rsidRPr="009E5030">
        <w:rPr>
          <w:rFonts w:ascii="Cambria" w:hAnsi="Cambria" w:cs="Times New Roman"/>
          <w:sz w:val="22"/>
          <w:szCs w:val="22"/>
        </w:rPr>
        <w:t>Berrell</w:t>
      </w:r>
      <w:r w:rsidRPr="009E5030">
        <w:rPr>
          <w:rFonts w:ascii="Cambria" w:eastAsia="DengXian" w:hAnsi="Cambria" w:cs="Times New Roman"/>
          <w:sz w:val="22"/>
          <w:szCs w:val="22"/>
          <w:lang w:val="en-GB"/>
        </w:rPr>
        <w:t xml:space="preserve"> N, Tan C, </w:t>
      </w:r>
      <w:r w:rsidRPr="009E5030">
        <w:rPr>
          <w:rFonts w:ascii="Cambria" w:hAnsi="Cambria" w:cs="Times New Roman"/>
          <w:sz w:val="22"/>
          <w:szCs w:val="22"/>
        </w:rPr>
        <w:t>Kilgallon</w:t>
      </w:r>
      <w:r w:rsidRPr="009E5030">
        <w:rPr>
          <w:rFonts w:ascii="Cambria" w:eastAsia="DengXian" w:hAnsi="Cambria" w:cs="Times New Roman"/>
          <w:sz w:val="22"/>
          <w:szCs w:val="22"/>
          <w:lang w:val="en-GB"/>
        </w:rPr>
        <w:t xml:space="preserve"> A, … et al. </w:t>
      </w:r>
      <w:r w:rsidRPr="009E5030">
        <w:rPr>
          <w:rFonts w:ascii="Cambria" w:eastAsia="DengXian" w:hAnsi="Cambria" w:cs="Times New Roman"/>
          <w:b/>
          <w:bCs/>
          <w:i/>
          <w:iCs/>
          <w:sz w:val="22"/>
          <w:szCs w:val="22"/>
          <w:lang w:val="en-AU"/>
        </w:rPr>
        <w:t>Spatial multi-</w:t>
      </w:r>
      <w:proofErr w:type="spellStart"/>
      <w:r w:rsidRPr="009E5030">
        <w:rPr>
          <w:rFonts w:ascii="Cambria" w:eastAsia="DengXian" w:hAnsi="Cambria" w:cs="Times New Roman"/>
          <w:b/>
          <w:bCs/>
          <w:i/>
          <w:iCs/>
          <w:sz w:val="22"/>
          <w:szCs w:val="22"/>
          <w:lang w:val="en-AU"/>
        </w:rPr>
        <w:t>omic</w:t>
      </w:r>
      <w:proofErr w:type="spellEnd"/>
      <w:r w:rsidRPr="009E5030">
        <w:rPr>
          <w:rFonts w:ascii="Cambria" w:eastAsia="DengXian" w:hAnsi="Cambria" w:cs="Times New Roman"/>
          <w:b/>
          <w:bCs/>
          <w:i/>
          <w:iCs/>
          <w:sz w:val="22"/>
          <w:szCs w:val="22"/>
          <w:lang w:val="en-AU"/>
        </w:rPr>
        <w:t xml:space="preserve"> predictors of clinical outcomes in adjuvant chemotherapy treated NSCLC</w:t>
      </w:r>
    </w:p>
    <w:p w14:paraId="70C45BB7" w14:textId="77777777" w:rsidR="003C4B76" w:rsidRPr="009E5030" w:rsidRDefault="003C4B76" w:rsidP="0053032B">
      <w:pPr>
        <w:rPr>
          <w:rFonts w:ascii="Cambria" w:eastAsia="DengXian" w:hAnsi="Cambria" w:cs="Times New Roman"/>
          <w:b/>
          <w:bCs/>
          <w:i/>
          <w:iCs/>
          <w:sz w:val="22"/>
          <w:szCs w:val="22"/>
          <w:lang w:val="en-AU"/>
        </w:rPr>
      </w:pPr>
    </w:p>
    <w:p w14:paraId="5F32FA94" w14:textId="52A88909" w:rsidR="003C4B76" w:rsidRPr="009E5030" w:rsidRDefault="00F26AF5" w:rsidP="0053032B">
      <w:pPr>
        <w:rPr>
          <w:rFonts w:ascii="Cambria" w:eastAsia="DengXian" w:hAnsi="Cambria" w:cs="Times New Roman"/>
          <w:b/>
          <w:bCs/>
          <w:i/>
          <w:iCs/>
          <w:sz w:val="22"/>
          <w:szCs w:val="22"/>
          <w:lang w:val="en-AU"/>
        </w:rPr>
      </w:pPr>
      <w:r>
        <w:rPr>
          <w:rFonts w:ascii="Cambria" w:eastAsia="DengXian" w:hAnsi="Cambria" w:cs="Times New Roman"/>
          <w:b/>
          <w:bCs/>
          <w:i/>
          <w:iCs/>
          <w:noProof/>
          <w:sz w:val="22"/>
          <w:szCs w:val="22"/>
        </w:rPr>
        <w:drawing>
          <wp:inline distT="0" distB="0" distL="0" distR="0" wp14:anchorId="70008C14" wp14:editId="25D1BCD5">
            <wp:extent cx="5940425" cy="3748405"/>
            <wp:effectExtent l="0" t="0" r="3175" b="4445"/>
            <wp:docPr id="1206624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DABF" w14:textId="6CEF9A24" w:rsidR="003C4B76" w:rsidRPr="009E5030" w:rsidRDefault="003C4B76" w:rsidP="0053032B">
      <w:pPr>
        <w:rPr>
          <w:rFonts w:ascii="Cambria" w:eastAsia="DengXian" w:hAnsi="Cambria" w:cs="Times New Roman"/>
          <w:i/>
          <w:iCs/>
          <w:sz w:val="22"/>
          <w:szCs w:val="22"/>
          <w:lang w:val="en-AU"/>
        </w:rPr>
      </w:pPr>
      <w:r w:rsidRPr="009E5030">
        <w:rPr>
          <w:rFonts w:ascii="Cambria" w:eastAsia="DengXian" w:hAnsi="Cambria" w:cs="Times New Roman"/>
          <w:b/>
          <w:bCs/>
          <w:i/>
          <w:iCs/>
          <w:sz w:val="22"/>
          <w:szCs w:val="22"/>
          <w:lang w:val="en-AU"/>
        </w:rPr>
        <w:t xml:space="preserve">Supplemental figure </w:t>
      </w:r>
      <w:r w:rsidR="00EA17F7" w:rsidRPr="009E5030">
        <w:rPr>
          <w:rFonts w:ascii="Cambria" w:eastAsia="DengXian" w:hAnsi="Cambria" w:cs="Times New Roman"/>
          <w:b/>
          <w:bCs/>
          <w:i/>
          <w:iCs/>
          <w:sz w:val="22"/>
          <w:szCs w:val="22"/>
          <w:lang w:val="en-AU"/>
        </w:rPr>
        <w:t>1</w:t>
      </w:r>
      <w:r w:rsidRPr="009E5030">
        <w:rPr>
          <w:rFonts w:ascii="Cambria" w:eastAsia="DengXian" w:hAnsi="Cambria" w:cs="Times New Roman"/>
          <w:b/>
          <w:bCs/>
          <w:i/>
          <w:iCs/>
          <w:sz w:val="22"/>
          <w:szCs w:val="22"/>
          <w:lang w:val="en-AU"/>
        </w:rPr>
        <w:t xml:space="preserve">: </w:t>
      </w:r>
      <w:r w:rsidRPr="009E5030">
        <w:rPr>
          <w:rFonts w:ascii="Cambria" w:eastAsia="DengXian" w:hAnsi="Cambria" w:cs="Times New Roman"/>
          <w:i/>
          <w:iCs/>
          <w:sz w:val="22"/>
          <w:szCs w:val="22"/>
          <w:lang w:val="en-AU"/>
        </w:rPr>
        <w:t xml:space="preserve">Heatmaps based on the relationship between base cell types and metabolic pathways. a) Heatmap </w:t>
      </w:r>
      <w:r w:rsidR="00671E5A" w:rsidRPr="009E5030">
        <w:rPr>
          <w:rFonts w:ascii="Cambria" w:eastAsia="DengXian" w:hAnsi="Cambria" w:cs="Times New Roman"/>
          <w:i/>
          <w:iCs/>
          <w:sz w:val="22"/>
          <w:szCs w:val="22"/>
          <w:lang w:val="en-AU"/>
        </w:rPr>
        <w:t>showing the propo</w:t>
      </w:r>
      <w:r w:rsidR="00B901FC" w:rsidRPr="009E5030">
        <w:rPr>
          <w:rFonts w:ascii="Cambria" w:eastAsia="DengXian" w:hAnsi="Cambria" w:cs="Times New Roman"/>
          <w:i/>
          <w:iCs/>
          <w:sz w:val="22"/>
          <w:szCs w:val="22"/>
          <w:lang w:val="en-AU"/>
        </w:rPr>
        <w:t xml:space="preserve">rtion of </w:t>
      </w:r>
      <w:r w:rsidR="00522D31" w:rsidRPr="009E5030">
        <w:rPr>
          <w:rFonts w:ascii="Cambria" w:eastAsia="DengXian" w:hAnsi="Cambria" w:cs="Times New Roman"/>
          <w:i/>
          <w:iCs/>
          <w:sz w:val="22"/>
          <w:szCs w:val="22"/>
          <w:lang w:val="en-AU"/>
        </w:rPr>
        <w:t xml:space="preserve">cell types </w:t>
      </w:r>
      <w:r w:rsidR="00A51597" w:rsidRPr="009E5030">
        <w:rPr>
          <w:rFonts w:ascii="Cambria" w:eastAsia="DengXian" w:hAnsi="Cambria" w:cs="Times New Roman"/>
          <w:i/>
          <w:iCs/>
          <w:sz w:val="22"/>
          <w:szCs w:val="22"/>
          <w:lang w:val="en-AU"/>
        </w:rPr>
        <w:t xml:space="preserve">across the cohort </w:t>
      </w:r>
      <w:r w:rsidR="00E925C0" w:rsidRPr="009E5030">
        <w:rPr>
          <w:rFonts w:ascii="Cambria" w:eastAsia="DengXian" w:hAnsi="Cambria" w:cs="Times New Roman"/>
          <w:i/>
          <w:iCs/>
          <w:sz w:val="22"/>
          <w:szCs w:val="22"/>
          <w:lang w:val="en-AU"/>
        </w:rPr>
        <w:t>for a given metabolic phenotype. b) Heatmap showing the proportion of</w:t>
      </w:r>
      <w:r w:rsidR="00974CD5" w:rsidRPr="009E5030">
        <w:rPr>
          <w:rFonts w:ascii="Cambria" w:eastAsia="DengXian" w:hAnsi="Cambria" w:cs="Times New Roman"/>
          <w:i/>
          <w:iCs/>
          <w:sz w:val="22"/>
          <w:szCs w:val="22"/>
          <w:lang w:val="en-AU"/>
        </w:rPr>
        <w:t xml:space="preserve"> metabolic pathways </w:t>
      </w:r>
      <w:r w:rsidR="006A3458" w:rsidRPr="009E5030">
        <w:rPr>
          <w:rFonts w:ascii="Cambria" w:eastAsia="DengXian" w:hAnsi="Cambria" w:cs="Times New Roman"/>
          <w:i/>
          <w:iCs/>
          <w:sz w:val="22"/>
          <w:szCs w:val="22"/>
          <w:lang w:val="en-AU"/>
        </w:rPr>
        <w:t xml:space="preserve">that contribute to each cell type. </w:t>
      </w:r>
    </w:p>
    <w:p w14:paraId="56D4B065" w14:textId="7154ADFD" w:rsidR="0038435A" w:rsidRPr="009E5030" w:rsidRDefault="00F314F0" w:rsidP="0053032B">
      <w:pPr>
        <w:rPr>
          <w:rFonts w:ascii="Cambria" w:hAnsi="Cambria"/>
          <w:noProof/>
          <w:sz w:val="22"/>
          <w:szCs w:val="22"/>
        </w:rPr>
      </w:pPr>
      <w:r w:rsidRPr="009E5030">
        <w:rPr>
          <w:rFonts w:ascii="Cambria" w:hAnsi="Cambria"/>
          <w:noProof/>
          <w:sz w:val="22"/>
          <w:szCs w:val="22"/>
        </w:rPr>
        <w:lastRenderedPageBreak/>
        <w:t xml:space="preserve"> </w:t>
      </w:r>
      <w:r w:rsidR="00F26AF5" w:rsidRPr="00F26AF5">
        <w:rPr>
          <w:rFonts w:ascii="Cambria" w:eastAsia="DengXian" w:hAnsi="Cambria" w:cs="Times New Roman"/>
          <w:b/>
          <w:bCs/>
          <w:i/>
          <w:iCs/>
          <w:noProof/>
          <w:sz w:val="22"/>
          <w:szCs w:val="22"/>
        </w:rPr>
        <w:t xml:space="preserve"> </w:t>
      </w:r>
      <w:r w:rsidR="006D4CF7">
        <w:rPr>
          <w:rFonts w:ascii="Cambria" w:eastAsia="DengXian" w:hAnsi="Cambria" w:cs="Times New Roman"/>
          <w:b/>
          <w:bCs/>
          <w:i/>
          <w:iCs/>
          <w:noProof/>
          <w:sz w:val="22"/>
          <w:szCs w:val="22"/>
        </w:rPr>
        <w:drawing>
          <wp:inline distT="0" distB="0" distL="0" distR="0" wp14:anchorId="58BBA954" wp14:editId="23E6A4CC">
            <wp:extent cx="4690663" cy="7316276"/>
            <wp:effectExtent l="0" t="0" r="0" b="0"/>
            <wp:docPr id="6984518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" r="1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060" cy="73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BD508" w14:textId="74AB4750" w:rsidR="00C82B65" w:rsidRPr="009E5030" w:rsidRDefault="00435881" w:rsidP="0053032B">
      <w:pPr>
        <w:rPr>
          <w:rFonts w:ascii="Cambria" w:hAnsi="Cambria"/>
          <w:sz w:val="22"/>
          <w:szCs w:val="22"/>
        </w:rPr>
      </w:pPr>
      <w:r w:rsidRPr="009E5030">
        <w:rPr>
          <w:rFonts w:ascii="Cambria" w:hAnsi="Cambria"/>
          <w:b/>
          <w:bCs/>
          <w:noProof/>
          <w:sz w:val="22"/>
          <w:szCs w:val="22"/>
        </w:rPr>
        <w:t>Su</w:t>
      </w:r>
      <w:r w:rsidR="008B556C" w:rsidRPr="009E5030">
        <w:rPr>
          <w:rFonts w:ascii="Cambria" w:hAnsi="Cambria"/>
          <w:b/>
          <w:bCs/>
          <w:noProof/>
          <w:sz w:val="22"/>
          <w:szCs w:val="22"/>
        </w:rPr>
        <w:t>pplemen</w:t>
      </w:r>
      <w:r w:rsidR="001421A5" w:rsidRPr="009E5030">
        <w:rPr>
          <w:rFonts w:ascii="Cambria" w:hAnsi="Cambria"/>
          <w:b/>
          <w:bCs/>
          <w:noProof/>
          <w:sz w:val="22"/>
          <w:szCs w:val="22"/>
        </w:rPr>
        <w:t>ta</w:t>
      </w:r>
      <w:r w:rsidR="00716ACE" w:rsidRPr="009E5030">
        <w:rPr>
          <w:rFonts w:ascii="Cambria" w:hAnsi="Cambria"/>
          <w:b/>
          <w:bCs/>
          <w:noProof/>
          <w:sz w:val="22"/>
          <w:szCs w:val="22"/>
        </w:rPr>
        <w:t xml:space="preserve">l </w:t>
      </w:r>
      <w:r w:rsidR="0038435A" w:rsidRPr="009E5030">
        <w:rPr>
          <w:rFonts w:ascii="Cambria" w:hAnsi="Cambria"/>
          <w:b/>
          <w:bCs/>
          <w:noProof/>
          <w:sz w:val="22"/>
          <w:szCs w:val="22"/>
        </w:rPr>
        <w:t>F</w:t>
      </w:r>
      <w:r w:rsidR="00716ACE" w:rsidRPr="009E5030">
        <w:rPr>
          <w:rFonts w:ascii="Cambria" w:hAnsi="Cambria"/>
          <w:b/>
          <w:bCs/>
          <w:noProof/>
          <w:sz w:val="22"/>
          <w:szCs w:val="22"/>
        </w:rPr>
        <w:t>i</w:t>
      </w:r>
      <w:r w:rsidR="00666D5A" w:rsidRPr="009E5030">
        <w:rPr>
          <w:rFonts w:ascii="Cambria" w:hAnsi="Cambria"/>
          <w:b/>
          <w:bCs/>
          <w:noProof/>
          <w:sz w:val="22"/>
          <w:szCs w:val="22"/>
        </w:rPr>
        <w:t>gure</w:t>
      </w:r>
      <w:r w:rsidR="00D87ADC" w:rsidRPr="009E5030">
        <w:rPr>
          <w:rFonts w:ascii="Cambria" w:hAnsi="Cambria"/>
          <w:b/>
          <w:bCs/>
          <w:noProof/>
          <w:sz w:val="22"/>
          <w:szCs w:val="22"/>
        </w:rPr>
        <w:t xml:space="preserve"> </w:t>
      </w:r>
      <w:r w:rsidR="00197974" w:rsidRPr="009E5030">
        <w:rPr>
          <w:rFonts w:ascii="Cambria" w:hAnsi="Cambria"/>
          <w:b/>
          <w:bCs/>
          <w:noProof/>
          <w:sz w:val="22"/>
          <w:szCs w:val="22"/>
        </w:rPr>
        <w:t>2</w:t>
      </w:r>
      <w:r w:rsidR="0038435A" w:rsidRPr="009E5030">
        <w:rPr>
          <w:rFonts w:ascii="Cambria" w:hAnsi="Cambria"/>
          <w:noProof/>
          <w:sz w:val="22"/>
          <w:szCs w:val="22"/>
        </w:rPr>
        <w:t>.</w:t>
      </w:r>
      <w:r w:rsidR="00D91AC5" w:rsidRPr="009E5030">
        <w:rPr>
          <w:rFonts w:ascii="Cambria" w:hAnsi="Cambria"/>
          <w:sz w:val="22"/>
          <w:szCs w:val="22"/>
        </w:rPr>
        <w:t xml:space="preserve"> </w:t>
      </w:r>
      <w:r w:rsidR="008A30AD" w:rsidRPr="009E5030">
        <w:rPr>
          <w:rFonts w:ascii="Cambria" w:hAnsi="Cambria"/>
          <w:sz w:val="22"/>
          <w:szCs w:val="22"/>
        </w:rPr>
        <w:t xml:space="preserve">Robust features identified by </w:t>
      </w:r>
      <w:r w:rsidR="00332B6A" w:rsidRPr="009E5030">
        <w:rPr>
          <w:rFonts w:ascii="Cambria" w:hAnsi="Cambria"/>
          <w:sz w:val="22"/>
          <w:szCs w:val="22"/>
        </w:rPr>
        <w:t xml:space="preserve">Mann-Whitney U-test </w:t>
      </w:r>
      <w:r w:rsidR="00C9307B" w:rsidRPr="009E5030">
        <w:rPr>
          <w:rFonts w:ascii="Cambria" w:hAnsi="Cambria"/>
          <w:sz w:val="22"/>
          <w:szCs w:val="22"/>
        </w:rPr>
        <w:t xml:space="preserve">for LUSC samples. </w:t>
      </w:r>
      <w:r w:rsidR="0038435A" w:rsidRPr="009E5030">
        <w:rPr>
          <w:rFonts w:ascii="Cambria" w:hAnsi="Cambria"/>
          <w:sz w:val="22"/>
          <w:szCs w:val="22"/>
        </w:rPr>
        <w:t xml:space="preserve">a-b) </w:t>
      </w:r>
      <w:r w:rsidR="00D91AC5" w:rsidRPr="009E5030">
        <w:rPr>
          <w:rFonts w:ascii="Cambria" w:hAnsi="Cambria"/>
          <w:sz w:val="22"/>
          <w:szCs w:val="22"/>
        </w:rPr>
        <w:t>Box plots of immune + metabolic cell proportions across whole cores for LUSC patients, highlighting metabolic differences between relapse and no-relapse patients</w:t>
      </w:r>
      <w:r w:rsidR="0038435A" w:rsidRPr="009E5030">
        <w:rPr>
          <w:rFonts w:ascii="Cambria" w:hAnsi="Cambria"/>
          <w:sz w:val="22"/>
          <w:szCs w:val="22"/>
        </w:rPr>
        <w:t>. c) Box plot of</w:t>
      </w:r>
      <w:r w:rsidR="008A30AD" w:rsidRPr="009E5030">
        <w:rPr>
          <w:rFonts w:ascii="Cambria" w:hAnsi="Cambria"/>
          <w:sz w:val="22"/>
          <w:szCs w:val="22"/>
        </w:rPr>
        <w:t xml:space="preserve"> the proximity of two cell types based on metabolic pathways. </w:t>
      </w:r>
    </w:p>
    <w:p w14:paraId="409DFF0D" w14:textId="77777777" w:rsidR="00CB03FF" w:rsidRPr="009E5030" w:rsidRDefault="00CB03FF" w:rsidP="0053032B">
      <w:pPr>
        <w:rPr>
          <w:rFonts w:ascii="Cambria" w:hAnsi="Cambria"/>
          <w:sz w:val="22"/>
          <w:szCs w:val="22"/>
        </w:rPr>
      </w:pPr>
    </w:p>
    <w:p w14:paraId="45C145F9" w14:textId="01851D0A" w:rsidR="00CB03FF" w:rsidRPr="009E5030" w:rsidRDefault="006D4CF7" w:rsidP="0053032B">
      <w:pPr>
        <w:rPr>
          <w:rFonts w:ascii="Cambria" w:eastAsia="DengXian" w:hAnsi="Cambria" w:cs="Times New Roman"/>
          <w:b/>
          <w:bCs/>
          <w:i/>
          <w:iCs/>
          <w:sz w:val="22"/>
          <w:szCs w:val="22"/>
          <w:lang w:val="en-GB"/>
        </w:rPr>
      </w:pPr>
      <w:r>
        <w:rPr>
          <w:rFonts w:ascii="Cambria" w:eastAsia="DengXian" w:hAnsi="Cambria" w:cs="Times New Roman"/>
          <w:b/>
          <w:bCs/>
          <w:i/>
          <w:iCs/>
          <w:noProof/>
          <w:sz w:val="22"/>
          <w:szCs w:val="22"/>
        </w:rPr>
        <w:drawing>
          <wp:inline distT="0" distB="0" distL="0" distR="0" wp14:anchorId="4B4FDB28" wp14:editId="6AB7AFF8">
            <wp:extent cx="5940425" cy="4222750"/>
            <wp:effectExtent l="0" t="0" r="3175" b="6350"/>
            <wp:docPr id="15995391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D69F2" w14:textId="0BD3E9FA" w:rsidR="0053032B" w:rsidRPr="009E5030" w:rsidRDefault="00CB03FF" w:rsidP="0053032B">
      <w:pPr>
        <w:rPr>
          <w:rFonts w:ascii="Cambria" w:hAnsi="Cambria" w:cs="Times New Roman"/>
          <w:i/>
          <w:iCs/>
          <w:sz w:val="22"/>
          <w:szCs w:val="22"/>
        </w:rPr>
      </w:pPr>
      <w:r w:rsidRPr="009E5030">
        <w:rPr>
          <w:rFonts w:ascii="Cambria" w:hAnsi="Cambria" w:cs="Times New Roman"/>
          <w:b/>
          <w:bCs/>
          <w:sz w:val="22"/>
          <w:szCs w:val="22"/>
        </w:rPr>
        <w:t xml:space="preserve">Supplemental figure </w:t>
      </w:r>
      <w:r w:rsidR="00FA4D2B" w:rsidRPr="009E5030">
        <w:rPr>
          <w:rFonts w:ascii="Cambria" w:hAnsi="Cambria" w:cs="Times New Roman"/>
          <w:b/>
          <w:bCs/>
          <w:sz w:val="22"/>
          <w:szCs w:val="22"/>
        </w:rPr>
        <w:t>3</w:t>
      </w:r>
      <w:r w:rsidRPr="009E5030">
        <w:rPr>
          <w:rFonts w:ascii="Cambria" w:hAnsi="Cambria" w:cs="Times New Roman"/>
          <w:b/>
          <w:bCs/>
          <w:sz w:val="22"/>
          <w:szCs w:val="22"/>
        </w:rPr>
        <w:t xml:space="preserve">: </w:t>
      </w:r>
      <w:r w:rsidRPr="009E5030">
        <w:rPr>
          <w:rFonts w:ascii="Cambria" w:hAnsi="Cambria" w:cs="Times New Roman"/>
          <w:i/>
          <w:iCs/>
          <w:sz w:val="22"/>
          <w:szCs w:val="22"/>
        </w:rPr>
        <w:t>Bar graph showing</w:t>
      </w:r>
      <w:r w:rsidR="00675BF6" w:rsidRPr="009E5030">
        <w:rPr>
          <w:rFonts w:ascii="Cambria" w:hAnsi="Cambria" w:cs="Times New Roman"/>
          <w:i/>
          <w:iCs/>
          <w:sz w:val="22"/>
          <w:szCs w:val="22"/>
        </w:rPr>
        <w:t xml:space="preserve"> </w:t>
      </w:r>
      <w:r w:rsidR="00BE7753" w:rsidRPr="009E5030">
        <w:rPr>
          <w:rFonts w:ascii="Cambria" w:hAnsi="Cambria" w:cs="Times New Roman"/>
          <w:i/>
          <w:iCs/>
          <w:sz w:val="22"/>
          <w:szCs w:val="22"/>
        </w:rPr>
        <w:t xml:space="preserve">which metabolic </w:t>
      </w:r>
      <w:r w:rsidR="00F66DF6" w:rsidRPr="009E5030">
        <w:rPr>
          <w:rFonts w:ascii="Cambria" w:hAnsi="Cambria" w:cs="Times New Roman"/>
          <w:i/>
          <w:iCs/>
          <w:sz w:val="22"/>
          <w:szCs w:val="22"/>
        </w:rPr>
        <w:t>neighborhoods</w:t>
      </w:r>
      <w:r w:rsidR="00BE7753" w:rsidRPr="009E5030">
        <w:rPr>
          <w:rFonts w:ascii="Cambria" w:hAnsi="Cambria" w:cs="Times New Roman"/>
          <w:i/>
          <w:iCs/>
          <w:sz w:val="22"/>
          <w:szCs w:val="22"/>
        </w:rPr>
        <w:t xml:space="preserve"> each cell is </w:t>
      </w:r>
      <w:r w:rsidR="00D57C96" w:rsidRPr="009E5030">
        <w:rPr>
          <w:rFonts w:ascii="Cambria" w:hAnsi="Cambria" w:cs="Times New Roman"/>
          <w:i/>
          <w:iCs/>
          <w:sz w:val="22"/>
          <w:szCs w:val="22"/>
        </w:rPr>
        <w:t xml:space="preserve">found in. </w:t>
      </w:r>
      <w:r w:rsidR="004B5883" w:rsidRPr="009E5030">
        <w:rPr>
          <w:rFonts w:ascii="Cambria" w:hAnsi="Cambria" w:cs="Times New Roman"/>
          <w:i/>
          <w:iCs/>
          <w:sz w:val="22"/>
          <w:szCs w:val="22"/>
        </w:rPr>
        <w:t xml:space="preserve"> </w:t>
      </w:r>
    </w:p>
    <w:p w14:paraId="5E4B3B12" w14:textId="62D9BB1A" w:rsidR="00EA17F7" w:rsidRPr="009E5030" w:rsidRDefault="009A5F18" w:rsidP="00EA17F7">
      <w:pPr>
        <w:tabs>
          <w:tab w:val="left" w:pos="1103"/>
        </w:tabs>
      </w:pPr>
      <w:r>
        <w:rPr>
          <w:noProof/>
        </w:rPr>
        <w:lastRenderedPageBreak/>
        <w:drawing>
          <wp:inline distT="0" distB="0" distL="0" distR="0" wp14:anchorId="068B8C11" wp14:editId="5ACDBAB8">
            <wp:extent cx="5814695" cy="7156174"/>
            <wp:effectExtent l="0" t="0" r="0" b="6985"/>
            <wp:docPr id="1314585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715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60CEA" w14:textId="615255E9" w:rsidR="00EA17F7" w:rsidRPr="009E5030" w:rsidRDefault="00EA17F7" w:rsidP="00EA17F7">
      <w:pPr>
        <w:tabs>
          <w:tab w:val="left" w:pos="1103"/>
        </w:tabs>
        <w:rPr>
          <w:rFonts w:ascii="Cambria" w:hAnsi="Cambria"/>
          <w:sz w:val="22"/>
          <w:szCs w:val="22"/>
        </w:rPr>
      </w:pPr>
      <w:r w:rsidRPr="00C72616">
        <w:rPr>
          <w:rFonts w:ascii="Cambria" w:hAnsi="Cambria"/>
          <w:b/>
          <w:bCs/>
          <w:sz w:val="22"/>
          <w:szCs w:val="22"/>
        </w:rPr>
        <w:t xml:space="preserve">Supplementary Figure </w:t>
      </w:r>
      <w:r w:rsidR="009E5030" w:rsidRPr="009E5030">
        <w:rPr>
          <w:rFonts w:ascii="Cambria" w:hAnsi="Cambria"/>
          <w:b/>
          <w:bCs/>
          <w:sz w:val="22"/>
          <w:szCs w:val="22"/>
        </w:rPr>
        <w:t>4</w:t>
      </w:r>
      <w:r w:rsidRPr="00C72616">
        <w:rPr>
          <w:rFonts w:ascii="Cambria" w:hAnsi="Cambria"/>
          <w:b/>
          <w:bCs/>
          <w:sz w:val="22"/>
          <w:szCs w:val="22"/>
        </w:rPr>
        <w:t xml:space="preserve">: </w:t>
      </w:r>
      <w:proofErr w:type="spellStart"/>
      <w:r w:rsidRPr="00C72616">
        <w:rPr>
          <w:rFonts w:ascii="Cambria" w:hAnsi="Cambria"/>
          <w:b/>
          <w:bCs/>
          <w:sz w:val="22"/>
          <w:szCs w:val="22"/>
        </w:rPr>
        <w:t>Stabl</w:t>
      </w:r>
      <w:proofErr w:type="spellEnd"/>
      <w:r w:rsidRPr="00C72616">
        <w:rPr>
          <w:rFonts w:ascii="Cambria" w:hAnsi="Cambria"/>
          <w:b/>
          <w:bCs/>
          <w:sz w:val="22"/>
          <w:szCs w:val="22"/>
        </w:rPr>
        <w:t xml:space="preserve"> feature selection results.  a)</w:t>
      </w:r>
      <w:r w:rsidRPr="009E5030">
        <w:rPr>
          <w:rFonts w:ascii="Cambria" w:hAnsi="Cambria"/>
          <w:sz w:val="22"/>
          <w:szCs w:val="22"/>
        </w:rPr>
        <w:t xml:space="preserve"> Estimated false-discovery proportions (left) and </w:t>
      </w:r>
      <w:proofErr w:type="spellStart"/>
      <w:r w:rsidRPr="009E5030">
        <w:rPr>
          <w:rFonts w:ascii="Cambria" w:hAnsi="Cambria"/>
          <w:sz w:val="22"/>
          <w:szCs w:val="22"/>
        </w:rPr>
        <w:t>regularisation</w:t>
      </w:r>
      <w:proofErr w:type="spellEnd"/>
      <w:r w:rsidRPr="009E5030">
        <w:rPr>
          <w:rFonts w:ascii="Cambria" w:hAnsi="Cambria"/>
          <w:sz w:val="22"/>
          <w:szCs w:val="22"/>
        </w:rPr>
        <w:t xml:space="preserve"> paths (right) for quantile-transformed features when fitting to relapse status.  </w:t>
      </w:r>
      <w:r w:rsidRPr="009E5030">
        <w:rPr>
          <w:rFonts w:ascii="Cambria" w:hAnsi="Cambria"/>
          <w:b/>
          <w:bCs/>
          <w:sz w:val="22"/>
          <w:szCs w:val="22"/>
        </w:rPr>
        <w:t>b-e</w:t>
      </w:r>
      <w:r w:rsidRPr="00C72616">
        <w:rPr>
          <w:rFonts w:ascii="Cambria" w:hAnsi="Cambria"/>
          <w:b/>
          <w:bCs/>
          <w:sz w:val="22"/>
          <w:szCs w:val="22"/>
        </w:rPr>
        <w:t>)</w:t>
      </w:r>
      <w:r w:rsidRPr="009E5030">
        <w:rPr>
          <w:rFonts w:ascii="Cambria" w:hAnsi="Cambria"/>
          <w:sz w:val="22"/>
          <w:szCs w:val="22"/>
        </w:rPr>
        <w:t xml:space="preserve"> Estimated false-discovery proportions (left) and </w:t>
      </w:r>
      <w:proofErr w:type="spellStart"/>
      <w:r w:rsidRPr="009E5030">
        <w:rPr>
          <w:rFonts w:ascii="Cambria" w:hAnsi="Cambria"/>
          <w:sz w:val="22"/>
          <w:szCs w:val="22"/>
        </w:rPr>
        <w:t>regularisation</w:t>
      </w:r>
      <w:proofErr w:type="spellEnd"/>
      <w:r w:rsidRPr="009E5030">
        <w:rPr>
          <w:rFonts w:ascii="Cambria" w:hAnsi="Cambria"/>
          <w:sz w:val="22"/>
          <w:szCs w:val="22"/>
        </w:rPr>
        <w:t xml:space="preserve"> paths (right) for JSD-family features, G-Cross AUC-family features, </w:t>
      </w:r>
      <w:proofErr w:type="spellStart"/>
      <w:r w:rsidRPr="009E5030">
        <w:rPr>
          <w:rFonts w:ascii="Cambria" w:hAnsi="Cambria"/>
          <w:sz w:val="22"/>
          <w:szCs w:val="22"/>
        </w:rPr>
        <w:t>neighbourhood</w:t>
      </w:r>
      <w:proofErr w:type="spellEnd"/>
      <w:r w:rsidRPr="009E5030">
        <w:rPr>
          <w:rFonts w:ascii="Cambria" w:hAnsi="Cambria"/>
          <w:sz w:val="22"/>
          <w:szCs w:val="22"/>
        </w:rPr>
        <w:t xml:space="preserve"> proportion-family features, and entropy / whole core proportion features, when fit to relapse-free-survival time.  </w:t>
      </w:r>
    </w:p>
    <w:p w14:paraId="3BF95373" w14:textId="328F4FD4" w:rsidR="00EA17F7" w:rsidRPr="009E5030" w:rsidRDefault="00CE07B3" w:rsidP="00EA17F7">
      <w:pPr>
        <w:tabs>
          <w:tab w:val="left" w:pos="1103"/>
        </w:tabs>
      </w:pPr>
      <w:r>
        <w:rPr>
          <w:noProof/>
        </w:rPr>
        <w:lastRenderedPageBreak/>
        <w:drawing>
          <wp:inline distT="0" distB="0" distL="0" distR="0" wp14:anchorId="5ACE8E6D" wp14:editId="3C583D51">
            <wp:extent cx="5544820" cy="8229600"/>
            <wp:effectExtent l="0" t="0" r="0" b="0"/>
            <wp:docPr id="14659542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33BF1" w14:textId="31C34307" w:rsidR="00EA17F7" w:rsidRPr="009E5030" w:rsidRDefault="00EA17F7" w:rsidP="00EA17F7">
      <w:pPr>
        <w:tabs>
          <w:tab w:val="left" w:pos="1103"/>
        </w:tabs>
        <w:rPr>
          <w:rFonts w:ascii="Cambria" w:hAnsi="Cambria"/>
          <w:b/>
          <w:bCs/>
          <w:sz w:val="22"/>
          <w:szCs w:val="22"/>
        </w:rPr>
      </w:pPr>
      <w:r w:rsidRPr="009E5030">
        <w:rPr>
          <w:rFonts w:ascii="Cambria" w:hAnsi="Cambria"/>
          <w:b/>
          <w:bCs/>
          <w:sz w:val="22"/>
          <w:szCs w:val="22"/>
        </w:rPr>
        <w:lastRenderedPageBreak/>
        <w:t xml:space="preserve">Supplementary Figure </w:t>
      </w:r>
      <w:r w:rsidR="009E5030" w:rsidRPr="009E5030">
        <w:rPr>
          <w:rFonts w:ascii="Cambria" w:hAnsi="Cambria"/>
          <w:b/>
          <w:bCs/>
          <w:sz w:val="22"/>
          <w:szCs w:val="22"/>
        </w:rPr>
        <w:t>5</w:t>
      </w:r>
      <w:r w:rsidRPr="009E5030">
        <w:rPr>
          <w:rFonts w:ascii="Cambria" w:hAnsi="Cambria"/>
          <w:b/>
          <w:bCs/>
          <w:sz w:val="22"/>
          <w:szCs w:val="22"/>
        </w:rPr>
        <w:t xml:space="preserve">: Modelling of relapse and relapse-free-survival time of the selected features from the multivariable feature selection.  a)  </w:t>
      </w:r>
      <w:r w:rsidRPr="009E5030">
        <w:rPr>
          <w:rFonts w:ascii="Cambria" w:hAnsi="Cambria"/>
          <w:sz w:val="22"/>
          <w:szCs w:val="22"/>
        </w:rPr>
        <w:t xml:space="preserve">Cox Proportional Hazards (CoxPH) model Hazard Ratios (HRs) for features selected to model relapse status are shown sorted by their median HR for overall survival OS.  </w:t>
      </w:r>
      <w:r w:rsidRPr="009E5030">
        <w:rPr>
          <w:rFonts w:ascii="Cambria" w:hAnsi="Cambria"/>
          <w:b/>
          <w:bCs/>
          <w:sz w:val="22"/>
          <w:szCs w:val="22"/>
        </w:rPr>
        <w:t>b)</w:t>
      </w:r>
      <w:r w:rsidRPr="009E5030">
        <w:rPr>
          <w:rFonts w:ascii="Cambria" w:hAnsi="Cambria"/>
          <w:sz w:val="22"/>
          <w:szCs w:val="22"/>
        </w:rPr>
        <w:t xml:space="preserve"> Hazard ratios for CoxPH fits to model relapse status are sorted by HR for relapse-free survival (RFS).  </w:t>
      </w:r>
      <w:r w:rsidRPr="009E5030">
        <w:rPr>
          <w:rFonts w:ascii="Cambria" w:hAnsi="Cambria"/>
          <w:b/>
          <w:bCs/>
          <w:sz w:val="22"/>
          <w:szCs w:val="22"/>
        </w:rPr>
        <w:t>c)</w:t>
      </w:r>
      <w:r w:rsidRPr="009E5030">
        <w:rPr>
          <w:rFonts w:ascii="Cambria" w:hAnsi="Cambria"/>
          <w:sz w:val="22"/>
          <w:szCs w:val="22"/>
        </w:rPr>
        <w:t xml:space="preserve"> Shapley values are shown for each feature to highlight the feature importance in modeling RFS using a fit </w:t>
      </w:r>
      <w:proofErr w:type="spellStart"/>
      <w:r w:rsidRPr="009E5030">
        <w:rPr>
          <w:rFonts w:ascii="Cambria" w:hAnsi="Cambria"/>
          <w:sz w:val="22"/>
          <w:szCs w:val="22"/>
        </w:rPr>
        <w:t>BoostedCoxModel</w:t>
      </w:r>
      <w:proofErr w:type="spellEnd"/>
      <w:r w:rsidRPr="009E5030">
        <w:rPr>
          <w:rFonts w:ascii="Cambria" w:hAnsi="Cambria"/>
          <w:sz w:val="22"/>
          <w:szCs w:val="22"/>
        </w:rPr>
        <w:t xml:space="preserve">. </w:t>
      </w:r>
      <w:r w:rsidRPr="009E5030">
        <w:rPr>
          <w:rFonts w:ascii="Cambria" w:hAnsi="Cambria"/>
          <w:b/>
          <w:bCs/>
          <w:sz w:val="22"/>
          <w:szCs w:val="22"/>
        </w:rPr>
        <w:t>d)</w:t>
      </w:r>
      <w:r w:rsidRPr="009E5030">
        <w:rPr>
          <w:rFonts w:ascii="Cambria" w:hAnsi="Cambria"/>
          <w:sz w:val="22"/>
          <w:szCs w:val="22"/>
        </w:rPr>
        <w:t xml:space="preserve"> HRs for OS of a CoxPH fit using features selected to model RFS are similarly shown, sorted by RFS HR.  </w:t>
      </w:r>
      <w:r w:rsidRPr="00C72616">
        <w:rPr>
          <w:rFonts w:ascii="Cambria" w:hAnsi="Cambria"/>
          <w:b/>
          <w:bCs/>
          <w:sz w:val="22"/>
          <w:szCs w:val="22"/>
        </w:rPr>
        <w:t>e</w:t>
      </w:r>
      <w:r w:rsidRPr="009E5030">
        <w:rPr>
          <w:rFonts w:ascii="Cambria" w:hAnsi="Cambria"/>
          <w:b/>
          <w:bCs/>
          <w:sz w:val="22"/>
          <w:szCs w:val="22"/>
        </w:rPr>
        <w:t>)</w:t>
      </w:r>
      <w:r w:rsidRPr="009E5030">
        <w:rPr>
          <w:rFonts w:ascii="Cambria" w:hAnsi="Cambria"/>
          <w:sz w:val="22"/>
          <w:szCs w:val="22"/>
        </w:rPr>
        <w:t xml:space="preserve"> Hazard ratios for CoxPH fits to model RFS are sorted by HR for RFS.  </w:t>
      </w:r>
      <w:r w:rsidRPr="009E5030">
        <w:rPr>
          <w:rFonts w:ascii="Cambria" w:hAnsi="Cambria"/>
          <w:b/>
          <w:bCs/>
          <w:sz w:val="22"/>
          <w:szCs w:val="22"/>
        </w:rPr>
        <w:t xml:space="preserve">f)  </w:t>
      </w:r>
      <w:r w:rsidRPr="009E5030">
        <w:rPr>
          <w:rFonts w:ascii="Cambria" w:hAnsi="Cambria"/>
          <w:sz w:val="22"/>
          <w:szCs w:val="22"/>
        </w:rPr>
        <w:t xml:space="preserve">Shapley values are shown for each feature to highlight the feature importance in modelling RFS using a fit </w:t>
      </w:r>
      <w:proofErr w:type="spellStart"/>
      <w:r w:rsidRPr="009E5030">
        <w:rPr>
          <w:rFonts w:ascii="Cambria" w:hAnsi="Cambria"/>
          <w:sz w:val="22"/>
          <w:szCs w:val="22"/>
        </w:rPr>
        <w:t>BoostedCoxModel</w:t>
      </w:r>
      <w:proofErr w:type="spellEnd"/>
      <w:r w:rsidRPr="009E5030">
        <w:rPr>
          <w:rFonts w:ascii="Cambria" w:hAnsi="Cambria"/>
          <w:sz w:val="22"/>
          <w:szCs w:val="22"/>
        </w:rPr>
        <w:t>.</w:t>
      </w:r>
      <w:r w:rsidRPr="009E5030">
        <w:rPr>
          <w:rFonts w:ascii="Cambria" w:hAnsi="Cambria"/>
          <w:b/>
          <w:bCs/>
          <w:sz w:val="22"/>
          <w:szCs w:val="22"/>
        </w:rPr>
        <w:t xml:space="preserve"> </w:t>
      </w:r>
    </w:p>
    <w:p w14:paraId="021F6C3D" w14:textId="77777777" w:rsidR="00EA17F7" w:rsidRPr="009E5030" w:rsidRDefault="00EA17F7" w:rsidP="00EA17F7">
      <w:pPr>
        <w:tabs>
          <w:tab w:val="left" w:pos="1103"/>
        </w:tabs>
        <w:rPr>
          <w:rFonts w:ascii="Cambria" w:hAnsi="Cambria"/>
          <w:b/>
          <w:bCs/>
          <w:sz w:val="22"/>
          <w:szCs w:val="22"/>
        </w:rPr>
      </w:pPr>
    </w:p>
    <w:p w14:paraId="0A8811EB" w14:textId="7EFF73C7" w:rsidR="00EA17F7" w:rsidRPr="009E5030" w:rsidRDefault="00CE07B3" w:rsidP="00EA17F7">
      <w:pPr>
        <w:tabs>
          <w:tab w:val="left" w:pos="1103"/>
        </w:tabs>
      </w:pPr>
      <w:r>
        <w:rPr>
          <w:noProof/>
        </w:rPr>
        <w:drawing>
          <wp:inline distT="0" distB="0" distL="0" distR="0" wp14:anchorId="1F95A113" wp14:editId="7EE1ED44">
            <wp:extent cx="5943600" cy="2554356"/>
            <wp:effectExtent l="0" t="0" r="0" b="0"/>
            <wp:docPr id="408320548" name="Picture 4" descr="A diagram with colorful circle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20548" name="Picture 4" descr="A diagram with colorful circles and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408DE" w14:textId="35ED7777" w:rsidR="00EA17F7" w:rsidRPr="009E5030" w:rsidRDefault="00EA17F7" w:rsidP="00EA17F7">
      <w:pPr>
        <w:tabs>
          <w:tab w:val="left" w:pos="1103"/>
        </w:tabs>
        <w:jc w:val="both"/>
        <w:rPr>
          <w:rFonts w:ascii="Cambria" w:hAnsi="Cambria"/>
          <w:sz w:val="22"/>
          <w:szCs w:val="22"/>
        </w:rPr>
      </w:pPr>
      <w:r w:rsidRPr="00C72616">
        <w:rPr>
          <w:rFonts w:ascii="Cambria" w:hAnsi="Cambria"/>
          <w:b/>
          <w:bCs/>
          <w:sz w:val="22"/>
          <w:szCs w:val="22"/>
        </w:rPr>
        <w:t xml:space="preserve">Supplementary Figure </w:t>
      </w:r>
      <w:r w:rsidR="009E5030" w:rsidRPr="009E5030">
        <w:rPr>
          <w:rFonts w:ascii="Cambria" w:hAnsi="Cambria"/>
          <w:b/>
          <w:bCs/>
          <w:sz w:val="22"/>
          <w:szCs w:val="22"/>
        </w:rPr>
        <w:t>6</w:t>
      </w:r>
      <w:r w:rsidRPr="00C72616">
        <w:rPr>
          <w:rFonts w:ascii="Cambria" w:hAnsi="Cambria"/>
          <w:b/>
          <w:bCs/>
          <w:sz w:val="22"/>
          <w:szCs w:val="22"/>
        </w:rPr>
        <w:t xml:space="preserve">: </w:t>
      </w:r>
      <w:r w:rsidRPr="00C72616">
        <w:rPr>
          <w:rFonts w:ascii="Cambria" w:hAnsi="Cambria"/>
          <w:sz w:val="22"/>
          <w:szCs w:val="22"/>
        </w:rPr>
        <w:t>A</w:t>
      </w:r>
      <w:r w:rsidRPr="009E5030">
        <w:rPr>
          <w:rFonts w:ascii="Cambria" w:hAnsi="Cambria"/>
          <w:sz w:val="22"/>
          <w:szCs w:val="22"/>
        </w:rPr>
        <w:t xml:space="preserve"> qualitative assessment of the features selected to model relapse, indicating that across JSD, G-Cross AUC, and proportion features, proximity of CD8+ T Cells to tumor cells with a range of metabolic profiles are the primary features selected.  Additional features included proximity and existence of CD4+ T Cells with metabolically diverse profiles, macrophages with diverse functional and metabolic states, and the presence of anti-gen expressing tumor cells.</w:t>
      </w:r>
    </w:p>
    <w:p w14:paraId="7E74E25C" w14:textId="77777777" w:rsidR="00EA17F7" w:rsidRPr="009E5030" w:rsidRDefault="00EA17F7" w:rsidP="00EA17F7">
      <w:pPr>
        <w:tabs>
          <w:tab w:val="left" w:pos="1103"/>
        </w:tabs>
        <w:rPr>
          <w:rFonts w:ascii="Cambria" w:hAnsi="Cambria"/>
          <w:sz w:val="22"/>
          <w:szCs w:val="22"/>
        </w:rPr>
      </w:pPr>
    </w:p>
    <w:p w14:paraId="651CDD71" w14:textId="77777777" w:rsidR="00EA17F7" w:rsidRPr="009E5030" w:rsidRDefault="00EA17F7" w:rsidP="00EA17F7">
      <w:pPr>
        <w:tabs>
          <w:tab w:val="left" w:pos="1103"/>
        </w:tabs>
        <w:rPr>
          <w:rFonts w:ascii="Cambria" w:hAnsi="Cambria"/>
          <w:sz w:val="22"/>
          <w:szCs w:val="22"/>
        </w:rPr>
      </w:pPr>
    </w:p>
    <w:p w14:paraId="1F681D95" w14:textId="083885C4" w:rsidR="00EA17F7" w:rsidRPr="009E5030" w:rsidRDefault="00C777AC" w:rsidP="00EA17F7">
      <w:pPr>
        <w:tabs>
          <w:tab w:val="left" w:pos="1103"/>
        </w:tabs>
      </w:pPr>
      <w:r>
        <w:rPr>
          <w:noProof/>
        </w:rPr>
        <w:lastRenderedPageBreak/>
        <w:drawing>
          <wp:inline distT="0" distB="0" distL="0" distR="0" wp14:anchorId="3156097D" wp14:editId="4313A803">
            <wp:extent cx="5820410" cy="6510130"/>
            <wp:effectExtent l="0" t="0" r="8890" b="5080"/>
            <wp:docPr id="1266978274" name="Picture 5" descr="A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78274" name="Picture 5" descr="A screen 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65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39552" w14:textId="742C09D4" w:rsidR="00EA17F7" w:rsidRPr="009E5030" w:rsidRDefault="00EA17F7" w:rsidP="00EA17F7">
      <w:pPr>
        <w:tabs>
          <w:tab w:val="left" w:pos="1103"/>
        </w:tabs>
        <w:rPr>
          <w:rFonts w:ascii="Cambria" w:hAnsi="Cambria"/>
          <w:sz w:val="22"/>
          <w:szCs w:val="22"/>
        </w:rPr>
      </w:pPr>
      <w:r w:rsidRPr="00C72616">
        <w:rPr>
          <w:rFonts w:ascii="Cambria" w:hAnsi="Cambria"/>
          <w:b/>
          <w:bCs/>
          <w:sz w:val="22"/>
          <w:szCs w:val="22"/>
        </w:rPr>
        <w:t xml:space="preserve">Supplementary Figure </w:t>
      </w:r>
      <w:r w:rsidR="009E5030" w:rsidRPr="009E5030">
        <w:rPr>
          <w:rFonts w:ascii="Cambria" w:hAnsi="Cambria"/>
          <w:b/>
          <w:bCs/>
          <w:sz w:val="22"/>
          <w:szCs w:val="22"/>
        </w:rPr>
        <w:t>7</w:t>
      </w:r>
      <w:r w:rsidRPr="00C72616">
        <w:rPr>
          <w:rFonts w:ascii="Cambria" w:hAnsi="Cambria"/>
          <w:b/>
          <w:bCs/>
          <w:sz w:val="22"/>
          <w:szCs w:val="22"/>
        </w:rPr>
        <w:t>:</w:t>
      </w:r>
      <w:r w:rsidRPr="009E5030">
        <w:rPr>
          <w:rFonts w:ascii="Cambria" w:hAnsi="Cambria"/>
          <w:sz w:val="22"/>
          <w:szCs w:val="22"/>
        </w:rPr>
        <w:t xml:space="preserve"> A profile of the feature distributions (right subpanel) for features selected to model relapse status, grouped by JSD family (top), </w:t>
      </w:r>
      <w:proofErr w:type="spellStart"/>
      <w:r w:rsidRPr="009E5030">
        <w:rPr>
          <w:rFonts w:ascii="Cambria" w:hAnsi="Cambria"/>
          <w:sz w:val="22"/>
          <w:szCs w:val="22"/>
        </w:rPr>
        <w:t>neighbourhood</w:t>
      </w:r>
      <w:proofErr w:type="spellEnd"/>
      <w:r w:rsidRPr="009E5030">
        <w:rPr>
          <w:rFonts w:ascii="Cambria" w:hAnsi="Cambria"/>
          <w:sz w:val="22"/>
          <w:szCs w:val="22"/>
        </w:rPr>
        <w:t xml:space="preserve"> proportions (middle), whole core proportions (middle), and then G-Cross AUC (bottom).  Ratios between the feature median values for patients who relapsed versus those that did not relapse are down in the left subpanel.  </w:t>
      </w:r>
    </w:p>
    <w:p w14:paraId="53C473D5" w14:textId="20FC88E1" w:rsidR="00EA17F7" w:rsidRPr="009E5030" w:rsidRDefault="00EA17F7" w:rsidP="00EA17F7">
      <w:pPr>
        <w:tabs>
          <w:tab w:val="left" w:pos="1103"/>
        </w:tabs>
      </w:pPr>
    </w:p>
    <w:p w14:paraId="329C94C3" w14:textId="6FC6E239" w:rsidR="00EA17F7" w:rsidRPr="009E5030" w:rsidRDefault="00C777AC" w:rsidP="00EA17F7">
      <w:pPr>
        <w:tabs>
          <w:tab w:val="left" w:pos="1103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  <w:noProof/>
          <w:sz w:val="22"/>
          <w:szCs w:val="22"/>
        </w:rPr>
        <w:lastRenderedPageBreak/>
        <w:drawing>
          <wp:inline distT="0" distB="0" distL="0" distR="0" wp14:anchorId="50E49AAF" wp14:editId="4FD89687">
            <wp:extent cx="5814695" cy="7434470"/>
            <wp:effectExtent l="0" t="0" r="0" b="0"/>
            <wp:docPr id="20851739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743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17F7" w:rsidRPr="00C72616">
        <w:rPr>
          <w:rFonts w:ascii="Cambria" w:hAnsi="Cambria"/>
          <w:b/>
          <w:bCs/>
          <w:sz w:val="22"/>
          <w:szCs w:val="22"/>
        </w:rPr>
        <w:t xml:space="preserve">Supplementary Figure </w:t>
      </w:r>
      <w:r w:rsidR="009E5030" w:rsidRPr="009E5030">
        <w:rPr>
          <w:rFonts w:ascii="Cambria" w:hAnsi="Cambria"/>
          <w:b/>
          <w:bCs/>
          <w:sz w:val="22"/>
          <w:szCs w:val="22"/>
        </w:rPr>
        <w:t>8</w:t>
      </w:r>
      <w:r w:rsidR="00EA17F7" w:rsidRPr="00C72616">
        <w:rPr>
          <w:rFonts w:ascii="Cambria" w:hAnsi="Cambria"/>
          <w:b/>
          <w:bCs/>
          <w:sz w:val="22"/>
          <w:szCs w:val="22"/>
        </w:rPr>
        <w:t>:</w:t>
      </w:r>
      <w:r w:rsidR="00EA17F7" w:rsidRPr="009E5030">
        <w:rPr>
          <w:rFonts w:ascii="Cambria" w:hAnsi="Cambria"/>
          <w:sz w:val="22"/>
          <w:szCs w:val="22"/>
        </w:rPr>
        <w:t xml:space="preserve"> Kaplan Meier (KM) curves for some selected features from the </w:t>
      </w:r>
      <w:proofErr w:type="spellStart"/>
      <w:r w:rsidR="00EA17F7" w:rsidRPr="009E5030">
        <w:rPr>
          <w:rFonts w:ascii="Cambria" w:hAnsi="Cambria"/>
          <w:sz w:val="22"/>
          <w:szCs w:val="22"/>
        </w:rPr>
        <w:t>Stabl</w:t>
      </w:r>
      <w:proofErr w:type="spellEnd"/>
      <w:r w:rsidR="00EA17F7" w:rsidRPr="009E5030">
        <w:rPr>
          <w:rFonts w:ascii="Cambria" w:hAnsi="Cambria"/>
          <w:sz w:val="22"/>
          <w:szCs w:val="22"/>
        </w:rPr>
        <w:t xml:space="preserve"> feature selection pipeline to model a) binary relapse or b) relapse-free-survival.  Each grouping shows KM curves for relapse-free-survival (left subpanels) and overall survival (right subpanels).  </w:t>
      </w:r>
      <w:r w:rsidR="00EA17F7" w:rsidRPr="009E5030">
        <w:rPr>
          <w:rFonts w:ascii="Cambria" w:hAnsi="Cambria"/>
          <w:sz w:val="22"/>
          <w:szCs w:val="22"/>
        </w:rPr>
        <w:lastRenderedPageBreak/>
        <w:t>KM curves are split by median values, showing high (grey) and low (blue) groups, for validation sets (solid lines) and training sets (dashed lines).</w:t>
      </w:r>
    </w:p>
    <w:p w14:paraId="3C03C346" w14:textId="77777777" w:rsidR="00EA17F7" w:rsidRPr="009E5030" w:rsidRDefault="00EA17F7" w:rsidP="00EA17F7">
      <w:pPr>
        <w:tabs>
          <w:tab w:val="left" w:pos="1103"/>
        </w:tabs>
        <w:rPr>
          <w:rFonts w:ascii="Cambria" w:hAnsi="Cambria"/>
          <w:sz w:val="22"/>
          <w:szCs w:val="22"/>
        </w:rPr>
      </w:pPr>
    </w:p>
    <w:p w14:paraId="77672460" w14:textId="7223AA2A" w:rsidR="00EA17F7" w:rsidRPr="009E5030" w:rsidRDefault="00BB34BB" w:rsidP="00EA17F7">
      <w:pPr>
        <w:tabs>
          <w:tab w:val="left" w:pos="1103"/>
        </w:tabs>
      </w:pPr>
      <w:r>
        <w:rPr>
          <w:rFonts w:ascii="Cambria" w:hAnsi="Cambria"/>
          <w:b/>
          <w:bCs/>
          <w:noProof/>
          <w:sz w:val="22"/>
          <w:szCs w:val="22"/>
        </w:rPr>
        <w:drawing>
          <wp:inline distT="0" distB="0" distL="0" distR="0" wp14:anchorId="59A5DA38" wp14:editId="03F4E34E">
            <wp:extent cx="5814695" cy="6062870"/>
            <wp:effectExtent l="0" t="0" r="0" b="0"/>
            <wp:docPr id="1843058687" name="Picture 7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58687" name="Picture 7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60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B6FCF" w14:textId="23219896" w:rsidR="00EA17F7" w:rsidRPr="009E5030" w:rsidRDefault="00EA17F7" w:rsidP="00EA17F7">
      <w:pPr>
        <w:tabs>
          <w:tab w:val="left" w:pos="1103"/>
        </w:tabs>
        <w:rPr>
          <w:rFonts w:ascii="Cambria" w:hAnsi="Cambria"/>
          <w:sz w:val="22"/>
          <w:szCs w:val="22"/>
        </w:rPr>
      </w:pPr>
      <w:r w:rsidRPr="009E5030">
        <w:rPr>
          <w:rFonts w:ascii="Cambria" w:hAnsi="Cambria"/>
          <w:b/>
          <w:bCs/>
          <w:sz w:val="22"/>
          <w:szCs w:val="22"/>
        </w:rPr>
        <w:t xml:space="preserve">Supplementary Figure </w:t>
      </w:r>
      <w:r w:rsidR="009E5030" w:rsidRPr="009E5030">
        <w:rPr>
          <w:rFonts w:ascii="Cambria" w:hAnsi="Cambria"/>
          <w:b/>
          <w:bCs/>
          <w:sz w:val="22"/>
          <w:szCs w:val="22"/>
        </w:rPr>
        <w:t>9</w:t>
      </w:r>
      <w:r w:rsidRPr="009E5030">
        <w:rPr>
          <w:rFonts w:ascii="Cambria" w:hAnsi="Cambria"/>
          <w:b/>
          <w:bCs/>
          <w:sz w:val="22"/>
          <w:szCs w:val="22"/>
        </w:rPr>
        <w:t xml:space="preserve">: Agglomerated proportions within relapse-like and </w:t>
      </w:r>
      <w:proofErr w:type="spellStart"/>
      <w:proofErr w:type="gramStart"/>
      <w:r w:rsidRPr="009E5030">
        <w:rPr>
          <w:rFonts w:ascii="Cambria" w:hAnsi="Cambria"/>
          <w:b/>
          <w:bCs/>
          <w:sz w:val="22"/>
          <w:szCs w:val="22"/>
        </w:rPr>
        <w:t>non relapse</w:t>
      </w:r>
      <w:proofErr w:type="spellEnd"/>
      <w:proofErr w:type="gramEnd"/>
      <w:r w:rsidRPr="009E5030">
        <w:rPr>
          <w:rFonts w:ascii="Cambria" w:hAnsi="Cambria"/>
          <w:b/>
          <w:bCs/>
          <w:sz w:val="22"/>
          <w:szCs w:val="22"/>
        </w:rPr>
        <w:t xml:space="preserve">-like regions profiled by the geometric contrastive learning.  </w:t>
      </w:r>
      <w:r w:rsidRPr="009E5030">
        <w:rPr>
          <w:rFonts w:ascii="Cambria" w:hAnsi="Cambria"/>
          <w:b/>
          <w:sz w:val="22"/>
          <w:szCs w:val="22"/>
        </w:rPr>
        <w:t xml:space="preserve">a-d) </w:t>
      </w:r>
      <w:r w:rsidRPr="009E5030">
        <w:rPr>
          <w:rFonts w:ascii="Cambria" w:hAnsi="Cambria"/>
          <w:sz w:val="22"/>
          <w:szCs w:val="22"/>
        </w:rPr>
        <w:t xml:space="preserve">Protein and metabolic pathway positivity mean proportions for </w:t>
      </w:r>
      <w:proofErr w:type="spellStart"/>
      <w:r w:rsidRPr="009E5030">
        <w:rPr>
          <w:rFonts w:ascii="Cambria" w:hAnsi="Cambria"/>
          <w:sz w:val="22"/>
          <w:szCs w:val="22"/>
        </w:rPr>
        <w:t>tumour</w:t>
      </w:r>
      <w:proofErr w:type="spellEnd"/>
      <w:r w:rsidRPr="009E5030">
        <w:rPr>
          <w:rFonts w:ascii="Cambria" w:hAnsi="Cambria"/>
          <w:sz w:val="22"/>
          <w:szCs w:val="22"/>
        </w:rPr>
        <w:t xml:space="preserve"> cells, non-</w:t>
      </w:r>
      <w:proofErr w:type="spellStart"/>
      <w:r w:rsidRPr="009E5030">
        <w:rPr>
          <w:rFonts w:ascii="Cambria" w:hAnsi="Cambria"/>
          <w:sz w:val="22"/>
          <w:szCs w:val="22"/>
        </w:rPr>
        <w:t>tumour</w:t>
      </w:r>
      <w:proofErr w:type="spellEnd"/>
      <w:r w:rsidRPr="009E5030">
        <w:rPr>
          <w:rFonts w:ascii="Cambria" w:hAnsi="Cambria"/>
          <w:sz w:val="22"/>
          <w:szCs w:val="22"/>
        </w:rPr>
        <w:t xml:space="preserve"> cells, immune cells, and structural cells, respectively.  </w:t>
      </w:r>
      <w:r w:rsidRPr="009E5030">
        <w:rPr>
          <w:rFonts w:ascii="Cambria" w:hAnsi="Cambria"/>
          <w:b/>
          <w:sz w:val="22"/>
          <w:szCs w:val="22"/>
        </w:rPr>
        <w:t>e)</w:t>
      </w:r>
      <w:r w:rsidRPr="009E5030">
        <w:rPr>
          <w:rFonts w:ascii="Cambria" w:hAnsi="Cambria"/>
          <w:sz w:val="22"/>
          <w:szCs w:val="22"/>
        </w:rPr>
        <w:t xml:space="preserve"> Mean marker positivity proportions in radial </w:t>
      </w:r>
      <w:proofErr w:type="spellStart"/>
      <w:r w:rsidRPr="009E5030">
        <w:rPr>
          <w:rFonts w:ascii="Cambria" w:hAnsi="Cambria"/>
          <w:sz w:val="22"/>
          <w:szCs w:val="22"/>
        </w:rPr>
        <w:t>neighbourhoods</w:t>
      </w:r>
      <w:proofErr w:type="spellEnd"/>
      <w:r w:rsidRPr="009E5030">
        <w:rPr>
          <w:rFonts w:ascii="Cambria" w:hAnsi="Cambria"/>
          <w:sz w:val="22"/>
          <w:szCs w:val="22"/>
        </w:rPr>
        <w:t xml:space="preserve"> surrounding each cell, with labels defined by the subgraph classifications.</w:t>
      </w:r>
    </w:p>
    <w:p w14:paraId="67AFCCA8" w14:textId="77777777" w:rsidR="00EA17F7" w:rsidRPr="009E5030" w:rsidRDefault="00EA17F7" w:rsidP="0053032B">
      <w:pPr>
        <w:rPr>
          <w:rFonts w:ascii="Cambria" w:hAnsi="Cambria" w:cs="Times New Roman"/>
          <w:i/>
          <w:iCs/>
          <w:sz w:val="22"/>
          <w:szCs w:val="22"/>
        </w:rPr>
      </w:pPr>
    </w:p>
    <w:p w14:paraId="29380D71" w14:textId="77777777" w:rsidR="00DE5AFF" w:rsidRPr="009E5030" w:rsidRDefault="00DE5AFF" w:rsidP="00DE5AFF">
      <w:pPr>
        <w:keepNext/>
        <w:rPr>
          <w:rFonts w:ascii="Cambria" w:hAnsi="Cambria" w:cs="Times New Roman"/>
          <w:sz w:val="22"/>
          <w:szCs w:val="22"/>
        </w:rPr>
      </w:pPr>
      <w:r w:rsidRPr="009E5030">
        <w:rPr>
          <w:rFonts w:ascii="Cambria" w:hAnsi="Cambria" w:cs="Times New Roman"/>
          <w:noProof/>
          <w:sz w:val="22"/>
          <w:szCs w:val="22"/>
        </w:rPr>
        <w:lastRenderedPageBreak/>
        <w:drawing>
          <wp:inline distT="0" distB="0" distL="0" distR="0" wp14:anchorId="1C82684F" wp14:editId="60F961E7">
            <wp:extent cx="3372362" cy="4817660"/>
            <wp:effectExtent l="0" t="0" r="0" b="2540"/>
            <wp:docPr id="1689378027" name="Graphic 1">
              <a:extLst xmlns:a="http://schemas.openxmlformats.org/drawingml/2006/main">
                <a:ext uri="{FF2B5EF4-FFF2-40B4-BE49-F238E27FC236}">
                  <a16:creationId xmlns:a16="http://schemas.microsoft.com/office/drawing/2014/main" id="{F2326273-E762-4744-850E-5B4605B015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78027" name="Graphic 1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965" cy="482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3E51" w14:textId="6D7B7448" w:rsidR="00DE5AFF" w:rsidRPr="009E5030" w:rsidRDefault="00DE5AFF" w:rsidP="00DE5AFF">
      <w:pPr>
        <w:pStyle w:val="Caption"/>
        <w:jc w:val="both"/>
        <w:rPr>
          <w:rFonts w:ascii="Cambria" w:hAnsi="Cambria" w:cs="Times New Roman"/>
          <w:i w:val="0"/>
          <w:iCs w:val="0"/>
          <w:color w:val="auto"/>
          <w:sz w:val="22"/>
          <w:szCs w:val="22"/>
        </w:rPr>
      </w:pPr>
      <w:r w:rsidRPr="009E5030">
        <w:rPr>
          <w:rFonts w:ascii="Cambria" w:hAnsi="Cambria" w:cs="Times New Roman"/>
          <w:b/>
          <w:bCs/>
          <w:color w:val="auto"/>
          <w:sz w:val="22"/>
          <w:szCs w:val="22"/>
        </w:rPr>
        <w:t xml:space="preserve">Supplemental Figure </w:t>
      </w:r>
      <w:r w:rsidR="009E5030" w:rsidRPr="009E5030">
        <w:rPr>
          <w:rFonts w:ascii="Cambria" w:hAnsi="Cambria" w:cs="Times New Roman"/>
          <w:b/>
          <w:bCs/>
          <w:color w:val="auto"/>
          <w:sz w:val="22"/>
          <w:szCs w:val="22"/>
        </w:rPr>
        <w:t>10</w:t>
      </w:r>
      <w:r w:rsidRPr="009E5030">
        <w:rPr>
          <w:rFonts w:ascii="Cambria" w:hAnsi="Cambria" w:cs="Times New Roman"/>
          <w:b/>
          <w:bCs/>
          <w:color w:val="auto"/>
          <w:sz w:val="22"/>
          <w:szCs w:val="22"/>
        </w:rPr>
        <w:t>. RNA analysis quality control and variation assessment</w:t>
      </w:r>
      <w:r w:rsidRPr="009E5030">
        <w:rPr>
          <w:rFonts w:ascii="Cambria" w:hAnsi="Cambria" w:cs="Times New Roman"/>
          <w:color w:val="auto"/>
          <w:sz w:val="22"/>
          <w:szCs w:val="22"/>
        </w:rPr>
        <w:t xml:space="preserve">. a) </w:t>
      </w:r>
      <w:r w:rsidRPr="009E5030">
        <w:rPr>
          <w:rFonts w:ascii="Cambria" w:hAnsi="Cambria" w:cs="Times New Roman"/>
          <w:i w:val="0"/>
          <w:iCs w:val="0"/>
          <w:color w:val="auto"/>
          <w:sz w:val="22"/>
          <w:szCs w:val="22"/>
        </w:rPr>
        <w:t xml:space="preserve">Principal Component Analysis (PCA) plot stratified by segment (part) and histology, indicating that </w:t>
      </w:r>
      <w:proofErr w:type="spellStart"/>
      <w:r w:rsidRPr="009E5030">
        <w:rPr>
          <w:rFonts w:ascii="Cambria" w:hAnsi="Cambria" w:cs="Times New Roman"/>
          <w:i w:val="0"/>
          <w:iCs w:val="0"/>
          <w:color w:val="auto"/>
          <w:sz w:val="22"/>
          <w:szCs w:val="22"/>
        </w:rPr>
        <w:t>tumour</w:t>
      </w:r>
      <w:proofErr w:type="spellEnd"/>
      <w:r w:rsidRPr="009E5030">
        <w:rPr>
          <w:rFonts w:ascii="Cambria" w:hAnsi="Cambria" w:cs="Times New Roman"/>
          <w:i w:val="0"/>
          <w:iCs w:val="0"/>
          <w:color w:val="auto"/>
          <w:sz w:val="22"/>
          <w:szCs w:val="22"/>
        </w:rPr>
        <w:t xml:space="preserve">-stroma variations are accounted for along PC1, while PC2 separate adenocarcinoma and squamous cell carcinoma samples. b) Assessment of data </w:t>
      </w:r>
      <w:proofErr w:type="spellStart"/>
      <w:r w:rsidRPr="009E5030">
        <w:rPr>
          <w:rFonts w:ascii="Cambria" w:hAnsi="Cambria" w:cs="Times New Roman"/>
          <w:i w:val="0"/>
          <w:iCs w:val="0"/>
          <w:color w:val="auto"/>
          <w:sz w:val="22"/>
          <w:szCs w:val="22"/>
        </w:rPr>
        <w:t>normalisation</w:t>
      </w:r>
      <w:proofErr w:type="spellEnd"/>
      <w:r w:rsidRPr="009E5030">
        <w:rPr>
          <w:rFonts w:ascii="Cambria" w:hAnsi="Cambria" w:cs="Times New Roman"/>
          <w:i w:val="0"/>
          <w:iCs w:val="0"/>
          <w:color w:val="auto"/>
          <w:sz w:val="22"/>
          <w:szCs w:val="22"/>
        </w:rPr>
        <w:t xml:space="preserve"> using relative log expression (RLE) plot. Log expressions of the data are successfully </w:t>
      </w:r>
      <w:proofErr w:type="spellStart"/>
      <w:r w:rsidRPr="009E5030">
        <w:rPr>
          <w:rFonts w:ascii="Cambria" w:hAnsi="Cambria" w:cs="Times New Roman"/>
          <w:i w:val="0"/>
          <w:iCs w:val="0"/>
          <w:color w:val="auto"/>
          <w:sz w:val="22"/>
          <w:szCs w:val="22"/>
        </w:rPr>
        <w:t>centred</w:t>
      </w:r>
      <w:proofErr w:type="spellEnd"/>
      <w:r w:rsidRPr="009E5030">
        <w:rPr>
          <w:rFonts w:ascii="Cambria" w:hAnsi="Cambria" w:cs="Times New Roman"/>
          <w:i w:val="0"/>
          <w:iCs w:val="0"/>
          <w:color w:val="auto"/>
          <w:sz w:val="22"/>
          <w:szCs w:val="22"/>
        </w:rPr>
        <w:t xml:space="preserve"> after applying the TMM scaling method. </w:t>
      </w:r>
    </w:p>
    <w:sectPr w:rsidR="00DE5AFF" w:rsidRPr="009E50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65"/>
    <w:rsid w:val="0009367E"/>
    <w:rsid w:val="001421A5"/>
    <w:rsid w:val="00197974"/>
    <w:rsid w:val="00213712"/>
    <w:rsid w:val="0029307E"/>
    <w:rsid w:val="002B35E6"/>
    <w:rsid w:val="002D2DEE"/>
    <w:rsid w:val="00326880"/>
    <w:rsid w:val="00332B6A"/>
    <w:rsid w:val="0038435A"/>
    <w:rsid w:val="003C4B76"/>
    <w:rsid w:val="0043157F"/>
    <w:rsid w:val="00435881"/>
    <w:rsid w:val="0044569C"/>
    <w:rsid w:val="00480EB9"/>
    <w:rsid w:val="00482233"/>
    <w:rsid w:val="004B5883"/>
    <w:rsid w:val="004E36B3"/>
    <w:rsid w:val="00512190"/>
    <w:rsid w:val="00522D31"/>
    <w:rsid w:val="0053032B"/>
    <w:rsid w:val="005A34CA"/>
    <w:rsid w:val="005C47BA"/>
    <w:rsid w:val="005C4D39"/>
    <w:rsid w:val="006006D9"/>
    <w:rsid w:val="00632AB7"/>
    <w:rsid w:val="00666D5A"/>
    <w:rsid w:val="00671E5A"/>
    <w:rsid w:val="00675BF6"/>
    <w:rsid w:val="006861FA"/>
    <w:rsid w:val="00694E34"/>
    <w:rsid w:val="006A025C"/>
    <w:rsid w:val="006A3458"/>
    <w:rsid w:val="006D4CF7"/>
    <w:rsid w:val="006F63A4"/>
    <w:rsid w:val="006F766C"/>
    <w:rsid w:val="0070306A"/>
    <w:rsid w:val="00716ACE"/>
    <w:rsid w:val="00727045"/>
    <w:rsid w:val="00727C3D"/>
    <w:rsid w:val="007649DB"/>
    <w:rsid w:val="00795D4C"/>
    <w:rsid w:val="007E3255"/>
    <w:rsid w:val="00835FEA"/>
    <w:rsid w:val="00842771"/>
    <w:rsid w:val="0089039D"/>
    <w:rsid w:val="00895049"/>
    <w:rsid w:val="008A30AD"/>
    <w:rsid w:val="008B556C"/>
    <w:rsid w:val="00966E12"/>
    <w:rsid w:val="00974CD5"/>
    <w:rsid w:val="009A28E0"/>
    <w:rsid w:val="009A5F18"/>
    <w:rsid w:val="009D69F6"/>
    <w:rsid w:val="009E5030"/>
    <w:rsid w:val="00A01101"/>
    <w:rsid w:val="00A51597"/>
    <w:rsid w:val="00A92768"/>
    <w:rsid w:val="00A97302"/>
    <w:rsid w:val="00AE7236"/>
    <w:rsid w:val="00B901FC"/>
    <w:rsid w:val="00B97FBE"/>
    <w:rsid w:val="00BB34BB"/>
    <w:rsid w:val="00BE61D5"/>
    <w:rsid w:val="00BE7753"/>
    <w:rsid w:val="00C27686"/>
    <w:rsid w:val="00C35E68"/>
    <w:rsid w:val="00C72616"/>
    <w:rsid w:val="00C777AC"/>
    <w:rsid w:val="00C82B65"/>
    <w:rsid w:val="00C9307B"/>
    <w:rsid w:val="00CB03FF"/>
    <w:rsid w:val="00CE07B3"/>
    <w:rsid w:val="00D238F2"/>
    <w:rsid w:val="00D43B44"/>
    <w:rsid w:val="00D4567B"/>
    <w:rsid w:val="00D57C96"/>
    <w:rsid w:val="00D82534"/>
    <w:rsid w:val="00D87ADC"/>
    <w:rsid w:val="00D91AC5"/>
    <w:rsid w:val="00DE40FF"/>
    <w:rsid w:val="00DE5AFF"/>
    <w:rsid w:val="00E12F7D"/>
    <w:rsid w:val="00E925C0"/>
    <w:rsid w:val="00EA17F7"/>
    <w:rsid w:val="00EB38B7"/>
    <w:rsid w:val="00F26AF5"/>
    <w:rsid w:val="00F314F0"/>
    <w:rsid w:val="00F33EB3"/>
    <w:rsid w:val="00F426E5"/>
    <w:rsid w:val="00F62DD1"/>
    <w:rsid w:val="00F66DF6"/>
    <w:rsid w:val="00F80AAE"/>
    <w:rsid w:val="00F82FB3"/>
    <w:rsid w:val="00FA4D2B"/>
    <w:rsid w:val="00FF51AF"/>
    <w:rsid w:val="01A88A43"/>
    <w:rsid w:val="08AE13FC"/>
    <w:rsid w:val="0CA53326"/>
    <w:rsid w:val="175D6FCF"/>
    <w:rsid w:val="26674F8C"/>
    <w:rsid w:val="423FA470"/>
    <w:rsid w:val="603A4FA0"/>
    <w:rsid w:val="73DE0418"/>
    <w:rsid w:val="75468390"/>
    <w:rsid w:val="7ECBEE6A"/>
    <w:rsid w:val="7FD11CBF"/>
    <w:rsid w:val="7FF2A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616FE"/>
  <w15:chartTrackingRefBased/>
  <w15:docId w15:val="{28FD5CB6-F830-43C2-BAF7-F55FD84AF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2B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B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B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B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B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B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B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B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B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2B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B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B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B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B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B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B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B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B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2B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B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B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2B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2B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2B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2B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2B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B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B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2B65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DE5AF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0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0EB9"/>
    <w:pPr>
      <w:spacing w:line="240" w:lineRule="auto"/>
    </w:pPr>
    <w:rPr>
      <w:rFonts w:eastAsiaTheme="minorHAnsi"/>
      <w:sz w:val="20"/>
      <w:szCs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0EB9"/>
    <w:rPr>
      <w:rFonts w:eastAsiaTheme="minorHAnsi"/>
      <w:sz w:val="20"/>
      <w:szCs w:val="20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DF6"/>
    <w:rPr>
      <w:rFonts w:eastAsiaTheme="minorEastAsia"/>
      <w:b/>
      <w:bCs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DF6"/>
    <w:rPr>
      <w:rFonts w:eastAsiaTheme="minorHAnsi"/>
      <w:b/>
      <w:bCs/>
      <w:sz w:val="20"/>
      <w:szCs w:val="20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669</Words>
  <Characters>3816</Characters>
  <Application>Microsoft Office Word</Application>
  <DocSecurity>0</DocSecurity>
  <Lines>31</Lines>
  <Paragraphs>8</Paragraphs>
  <ScaleCrop>false</ScaleCrop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 Wee Tan</dc:creator>
  <cp:keywords/>
  <dc:description/>
  <cp:lastModifiedBy>Naomi Louise Berrell</cp:lastModifiedBy>
  <cp:revision>87</cp:revision>
  <dcterms:created xsi:type="dcterms:W3CDTF">2025-09-03T08:44:00Z</dcterms:created>
  <dcterms:modified xsi:type="dcterms:W3CDTF">2025-09-23T02:40:00Z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2025-09-04T05:03:43Z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39851387-476e-403f-85fb-af49c51d3528</vt:lpwstr>
  </property>
  <property fmtid="{D5CDD505-2E9C-101B-9397-08002B2CF9AE}" pid="8" name="MSIP_Label_0f488380-630a-4f55-a077-a19445e3f360_ContentBits">
    <vt:lpwstr>0</vt:lpwstr>
  </property>
  <property fmtid="{D5CDD505-2E9C-101B-9397-08002B2CF9AE}" pid="9" name="MSIP_Label_0f488380-630a-4f55-a077-a19445e3f360_Tag">
    <vt:lpwstr>10, 3, 0, 1</vt:lpwstr>
  </property>
</Properties>
</file>