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8C4C" w14:textId="77777777" w:rsidR="00153E7C" w:rsidRPr="00EC17DF" w:rsidRDefault="00153E7C" w:rsidP="00153E7C">
      <w:pPr>
        <w:pStyle w:val="Title"/>
        <w:rPr>
          <w:b/>
          <w:bCs/>
          <w:sz w:val="28"/>
          <w:szCs w:val="28"/>
        </w:rPr>
      </w:pPr>
      <w:r w:rsidRPr="1DA925A1">
        <w:rPr>
          <w:b/>
          <w:bCs/>
          <w:sz w:val="28"/>
          <w:szCs w:val="28"/>
        </w:rPr>
        <w:t>The Property Rights Index in Forestry (PRIF):  a new governance indicator with predictive capacity for forest status and dynamic across Europe</w:t>
      </w:r>
    </w:p>
    <w:p w14:paraId="652F2D9A" w14:textId="77777777" w:rsidR="00153E7C" w:rsidRDefault="00153E7C" w:rsidP="00153E7C">
      <w:pPr>
        <w:spacing w:after="0"/>
        <w:jc w:val="left"/>
      </w:pPr>
    </w:p>
    <w:p w14:paraId="5DF55FA9" w14:textId="77777777" w:rsidR="00153E7C" w:rsidRPr="007203C1" w:rsidRDefault="00153E7C" w:rsidP="00153E7C">
      <w:pPr>
        <w:spacing w:before="15"/>
        <w:rPr>
          <w:rFonts w:ascii="Arial" w:hAnsi="Arial"/>
          <w:b/>
          <w:szCs w:val="24"/>
        </w:rPr>
      </w:pPr>
      <w:r w:rsidRPr="007203C1">
        <w:rPr>
          <w:rFonts w:ascii="Arial" w:hAnsi="Arial"/>
          <w:b/>
          <w:szCs w:val="24"/>
        </w:rPr>
        <w:t xml:space="preserve">Authors: </w:t>
      </w:r>
    </w:p>
    <w:p w14:paraId="2963B3C2" w14:textId="77777777" w:rsidR="00153E7C" w:rsidRDefault="00153E7C" w:rsidP="00153E7C">
      <w:pPr>
        <w:spacing w:before="15"/>
        <w:rPr>
          <w:color w:val="050505"/>
        </w:rPr>
      </w:pPr>
      <w:r w:rsidRPr="005A1CB1">
        <w:t>Richard Rimoli*</w:t>
      </w:r>
      <w:r w:rsidRPr="005A1CB1">
        <w:rPr>
          <w:vertAlign w:val="superscript"/>
        </w:rPr>
        <w:t>a</w:t>
      </w:r>
      <w:r w:rsidRPr="005A1CB1">
        <w:t xml:space="preserve"> – </w:t>
      </w:r>
      <w:r w:rsidRPr="005A1CB1">
        <w:rPr>
          <w:u w:val="single"/>
        </w:rPr>
        <w:t>richard.rimoli@gmail.com</w:t>
      </w:r>
      <w:r w:rsidRPr="005A1CB1">
        <w:t>,</w:t>
      </w:r>
      <w:r w:rsidRPr="001A3B7B">
        <w:t xml:space="preserve"> </w:t>
      </w:r>
      <w:r w:rsidRPr="005A1CB1">
        <w:t>Jean-Daniel Bontemps</w:t>
      </w:r>
      <w:r>
        <w:rPr>
          <w:vertAlign w:val="superscript"/>
        </w:rPr>
        <w:t>b</w:t>
      </w:r>
      <w:r w:rsidRPr="005A1CB1">
        <w:t>, Laura Bouriaud</w:t>
      </w:r>
      <w:r w:rsidRPr="005A1CB1">
        <w:rPr>
          <w:vertAlign w:val="superscript"/>
        </w:rPr>
        <w:t>a</w:t>
      </w:r>
      <w:r>
        <w:t xml:space="preserve">, </w:t>
      </w:r>
      <w:r w:rsidRPr="007203C1">
        <w:t>Aditya Acharya</w:t>
      </w:r>
      <w:r>
        <w:rPr>
          <w:vertAlign w:val="superscript"/>
        </w:rPr>
        <w:t>c</w:t>
      </w:r>
      <w:r>
        <w:rPr>
          <w:color w:val="050505"/>
          <w:highlight w:val="white"/>
        </w:rPr>
        <w:t xml:space="preserve">, </w:t>
      </w:r>
      <w:r w:rsidRPr="007203C1">
        <w:rPr>
          <w:color w:val="050505"/>
          <w:highlight w:val="white"/>
        </w:rPr>
        <w:t>Alexandre Nollet</w:t>
      </w:r>
      <w:r>
        <w:rPr>
          <w:color w:val="050505"/>
          <w:highlight w:val="white"/>
          <w:vertAlign w:val="superscript"/>
        </w:rPr>
        <w:t>d</w:t>
      </w:r>
      <w:r w:rsidRPr="007203C1">
        <w:rPr>
          <w:color w:val="050505"/>
          <w:highlight w:val="white"/>
        </w:rPr>
        <w:t>, Bilal Snoussi</w:t>
      </w:r>
      <w:r>
        <w:rPr>
          <w:color w:val="050505"/>
          <w:highlight w:val="white"/>
          <w:vertAlign w:val="superscript"/>
        </w:rPr>
        <w:t>d</w:t>
      </w:r>
      <w:r w:rsidRPr="007203C1">
        <w:rPr>
          <w:color w:val="050505"/>
          <w:highlight w:val="white"/>
        </w:rPr>
        <w:t xml:space="preserve">, Lison </w:t>
      </w:r>
      <w:proofErr w:type="spellStart"/>
      <w:r w:rsidRPr="007203C1">
        <w:rPr>
          <w:color w:val="050505"/>
          <w:highlight w:val="white"/>
        </w:rPr>
        <w:t>Ambroise</w:t>
      </w:r>
      <w:r>
        <w:rPr>
          <w:color w:val="050505"/>
          <w:highlight w:val="white"/>
          <w:vertAlign w:val="superscript"/>
        </w:rPr>
        <w:t>d</w:t>
      </w:r>
      <w:proofErr w:type="spellEnd"/>
      <w:r w:rsidRPr="007203C1">
        <w:rPr>
          <w:color w:val="050505"/>
          <w:highlight w:val="white"/>
        </w:rPr>
        <w:t>, Louis Cordonnier</w:t>
      </w:r>
      <w:r>
        <w:rPr>
          <w:color w:val="050505"/>
          <w:highlight w:val="white"/>
          <w:vertAlign w:val="superscript"/>
        </w:rPr>
        <w:t>e</w:t>
      </w:r>
      <w:r>
        <w:t xml:space="preserve">, </w:t>
      </w:r>
      <w:r w:rsidRPr="005A1CB1">
        <w:t xml:space="preserve">Liviu </w:t>
      </w:r>
      <w:proofErr w:type="spellStart"/>
      <w:r w:rsidRPr="005A1CB1">
        <w:t>Nichiforel</w:t>
      </w:r>
      <w:r w:rsidRPr="005A1CB1">
        <w:rPr>
          <w:vertAlign w:val="superscript"/>
        </w:rPr>
        <w:t>a</w:t>
      </w:r>
      <w:proofErr w:type="spellEnd"/>
      <w:r>
        <w:rPr>
          <w:color w:val="050505"/>
        </w:rPr>
        <w:t>.</w:t>
      </w:r>
    </w:p>
    <w:p w14:paraId="70F3D963" w14:textId="77777777" w:rsidR="00153E7C" w:rsidRDefault="00153E7C" w:rsidP="00153E7C">
      <w:pPr>
        <w:spacing w:before="15"/>
        <w:rPr>
          <w:color w:val="050505"/>
        </w:rPr>
      </w:pPr>
    </w:p>
    <w:p w14:paraId="55E7A8D8" w14:textId="77777777" w:rsidR="00153E7C" w:rsidRPr="00902B26" w:rsidRDefault="00153E7C" w:rsidP="00153E7C">
      <w:pPr>
        <w:spacing w:before="15"/>
        <w:rPr>
          <w:lang w:val="fr-FR"/>
        </w:rPr>
      </w:pPr>
      <w:bookmarkStart w:id="0" w:name="_heading=h.gjdgxs" w:colFirst="0" w:colLast="0"/>
      <w:bookmarkEnd w:id="0"/>
      <w:proofErr w:type="spellStart"/>
      <w:proofErr w:type="gramStart"/>
      <w:r w:rsidRPr="00902B26">
        <w:rPr>
          <w:vertAlign w:val="superscript"/>
          <w:lang w:val="fr-FR"/>
        </w:rPr>
        <w:t>a</w:t>
      </w:r>
      <w:r w:rsidRPr="00902B26">
        <w:rPr>
          <w:lang w:val="fr-FR"/>
        </w:rPr>
        <w:t>Universitatea</w:t>
      </w:r>
      <w:proofErr w:type="spellEnd"/>
      <w:proofErr w:type="gramEnd"/>
      <w:r w:rsidRPr="00902B26">
        <w:rPr>
          <w:lang w:val="fr-FR"/>
        </w:rPr>
        <w:t xml:space="preserve"> Stefan </w:t>
      </w:r>
      <w:proofErr w:type="spellStart"/>
      <w:r w:rsidRPr="00902B26">
        <w:rPr>
          <w:lang w:val="fr-FR"/>
        </w:rPr>
        <w:t>cel</w:t>
      </w:r>
      <w:proofErr w:type="spellEnd"/>
      <w:r w:rsidRPr="00902B26">
        <w:rPr>
          <w:lang w:val="fr-FR"/>
        </w:rPr>
        <w:t xml:space="preserve"> Mare, Suceava, Romania</w:t>
      </w:r>
    </w:p>
    <w:p w14:paraId="3345464E" w14:textId="77777777" w:rsidR="00153E7C" w:rsidRPr="00902B26" w:rsidRDefault="00153E7C" w:rsidP="00153E7C">
      <w:pPr>
        <w:spacing w:before="15"/>
        <w:rPr>
          <w:lang w:val="fr-FR"/>
        </w:rPr>
      </w:pPr>
      <w:proofErr w:type="gramStart"/>
      <w:r w:rsidRPr="00902B26">
        <w:rPr>
          <w:vertAlign w:val="superscript"/>
          <w:lang w:val="fr-FR"/>
        </w:rPr>
        <w:t>b</w:t>
      </w:r>
      <w:proofErr w:type="gramEnd"/>
      <w:r w:rsidRPr="00902B26">
        <w:rPr>
          <w:lang w:val="fr-FR"/>
        </w:rPr>
        <w:t xml:space="preserve"> IGN – ENSG - Laboratoire d'inventaire Forestier, Nancy, France</w:t>
      </w:r>
    </w:p>
    <w:p w14:paraId="03A6DE07" w14:textId="77777777" w:rsidR="00153E7C" w:rsidRPr="007203C1" w:rsidRDefault="00153E7C" w:rsidP="00153E7C">
      <w:pPr>
        <w:spacing w:before="15"/>
      </w:pPr>
      <w:bookmarkStart w:id="1" w:name="_heading=h.30j0zll" w:colFirst="0" w:colLast="0"/>
      <w:bookmarkEnd w:id="1"/>
      <w:proofErr w:type="spellStart"/>
      <w:r>
        <w:rPr>
          <w:vertAlign w:val="superscript"/>
        </w:rPr>
        <w:t>c</w:t>
      </w:r>
      <w:r w:rsidRPr="007203C1">
        <w:t>Polcom</w:t>
      </w:r>
      <w:proofErr w:type="spellEnd"/>
      <w:r w:rsidRPr="007203C1">
        <w:t xml:space="preserve"> Research and Consultancy services, Kathmandu, Nepal </w:t>
      </w:r>
    </w:p>
    <w:p w14:paraId="33A07528" w14:textId="77777777" w:rsidR="00153E7C" w:rsidRPr="00700C0D" w:rsidRDefault="00153E7C" w:rsidP="00153E7C">
      <w:pPr>
        <w:spacing w:before="15"/>
        <w:rPr>
          <w:lang w:val="fr-FR"/>
        </w:rPr>
      </w:pPr>
      <w:proofErr w:type="spellStart"/>
      <w:proofErr w:type="gramStart"/>
      <w:r>
        <w:rPr>
          <w:vertAlign w:val="superscript"/>
          <w:lang w:val="fr-FR"/>
        </w:rPr>
        <w:t>d</w:t>
      </w:r>
      <w:r w:rsidRPr="00700C0D">
        <w:rPr>
          <w:lang w:val="fr-FR"/>
        </w:rPr>
        <w:t>AgroParisTech</w:t>
      </w:r>
      <w:proofErr w:type="spellEnd"/>
      <w:proofErr w:type="gramEnd"/>
      <w:r w:rsidRPr="00700C0D">
        <w:rPr>
          <w:lang w:val="fr-FR"/>
        </w:rPr>
        <w:t>, Nancy, France</w:t>
      </w:r>
    </w:p>
    <w:p w14:paraId="1C478BD8" w14:textId="5EC01D20" w:rsidR="00153E7C" w:rsidRDefault="00153E7C" w:rsidP="00153E7C">
      <w:pPr>
        <w:spacing w:before="15"/>
        <w:rPr>
          <w:lang w:val="fr-FR"/>
        </w:rPr>
      </w:pPr>
      <w:bookmarkStart w:id="2" w:name="_heading=h.1fob9te" w:colFirst="0" w:colLast="0"/>
      <w:bookmarkEnd w:id="2"/>
      <w:proofErr w:type="spellStart"/>
      <w:proofErr w:type="gramStart"/>
      <w:r>
        <w:rPr>
          <w:vertAlign w:val="superscript"/>
          <w:lang w:val="fr-FR"/>
        </w:rPr>
        <w:t>e</w:t>
      </w:r>
      <w:r w:rsidRPr="00700C0D">
        <w:rPr>
          <w:lang w:val="fr-FR"/>
        </w:rPr>
        <w:t>Université</w:t>
      </w:r>
      <w:proofErr w:type="spellEnd"/>
      <w:proofErr w:type="gramEnd"/>
      <w:r w:rsidRPr="00700C0D">
        <w:rPr>
          <w:lang w:val="fr-FR"/>
        </w:rPr>
        <w:t xml:space="preserve"> Catholique de Louvain, Louvain-la-Neuve, </w:t>
      </w:r>
      <w:proofErr w:type="spellStart"/>
      <w:r w:rsidRPr="00700C0D">
        <w:rPr>
          <w:lang w:val="fr-FR"/>
        </w:rPr>
        <w:t>Belgium</w:t>
      </w:r>
      <w:proofErr w:type="spellEnd"/>
    </w:p>
    <w:p w14:paraId="00A2EDE5" w14:textId="223A3F3B" w:rsidR="00A3700B" w:rsidRPr="00A3700B" w:rsidRDefault="00153E7C" w:rsidP="00A3700B">
      <w:pPr>
        <w:pStyle w:val="Heading1"/>
        <w:rPr>
          <w:lang w:val="fr-FR"/>
        </w:rPr>
      </w:pPr>
      <w:proofErr w:type="spellStart"/>
      <w:r>
        <w:rPr>
          <w:lang w:val="fr-FR"/>
        </w:rPr>
        <w:t>Supplementary</w:t>
      </w:r>
      <w:proofErr w:type="spellEnd"/>
      <w:r>
        <w:rPr>
          <w:lang w:val="fr-FR"/>
        </w:rPr>
        <w:t xml:space="preserve"> Information</w:t>
      </w:r>
    </w:p>
    <w:p w14:paraId="058D2A8F" w14:textId="77777777" w:rsidR="00A3700B" w:rsidRPr="00A3700B" w:rsidRDefault="00A3700B" w:rsidP="00A3700B">
      <w:pPr>
        <w:pStyle w:val="Heading2"/>
        <w:rPr>
          <w:lang w:val="fr-FR"/>
        </w:rPr>
      </w:pPr>
      <w:bookmarkStart w:id="3" w:name="_Ref206755696"/>
      <w:bookmarkStart w:id="4" w:name="_Ref193880111"/>
      <w:r w:rsidRPr="00A3700B">
        <w:rPr>
          <w:lang w:val="fr-FR"/>
        </w:rPr>
        <w:t>Annex 1</w:t>
      </w:r>
      <w:bookmarkEnd w:id="3"/>
    </w:p>
    <w:p w14:paraId="13A6648E" w14:textId="77777777" w:rsidR="00A3700B" w:rsidRPr="00A3700B" w:rsidRDefault="00A3700B" w:rsidP="00A3700B">
      <w:pPr>
        <w:rPr>
          <w:lang w:val="fr-FR"/>
        </w:rPr>
      </w:pPr>
      <w:r w:rsidRPr="00A3700B">
        <w:rPr>
          <w:lang w:val="fr-FR"/>
        </w:rPr>
        <w:t xml:space="preserve">SES </w:t>
      </w:r>
      <w:proofErr w:type="spellStart"/>
      <w:r w:rsidRPr="00A3700B">
        <w:rPr>
          <w:lang w:val="fr-FR"/>
        </w:rPr>
        <w:t>indicator</w:t>
      </w:r>
      <w:proofErr w:type="spellEnd"/>
      <w:r w:rsidRPr="00A3700B">
        <w:rPr>
          <w:lang w:val="fr-FR"/>
        </w:rPr>
        <w:t xml:space="preserve"> sources.</w:t>
      </w:r>
      <w:bookmarkEnd w:id="4"/>
    </w:p>
    <w:tbl>
      <w:tblPr>
        <w:tblStyle w:val="ListTable1Light"/>
        <w:tblW w:w="0" w:type="auto"/>
        <w:tblLook w:val="04A0" w:firstRow="1" w:lastRow="0" w:firstColumn="1" w:lastColumn="0" w:noHBand="0" w:noVBand="1"/>
      </w:tblPr>
      <w:tblGrid>
        <w:gridCol w:w="4852"/>
        <w:gridCol w:w="2911"/>
        <w:gridCol w:w="1266"/>
      </w:tblGrid>
      <w:tr w:rsidR="00A3700B" w:rsidRPr="00EC17DF" w14:paraId="35AE44CA" w14:textId="77777777" w:rsidTr="00002D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hideMark/>
          </w:tcPr>
          <w:p w14:paraId="716C47D3" w14:textId="77777777" w:rsidR="00A3700B" w:rsidRPr="00EC17DF" w:rsidRDefault="00A3700B" w:rsidP="00002DB0">
            <w:pPr>
              <w:pStyle w:val="Table"/>
            </w:pPr>
            <w:r w:rsidRPr="00EC17DF">
              <w:t>Data/</w:t>
            </w:r>
            <w:proofErr w:type="spellStart"/>
            <w:r w:rsidRPr="00EC17DF">
              <w:t>Year</w:t>
            </w:r>
            <w:proofErr w:type="spellEnd"/>
          </w:p>
        </w:tc>
        <w:tc>
          <w:tcPr>
            <w:tcW w:w="2911" w:type="dxa"/>
            <w:noWrap/>
            <w:hideMark/>
          </w:tcPr>
          <w:p w14:paraId="620C58FA" w14:textId="77777777" w:rsidR="00A3700B" w:rsidRPr="00EC17DF" w:rsidRDefault="00A3700B" w:rsidP="00002DB0">
            <w:pPr>
              <w:pStyle w:val="Table"/>
              <w:cnfStyle w:val="100000000000" w:firstRow="1" w:lastRow="0" w:firstColumn="0" w:lastColumn="0" w:oddVBand="0" w:evenVBand="0" w:oddHBand="0" w:evenHBand="0" w:firstRowFirstColumn="0" w:firstRowLastColumn="0" w:lastRowFirstColumn="0" w:lastRowLastColumn="0"/>
            </w:pPr>
            <w:r w:rsidRPr="00EC17DF">
              <w:t>Source</w:t>
            </w:r>
          </w:p>
        </w:tc>
        <w:tc>
          <w:tcPr>
            <w:tcW w:w="1266" w:type="dxa"/>
          </w:tcPr>
          <w:p w14:paraId="0EBE4D75" w14:textId="77777777" w:rsidR="00A3700B" w:rsidRPr="00EC17DF" w:rsidRDefault="00A3700B" w:rsidP="00002DB0">
            <w:pPr>
              <w:pStyle w:val="Table"/>
              <w:cnfStyle w:val="100000000000" w:firstRow="1" w:lastRow="0" w:firstColumn="0" w:lastColumn="0" w:oddVBand="0" w:evenVBand="0" w:oddHBand="0" w:evenHBand="0" w:firstRowFirstColumn="0" w:firstRowLastColumn="0" w:lastRowFirstColumn="0" w:lastRowLastColumn="0"/>
            </w:pPr>
            <w:r w:rsidRPr="00EC17DF">
              <w:t xml:space="preserve">Data relative to </w:t>
            </w:r>
            <w:proofErr w:type="spellStart"/>
            <w:r w:rsidRPr="00EC17DF">
              <w:t>year</w:t>
            </w:r>
            <w:proofErr w:type="spellEnd"/>
          </w:p>
        </w:tc>
      </w:tr>
      <w:tr w:rsidR="00A3700B" w:rsidRPr="00EC17DF" w14:paraId="26500F8D"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tcPr>
          <w:p w14:paraId="7991D791" w14:textId="77777777" w:rsidR="00A3700B" w:rsidRPr="00EC17DF" w:rsidRDefault="00A3700B" w:rsidP="00002DB0">
            <w:pPr>
              <w:pStyle w:val="Table"/>
            </w:pPr>
            <w:r w:rsidRPr="00EC17DF">
              <w:t xml:space="preserve">Relative </w:t>
            </w:r>
            <w:proofErr w:type="spellStart"/>
            <w:r w:rsidRPr="00EC17DF">
              <w:t>forest</w:t>
            </w:r>
            <w:proofErr w:type="spellEnd"/>
            <w:r w:rsidRPr="00EC17DF">
              <w:t xml:space="preserve"> cover</w:t>
            </w:r>
          </w:p>
        </w:tc>
        <w:tc>
          <w:tcPr>
            <w:tcW w:w="2911" w:type="dxa"/>
            <w:noWrap/>
          </w:tcPr>
          <w:p w14:paraId="6B07BBE0"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22BF774A"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18C31CFE"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68715A81" w14:textId="77777777" w:rsidR="00A3700B" w:rsidRPr="00EC17DF" w:rsidRDefault="00A3700B" w:rsidP="00002DB0">
            <w:pPr>
              <w:pStyle w:val="Table"/>
            </w:pPr>
            <w:r w:rsidRPr="00EC17DF">
              <w:t>Reforestation 2010-2015</w:t>
            </w:r>
          </w:p>
        </w:tc>
        <w:tc>
          <w:tcPr>
            <w:tcW w:w="2911" w:type="dxa"/>
            <w:noWrap/>
          </w:tcPr>
          <w:p w14:paraId="5FA9EF3D"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154BD1FA"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2010-2015</w:t>
            </w:r>
          </w:p>
        </w:tc>
      </w:tr>
      <w:tr w:rsidR="00A3700B" w:rsidRPr="00EC17DF" w14:paraId="7D39D7C9"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vAlign w:val="center"/>
          </w:tcPr>
          <w:p w14:paraId="103C0675" w14:textId="77777777" w:rsidR="00A3700B" w:rsidRPr="00EC17DF" w:rsidRDefault="00A3700B" w:rsidP="00002DB0">
            <w:pPr>
              <w:pStyle w:val="Table"/>
            </w:pPr>
            <w:proofErr w:type="spellStart"/>
            <w:r w:rsidRPr="00EC17DF">
              <w:t>Naturally</w:t>
            </w:r>
            <w:proofErr w:type="spellEnd"/>
            <w:r w:rsidRPr="00EC17DF">
              <w:t xml:space="preserve"> </w:t>
            </w:r>
            <w:proofErr w:type="spellStart"/>
            <w:r w:rsidRPr="00EC17DF">
              <w:t>regenerated</w:t>
            </w:r>
            <w:proofErr w:type="spellEnd"/>
            <w:r w:rsidRPr="00EC17DF">
              <w:t xml:space="preserve"> </w:t>
            </w:r>
            <w:proofErr w:type="spellStart"/>
            <w:r w:rsidRPr="00EC17DF">
              <w:t>forest</w:t>
            </w:r>
            <w:proofErr w:type="spellEnd"/>
            <w:r w:rsidRPr="00EC17DF">
              <w:t xml:space="preserve"> (%)</w:t>
            </w:r>
          </w:p>
        </w:tc>
        <w:tc>
          <w:tcPr>
            <w:tcW w:w="2911" w:type="dxa"/>
            <w:noWrap/>
          </w:tcPr>
          <w:p w14:paraId="69D0633C"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7A7BDF7E"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2010-2015</w:t>
            </w:r>
          </w:p>
        </w:tc>
      </w:tr>
      <w:tr w:rsidR="00A3700B" w:rsidRPr="00EC17DF" w14:paraId="16F77DF4"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vAlign w:val="center"/>
          </w:tcPr>
          <w:p w14:paraId="2F183354" w14:textId="77777777" w:rsidR="00A3700B" w:rsidRPr="00EC17DF" w:rsidRDefault="00A3700B" w:rsidP="00002DB0">
            <w:pPr>
              <w:pStyle w:val="Table"/>
            </w:pPr>
            <w:proofErr w:type="spellStart"/>
            <w:r w:rsidRPr="00EC17DF">
              <w:t>Planted</w:t>
            </w:r>
            <w:proofErr w:type="spellEnd"/>
            <w:r w:rsidRPr="00EC17DF">
              <w:t xml:space="preserve"> </w:t>
            </w:r>
            <w:proofErr w:type="spellStart"/>
            <w:r w:rsidRPr="00EC17DF">
              <w:t>forest</w:t>
            </w:r>
            <w:proofErr w:type="spellEnd"/>
            <w:r w:rsidRPr="00EC17DF">
              <w:t xml:space="preserve"> (%)</w:t>
            </w:r>
          </w:p>
        </w:tc>
        <w:tc>
          <w:tcPr>
            <w:tcW w:w="2911" w:type="dxa"/>
            <w:noWrap/>
          </w:tcPr>
          <w:p w14:paraId="4E75FA5A"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1F122A8F"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2010-2015</w:t>
            </w:r>
          </w:p>
        </w:tc>
      </w:tr>
      <w:tr w:rsidR="00A3700B" w:rsidRPr="00EC17DF" w14:paraId="6FD7264F"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2FA7B07D" w14:textId="77777777" w:rsidR="00A3700B" w:rsidRPr="00EC17DF" w:rsidRDefault="00A3700B" w:rsidP="00002DB0">
            <w:pPr>
              <w:pStyle w:val="Table"/>
            </w:pPr>
            <w:r w:rsidRPr="00EC17DF">
              <w:t xml:space="preserve">Relative </w:t>
            </w:r>
            <w:proofErr w:type="spellStart"/>
            <w:r w:rsidRPr="00EC17DF">
              <w:t>annual</w:t>
            </w:r>
            <w:proofErr w:type="spellEnd"/>
            <w:r w:rsidRPr="00EC17DF">
              <w:t xml:space="preserve"> </w:t>
            </w:r>
            <w:proofErr w:type="spellStart"/>
            <w:r w:rsidRPr="00EC17DF">
              <w:t>forest</w:t>
            </w:r>
            <w:proofErr w:type="spellEnd"/>
            <w:r w:rsidRPr="00EC17DF">
              <w:t xml:space="preserve"> expansion 2010-2015</w:t>
            </w:r>
          </w:p>
        </w:tc>
        <w:tc>
          <w:tcPr>
            <w:tcW w:w="2911" w:type="dxa"/>
            <w:noWrap/>
          </w:tcPr>
          <w:p w14:paraId="4F2A83C0"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2D0D3C83"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2010-2015</w:t>
            </w:r>
          </w:p>
        </w:tc>
      </w:tr>
      <w:tr w:rsidR="00A3700B" w:rsidRPr="00EC17DF" w14:paraId="0FDF0869"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2BE591CC" w14:textId="77777777" w:rsidR="00A3700B" w:rsidRPr="00EC17DF" w:rsidRDefault="00A3700B" w:rsidP="00002DB0">
            <w:pPr>
              <w:pStyle w:val="Table"/>
            </w:pPr>
            <w:r w:rsidRPr="00EC17DF">
              <w:t xml:space="preserve">...of </w:t>
            </w:r>
            <w:proofErr w:type="spellStart"/>
            <w:r w:rsidRPr="00EC17DF">
              <w:t>which</w:t>
            </w:r>
            <w:proofErr w:type="spellEnd"/>
            <w:r w:rsidRPr="00EC17DF">
              <w:t xml:space="preserve"> afforestation</w:t>
            </w:r>
          </w:p>
        </w:tc>
        <w:tc>
          <w:tcPr>
            <w:tcW w:w="2911" w:type="dxa"/>
            <w:noWrap/>
          </w:tcPr>
          <w:p w14:paraId="21170492"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0B171721"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2010-2015</w:t>
            </w:r>
          </w:p>
        </w:tc>
      </w:tr>
      <w:tr w:rsidR="00A3700B" w:rsidRPr="00EC17DF" w14:paraId="7F8F9DD5"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7A525931" w14:textId="77777777" w:rsidR="00A3700B" w:rsidRPr="00EC17DF" w:rsidRDefault="00A3700B" w:rsidP="00002DB0">
            <w:pPr>
              <w:pStyle w:val="Table"/>
            </w:pPr>
            <w:r w:rsidRPr="00EC17DF">
              <w:t xml:space="preserve">...of </w:t>
            </w:r>
            <w:proofErr w:type="spellStart"/>
            <w:r w:rsidRPr="00EC17DF">
              <w:t>which</w:t>
            </w:r>
            <w:proofErr w:type="spellEnd"/>
            <w:r w:rsidRPr="00EC17DF">
              <w:t xml:space="preserve"> </w:t>
            </w:r>
            <w:proofErr w:type="spellStart"/>
            <w:r w:rsidRPr="00EC17DF">
              <w:t>natural</w:t>
            </w:r>
            <w:proofErr w:type="spellEnd"/>
            <w:r w:rsidRPr="00EC17DF">
              <w:t xml:space="preserve"> expansion</w:t>
            </w:r>
          </w:p>
        </w:tc>
        <w:tc>
          <w:tcPr>
            <w:tcW w:w="2911" w:type="dxa"/>
            <w:noWrap/>
          </w:tcPr>
          <w:p w14:paraId="44349DB8"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31936B7E"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2010-2015</w:t>
            </w:r>
          </w:p>
        </w:tc>
      </w:tr>
      <w:tr w:rsidR="00A3700B" w:rsidRPr="00EC17DF" w14:paraId="71314AA1"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43A6E525" w14:textId="77777777" w:rsidR="00A3700B" w:rsidRPr="00EC17DF" w:rsidRDefault="00A3700B" w:rsidP="00002DB0">
            <w:pPr>
              <w:pStyle w:val="Table"/>
            </w:pPr>
            <w:proofErr w:type="spellStart"/>
            <w:r w:rsidRPr="00EC17DF">
              <w:t>Deforestation</w:t>
            </w:r>
            <w:proofErr w:type="spellEnd"/>
            <w:r w:rsidRPr="00EC17DF">
              <w:t xml:space="preserve"> 2010-2015 (%/</w:t>
            </w:r>
            <w:proofErr w:type="spellStart"/>
            <w:r w:rsidRPr="00EC17DF">
              <w:t>year</w:t>
            </w:r>
            <w:proofErr w:type="spellEnd"/>
            <w:r w:rsidRPr="00EC17DF">
              <w:t>)</w:t>
            </w:r>
          </w:p>
        </w:tc>
        <w:tc>
          <w:tcPr>
            <w:tcW w:w="2911" w:type="dxa"/>
            <w:noWrap/>
          </w:tcPr>
          <w:p w14:paraId="74B1A484"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5E014141"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2010-2015</w:t>
            </w:r>
          </w:p>
        </w:tc>
      </w:tr>
      <w:tr w:rsidR="00A3700B" w:rsidRPr="00EC17DF" w14:paraId="04A0A68F"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0B08F189" w14:textId="77777777" w:rsidR="00A3700B" w:rsidRPr="00EC17DF" w:rsidRDefault="00A3700B" w:rsidP="00002DB0">
            <w:pPr>
              <w:pStyle w:val="Table"/>
            </w:pPr>
            <w:r w:rsidRPr="00EC17DF">
              <w:t>Forest area net change 2010-2015</w:t>
            </w:r>
          </w:p>
        </w:tc>
        <w:tc>
          <w:tcPr>
            <w:tcW w:w="2911" w:type="dxa"/>
            <w:noWrap/>
          </w:tcPr>
          <w:p w14:paraId="7126CFBC"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78FC5D9F"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2010-2015</w:t>
            </w:r>
          </w:p>
        </w:tc>
      </w:tr>
      <w:tr w:rsidR="00A3700B" w:rsidRPr="00EC17DF" w14:paraId="1CB3D4C9"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222270ED" w14:textId="77777777" w:rsidR="00A3700B" w:rsidRPr="00A3700B" w:rsidRDefault="00A3700B" w:rsidP="00002DB0">
            <w:pPr>
              <w:pStyle w:val="Table"/>
              <w:rPr>
                <w:lang w:val="en-GB"/>
              </w:rPr>
            </w:pPr>
            <w:r w:rsidRPr="00A3700B">
              <w:rPr>
                <w:lang w:val="en-GB"/>
              </w:rPr>
              <w:t>Rate of forest area designated to protection of soil and water management</w:t>
            </w:r>
          </w:p>
        </w:tc>
        <w:tc>
          <w:tcPr>
            <w:tcW w:w="2911" w:type="dxa"/>
            <w:noWrap/>
          </w:tcPr>
          <w:p w14:paraId="1E52F7AF"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6FF4C844"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4FDF76CF"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39F6F511" w14:textId="77777777" w:rsidR="00A3700B" w:rsidRPr="00A3700B" w:rsidRDefault="00A3700B" w:rsidP="00002DB0">
            <w:pPr>
              <w:pStyle w:val="Table"/>
              <w:rPr>
                <w:lang w:val="en-GB"/>
              </w:rPr>
            </w:pPr>
            <w:r w:rsidRPr="00A3700B">
              <w:rPr>
                <w:lang w:val="en-GB"/>
              </w:rPr>
              <w:t>Rate of forest area designated to conservation management</w:t>
            </w:r>
          </w:p>
        </w:tc>
        <w:tc>
          <w:tcPr>
            <w:tcW w:w="2911" w:type="dxa"/>
            <w:noWrap/>
          </w:tcPr>
          <w:p w14:paraId="5224630B"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58F87CFA"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7EDC8F72"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4ADDC3EE" w14:textId="77777777" w:rsidR="00A3700B" w:rsidRPr="00A3700B" w:rsidRDefault="00A3700B" w:rsidP="00002DB0">
            <w:pPr>
              <w:pStyle w:val="Table"/>
              <w:rPr>
                <w:lang w:val="en-GB"/>
              </w:rPr>
            </w:pPr>
            <w:r w:rsidRPr="00A3700B">
              <w:rPr>
                <w:lang w:val="en-GB"/>
              </w:rPr>
              <w:lastRenderedPageBreak/>
              <w:t>Rate of protected area relative to forest cover</w:t>
            </w:r>
          </w:p>
        </w:tc>
        <w:tc>
          <w:tcPr>
            <w:tcW w:w="2911" w:type="dxa"/>
            <w:noWrap/>
          </w:tcPr>
          <w:p w14:paraId="38B26E68"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304269AB"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726233E9"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6E780FCF" w14:textId="77777777" w:rsidR="00A3700B" w:rsidRPr="00A3700B" w:rsidRDefault="00A3700B" w:rsidP="00002DB0">
            <w:pPr>
              <w:pStyle w:val="Table"/>
              <w:rPr>
                <w:lang w:val="en-GB"/>
              </w:rPr>
            </w:pPr>
            <w:r w:rsidRPr="00A3700B">
              <w:rPr>
                <w:lang w:val="en-GB"/>
              </w:rPr>
              <w:t>Rate of forest with a long-term management plan</w:t>
            </w:r>
          </w:p>
        </w:tc>
        <w:tc>
          <w:tcPr>
            <w:tcW w:w="2911" w:type="dxa"/>
            <w:noWrap/>
          </w:tcPr>
          <w:p w14:paraId="0F035ABC"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0EBC8C62"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6913E9EF"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3C6E6735" w14:textId="77777777" w:rsidR="00A3700B" w:rsidRPr="00A3700B" w:rsidRDefault="00A3700B" w:rsidP="00002DB0">
            <w:pPr>
              <w:pStyle w:val="Table"/>
              <w:rPr>
                <w:lang w:val="en-GB"/>
              </w:rPr>
            </w:pPr>
            <w:r w:rsidRPr="00A3700B">
              <w:rPr>
                <w:lang w:val="en-GB"/>
              </w:rPr>
              <w:t>Rate of forest area only used for production</w:t>
            </w:r>
          </w:p>
        </w:tc>
        <w:tc>
          <w:tcPr>
            <w:tcW w:w="2911" w:type="dxa"/>
            <w:noWrap/>
          </w:tcPr>
          <w:p w14:paraId="727A35F1"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Forests resource assessment 2020 database(modified)</w:t>
            </w:r>
          </w:p>
        </w:tc>
        <w:tc>
          <w:tcPr>
            <w:tcW w:w="1266" w:type="dxa"/>
          </w:tcPr>
          <w:p w14:paraId="557448A6"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6A045047"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3C0269AA" w14:textId="77777777" w:rsidR="00A3700B" w:rsidRPr="00A3700B" w:rsidRDefault="00A3700B" w:rsidP="00002DB0">
            <w:pPr>
              <w:pStyle w:val="Table"/>
              <w:rPr>
                <w:lang w:val="en-GB"/>
              </w:rPr>
            </w:pPr>
            <w:r w:rsidRPr="00A3700B">
              <w:rPr>
                <w:lang w:val="en-GB"/>
              </w:rPr>
              <w:t>Rate of Gross Value-Added form forestry to GDP</w:t>
            </w:r>
          </w:p>
        </w:tc>
        <w:tc>
          <w:tcPr>
            <w:tcW w:w="2911" w:type="dxa"/>
            <w:noWrap/>
          </w:tcPr>
          <w:p w14:paraId="439C718E"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63BD2369"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49F590AB"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4288AB87" w14:textId="77777777" w:rsidR="00A3700B" w:rsidRPr="00A3700B" w:rsidRDefault="00A3700B" w:rsidP="00002DB0">
            <w:pPr>
              <w:pStyle w:val="Table"/>
              <w:rPr>
                <w:lang w:val="en-GB"/>
              </w:rPr>
            </w:pPr>
            <w:r w:rsidRPr="00A3700B">
              <w:rPr>
                <w:lang w:val="en-GB"/>
              </w:rPr>
              <w:t>Gross Value-Added form forestry per 1000ha production managed Forest</w:t>
            </w:r>
          </w:p>
        </w:tc>
        <w:tc>
          <w:tcPr>
            <w:tcW w:w="2911" w:type="dxa"/>
            <w:noWrap/>
          </w:tcPr>
          <w:p w14:paraId="10293DED"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19396572"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334A2DF6"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6CBBCA2F" w14:textId="77777777" w:rsidR="00A3700B" w:rsidRPr="00A3700B" w:rsidRDefault="00A3700B" w:rsidP="00002DB0">
            <w:pPr>
              <w:pStyle w:val="Table"/>
              <w:rPr>
                <w:lang w:val="en-GB"/>
              </w:rPr>
            </w:pPr>
            <w:r w:rsidRPr="00A3700B">
              <w:rPr>
                <w:lang w:val="en-GB"/>
              </w:rPr>
              <w:t>Gross Value-Added form forestry per 1000ha of forest cover</w:t>
            </w:r>
          </w:p>
        </w:tc>
        <w:tc>
          <w:tcPr>
            <w:tcW w:w="2911" w:type="dxa"/>
            <w:noWrap/>
          </w:tcPr>
          <w:p w14:paraId="7B4853A6"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20BDFAC5"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49E0C9C8"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3FD1FA67" w14:textId="77777777" w:rsidR="00A3700B" w:rsidRPr="00A3700B" w:rsidRDefault="00A3700B" w:rsidP="00002DB0">
            <w:pPr>
              <w:pStyle w:val="Table"/>
              <w:rPr>
                <w:lang w:val="en-GB"/>
              </w:rPr>
            </w:pPr>
            <w:r w:rsidRPr="00A3700B">
              <w:rPr>
                <w:lang w:val="en-GB"/>
              </w:rPr>
              <w:t>Employment in forestry and logging/production area</w:t>
            </w:r>
          </w:p>
        </w:tc>
        <w:tc>
          <w:tcPr>
            <w:tcW w:w="2911" w:type="dxa"/>
            <w:noWrap/>
          </w:tcPr>
          <w:p w14:paraId="7580188E"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Forests resource assessment 2020 database (modified)</w:t>
            </w:r>
          </w:p>
        </w:tc>
        <w:tc>
          <w:tcPr>
            <w:tcW w:w="1266" w:type="dxa"/>
          </w:tcPr>
          <w:p w14:paraId="4E3B094E"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3B1BFADE"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4FA9CC55" w14:textId="77777777" w:rsidR="00A3700B" w:rsidRPr="00A3700B" w:rsidRDefault="00A3700B" w:rsidP="00002DB0">
            <w:pPr>
              <w:pStyle w:val="Table"/>
              <w:rPr>
                <w:lang w:val="en-GB"/>
              </w:rPr>
            </w:pPr>
            <w:r w:rsidRPr="00A3700B">
              <w:rPr>
                <w:lang w:val="en-GB"/>
              </w:rPr>
              <w:t>Average forest density m³/1000ha</w:t>
            </w:r>
          </w:p>
        </w:tc>
        <w:tc>
          <w:tcPr>
            <w:tcW w:w="2911" w:type="dxa"/>
            <w:noWrap/>
          </w:tcPr>
          <w:p w14:paraId="4010A814"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5A0CE0E1"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32BF6648"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3B73FC67" w14:textId="77777777" w:rsidR="00A3700B" w:rsidRPr="00A3700B" w:rsidRDefault="00A3700B" w:rsidP="00002DB0">
            <w:pPr>
              <w:pStyle w:val="Table"/>
              <w:rPr>
                <w:lang w:val="en-GB"/>
              </w:rPr>
            </w:pPr>
            <w:r w:rsidRPr="00A3700B">
              <w:rPr>
                <w:lang w:val="en-GB"/>
              </w:rPr>
              <w:t>Forest GS (million m³ over bark/1000ha)</w:t>
            </w:r>
          </w:p>
        </w:tc>
        <w:tc>
          <w:tcPr>
            <w:tcW w:w="2911" w:type="dxa"/>
            <w:noWrap/>
          </w:tcPr>
          <w:p w14:paraId="6BA6C884"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78676CA1"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6737F160"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73C3B37E" w14:textId="77777777" w:rsidR="00A3700B" w:rsidRPr="00A3700B" w:rsidRDefault="00A3700B" w:rsidP="00002DB0">
            <w:pPr>
              <w:pStyle w:val="Table"/>
              <w:rPr>
                <w:lang w:val="en-GB"/>
              </w:rPr>
            </w:pPr>
            <w:r w:rsidRPr="00A3700B">
              <w:rPr>
                <w:lang w:val="en-GB"/>
              </w:rPr>
              <w:t>Naturally regenerating forest (million m³ over bark/1000ha)</w:t>
            </w:r>
          </w:p>
        </w:tc>
        <w:tc>
          <w:tcPr>
            <w:tcW w:w="2911" w:type="dxa"/>
            <w:noWrap/>
          </w:tcPr>
          <w:p w14:paraId="35C9D2B9"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1AA5D70E"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0171809A"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6833E00A" w14:textId="77777777" w:rsidR="00A3700B" w:rsidRPr="00A3700B" w:rsidRDefault="00A3700B" w:rsidP="00002DB0">
            <w:pPr>
              <w:pStyle w:val="Table"/>
              <w:rPr>
                <w:lang w:val="en-GB"/>
              </w:rPr>
            </w:pPr>
            <w:r w:rsidRPr="00A3700B">
              <w:rPr>
                <w:lang w:val="en-GB"/>
              </w:rPr>
              <w:t>Planted forest GS (million m³ over bark/1000ha) 2015</w:t>
            </w:r>
          </w:p>
        </w:tc>
        <w:tc>
          <w:tcPr>
            <w:tcW w:w="2911" w:type="dxa"/>
            <w:noWrap/>
          </w:tcPr>
          <w:p w14:paraId="2926DC9D"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52EA4BF9"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6DE92995"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7A5F520F" w14:textId="77777777" w:rsidR="00A3700B" w:rsidRPr="00EC17DF" w:rsidRDefault="00A3700B" w:rsidP="00002DB0">
            <w:pPr>
              <w:pStyle w:val="Table"/>
            </w:pPr>
            <w:proofErr w:type="spellStart"/>
            <w:r w:rsidRPr="00EC17DF">
              <w:t>Felling</w:t>
            </w:r>
            <w:proofErr w:type="spellEnd"/>
            <w:r w:rsidRPr="00EC17DF">
              <w:t xml:space="preserve"> to </w:t>
            </w:r>
            <w:proofErr w:type="spellStart"/>
            <w:r w:rsidRPr="00EC17DF">
              <w:t>increment</w:t>
            </w:r>
            <w:proofErr w:type="spellEnd"/>
            <w:r w:rsidRPr="00EC17DF">
              <w:t xml:space="preserve"> rate 1990</w:t>
            </w:r>
          </w:p>
        </w:tc>
        <w:tc>
          <w:tcPr>
            <w:tcW w:w="2911" w:type="dxa"/>
            <w:noWrap/>
          </w:tcPr>
          <w:p w14:paraId="35DBF98B"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State of European forests 2020 database</w:t>
            </w:r>
          </w:p>
        </w:tc>
        <w:tc>
          <w:tcPr>
            <w:tcW w:w="1266" w:type="dxa"/>
          </w:tcPr>
          <w:p w14:paraId="530124AF"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1990</w:t>
            </w:r>
          </w:p>
        </w:tc>
      </w:tr>
      <w:tr w:rsidR="00A3700B" w:rsidRPr="00EC17DF" w14:paraId="6B47F1D3"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24ED3B6E" w14:textId="77777777" w:rsidR="00A3700B" w:rsidRPr="00EC17DF" w:rsidRDefault="00A3700B" w:rsidP="00002DB0">
            <w:pPr>
              <w:pStyle w:val="Table"/>
            </w:pPr>
            <w:proofErr w:type="spellStart"/>
            <w:r w:rsidRPr="00EC17DF">
              <w:t>Felling</w:t>
            </w:r>
            <w:proofErr w:type="spellEnd"/>
            <w:r w:rsidRPr="00EC17DF">
              <w:t xml:space="preserve"> to </w:t>
            </w:r>
            <w:proofErr w:type="spellStart"/>
            <w:r w:rsidRPr="00EC17DF">
              <w:t>increment</w:t>
            </w:r>
            <w:proofErr w:type="spellEnd"/>
            <w:r w:rsidRPr="00EC17DF">
              <w:t xml:space="preserve"> rate 2000</w:t>
            </w:r>
          </w:p>
        </w:tc>
        <w:tc>
          <w:tcPr>
            <w:tcW w:w="2911" w:type="dxa"/>
            <w:noWrap/>
          </w:tcPr>
          <w:p w14:paraId="3C0DC001"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State of European forests 2020 database</w:t>
            </w:r>
          </w:p>
        </w:tc>
        <w:tc>
          <w:tcPr>
            <w:tcW w:w="1266" w:type="dxa"/>
          </w:tcPr>
          <w:p w14:paraId="768BC66B"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2000</w:t>
            </w:r>
          </w:p>
        </w:tc>
      </w:tr>
      <w:tr w:rsidR="00A3700B" w:rsidRPr="00EC17DF" w14:paraId="7FF58078"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42152EB4" w14:textId="77777777" w:rsidR="00A3700B" w:rsidRPr="00EC17DF" w:rsidRDefault="00A3700B" w:rsidP="00002DB0">
            <w:pPr>
              <w:pStyle w:val="Table"/>
            </w:pPr>
            <w:proofErr w:type="spellStart"/>
            <w:r w:rsidRPr="00EC17DF">
              <w:t>Felling</w:t>
            </w:r>
            <w:proofErr w:type="spellEnd"/>
            <w:r w:rsidRPr="00EC17DF">
              <w:t xml:space="preserve"> to </w:t>
            </w:r>
            <w:proofErr w:type="spellStart"/>
            <w:r w:rsidRPr="00EC17DF">
              <w:t>increment</w:t>
            </w:r>
            <w:proofErr w:type="spellEnd"/>
            <w:r w:rsidRPr="00EC17DF">
              <w:t xml:space="preserve"> rate 2010</w:t>
            </w:r>
          </w:p>
        </w:tc>
        <w:tc>
          <w:tcPr>
            <w:tcW w:w="2911" w:type="dxa"/>
            <w:noWrap/>
          </w:tcPr>
          <w:p w14:paraId="41AD7D64"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State of European forests 2020 database</w:t>
            </w:r>
          </w:p>
        </w:tc>
        <w:tc>
          <w:tcPr>
            <w:tcW w:w="1266" w:type="dxa"/>
          </w:tcPr>
          <w:p w14:paraId="37B0428A"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2010</w:t>
            </w:r>
          </w:p>
        </w:tc>
      </w:tr>
      <w:tr w:rsidR="00A3700B" w:rsidRPr="00EC17DF" w14:paraId="4AAA9A62"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084E81B8" w14:textId="77777777" w:rsidR="00A3700B" w:rsidRPr="00EC17DF" w:rsidRDefault="00A3700B" w:rsidP="00002DB0">
            <w:pPr>
              <w:pStyle w:val="Table"/>
            </w:pPr>
            <w:proofErr w:type="spellStart"/>
            <w:r w:rsidRPr="00EC17DF">
              <w:t>Felling</w:t>
            </w:r>
            <w:proofErr w:type="spellEnd"/>
            <w:r w:rsidRPr="00EC17DF">
              <w:t xml:space="preserve"> to </w:t>
            </w:r>
            <w:proofErr w:type="spellStart"/>
            <w:r w:rsidRPr="00EC17DF">
              <w:t>increment</w:t>
            </w:r>
            <w:proofErr w:type="spellEnd"/>
            <w:r w:rsidRPr="00EC17DF">
              <w:t xml:space="preserve"> rate 2015</w:t>
            </w:r>
          </w:p>
        </w:tc>
        <w:tc>
          <w:tcPr>
            <w:tcW w:w="2911" w:type="dxa"/>
            <w:noWrap/>
          </w:tcPr>
          <w:p w14:paraId="46D328B7" w14:textId="77777777" w:rsidR="00A3700B" w:rsidRPr="00A3700B" w:rsidRDefault="00A3700B" w:rsidP="00002DB0">
            <w:pPr>
              <w:pStyle w:val="Table"/>
              <w:cnfStyle w:val="000000000000" w:firstRow="0" w:lastRow="0" w:firstColumn="0" w:lastColumn="0" w:oddVBand="0" w:evenVBand="0" w:oddHBand="0" w:evenHBand="0" w:firstRowFirstColumn="0" w:firstRowLastColumn="0" w:lastRowFirstColumn="0" w:lastRowLastColumn="0"/>
              <w:rPr>
                <w:lang w:val="en-GB"/>
              </w:rPr>
            </w:pPr>
            <w:r w:rsidRPr="00A3700B">
              <w:rPr>
                <w:lang w:val="en-GB"/>
              </w:rPr>
              <w:t>State of European forests 2020 database</w:t>
            </w:r>
          </w:p>
        </w:tc>
        <w:tc>
          <w:tcPr>
            <w:tcW w:w="1266" w:type="dxa"/>
          </w:tcPr>
          <w:p w14:paraId="2DCDC927"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7294265F"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0DF18ACE" w14:textId="77777777" w:rsidR="00A3700B" w:rsidRPr="00A3700B" w:rsidRDefault="00A3700B" w:rsidP="00002DB0">
            <w:pPr>
              <w:pStyle w:val="Table"/>
              <w:rPr>
                <w:lang w:val="en-GB"/>
              </w:rPr>
            </w:pPr>
            <w:r w:rsidRPr="00A3700B">
              <w:rPr>
                <w:lang w:val="en-GB"/>
              </w:rPr>
              <w:t>Average annual change in growing stock 2005-2015</w:t>
            </w:r>
          </w:p>
        </w:tc>
        <w:tc>
          <w:tcPr>
            <w:tcW w:w="2911" w:type="dxa"/>
            <w:noWrap/>
          </w:tcPr>
          <w:p w14:paraId="0666B537" w14:textId="77777777" w:rsidR="00A3700B" w:rsidRPr="00A3700B" w:rsidRDefault="00A3700B" w:rsidP="00002DB0">
            <w:pPr>
              <w:pStyle w:val="Table"/>
              <w:cnfStyle w:val="000000100000" w:firstRow="0" w:lastRow="0" w:firstColumn="0" w:lastColumn="0" w:oddVBand="0" w:evenVBand="0" w:oddHBand="1" w:evenHBand="0" w:firstRowFirstColumn="0" w:firstRowLastColumn="0" w:lastRowFirstColumn="0" w:lastRowLastColumn="0"/>
              <w:rPr>
                <w:lang w:val="en-GB"/>
              </w:rPr>
            </w:pPr>
            <w:r w:rsidRPr="00A3700B">
              <w:rPr>
                <w:lang w:val="en-GB"/>
              </w:rPr>
              <w:t>State of European forests 2020 database</w:t>
            </w:r>
          </w:p>
        </w:tc>
        <w:tc>
          <w:tcPr>
            <w:tcW w:w="1266" w:type="dxa"/>
          </w:tcPr>
          <w:p w14:paraId="2D42B12F"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2005-2015</w:t>
            </w:r>
          </w:p>
        </w:tc>
      </w:tr>
      <w:tr w:rsidR="00A3700B" w:rsidRPr="00EC17DF" w14:paraId="70E4A5E9"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38910399" w14:textId="77777777" w:rsidR="00A3700B" w:rsidRPr="00A3700B" w:rsidRDefault="00A3700B" w:rsidP="00002DB0">
            <w:pPr>
              <w:pStyle w:val="Table"/>
              <w:rPr>
                <w:lang w:val="en-GB"/>
              </w:rPr>
            </w:pPr>
            <w:r w:rsidRPr="00A3700B">
              <w:rPr>
                <w:lang w:val="en-GB"/>
              </w:rPr>
              <w:t>Rate of public forest ownership</w:t>
            </w:r>
          </w:p>
        </w:tc>
        <w:tc>
          <w:tcPr>
            <w:tcW w:w="2911" w:type="dxa"/>
            <w:noWrap/>
          </w:tcPr>
          <w:p w14:paraId="2E43CC71"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7A06C5F1"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r w:rsidR="00A3700B" w:rsidRPr="00EC17DF" w14:paraId="016615D2" w14:textId="77777777" w:rsidTr="00002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0EBDC320" w14:textId="77777777" w:rsidR="00A3700B" w:rsidRPr="00A3700B" w:rsidRDefault="00A3700B" w:rsidP="00002DB0">
            <w:pPr>
              <w:pStyle w:val="Table"/>
              <w:rPr>
                <w:lang w:val="en-GB"/>
              </w:rPr>
            </w:pPr>
            <w:r w:rsidRPr="00A3700B">
              <w:rPr>
                <w:lang w:val="en-GB"/>
              </w:rPr>
              <w:t>Rate of private forest ownership</w:t>
            </w:r>
          </w:p>
        </w:tc>
        <w:tc>
          <w:tcPr>
            <w:tcW w:w="2911" w:type="dxa"/>
            <w:noWrap/>
          </w:tcPr>
          <w:p w14:paraId="20F35042"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315ABF35" w14:textId="77777777" w:rsidR="00A3700B" w:rsidRPr="00EC17DF" w:rsidRDefault="00A3700B" w:rsidP="00002DB0">
            <w:pPr>
              <w:pStyle w:val="Table"/>
              <w:cnfStyle w:val="000000100000" w:firstRow="0" w:lastRow="0" w:firstColumn="0" w:lastColumn="0" w:oddVBand="0" w:evenVBand="0" w:oddHBand="1" w:evenHBand="0" w:firstRowFirstColumn="0" w:firstRowLastColumn="0" w:lastRowFirstColumn="0" w:lastRowLastColumn="0"/>
            </w:pPr>
            <w:r w:rsidRPr="00EC17DF">
              <w:t>2015</w:t>
            </w:r>
          </w:p>
        </w:tc>
      </w:tr>
      <w:tr w:rsidR="00A3700B" w:rsidRPr="00EC17DF" w14:paraId="0E72D0F4" w14:textId="77777777" w:rsidTr="00002DB0">
        <w:trPr>
          <w:trHeight w:val="300"/>
        </w:trPr>
        <w:tc>
          <w:tcPr>
            <w:cnfStyle w:val="001000000000" w:firstRow="0" w:lastRow="0" w:firstColumn="1" w:lastColumn="0" w:oddVBand="0" w:evenVBand="0" w:oddHBand="0" w:evenHBand="0" w:firstRowFirstColumn="0" w:firstRowLastColumn="0" w:lastRowFirstColumn="0" w:lastRowLastColumn="0"/>
            <w:tcW w:w="4852" w:type="dxa"/>
            <w:noWrap/>
          </w:tcPr>
          <w:p w14:paraId="445FCA4B" w14:textId="77777777" w:rsidR="00A3700B" w:rsidRPr="00EC17DF" w:rsidRDefault="00A3700B" w:rsidP="00002DB0">
            <w:pPr>
              <w:pStyle w:val="Table"/>
            </w:pPr>
            <w:proofErr w:type="spellStart"/>
            <w:r w:rsidRPr="00EC17DF">
              <w:t>Unknown</w:t>
            </w:r>
            <w:proofErr w:type="spellEnd"/>
            <w:r w:rsidRPr="00EC17DF">
              <w:t>/</w:t>
            </w:r>
            <w:proofErr w:type="spellStart"/>
            <w:r w:rsidRPr="00EC17DF">
              <w:t>other</w:t>
            </w:r>
            <w:proofErr w:type="spellEnd"/>
            <w:r w:rsidRPr="00EC17DF">
              <w:t xml:space="preserve"> </w:t>
            </w:r>
            <w:proofErr w:type="spellStart"/>
            <w:r w:rsidRPr="00EC17DF">
              <w:t>ownership</w:t>
            </w:r>
            <w:proofErr w:type="spellEnd"/>
          </w:p>
        </w:tc>
        <w:tc>
          <w:tcPr>
            <w:tcW w:w="2911" w:type="dxa"/>
            <w:noWrap/>
          </w:tcPr>
          <w:p w14:paraId="29E07125"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proofErr w:type="spellStart"/>
            <w:r w:rsidRPr="00EC17DF">
              <w:t>Forests</w:t>
            </w:r>
            <w:proofErr w:type="spellEnd"/>
            <w:r w:rsidRPr="00EC17DF">
              <w:t xml:space="preserve"> </w:t>
            </w:r>
            <w:proofErr w:type="spellStart"/>
            <w:r w:rsidRPr="00EC17DF">
              <w:t>resource</w:t>
            </w:r>
            <w:proofErr w:type="spellEnd"/>
            <w:r w:rsidRPr="00EC17DF">
              <w:t xml:space="preserve"> </w:t>
            </w:r>
            <w:proofErr w:type="spellStart"/>
            <w:r w:rsidRPr="00EC17DF">
              <w:t>assessment</w:t>
            </w:r>
            <w:proofErr w:type="spellEnd"/>
            <w:r w:rsidRPr="00EC17DF">
              <w:t xml:space="preserve"> 2020 </w:t>
            </w:r>
            <w:proofErr w:type="spellStart"/>
            <w:r w:rsidRPr="00EC17DF">
              <w:t>database</w:t>
            </w:r>
            <w:proofErr w:type="spellEnd"/>
          </w:p>
        </w:tc>
        <w:tc>
          <w:tcPr>
            <w:tcW w:w="1266" w:type="dxa"/>
          </w:tcPr>
          <w:p w14:paraId="22616BD7" w14:textId="77777777" w:rsidR="00A3700B" w:rsidRPr="00EC17DF" w:rsidRDefault="00A3700B" w:rsidP="00002DB0">
            <w:pPr>
              <w:pStyle w:val="Table"/>
              <w:cnfStyle w:val="000000000000" w:firstRow="0" w:lastRow="0" w:firstColumn="0" w:lastColumn="0" w:oddVBand="0" w:evenVBand="0" w:oddHBand="0" w:evenHBand="0" w:firstRowFirstColumn="0" w:firstRowLastColumn="0" w:lastRowFirstColumn="0" w:lastRowLastColumn="0"/>
            </w:pPr>
            <w:r w:rsidRPr="00EC17DF">
              <w:t>2015</w:t>
            </w:r>
          </w:p>
        </w:tc>
      </w:tr>
    </w:tbl>
    <w:p w14:paraId="65C6DCCE" w14:textId="77777777" w:rsidR="00A3700B" w:rsidRPr="00EC17DF" w:rsidRDefault="00A3700B" w:rsidP="00A3700B"/>
    <w:p w14:paraId="1911C592" w14:textId="77777777" w:rsidR="00A3700B" w:rsidRPr="00EC17DF" w:rsidRDefault="00A3700B" w:rsidP="00A3700B">
      <w:pPr>
        <w:spacing w:after="0"/>
        <w:jc w:val="left"/>
      </w:pPr>
    </w:p>
    <w:p w14:paraId="59D539BF" w14:textId="77777777" w:rsidR="00A3700B" w:rsidRPr="00ED5BC8" w:rsidRDefault="00A3700B" w:rsidP="00A3700B"/>
    <w:p w14:paraId="641527B5" w14:textId="77777777" w:rsidR="00A3700B" w:rsidRPr="0043187D" w:rsidRDefault="00A3700B" w:rsidP="00A3700B">
      <w:pPr>
        <w:pStyle w:val="Heading2"/>
      </w:pPr>
      <w:bookmarkStart w:id="5" w:name="_Ref206755754"/>
      <w:r>
        <w:t>Annex 2</w:t>
      </w:r>
      <w:bookmarkEnd w:id="5"/>
    </w:p>
    <w:p w14:paraId="1AA123FF" w14:textId="77777777" w:rsidR="00A3700B" w:rsidRPr="00EC17DF" w:rsidRDefault="00A3700B" w:rsidP="00A3700B">
      <w:pPr>
        <w:pStyle w:val="Heading3"/>
        <w:rPr>
          <w:lang w:eastAsia="en-US"/>
        </w:rPr>
      </w:pPr>
      <w:r>
        <w:t>International Property Rights Index</w:t>
      </w:r>
    </w:p>
    <w:p w14:paraId="32EEADED" w14:textId="77777777" w:rsidR="00A3700B" w:rsidRPr="00EC17DF" w:rsidRDefault="00A3700B" w:rsidP="00A3700B">
      <w:pPr>
        <w:rPr>
          <w:lang w:eastAsia="en-US"/>
        </w:rPr>
      </w:pPr>
      <w:r w:rsidRPr="00EC17DF">
        <w:rPr>
          <w:lang w:eastAsia="en-US"/>
        </w:rPr>
        <w:t xml:space="preserve">The measure of property rights is key to understanding how said rights affect landowners’ behaviour. Property rights can have a direct impact on environmental conservation </w:t>
      </w:r>
      <w:r w:rsidRPr="00EC17DF">
        <w:rPr>
          <w:lang w:eastAsia="en-US"/>
        </w:rPr>
        <w:fldChar w:fldCharType="begin"/>
      </w:r>
      <w:r w:rsidRPr="00EC17DF">
        <w:rPr>
          <w:lang w:eastAsia="en-US"/>
        </w:rPr>
        <w:instrText xml:space="preserve"> ADDIN ZOTERO_ITEM CSL_CITATION {"citationID":"BJb48RxH","properties":{"unsorted":true,"formattedCitation":"(Boudreaux &amp; Nelson, 2011; A. Li et al., 2018; Norton-Griffiths, 1996; Rissman, 2013; Moon et al., 2021; Angelsen, 2009; Bouriaud &amp; Schmith\\uc0\\u252{}sen, 2005)","plainCitation":"(Boudreaux &amp; Nelson, 2011; A. Li et al., 2018; Norton-Griffiths, 1996; Rissman, 2013; Moon et al., 2021; Angelsen, 2009; Bouriaud &amp; Schmithüsen, 2005)","noteIndex":0},"citationItems":[{"id":1630,"uris":["http://zotero.org/users/6963771/items/KU63WUJJ","http://zotero.org/users/6963771/items/9EVF84QN"],"itemData":{"id":1630,"type":"article-journal","abstract":"This paper examines the Community Based Natural Resource Management Programme in Namibia. It finds that the policy of transferring property rights to natural resources from the state to local communities has brought significant economic and environmental benefits. Though the system has been quite successful, there are lingering weaknesses. These include an incomplete devolution of management and use rights, problems related to human–wildlife conflict and continuing concerns with land tenure insecurity.","container-title":"Economic Affairs","DOI":"10.1111/j.1468-0270.2011.02096.x","ISSN":"1468-0270","issue":"2","language":"en","note":"number: 2\n_eprint: https://onlinelibrary.wiley.com/doi/pdf/10.1111/j.1468-0270.2011.02096.x","page":"17-24","source":"Wiley Online Library","title":"Community Conservation in Namibia: Empowering the Poor with Property Rights","title-short":"Community Conservation in Namibia","volume":"31","author":[{"family":"Boudreaux","given":"Karol"},{"family":"Nelson","given":"Fred"}],"issued":{"date-parts":[["2011"]]}}},{"id":65,"uris":["http://zotero.org/users/6963771/items/9JPTLQ57"],"itemData":{"id":65,"type":"article-journal","abstract":"China is currently implementing the “separating three property rights” (STPR) reform to consolidate rural land. This reform divides rural land property rights into three components: nontradable ownership, nontradable contractual rights and tradable land use rights. The STPR reform adopts the rental of grassland use rights, a market-oriented approach, as the main arrangement for grassland consolidation. However, this arrangement may undermine the cornerstones of grassland restoration, which are the security of grassland property and payments for ecosystem services (PES) policies. As an alternative to the market-oriented approach, cooperatives are also encouraged to consolidate grassland use rights. We used a natural experiment approach to systematically examine how two diﬀerent land consolidation arrangements aﬀected key grassland ecosystem services in Inner Mongolia. In rented grasslands, all ecosystem services except provisioning services degenerated severely. Traded grassland use rights were perceived as insecure, which led to predatory land use by tenants. In contrast, cooperative-managed grasslands showed no serious degradation in ecosystem services. However, these cooperatives limited their group size by chief kinship to avoid the free-rider problem; thus, they are unlikely to become a primary channel of grassland consolidation. Because PES policy subsidies are still allocated to grassland contractors rather than to tenants, these policies are irrelevant to the conservation of rented grasslands. Based on our analysis, we suggest several ways to improve this new rural land property reform to avoid a major wave of grassland degradation in China.","container-title":"Land Use Policy","DOI":"10.1016/j.landusepol.2017.11.052","ISSN":"02648377","journalAbbreviation":"Land Use Policy","language":"en","page":"170-182","source":"DOI.org (Crossref)","title":"China’s new rural “separating three property rights” land reform results in grassland degradation: Evidence from Inner Mongolia","title-short":"China’s new rural “separating three property rights” land reform results in grassland degradation","volume":"71","author":[{"family":"Li","given":"Ang"},{"family":"Wu","given":"Jianguo"},{"family":"Zhang","given":"Xueyao"},{"family":"Xue","given":"Jianguo"},{"family":"Liu","given":"Zhifeng"},{"family":"Han","given":"Xingguo"},{"family":"Huang","given":"Jianhui"}],"issued":{"date-parts":[["2018",2]]}}},{"id":62,"uris":["http://zotero.org/users/6963771/items/N9F338X5"],"itemData":{"id":62,"type":"article-journal","abstract":"This paper discusses policy responses to the potential loss of biodiversity in the Mara Area of Kenya from the conversion of essentially wild and undeveloped rangeland to developed agriculture. Property rights are central to the debate, and raise two fundamental issues. First, to what extent do the Maasai, the traditional users and owners of the land, have the right to benefit from the development potential of their land to further their economic, social and political standing, even if by so doing they create domestic and global externalities through the loss of biodiversity. Second, if the state alienates their development rights in the name of conservation, then to what extent should the state compensate the Maasai for their lost economic opportunities. To the Maasai, conservation as implemented through Government policy is a publicc bad: they are denied access to resources, their costs of production are significantly increased, and development is slowed down or actively discouraged. A cost:benefit analysis suggests that it is neither supportable nor sustainable to condemn the Maasai to a poverty trap on behalf of conservation, and that it is instead socially prolitable for the Kenyan Government to meet in full their opportunity costs of forgone economic benefits.","container-title":"Biodiversity &amp; Conservation","DOI":"10.1007/BF00052116","ISSN":"1572-9710","issue":"12","journalAbbreviation":"Biodivers Conserv","language":"en","page":"1557-1577","source":"Springer Link","title":"Property rights and the marginal wildebeest: an economic analysis of wildlife conservation options in Kenya","title-short":"Property rights and the marginal wildebeest","volume":"5","author":[{"family":"Norton-Griffiths","given":"Michael"}],"issued":{"date-parts":[["1996",12,1]]}}},{"id":60,"uris":["http://zotero.org/users/6963771/items/YDG9YPDY"],"itemData":{"id":60,"type":"article-journal","abstract":"Conservation easements (or conservation covenants) are commonly conceptualized as acquisitions of sticks in a ‘bundle of rights’ and are increasingly implemented for wildlife conservation on private lands. This research asks: (1) What are the possibilities and limitations of the conservation easement approach to wildlife conservation in contrasting rural and periurban regions? and (2) How does analysis of conservation easements differ when examining property as a bundle of rights or alternative metaphors? These questions were addressed through document analysis, interviews and GIS mapping in two regions where The Nature Conservancy deployed conservation easements for wildlife habitat: rural Lassen Foothills and periurban Tenaja Corridor, USA. Splitting the bundle allowed for site and region-specific easements with differences in permitted housing densities, land management and hunting. Easements focused on restricted rights rather than affirmative duties. The challenges of habitat connectivity in the fragmented Tenaja Corridor revealed the limits of parcel-based acquisition. Analysts and conservation practitioners should rethink the bundle of rights concept of property, considering a bundle of duties, powers and owners within a broader web of social and ecological interests, to understand the role of conservation acquisitions in contrasting landscape contexts.","container-title":"Environmental Conservation","DOI":"10.1017/S0376892913000015","ISSN":"0376-8929, 1469-4387","issue":"3","language":"en","note":"number: 3\npublisher: Cambridge University Press","page":"222-230","source":"Cambridge University Press","title":"Rethinking property rights: comparative analysis of conservation easements for wildlife conservation","title-short":"Rethinking property rights","volume":"40","author":[{"family":"Rissman","given":"Adena R."}],"issued":{"date-parts":[["2013",9]]}}},{"id":59,"uris":["http://zotero.org/users/6963771/items/MS2M2K8Z"],"itemData":{"id":59,"type":"article-journal","abstract":"Protecting biodiversity in the face of contemporary conservation challenges requires actions across all land and sea tenures. In seeking improved conservation outcomes across these tenures, we undertook a multidisciplinary review of the property law, conservation and environmental ethics literature. Our review revealed three major threats of property rights to conservation: a focus on tangible goods at the expense of intangible services, a focus on the plot rather than the land or seascape and a focus on rights over responsibilities. Our analysis reveals that overcoming these threats requires a blending of the construct of property with both ecological principles and social values. To this end, we offer a practical, solutions-focused approach that seeks to determine who has a responsibility, to whom they owe that responsibility and how that responsibility can be ascribed. This approach couples specific property rights with defined responsibilities owed to resource systems to support current and future beneficiaries. A formal recognition of the responsibilities that accompany rights can set the baseline of what society should be able to expect from rights-holders. From this baseline, policy instruments can be more appropriately applied, supporting landholders in their responsibilities and where necessary, providing compensation for activities that extend beyond their responsibilities.","container-title":"Conservation Letters","DOI":"10.1111/conl.12767","ISSN":"1755-263X","issue":"1","language":"en","note":"number: 1\n_eprint: https://onlinelibrary.wiley.com/doi/pdf/10.1111/conl.12767","page":"e12767","source":"Wiley Online Library","title":"Coupling property rights with responsibilities to improve conservation outcomes across land and seascapes","volume":"14","author":[{"family":"Moon","given":"Katie"},{"family":"Marsh","given":"Dru"},{"family":"Cvitanovic","given":"Christopher"}],"issued":{"date-parts":[["2021"]]}}},{"id":58,"uris":["http://zotero.org/users/6963771/items/UDYDD9U7"],"itemData":{"id":58,"type":"book","abstract":"REDD+ must be transformational. REDD+ requires broad institutional and governance reforms, such as tenure, decentralisation, and corruption control. These reforms will enable departures from business as usual, and involve communities and forest users in making and implementing policies that a</w:instrText>
      </w:r>
      <w:r w:rsidRPr="00EC17DF">
        <w:rPr>
          <w:rFonts w:ascii="Tahoma" w:hAnsi="Tahoma" w:cs="Tahoma"/>
          <w:lang w:eastAsia="en-US"/>
        </w:rPr>
        <w:instrText>�</w:instrText>
      </w:r>
      <w:r w:rsidRPr="00EC17DF">
        <w:rPr>
          <w:lang w:eastAsia="en-US"/>
        </w:rPr>
        <w:instrText xml:space="preserve"> ect them. Policies must go beyond forestry. REDD+ strategies must include policies outside the forestry sector narrowly de</w:instrText>
      </w:r>
      <w:r w:rsidRPr="00EC17DF">
        <w:rPr>
          <w:rFonts w:ascii="Tahoma" w:hAnsi="Tahoma" w:cs="Tahoma"/>
          <w:lang w:eastAsia="en-US"/>
        </w:rPr>
        <w:instrText>�</w:instrText>
      </w:r>
      <w:r w:rsidRPr="00EC17DF">
        <w:rPr>
          <w:lang w:eastAsia="en-US"/>
        </w:rPr>
        <w:instrText xml:space="preserve"> ned, such as agriculture and energy, and better coordinate across sectors to deal with non-forest drivers of deforestation and degradation. Performance-based payments are key, yet limited. Payments based on performance directly incentivise and compensate forest owners and users. But schemes such as payments for environmental services (PES) depend on conditions, such as secure tenure, solid carbon data and transparent governance, that are often lacking and take time to change. This constraint reinforces the need for broad institutional and policy reforms. We must learn from the past. Many approaches to REDD+ now being considered are similar to previous e</w:instrText>
      </w:r>
      <w:r w:rsidRPr="00EC17DF">
        <w:rPr>
          <w:rFonts w:ascii="Tahoma" w:hAnsi="Tahoma" w:cs="Tahoma"/>
          <w:lang w:eastAsia="en-US"/>
        </w:rPr>
        <w:instrText>�</w:instrText>
      </w:r>
      <w:r w:rsidRPr="00EC17DF">
        <w:rPr>
          <w:lang w:eastAsia="en-US"/>
        </w:rPr>
        <w:instrText xml:space="preserve"> orts to conserve and better manage forests, often with limited success. Taking on board lessons learned from past experience will improve the prospects of REDD+ e</w:instrText>
      </w:r>
      <w:r w:rsidRPr="00EC17DF">
        <w:rPr>
          <w:rFonts w:ascii="Tahoma" w:hAnsi="Tahoma" w:cs="Tahoma"/>
          <w:lang w:eastAsia="en-US"/>
        </w:rPr>
        <w:instrText>�</w:instrText>
      </w:r>
      <w:r w:rsidRPr="00EC17DF">
        <w:rPr>
          <w:lang w:eastAsia="en-US"/>
        </w:rPr>
        <w:instrText xml:space="preserve"> ectiveness. National circumstances and uncertainty must be factored in. Di</w:instrText>
      </w:r>
      <w:r w:rsidRPr="00EC17DF">
        <w:rPr>
          <w:rFonts w:ascii="Tahoma" w:hAnsi="Tahoma" w:cs="Tahoma"/>
          <w:lang w:eastAsia="en-US"/>
        </w:rPr>
        <w:instrText>�</w:instrText>
      </w:r>
      <w:r w:rsidRPr="00EC17DF">
        <w:rPr>
          <w:lang w:eastAsia="en-US"/>
        </w:rPr>
        <w:instrText xml:space="preserve"> erent country contexts will create a variety of REDD+ models with di</w:instrText>
      </w:r>
      <w:r w:rsidRPr="00EC17DF">
        <w:rPr>
          <w:rFonts w:ascii="Tahoma" w:hAnsi="Tahoma" w:cs="Tahoma"/>
          <w:lang w:eastAsia="en-US"/>
        </w:rPr>
        <w:instrText>�</w:instrText>
      </w:r>
      <w:r w:rsidRPr="00EC17DF">
        <w:rPr>
          <w:lang w:eastAsia="en-US"/>
        </w:rPr>
        <w:instrText xml:space="preserve"> erent institutional and policy mixes. Uncertainties about the shape of the future global REDD+ system, national readiness and political consensus require </w:instrText>
      </w:r>
      <w:r w:rsidRPr="00EC17DF">
        <w:rPr>
          <w:rFonts w:ascii="Tahoma" w:hAnsi="Tahoma" w:cs="Tahoma"/>
          <w:lang w:eastAsia="en-US"/>
        </w:rPr>
        <w:instrText>�</w:instrText>
      </w:r>
      <w:r w:rsidRPr="00EC17DF">
        <w:rPr>
          <w:lang w:eastAsia="en-US"/>
        </w:rPr>
        <w:instrText xml:space="preserve"> exibility and a phased approach to REDD+ implementation.","ISBN":"978-602-8693-03-5","language":"en","note":"Google-Books-ID: vNavVSPOtioC","number-of-pages":"390","publisher":"CIFOR","source":"Google Books","title":"Realising REDD+: National Strategy and Policy Options","title-short":"Realising REDD+","author":[{"family":"Angelsen","given":"Arild"}],"issued":{"date-parts":[["2009",1,1]]}}},{"id":54,"uris":["http://zotero.org/users/6963771/items/PMYCRNHC"],"itemData":{"id":54,"type":"article-journal","abstract":"The study applies some concepts of the economics of property rights to the allocation of rights on forests in Central and Eastern European countries. The classification of forest assets, according to their economic characteristics and the analytical framework proposed by SCHLAGER &amp; OSTROM (1992), are used to examine the impact of ownership reforms and policy changes on forest utilisation in the CEE region. It is shown that while reform ownership reforms deal with the formal definition of rights on forestland, new forest policies more properly define the economic rights, e.g. the owner's ability to make a profit from the assets he owns. The conclusions argue that the combination of property and liability rules, applied to ensure the procurement of environmental services, can efficiently allocate forest resources. However, the rules on forest utilisation are formulated collectively in public policy-driven decision making processes in which private forest owners are not yet able to adequately participate. Measures must be adopted to facilitate more effective participation of private land owners in political processes in order to balance the presently ongoing trends of considering forests, irrespective to the legal regime of ownership,as a common-pool resource.","container-title":"Schweizerische Zeitschrift fur Forstwesen","DOI":"10.3188/szf.2005.0297","ISSN":"0036-7818, 2235-1469","issue":"8","language":"en","page":"297-305","source":"DOI.org (Crossref)","title":"Allocation of Property Rights on Forests through Ownership Reform and Forest Policies in Central and Eastern European Countries","volume":"156","author":[{"family":"Bouriaud","given":"Laura"},{"family":"Schmithüsen","given":"Franz"}],"issued":{"date-parts":[["2005",8,1]]}}}],"schema":"https://github.com/citation-style-language/schema/raw/master/csl-citation.json"} </w:instrText>
      </w:r>
      <w:r w:rsidRPr="00EC17DF">
        <w:rPr>
          <w:lang w:eastAsia="en-US"/>
        </w:rPr>
        <w:fldChar w:fldCharType="separate"/>
      </w:r>
      <w:r w:rsidRPr="00EC17DF">
        <w:rPr>
          <w:rFonts w:cs="Times New Roman"/>
        </w:rPr>
        <w:t>(Boudreaux &amp; Nelson, 2011; A. Li et al., 2018; Norton-Griffiths, 1996; Rissman, 2013; Moon et al., 2021; Angelsen, 2009; Bouriaud &amp; Schmithüsen, 2005)</w:t>
      </w:r>
      <w:r w:rsidRPr="00EC17DF">
        <w:rPr>
          <w:lang w:eastAsia="en-US"/>
        </w:rPr>
        <w:fldChar w:fldCharType="end"/>
      </w:r>
      <w:r w:rsidRPr="00EC17DF">
        <w:rPr>
          <w:lang w:eastAsia="en-US"/>
        </w:rPr>
        <w:t xml:space="preserve"> or influence investments made in the land </w:t>
      </w:r>
      <w:r w:rsidRPr="00EC17DF">
        <w:rPr>
          <w:lang w:eastAsia="en-US"/>
        </w:rPr>
        <w:lastRenderedPageBreak/>
        <w:fldChar w:fldCharType="begin"/>
      </w:r>
      <w:r w:rsidRPr="00EC17DF">
        <w:rPr>
          <w:lang w:eastAsia="en-US"/>
        </w:rPr>
        <w:instrText xml:space="preserve"> ADDIN ZOTERO_ITEM CSL_CITATION {"citationID":"ziNyc4z8","properties":{"formattedCitation":"(Ren et al., 2018; Takacs, 2009; Yi et al., 2014)","plainCitation":"(Ren et al., 2018; Takacs, 2009; Yi et al., 2014)","noteIndex":0},"citationItems":[{"id":79,"uris":["http://zotero.org/users/6963771/items/IJL5IY5H"],"itemData":{"id":79,"type":"article-journal","abstract":"To investigate the effect of improved property rights and, in particular, village democracy under China’s Collective Forest Tenure Reform (Tenure Reform) on household forestry investments, we estimate both tobit models and the more general Cragg models for farmers’ labor and monetary inputs into forestry, using survey data of 652 households from the southern collective forest region of China. The results reveal that the improved forestland use and disposition rights had a significant effect on household investments in forestry, while the beneficiary right did not. In addition, the results suggest that village democracy had a positive effect on households’ forestry investments. More importantly, we find that village democracy was able to significantly strengthen the investment incentive effect of the improved property rights under the Tenure Reform. These effects may be explained by the fact that village democracy improved households’ perception, cognition, and, subsequently, confidence toward, in particular, the use and disposition rights of the forests entitled to them. Therefore, the findings suggest that to increase the investment incentives of the Tenure Reform further, governments could strengthen the bundle of households’ use and disposition rights, as well as their related policies. Also, our findings indicate that governments could significantly improve the performance of public policies by effectively employing democratic procedures in the process of policy implementation.","container-title":"Forests","DOI":"10.3390/f9090541","ISSN":"1999-4907","issue":"9","language":"en","license":"http://creativecommons.org/licenses/by/3.0/","note":"number: 9\npublisher: Multidisciplinary Digital Publishing Institute","page":"541","source":"www.mdpi.com","title":"Property Rights, Village Political System, and Forestry Investment: Evidence from China’s Collective Forest Tenure Reform","title-short":"Property Rights, Village Political System, and Forestry Investment","volume":"9","author":[{"family":"Ren","given":"Yang"},{"family":"Kuuluvainen","given":"Jari"},{"family":"Yang","given":"Liu"},{"family":"Yao","given":"Shunbo"},{"family":"Xue","given":"Caixia"},{"family":"Toppinen","given":"Anne"}],"issued":{"date-parts":[["2018",9]]}}},{"id":57,"uris":["http://zotero.org/users/6963771/items/9RETHVP6"],"itemData":{"id":57,"type":"article","abstract":"Investments in reforestation and reducing emissions from deforestation and degradation (REDD) have the potential to mitigate greenhouse gas accumulation; sustain ecosystem services that support human and ecological communities; and generate sustainable livelihoods for poor, forest-dependent people. But as a new form of property, forest carbon presents legal complications that no jurisdiction has completely untangled. This guide is designed to help community members, government leaders, lawyers, treaty negotiators, NGO advocates, and carbon investors do legal due diligence to understand forest carbon as property in order to support and develop sustainable forest carbon projects.","event-place":"Rochester, NY","genre":"SSRN Scholarly Paper","language":"en","note":"issue: 1661334","number":"1661334","publisher-place":"Rochester, NY","source":"Social Science Research Network","title":"Forest Carbon: Law and Property Rights","title-short":"Forest Carbon","URL":"https://papers.ssrn.com/abstract=1661334","author":[{"family":"Takacs","given":"David"}],"accessed":{"date-parts":[["2022",9,26]]},"issued":{"date-parts":[["2009",11,1]]}}},{"id":55,"uris":["http://zotero.org/users/6963771/items/A56SDAKK"],"itemData":{"id":55,"type":"article-journal","abstract":"This paper assesses how tenure reform in China's collective forest sector affects Chinese farmer households’ perception of tenure security and propensity to invest in their forestland. A large database consisting of information from 3,180 households in eight provinces from south to north is used to explore factors correlated with more strongly perceived tenure security and determinants of forest-related investment. The study adds to the limited research testing whether there is endogenous causality between investment and tenure security in forestland, and finds that investment was not undertaken to enhance tenure security. In addition, the data allow for differentiation between perceived tenure security and contracted use and transferability rights. Overall, stronger contracted rights were found to affect investment. China's forest tenure reform – where individual households can manage forestland, empowered by legal certification and stronger contract rights – has thus enhanced tenure security and encouraged forest investment.","container-title":"Environment and Development Economics","DOI":"10.1017/S1355770X13000272","ISSN":"1355-770X, 1469-4395","issue":"1","language":"en","note":"number: 1\npublisher: Cambridge University Press","page":"48-73","source":"Cambridge University Press","title":"Property rights, tenure security and forest investment incentives: evidence from China's Collective Forest Tenure Reform","title-short":"Property rights, tenure security and forest investment incentives","volume":"19","author":[{"family":"Yi","given":"Yuanyuan"},{"family":"Köhlin","given":"Gunnar"},{"family":"Xu","given":"Jintao"}],"issued":{"date-parts":[["2014",2]]}}}],"schema":"https://github.com/citation-style-language/schema/raw/master/csl-citation.json"} </w:instrText>
      </w:r>
      <w:r w:rsidRPr="00EC17DF">
        <w:rPr>
          <w:lang w:eastAsia="en-US"/>
        </w:rPr>
        <w:fldChar w:fldCharType="separate"/>
      </w:r>
      <w:r w:rsidRPr="00EC17DF">
        <w:rPr>
          <w:rFonts w:cs="Times New Roman"/>
        </w:rPr>
        <w:t>(Ren et al., 2018; Takacs, 2009; Yi et al., 2014)</w:t>
      </w:r>
      <w:r w:rsidRPr="00EC17DF">
        <w:rPr>
          <w:lang w:eastAsia="en-US"/>
        </w:rPr>
        <w:fldChar w:fldCharType="end"/>
      </w:r>
      <w:r w:rsidRPr="00EC17DF">
        <w:rPr>
          <w:lang w:eastAsia="en-US"/>
        </w:rPr>
        <w:t xml:space="preserve">, which can also result in unwanted results, such as deforestation </w:t>
      </w:r>
      <w:r w:rsidRPr="00EC17DF">
        <w:rPr>
          <w:lang w:eastAsia="en-US"/>
        </w:rPr>
        <w:fldChar w:fldCharType="begin"/>
      </w:r>
      <w:r>
        <w:rPr>
          <w:lang w:eastAsia="en-US"/>
        </w:rPr>
        <w:instrText xml:space="preserve"> ADDIN ZOTERO_ITEM CSL_CITATION {"citationID":"QjAq9iyh","properties":{"formattedCitation":"(Amacher et al., 2009; Liscow, 2013)","plainCitation":"(Amacher et al., 2009; Liscow, 2013)","noteIndex":0},"citationItems":[{"id":53,"uris":["http://zotero.org/users/6963771/items/GMLPEF92"],"itemData":{"id":53,"type":"article-journal","abstract":"We examine the implications of migration and insecure property rights to land use and deforestation in tropical frontier forests. Three forms of property rights risks are introduced to basic land-use forms. Illegal logging risk is associated with forest plantations, a land expropriation risk affects land in agriculture and plantation forestry, and illegal logging risks threaten native forest land. Public and private landowners can reduce these risks by employing costly enforcement effort. We show how that migration, expropriation, and illegal logging risks lead to deforestation by promoting agricultural expansion, and illegal logging. Higher public enforcement reduces illegal logging, but higher private enforcement may or may not reduce deforestation depending on migration pressures. Higher timber prices have an ambiguous effect on deforestation, but an increasing value of non-timber benefits decreases or leaves deforestation unchanged depending on the incentive structures of illegal loggers.","container-title":"Environment and Development Economics","DOI":"10.1017/S1355770X0800483X","ISSN":"1469-4395, 1355-770X","issue":"3","language":"en","note":"number: 3\npublisher: Cambridge University Press","page":"281-303","source":"Cambridge University Press","title":"Deforestation and land use under insecure property rights*","volume":"14","author":[{"family":"Amacher","given":"Gregory S."},{"family":"Koskela","given":"Erkki"},{"family":"Ollikainen","given":"Markku"}],"issued":{"date-parts":[["2009",6]]}}},{"id":56,"uris":["http://zotero.org/users/6963771/items/BMYN6KZZ"],"itemData":{"id":56,"type":"article-journal","abstract":"Many policymakers argue that property rights decrease deforestation. Some theoretical papers also make this prediction, arguing that property rights decrease discount rates applied to a long-term investment in forestry. However, the effect is theoretically ambiguous. The paper takes a novel instrumental variables approach based on Nicaragua's agrarian reform to test for the effect, using a new dataset—Nicaragua's 2001 agricultural census. It finds that property rights significantly increase deforestation. The model, supported by the data, suggests a likely mechanism for this relationship: property rights increase investment, increasing agricultural productivity and therefore the returns to deforestation.","container-title":"Journal of Environmental Economics and Management","DOI":"10.1016/j.jeem.2012.07.001","ISSN":"0095-0696","issue":"2","journalAbbreviation":"Journal of Environmental Economics and Management","language":"en","page":"241-261","source":"ScienceDirect","title":"Do property rights promote investment but cause deforestation? Quasi-experimental evidence from Nicaragua","title-short":"Do property rights promote investment but cause deforestation?","volume":"65","author":[{"family":"Liscow","given":"Zachary D."}],"issued":{"date-parts":[["2013",3,1]]}}}],"schema":"https://github.com/citation-style-language/schema/raw/master/csl-citation.json"} </w:instrText>
      </w:r>
      <w:r w:rsidRPr="00EC17DF">
        <w:rPr>
          <w:lang w:eastAsia="en-US"/>
        </w:rPr>
        <w:fldChar w:fldCharType="separate"/>
      </w:r>
      <w:r w:rsidRPr="00EC17DF">
        <w:rPr>
          <w:rFonts w:cs="Times New Roman"/>
        </w:rPr>
        <w:t>(Amacher et al., 2009; Liscow, 2013)</w:t>
      </w:r>
      <w:r w:rsidRPr="00EC17DF">
        <w:rPr>
          <w:lang w:eastAsia="en-US"/>
        </w:rPr>
        <w:fldChar w:fldCharType="end"/>
      </w:r>
      <w:r w:rsidRPr="00EC17DF">
        <w:rPr>
          <w:lang w:eastAsia="en-US"/>
        </w:rPr>
        <w:t xml:space="preserve">. To describe and compare property rights, and understand their social, economic or environmental impacts the </w:t>
      </w:r>
      <w:r w:rsidRPr="00EC17DF">
        <w:rPr>
          <w:i/>
          <w:iCs/>
          <w:lang w:eastAsia="en-US"/>
        </w:rPr>
        <w:t xml:space="preserve">International Property Rights Index </w:t>
      </w:r>
      <w:r w:rsidRPr="00EC17DF">
        <w:rPr>
          <w:lang w:eastAsia="en-US"/>
        </w:rPr>
        <w:t xml:space="preserve">(IPRI) was developed by the </w:t>
      </w:r>
      <w:r w:rsidRPr="00EC17DF">
        <w:rPr>
          <w:lang w:eastAsia="en-US"/>
        </w:rPr>
        <w:fldChar w:fldCharType="begin"/>
      </w:r>
      <w:r>
        <w:rPr>
          <w:lang w:eastAsia="en-US"/>
        </w:rPr>
        <w:instrText xml:space="preserve"> ADDIN ZOTERO_ITEM CSL_CITATION {"citationID":"xc2yiZpL","properties":{"formattedCitation":"(Property Rights Alliance, 2022)","plainCitation":"(Property Rights Alliance, 2022)","dontUpdate":true,"noteIndex":0},"citationItems":[{"id":"ycMc26hn/hnxoUNu4","uris":["http://zotero.org/users/6963771/items/UZ6YI6U7"],"itemData":{"id":64,"type":"webpage","abstract":"The International Property Rights Index (IPRI) is the flagship publication of Property Rig...","language":"en","title":"About","URL":"http://www.internationalpropertyrightsindex.org/about","author":[{"literal":"Property Rights Alliance"}],"accessed":{"date-parts":[["2022",9,26]]},"issued":{"date-parts":[["2022"]]}}}],"schema":"https://github.com/citation-style-language/schema/raw/master/csl-citation.json"} </w:instrText>
      </w:r>
      <w:r w:rsidRPr="00EC17DF">
        <w:rPr>
          <w:lang w:eastAsia="en-US"/>
        </w:rPr>
        <w:fldChar w:fldCharType="separate"/>
      </w:r>
      <w:r w:rsidRPr="00EC17DF">
        <w:rPr>
          <w:lang w:eastAsia="en-US"/>
        </w:rPr>
        <w:t>Property Rights Alliance (2022)</w:t>
      </w:r>
      <w:r w:rsidRPr="00EC17DF">
        <w:rPr>
          <w:lang w:eastAsia="en-US"/>
        </w:rPr>
        <w:fldChar w:fldCharType="end"/>
      </w:r>
      <w:r w:rsidRPr="00EC17DF">
        <w:rPr>
          <w:lang w:eastAsia="en-US"/>
        </w:rPr>
        <w:t xml:space="preserve"> and is based on three core components: legal and political environment (LP), physical property rights (PPR), and intellectual property rights (IPR) </w:t>
      </w:r>
      <w:r w:rsidRPr="00EC17DF">
        <w:rPr>
          <w:lang w:eastAsia="en-US"/>
        </w:rPr>
        <w:fldChar w:fldCharType="begin"/>
      </w:r>
      <w:r w:rsidRPr="00EC17DF">
        <w:rPr>
          <w:lang w:eastAsia="en-US"/>
        </w:rPr>
        <w:instrText xml:space="preserve"> ADDIN ZOTERO_ITEM CSL_CITATION {"citationID":"JZK4irqz","properties":{"formattedCitation":"(Levy-Carciente, 2022)","plainCitation":"(Levy-Carciente, 2022)","noteIndex":0},"citationItems":[{"id":1290,"uris":["http://zotero.org/users/6963771/items/B83W78TU"],"itemData":{"id":1290,"type":"report","publisher":"Property Rights allience","title":"IPRI 2021 report","URL":"https://atr-ipri21.s3.amazonaws.com/IPRI_FullReport_v7.pdf","author":[{"family":"Levy-Carciente","given":"Sary"}],"accessed":{"date-parts":[["2023",3,13]]},"issued":{"date-parts":[["2022"]]}}}],"schema":"https://github.com/citation-style-language/schema/raw/master/csl-citation.json"} </w:instrText>
      </w:r>
      <w:r w:rsidRPr="00EC17DF">
        <w:rPr>
          <w:lang w:eastAsia="en-US"/>
        </w:rPr>
        <w:fldChar w:fldCharType="separate"/>
      </w:r>
      <w:r w:rsidRPr="00EC17DF">
        <w:rPr>
          <w:rFonts w:cs="Times New Roman"/>
        </w:rPr>
        <w:t>(Levy-Carciente, 2022)</w:t>
      </w:r>
      <w:r w:rsidRPr="00EC17DF">
        <w:rPr>
          <w:lang w:eastAsia="en-US"/>
        </w:rPr>
        <w:fldChar w:fldCharType="end"/>
      </w:r>
      <w:r w:rsidRPr="00EC17DF">
        <w:rPr>
          <w:lang w:eastAsia="en-US"/>
        </w:rPr>
        <w:t>.</w:t>
      </w:r>
    </w:p>
    <w:p w14:paraId="09933119" w14:textId="77777777" w:rsidR="00A3700B" w:rsidRPr="00EC17DF" w:rsidRDefault="00A3700B" w:rsidP="00A3700B">
      <w:pPr>
        <w:pStyle w:val="Heading3"/>
      </w:pPr>
      <w:r>
        <w:t>Rule of law index (RLI)</w:t>
      </w:r>
    </w:p>
    <w:p w14:paraId="6ECF30F2" w14:textId="77777777" w:rsidR="00A3700B" w:rsidRPr="00EC17DF" w:rsidRDefault="00A3700B" w:rsidP="00A3700B">
      <w:r w:rsidRPr="00EC17DF">
        <w:t xml:space="preserve">The rule of law is a durable system of laws, institutions, and community commitment that grants four universal principles: accountability, just laws, open government, acceptable and impartial dispute resolution. The World Justice Project NGO </w:t>
      </w:r>
      <w:r w:rsidRPr="00EC17DF">
        <w:rPr>
          <w:i/>
          <w:iCs/>
        </w:rPr>
        <w:t>Rule of Law Index</w:t>
      </w:r>
      <w:r w:rsidRPr="00EC17DF">
        <w:t xml:space="preserve"> measures how the rule of law is experienced and perceived by societies based on expert surveys </w:t>
      </w:r>
      <w:r w:rsidRPr="00EC17DF">
        <w:fldChar w:fldCharType="begin"/>
      </w:r>
      <w:r w:rsidRPr="00EC17DF">
        <w:instrText xml:space="preserve"> ADDIN ZOTERO_ITEM CSL_CITATION {"citationID":"luFRLSeL","properties":{"formattedCitation":"({\\i{}WJP Rule of Law Index}, 2023)","plainCitation":"(WJP Rule of Law Index, 2023)","noteIndex":0},"citationItems":[{"id":1297,"uris":["http://zotero.org/users/6963771/items/NZLGMQGY"],"itemData":{"id":1297,"type":"webpage","abstract":"Explore rule of law rankings for 140 countries in the WJP Rule of Law Index","language":"en","title":"WJP Rule of Law Index","URL":"https://worldjusticeproject.org/rule-of-law-index","accessed":{"date-parts":[["2023",3,13]]},"issued":{"date-parts":[["2023"]]}}}],"schema":"https://github.com/citation-style-language/schema/raw/master/csl-citation.json"} </w:instrText>
      </w:r>
      <w:r w:rsidRPr="00EC17DF">
        <w:fldChar w:fldCharType="separate"/>
      </w:r>
      <w:r w:rsidRPr="00EC17DF">
        <w:rPr>
          <w:rFonts w:cs="Times New Roman"/>
        </w:rPr>
        <w:t>(WJP Rule of Law Index, 2023)</w:t>
      </w:r>
      <w:r w:rsidRPr="00EC17DF">
        <w:fldChar w:fldCharType="end"/>
      </w:r>
      <w:r w:rsidRPr="00EC17DF">
        <w:t>.</w:t>
      </w:r>
    </w:p>
    <w:p w14:paraId="1D959BD8" w14:textId="77777777" w:rsidR="00A3700B" w:rsidRPr="00EC17DF" w:rsidRDefault="00A3700B" w:rsidP="00A3700B">
      <w:pPr>
        <w:pStyle w:val="Heading3"/>
      </w:pPr>
      <w:r>
        <w:t>Corruption Perception Index (CPI)</w:t>
      </w:r>
    </w:p>
    <w:p w14:paraId="0F885E8D" w14:textId="77777777" w:rsidR="00A3700B" w:rsidRPr="00EC17DF" w:rsidRDefault="00A3700B" w:rsidP="00A3700B">
      <w:r w:rsidRPr="00EC17DF">
        <w:t xml:space="preserve">Each year, the </w:t>
      </w:r>
      <w:r w:rsidRPr="00EC17DF">
        <w:rPr>
          <w:i/>
          <w:iCs/>
        </w:rPr>
        <w:t>Transparency International</w:t>
      </w:r>
      <w:r w:rsidRPr="00EC17DF">
        <w:t xml:space="preserve"> NGO publishes the </w:t>
      </w:r>
      <w:r w:rsidRPr="00EC17DF">
        <w:rPr>
          <w:i/>
          <w:iCs/>
        </w:rPr>
        <w:t xml:space="preserve">Corruption Perception Index </w:t>
      </w:r>
      <w:r w:rsidRPr="00EC17DF">
        <w:t xml:space="preserve">(CPI) aiming to quantify the perceived corruption in the public sector of each country, from both private and public stakeholders’ perspective. The index elaboration follows a four-step methodology : 1) The data source must fulfil certain criteria, such as quantifying perception of corruption in the public sector, scores and rankings on the same scale, data must be collected by a trustworthy institution and allow for sufficient variation  to distinguish between countries; 2) The is standardised on a scale from 0 to 100, where 0 is equivalent to the highest perception of corruption and 100 the lowest; 3) A minimum of 3 sources must be used to include the country in the CPI, the result being an arithmetic mean of all the sources. These values are then rounded to whole numbers; 4) There must be a report of the standard error and confidence interval associated with the score </w:t>
      </w:r>
      <w:r w:rsidRPr="00EC17DF">
        <w:fldChar w:fldCharType="begin"/>
      </w:r>
      <w:r w:rsidRPr="00EC17DF">
        <w:instrText xml:space="preserve"> ADDIN ZOTERO_ITEM CSL_CITATION {"citationID":"DC9YlarB","properties":{"formattedCitation":"(Transparency International, 2023)","plainCitation":"(Transparency International, 2023)","noteIndex":0},"citationItems":[{"id":1295,"uris":["http://zotero.org/users/6963771/items/IHWH4ENB"],"itemData":{"id":1295,"type":"webpage","abstract":"How does your country measure up in the 2022 Corruption Perceptions Index?","container-title":"Transparency.org","language":"en","title":"2022 Corruption Perceptions Index: Explore the results","title-short":"2022 Corruption Perceptions Index","URL":"https://www.transparency.org/en/cpi/2022","author":[{"family":"Transparency International","given":""}],"accessed":{"date-parts":[["2023",3,13]]},"issued":{"date-parts":[["2023",1,31]]}}}],"schema":"https://github.com/citation-style-language/schema/raw/master/csl-citation.json"} </w:instrText>
      </w:r>
      <w:r w:rsidRPr="00EC17DF">
        <w:fldChar w:fldCharType="separate"/>
      </w:r>
      <w:r w:rsidRPr="00EC17DF">
        <w:rPr>
          <w:rFonts w:cs="Times New Roman"/>
        </w:rPr>
        <w:t>(Transparency International, 2023)</w:t>
      </w:r>
      <w:r w:rsidRPr="00EC17DF">
        <w:fldChar w:fldCharType="end"/>
      </w:r>
      <w:r w:rsidRPr="00EC17DF">
        <w:t>. High CPI scores indicate lower perceived corruption.</w:t>
      </w:r>
    </w:p>
    <w:p w14:paraId="7D9FF9B9" w14:textId="77777777" w:rsidR="00A3700B" w:rsidRPr="00EC17DF" w:rsidRDefault="00A3700B" w:rsidP="00A3700B">
      <w:pPr>
        <w:pStyle w:val="Heading3"/>
      </w:pPr>
      <w:r>
        <w:t>Human Development Index (HDI)</w:t>
      </w:r>
    </w:p>
    <w:p w14:paraId="7D3C1861" w14:textId="77777777" w:rsidR="00A3700B" w:rsidRPr="00EC17DF" w:rsidRDefault="00A3700B" w:rsidP="00A3700B">
      <w:r w:rsidRPr="00EC17DF">
        <w:t xml:space="preserve">The </w:t>
      </w:r>
      <w:r w:rsidRPr="00EC17DF">
        <w:rPr>
          <w:i/>
          <w:iCs/>
        </w:rPr>
        <w:t>Human Development Index</w:t>
      </w:r>
      <w:r w:rsidRPr="00EC17DF">
        <w:t xml:space="preserve"> is calculated by the UN Development Programme</w:t>
      </w:r>
      <w:r w:rsidRPr="00EC17DF">
        <w:rPr>
          <w:i/>
          <w:iCs/>
        </w:rPr>
        <w:t xml:space="preserve"> </w:t>
      </w:r>
      <w:r w:rsidRPr="00EC17DF">
        <w:rPr>
          <w:i/>
          <w:iCs/>
        </w:rPr>
        <w:fldChar w:fldCharType="begin"/>
      </w:r>
      <w:r w:rsidRPr="00EC17DF">
        <w:rPr>
          <w:i/>
          <w:iCs/>
        </w:rPr>
        <w:instrText xml:space="preserve"> ADDIN ZOTERO_ITEM CSL_CITATION {"citationID":"pThS9tc0","properties":{"formattedCitation":"(United Nations, 2023)","plainCitation":"(United Nations, 2023)","noteIndex":0},"citationItems":[{"id":3504,"uris":["http://zotero.org/users/6963771/items/DNQE8QWS"],"itemData":{"id":3504,"type":"report","language":"en","note":"container-title: Human Development Reports","publisher":"United Nations","source":"hdr.undp.org","title":"Human Development Index","URL":"https://hdr.undp.org/data-center/human-development-index","author":[{"literal":"United Nations"}],"accessed":{"date-parts":[["2023",11,22]]},"issued":{"date-parts":[["2023"]]}}}],"schema":"https://github.com/citation-style-language/schema/raw/master/csl-citation.json"} </w:instrText>
      </w:r>
      <w:r w:rsidRPr="00EC17DF">
        <w:rPr>
          <w:i/>
          <w:iCs/>
        </w:rPr>
        <w:fldChar w:fldCharType="separate"/>
      </w:r>
      <w:r w:rsidRPr="00EC17DF">
        <w:rPr>
          <w:rFonts w:cs="Times New Roman"/>
        </w:rPr>
        <w:t>(United Nations, 2023)</w:t>
      </w:r>
      <w:r w:rsidRPr="00EC17DF">
        <w:rPr>
          <w:i/>
          <w:iCs/>
        </w:rPr>
        <w:fldChar w:fldCharType="end"/>
      </w:r>
      <w:r w:rsidRPr="00EC17DF">
        <w:t xml:space="preserve"> and is a synthetic measure of the average achievement in key dimensions of human development:  long and healthy life (Life expectancy at birth), education (expected years of schooling and mean years of schooling) and having a decent standard of living (GDP per capita). The Index is the geometric mean of normalized indices for each of the three values and does not reflect inequalities, poverty, human security, empowerment, etc. According to the UNDP, the sources of data used are major databases of income/consumption and years of schooling that contain micro data from national household surveys, harmonized with common international standards </w:t>
      </w:r>
      <w:r w:rsidRPr="00EC17DF">
        <w:fldChar w:fldCharType="begin"/>
      </w:r>
      <w:r w:rsidRPr="00EC17DF">
        <w:instrText xml:space="preserve"> ADDIN ZOTERO_ITEM CSL_CITATION {"citationID":"JWsMvPYN","properties":{"formattedCitation":"(United Nations, 2023)","plainCitation":"(United Nations, 2023)","noteIndex":0},"citationItems":[{"id":3504,"uris":["http://zotero.org/users/6963771/items/DNQE8QWS"],"itemData":{"id":3504,"type":"report","language":"en","note":"container-title: Human Development Reports","publisher":"United Nations","source":"hdr.undp.org","title":"Human Development Index","URL":"https://hdr.undp.org/data-center/human-development-index","author":[{"literal":"United Nations"}],"accessed":{"date-parts":[["2023",11,22]]},"issued":{"date-parts":[["2023"]]}}}],"schema":"https://github.com/citation-style-language/schema/raw/master/csl-citation.json"} </w:instrText>
      </w:r>
      <w:r w:rsidRPr="00EC17DF">
        <w:fldChar w:fldCharType="separate"/>
      </w:r>
      <w:r w:rsidRPr="00EC17DF">
        <w:rPr>
          <w:rFonts w:cs="Times New Roman"/>
        </w:rPr>
        <w:t>(United Nations, 2023)</w:t>
      </w:r>
      <w:r w:rsidRPr="00EC17DF">
        <w:fldChar w:fldCharType="end"/>
      </w:r>
      <w:r w:rsidRPr="00EC17DF">
        <w:t>.</w:t>
      </w:r>
    </w:p>
    <w:p w14:paraId="058029EB" w14:textId="77777777" w:rsidR="00A3700B" w:rsidRPr="00EC17DF" w:rsidRDefault="00A3700B" w:rsidP="00A3700B">
      <w:pPr>
        <w:pStyle w:val="Heading3"/>
        <w:rPr>
          <w:b/>
          <w:bCs/>
          <w:i/>
          <w:iCs/>
        </w:rPr>
      </w:pPr>
      <w:r w:rsidRPr="00EC17DF">
        <w:t>Index of Economic Freedom (IEF</w:t>
      </w:r>
      <w:r w:rsidRPr="00EC17DF">
        <w:rPr>
          <w:b/>
          <w:bCs/>
          <w:i/>
          <w:iCs/>
        </w:rPr>
        <w:t>)</w:t>
      </w:r>
    </w:p>
    <w:p w14:paraId="20D4C668" w14:textId="77777777" w:rsidR="00A3700B" w:rsidRPr="00EC17DF" w:rsidRDefault="00A3700B" w:rsidP="00A3700B">
      <w:r w:rsidRPr="00EC17DF">
        <w:t xml:space="preserve">The Heritage NGO, responsible for the calculation of the </w:t>
      </w:r>
      <w:r w:rsidRPr="00EC17DF">
        <w:rPr>
          <w:i/>
          <w:iCs/>
        </w:rPr>
        <w:t>Index of Economic Freedom</w:t>
      </w:r>
      <w:r w:rsidRPr="00EC17DF">
        <w:t xml:space="preserve">, defines economic freedom as “the fundamental right of every human to control his or her own labour and property. In an economically free society, individuals are free to work, produce, consume, and invest in any way they please” </w:t>
      </w:r>
      <w:r w:rsidRPr="00EC17DF">
        <w:fldChar w:fldCharType="begin"/>
      </w:r>
      <w:r w:rsidRPr="00EC17DF">
        <w:instrText xml:space="preserve"> ADDIN ZOTERO_ITEM CSL_CITATION {"citationID":"GOMjrghN","properties":{"formattedCitation":"(Heritage Foundation, n.d.)","plainCitation":"(Heritage Foundation, n.d.)","noteIndex":0},"citationItems":[{"id":3506,"uris":["http://zotero.org/users/6963771/items/MX325KB6"],"itemData":{"id":3506,"type":"webpage","abstract":"Index of Economic Freedom measures economic freedom of 184 countries based on trade freedom, business freedom, investment freedom, and property rights.","language":"en","title":"Index of Economic Freedom: Promoting Economic Opportunity and Prosperity by Country","title-short":"Index of Economic Freedom","URL":"//www.heritage.org/index/","author":[{"literal":"Heritage Foundation"}],"accessed":{"date-parts":[["2023",11,22]]}}}],"schema":"https://github.com/citation-style-language/schema/raw/master/csl-citation.json"} </w:instrText>
      </w:r>
      <w:r w:rsidRPr="00EC17DF">
        <w:fldChar w:fldCharType="separate"/>
      </w:r>
      <w:r w:rsidRPr="00EC17DF">
        <w:rPr>
          <w:rFonts w:cs="Times New Roman"/>
        </w:rPr>
        <w:t>(Heritage Foundation, n.d.)</w:t>
      </w:r>
      <w:r w:rsidRPr="00EC17DF">
        <w:fldChar w:fldCharType="end"/>
      </w:r>
      <w:r w:rsidRPr="00EC17DF">
        <w:t xml:space="preserve">. Economic freedom is measured </w:t>
      </w:r>
      <w:r w:rsidRPr="00EC17DF">
        <w:lastRenderedPageBreak/>
        <w:t xml:space="preserve">from 12 quantitative factors, grouped in 4 main categories: Rule of law (property rights, judicial effectiveness, government integrity); government size (tax burden, government spending, fiscal health); regulatory efficiency (business freedom, labour freedom, monetary freedom) and open market (trade, investment, and financial freedom) </w:t>
      </w:r>
      <w:r w:rsidRPr="00EC17DF">
        <w:fldChar w:fldCharType="begin"/>
      </w:r>
      <w:r w:rsidRPr="00EC17DF">
        <w:instrText xml:space="preserve"> ADDIN ZOTERO_ITEM CSL_CITATION {"citationID":"qHGHeHjc","properties":{"formattedCitation":"(Anthony B. Kim et al., 2023)","plainCitation":"(Anthony B. Kim et al., 2023)","dontUpdate":true,"noteIndex":0},"citationItems":[{"id":1294,"uris":["http://zotero.org/users/6963771/items/E2R8YEZK"],"itemData":{"id":1294,"type":"book","ISBN":"978-0-89195-309-8","number-of-pages":"436","publisher":"The Heritage Foundation","title":"2023 Index Of Economic Freedom","URL":"https://www.heritage.org/index/pdf/2023/book/2023_IndexOfEconomicFreedom_FINAL.pdf","author":[{"literal":"Anthony B. Kim"},{"literal":"Patrick Tyrrell"},{"literal":"Kevin D. Roberts"}],"accessed":{"date-parts":[["2023",3,13]]},"issued":{"date-parts":[["2023"]]}},"label":"page"}],"schema":"https://github.com/citation-style-language/schema/raw/master/csl-citation.json"} </w:instrText>
      </w:r>
      <w:r w:rsidRPr="00EC17DF">
        <w:fldChar w:fldCharType="separate"/>
      </w:r>
      <w:r w:rsidRPr="00EC17DF">
        <w:rPr>
          <w:rFonts w:cs="Times New Roman"/>
        </w:rPr>
        <w:t>(Kim et al., 2023)</w:t>
      </w:r>
      <w:r w:rsidRPr="00EC17DF">
        <w:fldChar w:fldCharType="end"/>
      </w:r>
      <w:r w:rsidRPr="00EC17DF">
        <w:t>.</w:t>
      </w:r>
    </w:p>
    <w:p w14:paraId="1DCC59CD" w14:textId="77777777" w:rsidR="00A3700B" w:rsidRPr="00EC17DF" w:rsidRDefault="00A3700B" w:rsidP="00A3700B">
      <w:pPr>
        <w:pStyle w:val="Heading3"/>
      </w:pPr>
      <w:r>
        <w:t>Environmental Performance Index (EPI)</w:t>
      </w:r>
    </w:p>
    <w:p w14:paraId="439DD507" w14:textId="77777777" w:rsidR="00A3700B" w:rsidRPr="00EC17DF" w:rsidRDefault="00A3700B" w:rsidP="00A3700B">
      <w:r w:rsidRPr="00EC17DF">
        <w:t>The EPI</w:t>
      </w:r>
      <w:r w:rsidRPr="00EC17DF">
        <w:rPr>
          <w:i/>
          <w:iCs/>
        </w:rPr>
        <w:t xml:space="preserve"> </w:t>
      </w:r>
      <w:r w:rsidRPr="00EC17DF">
        <w:rPr>
          <w:i/>
          <w:iCs/>
        </w:rPr>
        <w:fldChar w:fldCharType="begin"/>
      </w:r>
      <w:r w:rsidRPr="00EC17DF">
        <w:rPr>
          <w:i/>
          <w:iCs/>
        </w:rPr>
        <w:instrText xml:space="preserve"> ADDIN ZOTERO_ITEM CSL_CITATION {"citationID":"TwcVyTC3","properties":{"formattedCitation":"(Yale Center for Environmental Law &amp; Policy, 2023)","plainCitation":"(Yale Center for Environmental Law &amp; Policy, 2023)","dontUpdate":true,"noteIndex":0},"citationItems":[{"id":3502,"uris":["http://zotero.org/users/6963771/items/FEMIHB29"],"itemData":{"id":3502,"type":"webpage","title":"Welcome | Environmental Performance Index","URL":"https://epi.yale.edu/","author":[{"literal":"Yale Center for Environmental Law &amp; Policy"}],"accessed":{"date-parts":[["2023",11,22]]},"issued":{"date-parts":[["2023"]]}}}],"schema":"https://github.com/citation-style-language/schema/raw/master/csl-citation.json"} </w:instrText>
      </w:r>
      <w:r w:rsidRPr="00EC17DF">
        <w:rPr>
          <w:i/>
          <w:iCs/>
        </w:rPr>
        <w:fldChar w:fldCharType="separate"/>
      </w:r>
      <w:r w:rsidRPr="00EC17DF">
        <w:rPr>
          <w:rFonts w:cs="Times New Roman"/>
        </w:rPr>
        <w:t>(Yale Centre for Environmental Law &amp; Policy, 2023)</w:t>
      </w:r>
      <w:r w:rsidRPr="00EC17DF">
        <w:rPr>
          <w:i/>
          <w:iCs/>
        </w:rPr>
        <w:fldChar w:fldCharType="end"/>
      </w:r>
      <w:r w:rsidRPr="00EC17DF">
        <w:t xml:space="preserve"> ranks countries’ performance in the protection of human and ecosystems health. The EPI framework organises forty indicators into 11 issue categories and 3 policy objectives (Environmental Health, Climate and Ecosystem Vitality).</w:t>
      </w:r>
    </w:p>
    <w:p w14:paraId="1902594B" w14:textId="77777777" w:rsidR="00A3700B" w:rsidRPr="00EC17DF" w:rsidRDefault="00A3700B" w:rsidP="00A3700B">
      <w:r w:rsidRPr="00EC17DF">
        <w:t xml:space="preserve">The transformation of raw datasets into comparable performance indicators is performed by standardization according to population, land area, gross domestic product, and other units of measure. Standardized data from the 40 sustainability indicators are a weighted aggregation, using a distance-to-target approach, yielding a single score on the environmental performance of each of the 180 countries analysed </w:t>
      </w:r>
      <w:r w:rsidRPr="00EC17DF">
        <w:fldChar w:fldCharType="begin"/>
      </w:r>
      <w:r w:rsidRPr="00EC17DF">
        <w:instrText xml:space="preserve"> ADDIN ZOTERO_ITEM CSL_CITATION {"citationID":"RJr3vHHX","properties":{"formattedCitation":"(Wolf et al., 2022)","plainCitation":"(Wolf et al., 2022)","noteIndex":0},"citationItems":[{"id":1280,"uris":["http://zotero.org/users/6963771/items/GQJMFJU8"],"itemData":{"id":1280,"type":"report","title":"EPI 2022 report","URL":"https://epi.yale.edu/downloads/epi2022report06062022.pdf","author":[{"family":"Wolf","given":"Martin J."},{"family":"Emerson","given":"John W."},{"family":"Esty","given":"Daniel C."},{"family":"Sherbinin","given":"Alex","dropping-particle":"de"},{"family":"Wendling","given":"Zachary A."}],"accessed":{"date-parts":[["2023",2,27]]},"issued":{"date-parts":[["2022"]]}}}],"schema":"https://github.com/citation-style-language/schema/raw/master/csl-citation.json"} </w:instrText>
      </w:r>
      <w:r w:rsidRPr="00EC17DF">
        <w:fldChar w:fldCharType="separate"/>
      </w:r>
      <w:r w:rsidRPr="00EC17DF">
        <w:rPr>
          <w:rFonts w:cs="Times New Roman"/>
        </w:rPr>
        <w:t>(Wolf et al., 2022)</w:t>
      </w:r>
      <w:r w:rsidRPr="00EC17DF">
        <w:fldChar w:fldCharType="end"/>
      </w:r>
      <w:r w:rsidRPr="00EC17DF">
        <w:t>.</w:t>
      </w:r>
    </w:p>
    <w:p w14:paraId="0A284D5E" w14:textId="77777777" w:rsidR="00A3700B" w:rsidRPr="00EC17DF" w:rsidRDefault="00A3700B" w:rsidP="00A3700B">
      <w:r w:rsidRPr="00EC17DF">
        <w:t>Alongside the aggregate EPI value, the scores for “Tree cover loss” (</w:t>
      </w:r>
      <w:proofErr w:type="spellStart"/>
      <w:r w:rsidRPr="00EC17DF">
        <w:t>EPI_ECO_tcl</w:t>
      </w:r>
      <w:proofErr w:type="spellEnd"/>
      <w:r w:rsidRPr="00EC17DF">
        <w:t xml:space="preserve">), “Climate change policy objective” (EPI_CCP) and “ecosystem services” (EPI_ ECO) issues will also be used to compare their specific correlation with the PRIF and its categories in view of their specific relevance. </w:t>
      </w:r>
    </w:p>
    <w:p w14:paraId="472CCEB0" w14:textId="77777777" w:rsidR="00A3700B" w:rsidRPr="00EC17DF" w:rsidRDefault="00A3700B" w:rsidP="00A3700B">
      <w:r w:rsidRPr="00EC17DF">
        <w:t xml:space="preserve">The “climate change policy objective” comprises 38% of EPI scores and is a measure of mitigation actions. These actions are measured using GHG emissions and projections. Ecosystem services’ scores are calculated using three other sub-indicators, tree cover, wetland, and grassland loss. </w:t>
      </w:r>
    </w:p>
    <w:p w14:paraId="1D0210FA" w14:textId="77777777" w:rsidR="00A3700B" w:rsidRPr="00EC17DF" w:rsidRDefault="00A3700B" w:rsidP="00A3700B">
      <w:r w:rsidRPr="00EC17DF">
        <w:t xml:space="preserve">Meanwhile, tree cover loss scores vary from 0 to 100, 100 indicating that there was no forest cover loss registered. The calculation method consists of the average annual loss in forest area in the past five years, divided by forest cover in the year of 2000. </w:t>
      </w:r>
    </w:p>
    <w:p w14:paraId="735214E5" w14:textId="77777777" w:rsidR="00A3700B" w:rsidRPr="0043187D" w:rsidRDefault="00A3700B" w:rsidP="00A3700B"/>
    <w:p w14:paraId="48457A6E" w14:textId="77777777" w:rsidR="003F0B16" w:rsidRDefault="003F0B16"/>
    <w:sectPr w:rsidR="003F0B16" w:rsidSect="00A3700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1B"/>
    <w:rsid w:val="00055064"/>
    <w:rsid w:val="00153E7C"/>
    <w:rsid w:val="00262D6D"/>
    <w:rsid w:val="00271015"/>
    <w:rsid w:val="003F0B16"/>
    <w:rsid w:val="00765E1B"/>
    <w:rsid w:val="007D59FD"/>
    <w:rsid w:val="009244DD"/>
    <w:rsid w:val="00A3700B"/>
    <w:rsid w:val="00E6056E"/>
    <w:rsid w:val="00EF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CEE8"/>
  <w15:chartTrackingRefBased/>
  <w15:docId w15:val="{91EB2D95-D1DD-4076-9DC1-12FECAB0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0B"/>
    <w:pPr>
      <w:spacing w:after="120" w:line="276" w:lineRule="auto"/>
      <w:jc w:val="both"/>
    </w:pPr>
    <w:rPr>
      <w:rFonts w:ascii="Times New Roman" w:eastAsia="Arial" w:hAnsi="Times New Roman" w:cs="Arial"/>
      <w:kern w:val="0"/>
      <w:szCs w:val="22"/>
      <w:lang w:eastAsia="en-GB"/>
      <w14:ligatures w14:val="none"/>
    </w:rPr>
  </w:style>
  <w:style w:type="paragraph" w:styleId="Heading1">
    <w:name w:val="heading 1"/>
    <w:basedOn w:val="Normal"/>
    <w:next w:val="Normal"/>
    <w:link w:val="Heading1Char"/>
    <w:uiPriority w:val="9"/>
    <w:qFormat/>
    <w:rsid w:val="00765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5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5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65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E1B"/>
    <w:rPr>
      <w:rFonts w:eastAsiaTheme="majorEastAsia" w:cstheme="majorBidi"/>
      <w:color w:val="272727" w:themeColor="text1" w:themeTint="D8"/>
    </w:rPr>
  </w:style>
  <w:style w:type="paragraph" w:styleId="Title">
    <w:name w:val="Title"/>
    <w:basedOn w:val="Normal"/>
    <w:next w:val="Normal"/>
    <w:link w:val="TitleChar"/>
    <w:uiPriority w:val="10"/>
    <w:qFormat/>
    <w:rsid w:val="00765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E1B"/>
    <w:pPr>
      <w:spacing w:before="160"/>
      <w:jc w:val="center"/>
    </w:pPr>
    <w:rPr>
      <w:i/>
      <w:iCs/>
      <w:color w:val="404040" w:themeColor="text1" w:themeTint="BF"/>
    </w:rPr>
  </w:style>
  <w:style w:type="character" w:customStyle="1" w:styleId="QuoteChar">
    <w:name w:val="Quote Char"/>
    <w:basedOn w:val="DefaultParagraphFont"/>
    <w:link w:val="Quote"/>
    <w:uiPriority w:val="29"/>
    <w:rsid w:val="00765E1B"/>
    <w:rPr>
      <w:i/>
      <w:iCs/>
      <w:color w:val="404040" w:themeColor="text1" w:themeTint="BF"/>
    </w:rPr>
  </w:style>
  <w:style w:type="paragraph" w:styleId="ListParagraph">
    <w:name w:val="List Paragraph"/>
    <w:basedOn w:val="Normal"/>
    <w:uiPriority w:val="34"/>
    <w:qFormat/>
    <w:rsid w:val="00765E1B"/>
    <w:pPr>
      <w:ind w:left="720"/>
      <w:contextualSpacing/>
    </w:pPr>
  </w:style>
  <w:style w:type="character" w:styleId="IntenseEmphasis">
    <w:name w:val="Intense Emphasis"/>
    <w:basedOn w:val="DefaultParagraphFont"/>
    <w:uiPriority w:val="21"/>
    <w:qFormat/>
    <w:rsid w:val="00765E1B"/>
    <w:rPr>
      <w:i/>
      <w:iCs/>
      <w:color w:val="0F4761" w:themeColor="accent1" w:themeShade="BF"/>
    </w:rPr>
  </w:style>
  <w:style w:type="paragraph" w:styleId="IntenseQuote">
    <w:name w:val="Intense Quote"/>
    <w:basedOn w:val="Normal"/>
    <w:next w:val="Normal"/>
    <w:link w:val="IntenseQuoteChar"/>
    <w:uiPriority w:val="30"/>
    <w:qFormat/>
    <w:rsid w:val="00765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E1B"/>
    <w:rPr>
      <w:i/>
      <w:iCs/>
      <w:color w:val="0F4761" w:themeColor="accent1" w:themeShade="BF"/>
    </w:rPr>
  </w:style>
  <w:style w:type="character" w:styleId="IntenseReference">
    <w:name w:val="Intense Reference"/>
    <w:basedOn w:val="DefaultParagraphFont"/>
    <w:uiPriority w:val="32"/>
    <w:qFormat/>
    <w:rsid w:val="00765E1B"/>
    <w:rPr>
      <w:b/>
      <w:bCs/>
      <w:smallCaps/>
      <w:color w:val="0F4761" w:themeColor="accent1" w:themeShade="BF"/>
      <w:spacing w:val="5"/>
    </w:rPr>
  </w:style>
  <w:style w:type="table" w:styleId="ListTable1Light">
    <w:name w:val="List Table 1 Light"/>
    <w:basedOn w:val="TableNormal"/>
    <w:uiPriority w:val="46"/>
    <w:rsid w:val="00A3700B"/>
    <w:pPr>
      <w:spacing w:after="0" w:line="240" w:lineRule="auto"/>
    </w:pPr>
    <w:rPr>
      <w:rFonts w:ascii="Arial" w:eastAsia="Arial" w:hAnsi="Arial" w:cs="Arial"/>
      <w:kern w:val="0"/>
      <w:sz w:val="22"/>
      <w:szCs w:val="22"/>
      <w:lang w:val="fr"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
    <w:name w:val="Table"/>
    <w:basedOn w:val="Normal"/>
    <w:link w:val="TableChar"/>
    <w:autoRedefine/>
    <w:qFormat/>
    <w:rsid w:val="00A3700B"/>
    <w:pPr>
      <w:spacing w:line="240" w:lineRule="auto"/>
      <w:jc w:val="left"/>
    </w:pPr>
    <w:rPr>
      <w:rFonts w:eastAsiaTheme="majorEastAsia" w:cstheme="majorBidi"/>
      <w:sz w:val="18"/>
    </w:rPr>
  </w:style>
  <w:style w:type="character" w:customStyle="1" w:styleId="TableChar">
    <w:name w:val="Table Char"/>
    <w:basedOn w:val="DefaultParagraphFont"/>
    <w:link w:val="Table"/>
    <w:rsid w:val="00A3700B"/>
    <w:rPr>
      <w:rFonts w:ascii="Times New Roman" w:eastAsiaTheme="majorEastAsia" w:hAnsi="Times New Roman" w:cstheme="majorBidi"/>
      <w:kern w:val="0"/>
      <w:sz w:val="18"/>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6004</Words>
  <Characters>34224</Characters>
  <Application>Microsoft Office Word</Application>
  <DocSecurity>0</DocSecurity>
  <Lines>285</Lines>
  <Paragraphs>80</Paragraphs>
  <ScaleCrop>false</ScaleCrop>
  <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Rimoli</dc:creator>
  <cp:keywords/>
  <dc:description/>
  <cp:lastModifiedBy>Richard Rimoli</cp:lastModifiedBy>
  <cp:revision>3</cp:revision>
  <dcterms:created xsi:type="dcterms:W3CDTF">2025-09-12T09:26:00Z</dcterms:created>
  <dcterms:modified xsi:type="dcterms:W3CDTF">2025-09-12T09:47:00Z</dcterms:modified>
</cp:coreProperties>
</file>